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the manuscript operating point of 3,333 generated candidates per 30/50/70% conservation tier,</w:t>
      </w:r>
      <w:r>
        <w:t xml:space="preserve"> </w:t>
      </w:r>
      <w:r>
        <w:rPr>
          <w:rStyle w:val="VerbatimChar"/>
        </w:rPr>
        <w:t xml:space="preserve">N_train = 30</w:t>
      </w:r>
      <w:r>
        <w:t xml:space="preserve">, and</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ESM-2 embedding stage can be delegated to a configured GPU worker through the</w:t>
      </w:r>
      <w:r>
        <w:t xml:space="preserve"> </w:t>
      </w:r>
      <w:r>
        <w:rPr>
          <w:rStyle w:val="VerbatimChar"/>
        </w:rPr>
        <w:t xml:space="preserve">esm_embedding</w:t>
      </w:r>
      <w:r>
        <w:t xml:space="preserve"> </w:t>
      </w:r>
      <w:r>
        <w:t xml:space="preserve">model provider; if no provider is configured, RAPID falls back to the local ESM path and then to deterministic sequence-composition features unless strict ESM mode is requested. The live paper run uses the RunPod ColabFold backend by default so that job identifiers are recorded during AF2 evaluation.</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pooled target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9" w:name="Xd2e41ccfcd4a74a4762816086b55bf23acc7363"/>
    <w:p>
      <w:pPr>
        <w:pStyle w:val="Heading2"/>
      </w:pPr>
      <w:r>
        <w:t xml:space="preserve">Supplementary Note 9. Pooled Surrogate Scaling as a Guardrail Analysis</w:t>
      </w:r>
    </w:p>
    <w:p>
      <w:pPr>
        <w:pStyle w:val="FirstParagraph"/>
      </w:pPr>
      <w:r>
        <w:t xml:space="preserve">The completed CATH archive was also used to test whether accumulated surrogate labels already justify replacing RAPID’s per-target surrogate with a pooled model. This analysis is framed as a guardrail for the production default, not as evidence that label accumulation is uninformative. RAPID currently uses lightweight per-run calibration because each target, backbone context, and conservation tier can change the sequence-quality relationship seen by the surrogate. If a pooled model were already stable under these conditions, it would support replacing per-run Auto-CV with a transferable surrogate. If not, the result supports the current decision to keep the production path adaptive and run-specific while continuing to store labels for future modelling.</w:t>
      </w:r>
    </w:p>
    <w:p>
      <w:pPr>
        <w:pStyle w:val="BodyText"/>
      </w:pPr>
      <w:r>
        <w:t xml:space="preserve">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 In practical terms, the analysis supports a staged learning strategy: current RAPID runs perform local surrogate orchestration; subsequent campaigns should accumulate AF2 labels, assay labels, paired rankings, target metadata, and structural-context annotations as a preference dataset; only after sufficient labelled coverage should a target-conditioned preference model be evaluated as a transferable predictor.</w:t>
      </w:r>
    </w:p>
    <w:p>
      <w:pPr>
        <w:pStyle w:val="CaptionedFigure"/>
      </w:pPr>
      <w:r>
        <w:drawing>
          <wp:inline>
            <wp:extent cx="5334000" cy="2000250"/>
            <wp:effectExtent b="0" l="0" r="0" t="0"/>
            <wp:docPr descr="Pooled surrogate scaling" title="" id="47" name="Picture"/>
            <a:graphic>
              <a:graphicData uri="http://schemas.openxmlformats.org/drawingml/2006/picture">
                <pic:pic>
                  <pic:nvPicPr>
                    <pic:cNvPr descr="figures/benchmark/fig9_pooled_surrogate_scaling_esm.png" id="48" name="Picture"/>
                    <pic:cNvPicPr>
                      <a:picLocks noChangeArrowheads="1" noChangeAspect="1"/>
                    </pic:cNvPicPr>
                  </pic:nvPicPr>
                  <pic:blipFill>
                    <a:blip r:embed="rId46"/>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S8. Retrospective pooled-surrogate scaling from completed CATH artifacts. Lower values are better for both held-out MAE and top-3 regret. The ESM-plus-composition ridge residual model did not show a monotonic benefit from adding more pooled targets, supporting the decision to keep per-run adaptive calibration as the production default while treating accumulated labels as a future preference-modelling substrate.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Supplementary Table S8. Pooled surrogate scaling summary. The non-monotonic regret and unchanged or worse MAE indicate that the current completed CATH artifact set is useful for testing pooled-model infrastructure and label accumulation, but not yet sufficient to support a pooled-surrogate performance claim.</w:t>
      </w:r>
    </w:p>
    <w:bookmarkEnd w:id="49"/>
    <w:bookmarkStart w:id="50" w:name="Xd01e4e25267997dd8e48ae7a443985c0ae2af5a"/>
    <w:p>
      <w:pPr>
        <w:pStyle w:val="Heading2"/>
      </w:pPr>
      <w:r>
        <w:t xml:space="preserve">Supplementary Note 10.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bookmarkEnd w:id="50"/>
    <w:bookmarkStart w:id="51" w:name="X9dd5d9406e76b95487860f0056d9b33e1c765b5"/>
    <w:p>
      <w:pPr>
        <w:pStyle w:val="Heading2"/>
      </w:pPr>
      <w:r>
        <w:t xml:space="preserve">Supplementary Note 11.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S9.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51"/>
    <w:bookmarkStart w:id="52" w:name="X68083938a3206f64fb9894eef69bdf5097c85b8"/>
    <w:p>
      <w:pPr>
        <w:pStyle w:val="Heading2"/>
      </w:pPr>
      <w:r>
        <w:t xml:space="preserve">Supplementary Note 12.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r>
        <w:tc>
          <w:tcPr/>
          <w:p>
            <w:pPr>
              <w:pStyle w:val="Compact"/>
              <w:jc w:val="left"/>
            </w:pPr>
            <w:r>
              <w:t xml:space="preserve">ESM embedding</w:t>
            </w:r>
          </w:p>
        </w:tc>
        <w:tc>
          <w:tcPr/>
          <w:p>
            <w:pPr>
              <w:pStyle w:val="Compact"/>
              <w:jc w:val="left"/>
            </w:pPr>
            <w:r>
              <w:rPr>
                <w:rStyle w:val="VerbatimChar"/>
              </w:rPr>
              <w:t xml:space="preserve">ESM_EMBEDDING_ENDPOINT_ID</w:t>
            </w:r>
          </w:p>
        </w:tc>
        <w:tc>
          <w:tcPr/>
          <w:p>
            <w:pPr>
              <w:pStyle w:val="Compact"/>
              <w:jc w:val="left"/>
            </w:pPr>
            <w:r>
              <w:t xml:space="preserve">user-built from</w:t>
            </w:r>
            <w:r>
              <w:t xml:space="preserve"> </w:t>
            </w:r>
            <w:r>
              <w:rPr>
                <w:rStyle w:val="VerbatimChar"/>
              </w:rPr>
              <w:t xml:space="preserve">workers/esm_embedding</w:t>
            </w:r>
          </w:p>
        </w:tc>
      </w:tr>
    </w:tbl>
    <w:bookmarkEnd w:id="52"/>
    <w:bookmarkStart w:id="53" w:name="Xb6fcecef35535300d3ec64a0cc71932cfb2ce65"/>
    <w:p>
      <w:pPr>
        <w:pStyle w:val="Heading2"/>
      </w:pPr>
      <w:r>
        <w:t xml:space="preserve">Supplementary Note 13.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2026-05-20T07:35:01Z</dcterms:created>
  <dcterms:modified xsi:type="dcterms:W3CDTF">2026-05-20T07:35:01Z</dcterms:modified>
</cp:coreProperties>
</file>

<file path=docProps/custom.xml><?xml version="1.0" encoding="utf-8"?>
<Properties xmlns="http://schemas.openxmlformats.org/officeDocument/2006/custom-properties" xmlns:vt="http://schemas.openxmlformats.org/officeDocument/2006/docPropsVTypes"/>
</file>