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0.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046472c8e20a48899c39a1493255782a8b2870c"/>
    <w:p>
      <w:pPr>
        <w:pStyle w:val="Heading1"/>
      </w:pPr>
      <w:r>
        <w:t xml:space="preserve">RAPID: A Reproducible Pipeline for Solubility-Aware Protein Redesign with Resource-Aware Surrogate Triage</w:t>
      </w:r>
    </w:p>
    <w:p>
      <w:pPr>
        <w:pStyle w:val="FirstParagraph"/>
      </w:pPr>
      <w:r>
        <w:rPr>
          <w:iCs/>
          <w:i/>
        </w:rPr>
        <w:t xml:space="preserve">Type: Software Paper / Empirical Benchmark Contribution</w:t>
      </w:r>
    </w:p>
    <w:bookmarkStart w:id="20" w:name="abstract"/>
    <w:p>
      <w:pPr>
        <w:pStyle w:val="Heading2"/>
      </w:pPr>
      <w:r>
        <w:t xml:space="preserve">Abstract</w:t>
      </w:r>
    </w:p>
    <w:p>
      <w:pPr>
        <w:pStyle w:val="FirstParagraph"/>
      </w:pPr>
      <w:r>
        <w:t xml:space="preserve">Biofoundry-scale protein redesign generates large multiple-mutant libraries, making the practical bottleneck not only model accuracy but auditable allocation of folding and experimental capacity. We present RAPID, a run-scoped artifact pipeline for solubility-aware redesign. RAPID stores typed requests, stage outputs, status traces, quality-control summaries, experiment records, and final summaries under stable run identifiers so reruns and analyses operate on the same artifacts. We evaluate three separate functions. First, RAPID converts fragmented model outputs into traceable artifacts that support partial reruns, backend replacement, and retrospective analysis. Second, RAPID provides a structure-prediction-budgeted surrogate-triage mode for post-SoluProt candidate selection. This mode uses ESM-2 embeddings, K-means bootstrap selection, local surrogate cross-validation, and Top-K acquisition to choose candidates for AF2/ColabFold evaluation; RFD3 and BioEmu are not used. In five CATH targets, surrogate triage evaluated 250 AF2/ColabFold records from 49,946 candidates entering triage, a 99.5% reduction relative to folding every triage candidate. Third, an independent structural-context ablation compares candidate pools generated from the original backbone, RFD3, BioEmu, and RFD3+BioEmu. It tests whether structural inputs reshape candidate-pool spread and sequence diversity, not whether those modules improve the surrogate model. RAPID also supports assay-labelled next-candidate recommendation. All evidence here is computational and proxy-based; pLDDT, SoluProt, and relax scores do not establish wet-lab soluble expression, stability, or activity.</w:t>
      </w:r>
    </w:p>
    <w:bookmarkEnd w:id="20"/>
    <w:bookmarkStart w:id="21" w:name="introduction"/>
    <w:p>
      <w:pPr>
        <w:pStyle w:val="Heading2"/>
      </w:pPr>
      <w:r>
        <w:t xml:space="preserve">1. Introduction</w:t>
      </w:r>
    </w:p>
    <w:p>
      <w:pPr>
        <w:pStyle w:val="FirstParagraph"/>
      </w:pPr>
      <w:r>
        <w:t xml:space="preserve">Computational protein redesign has become a multi-model workflow. A practical solubility-oriented campaign may begin with MMseqs2-based sequence search, derive residue constraints from an MSA, optionally diversify structural context with RFdiffusion or BioEmu, generate multiple-mutant sequences with ProteinMPNN, filter them with a soluble-expression predictor, evaluate selected candidates with AF2 or ColabFold, and finally compare novelty or downstream developability signals [1-8]. The scientific question is often not unconstrained protein generation. It is constrained redesign: starting from an existing target or scaffold, the operator wants a tractable library of multiple-mutant variants that preserves important positions, improves computational soluble-expression likelihood, and remains structurally plausible. This framing is consistent with earlier work showing that protein expression, stability, and solubility can be improved by structure- and sequence-aware computational design, while still requiring experimental validation for final biological claims [9,10].</w:t>
      </w:r>
    </w:p>
    <w:p>
      <w:pPr>
        <w:pStyle w:val="BodyText"/>
      </w:pPr>
      <w:r>
        <w:t xml:space="preserve">This setting creates an infrastructure problem. Individual models are updated rapidly and often expose different input formats, output schemas, runtime assumptions, and failure modes. When campaigns are organised as scripts and notebooks, intermediate artifacts become difficult to audit, partial reruns become unsafe, and later model replacement can force a rewrite of the analysis code. These problems are especially costly in biofoundry-scale workflows. A workflow at this scale does not usually evaluate one target and one model setting in isolation; it generates batches of candidate sequences across targets, masking policies, backbone contexts, and scoring thresholds, then has to connect those computational candidates to experimental rounds, assay measurements, and follow-up design decisions. The resulting bottleneck is therefore both computational and interpretive: large candidate sets must be generated cheaply enough to be useful, but their provenance and outcome labels must also remain organised enough to support the next design-test-learn cycle.</w:t>
      </w:r>
    </w:p>
    <w:p>
      <w:pPr>
        <w:pStyle w:val="BodyText"/>
      </w:pPr>
      <w:r>
        <w:t xml:space="preserve">The dominant downstream cost in such workflows is structure prediction. ProteinMPNN can generate hundreds or thousands of variants per target, and SoluProt can score them cheaply, but folding every SoluProt-passing sequence is rarely justified. The practical question is therefore not only how to generate candidates, but how to decide where expensive AF2/ColabFold evaluations should be spent and how those decisions should be interpreted after experimental feedback arrives. A useful platform should make this decision auditable: it should preserve the full path from input to candidate, allow the same stored results to support multiple analyses, record assay-derived objective values in a form that can be reused by later rounds, and expose enough model-replacement structure that new backends can be tested without changing the scientific question.</w:t>
      </w:r>
    </w:p>
    <w:p>
      <w:pPr>
        <w:pStyle w:val="BodyText"/>
      </w:pPr>
      <w:r>
        <w:t xml:space="preserve">We present RAPID, a reproducible artifact pipeline for integrated design. RAPID is not introduced as a new predictive model or as a universal protein-design engine. It is a model-orchestration and artifact layer specialised here for solubility-aware, structural-confidence-guided multiple-mutant redesign. The paper is organised around three claims. First, RAPID converts fragmented model outputs into a reusable, model-replaceable artifact substrate. Second, RAPID implements and benchmarks structure-prediction-budgeted surrogate triage for post-SoluProt candidate selection using the original target backbone only. Third, in a separate structural-context ablation, RAPID compares candidate pools generated from the original backbone, BioEmu, RFD3, and combined RFD3+BioEmu contexts under explicit design and AF2 budgets. The structural-context ablation changes upstream candidate generation and is not part of the surrogate-triage budget experiment. Separately, RAPID records wet-lab outcomes and supports experimental-feedback evolution, but experimental activity or expression improvement is not claimed without prospective validation.</w:t>
      </w:r>
    </w:p>
    <w:bookmarkEnd w:id="21"/>
    <w:bookmarkStart w:id="28" w:name="methods"/>
    <w:p>
      <w:pPr>
        <w:pStyle w:val="Heading2"/>
      </w:pPr>
      <w:r>
        <w:t xml:space="preserve">2. Methods</w:t>
      </w:r>
    </w:p>
    <w:bookmarkStart w:id="25" w:name="pipeline-and-artifact-contract"/>
    <w:p>
      <w:pPr>
        <w:pStyle w:val="Heading3"/>
      </w:pPr>
      <w:r>
        <w:t xml:space="preserve">2.1 Pipeline and Artifact Contract</w:t>
      </w:r>
    </w:p>
    <w:p>
      <w:pPr>
        <w:pStyle w:val="FirstParagraph"/>
      </w:pPr>
      <w:r>
        <w:t xml:space="preserve">RAPID represents each redesign campaign as a run-scoped orchestration record rather than as a collection of disconnected scripts. The canonical stage order is</w:t>
      </w:r>
      <w:r>
        <w:t xml:space="preserve"> </w:t>
      </w:r>
      <w:r>
        <w:rPr>
          <w:rStyle w:val="VerbatimChar"/>
        </w:rPr>
        <w:t xml:space="preserve">msa -&gt; rfd3 -&gt; bioemu -&gt; design -&gt; soluprot -&gt; af2 -&gt; novelty</w:t>
      </w:r>
      <w:r>
        <w:t xml:space="preserve">, where RFD3 and BioEmu are optional structural-context stages. MSA construction defines conservation-informed fixed-position constraints, ProteinMPNN generates multiple-mutant libraries under those constraints, SoluProt provides a cheap soluble-expression gate, and AF2 or ColabFold provides structural-confidence labels for selected candidates. pLDDT is used only as a computational short-listing proxy, not as evidence of experimental stability or activity.</w:t>
      </w:r>
    </w:p>
    <w:p>
      <w:pPr>
        <w:pStyle w:val="BodyText"/>
      </w:pPr>
      <w:r>
        <w:t xml:space="preserve">Each run stores its typed request, stage outputs, status records, trace events, quality-control summaries, experiment records, and final summaries under a stable run identifier. Downstream analyses consume shared artifact fields rather than model-specific folders, which is the basis for partial reruns, retrospective benchmark reconstruction, and backend replacement. The local browser interface exposes the same run identifiers and request fields as the backend, but the scientific claims are based on the stored artifacts rather than on the interface itself.</w:t>
      </w:r>
    </w:p>
    <w:p>
      <w:pPr>
        <w:pStyle w:val="CaptionedFigure"/>
      </w:pPr>
      <w:r>
        <w:drawing>
          <wp:inline>
            <wp:extent cx="5334000" cy="3556000"/>
            <wp:effectExtent b="0" l="0" r="0" t="0"/>
            <wp:docPr descr="RAPID run_id-centered redesign substrate" title="" id="23" name="Picture"/>
            <a:graphic>
              <a:graphicData uri="http://schemas.openxmlformats.org/drawingml/2006/picture">
                <pic:pic>
                  <pic:nvPicPr>
                    <pic:cNvPr descr="figures/benchmark/figure1.png" id="24" name="Picture"/>
                    <pic:cNvPicPr>
                      <a:picLocks noChangeArrowheads="1" noChangeAspect="1"/>
                    </pic:cNvPicPr>
                  </pic:nvPicPr>
                  <pic:blipFill>
                    <a:blip r:embed="rId2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RAPID run_id-centered redesign substrate</w:t>
      </w:r>
    </w:p>
    <w:p>
      <w:pPr>
        <w:pStyle w:val="BodyText"/>
      </w:pPr>
      <w:r>
        <w:rPr>
          <w:iCs/>
          <w:i/>
        </w:rPr>
        <w:t xml:space="preserve">Figure 1. RAPID run_id-centered redesign substrate. The linear stage order is only one operational view. The central contribution is the run-scoped artifact contract, which preserves requests, provenance records, stage outputs, surrogate labels, AF2 evaluations, experiment records, and final summaries under stable run identifiers. Structural-context exploration, resource-aware surrogate triage, and experimental-feedback evolution all consume and update the same reusable artifact layer. This architecture supports safe reruns, retrospective analysis, backend replacement, and future preference-dataset accumulation without treating RAPID as a simple linear wrapper over model calls.</w:t>
      </w:r>
    </w:p>
    <w:bookmarkEnd w:id="25"/>
    <w:bookmarkStart w:id="26" w:name="X62d43c4c13d08b26ca94cc9298626186bcf2226"/>
    <w:p>
      <w:pPr>
        <w:pStyle w:val="Heading3"/>
      </w:pPr>
      <w:r>
        <w:t xml:space="preserve">2.2 Surrogate Triage and Experimental Evolution</w:t>
      </w:r>
    </w:p>
    <w:p>
      <w:pPr>
        <w:pStyle w:val="FirstParagraph"/>
      </w:pPr>
      <w:r>
        <w:t xml:space="preserve">RAPID separates two related uses of surrogates. The first is a computational structure-prediction-budgeted triage mode used in the benchmark. ProteinMPNN first generates a candidate pool across conservation tiers, and SoluProt scores every candidate. SoluProt-passing candidates are embedded with mean-pooled ESM-2 8M embeddings [4]. In deployment, this embedding stage can be backed by a GPU ESM worker, allowing large ProteinMPNN pools to be featurized without expanding the AF2/ColabFold acquisition budget. K-means selects a diverse bootstrap training set, AF2 labels those candidates, and local surrogate policies are compared by internal cross-validation on the labelled set. The selected acquisition policy is then refit on all bootstrap labels and used to rank the remaining SoluProt-passing pool. AF2 evaluates only the selected policy’s Top-K candidates. The supported policy set uses standard Random Forest, Ridge, XGBoost, LightGBM, scikit-learn, k-means, and Bayesian-optimization-inspired acquisition concepts [16-21]. This mode is a compute-allocation policy for structure prediction, not evidence of experimental activity or expression.</w:t>
      </w:r>
    </w:p>
    <w:p>
      <w:pPr>
        <w:pStyle w:val="BodyText"/>
      </w:pPr>
      <w:r>
        <w:t xml:space="preserve">The production triage default uses one shared budget across the selected 30%, 50%, and 70% conservation tiers. In the manuscript benchmark, this mode uses the original target backbone and disables RFD3 and BioEmu so that the AF2-budget reduction is attributed to surrogate triage rather than to structural-context expansion. No RFD3 or BioEmu outputs enter the candidate pool for this surrogate-triage budget result. By default, ProteinMPNN requests 3,333 candidates per tier, giving a nominal 9,999 designs before validation and SoluProt filtering. RAPID then labels 30 K-means-selected bootstrap candidates from the pooled SoluProt-passing set and evaluates 20 Top-K AF2 acquisitions from the same pooled set. The N = 30 bootstrap was chosen because the sample-size ablation reaches most of the observed Random Forest pLDDT uplift by that point, while Top-K = 20 fixes a target-level validation budget that is large enough for manual review but small enough to keep the AF2 cost explicit. RAPID trains comparator policies on the same labelled bootstrap set, writes cross-validation metrics, a model-comparison SVG, candidate-level predictions, feature-importance or coefficient tables, and fitted model files, and then uses only one selected acquisition policy for the final Top-K. Thus model comparison is recorded without multiplying AF2 calls. Manual override remains available for controlled runs using Random Forest, Ridge, XGBoost, LightGBM, or rank-mean ensemble.</w:t>
      </w:r>
    </w:p>
    <w:p>
      <w:pPr>
        <w:pStyle w:val="BodyText"/>
      </w:pPr>
      <w:r>
        <w:t xml:space="preserve">The second use is an experimental-feedback evolution mode. In this mode, RAPID generates a SoluProt-gated candidate pool and writes</w:t>
      </w:r>
      <w:r>
        <w:t xml:space="preserve"> </w:t>
      </w:r>
      <w:r>
        <w:rPr>
          <w:rStyle w:val="VerbatimChar"/>
        </w:rPr>
        <w:t xml:space="preserve">experiment_request.csv</w:t>
      </w:r>
      <w:r>
        <w:t xml:space="preserve"> </w:t>
      </w:r>
      <w:r>
        <w:t xml:space="preserve">when no wet-lab labels are available. Users can then record assay outcomes through the experiment interface using candidate or sequence identifiers, metric names, metric values, units, directions, and replicate identifiers. When labels for a specified objective metric are present in</w:t>
      </w:r>
      <w:r>
        <w:t xml:space="preserve"> </w:t>
      </w:r>
      <w:r>
        <w:rPr>
          <w:rStyle w:val="VerbatimChar"/>
        </w:rPr>
        <w:t xml:space="preserve">experiments.jsonl</w:t>
      </w:r>
      <w:r>
        <w:t xml:space="preserve">, RAPID trains a local surrogate on the labelled sequences and writes</w:t>
      </w:r>
      <w:r>
        <w:t xml:space="preserve"> </w:t>
      </w:r>
      <w:r>
        <w:rPr>
          <w:rStyle w:val="VerbatimChar"/>
        </w:rPr>
        <w:t xml:space="preserve">next_candidates.csv</w:t>
      </w:r>
      <w:r>
        <w:t xml:space="preserve"> </w:t>
      </w:r>
      <w:r>
        <w:t xml:space="preserve">for the next design-test-learn cycle. This interface is related to active-learning directed-evolution frameworks such as EVOLVEpro, but the present manuscript treats it as an assay-feedback handoff rather than as a prospective wet-lab validation result [12]. A legacy</w:t>
      </w:r>
      <w:r>
        <w:t xml:space="preserve"> </w:t>
      </w:r>
      <w:r>
        <w:rPr>
          <w:rStyle w:val="VerbatimChar"/>
        </w:rPr>
        <w:t xml:space="preserve">in_silico_af2</w:t>
      </w:r>
      <w:r>
        <w:t xml:space="preserve"> </w:t>
      </w:r>
      <w:r>
        <w:t xml:space="preserve">label source preserves the earlier AF2-oracle behaviour for computational comparisons, but the default evolution label source is experimental feedback.</w:t>
      </w:r>
    </w:p>
    <w:p>
      <w:pPr>
        <w:pStyle w:val="BodyText"/>
      </w:pPr>
      <w:r>
        <w:t xml:space="preserve">This separation is important for biofoundry-scale workflows. The surrogate-triage mode reduces how many candidates require expensive structure prediction before a shortlist is made, whereas experimental-feedback evolution defines how the shortlist can re-enter the system after expression, solubility, activity, or stability assays. Operationally, RAPID provides computational infrastructure upstream of an assay queue: the platform produces traceable shortlists and experiment-request files, while physical measurements are performed outside the software and re-enter RAPID only as labelled outcomes (see Supplementary Note 10 for an illustrative data-trace schema). This is an intended deployment and data pathway, not evidence that the present computational benchmark has already achieved wet-lab enrichment. In other words, RAPID treats computational predictions and experimental measurements as different label sources under the same run-scoped artifact contract. This makes high-throughput candidate generation interpretable across rounds: a later campaign can ask whether a model, masking rule, or backbone context changed the distribution of candidates without manually reconstructing which files, scores, and assay records belonged to each decision.</w:t>
      </w:r>
    </w:p>
    <w:bookmarkEnd w:id="26"/>
    <w:bookmarkStart w:id="27" w:name="benchmark-analyses"/>
    <w:p>
      <w:pPr>
        <w:pStyle w:val="Heading3"/>
      </w:pPr>
      <w:r>
        <w:t xml:space="preserve">2.3 Benchmark Analyses</w:t>
      </w:r>
    </w:p>
    <w:p>
      <w:pPr>
        <w:pStyle w:val="FirstParagraph"/>
      </w:pPr>
      <w:r>
        <w:t xml:space="preserve">The current stored artifact benchmark contains 2,737 paired SoluProt and pLDDT records from 23 QC-passing CATH runs [15]. These data were generated before the final corrected-chain CATH refresh and are therefore used in the main text as component-level evidence for structure-prediction-budgeted surrogate triage rather than as the final population estimate for RAPID. Runs with fallback sequences, invalid amino-acid records, missing conservation tiers, or insufficient positive pLDDT records were excluded from that artifact benchmark. The full pre-fix 73-run archive and QC details are reported in Supplementary Notes 1 and 2.</w:t>
      </w:r>
    </w:p>
    <w:p>
      <w:pPr>
        <w:pStyle w:val="BodyText"/>
      </w:pPr>
      <w:r>
        <w:t xml:space="preserve">The primary surrogate-triage metrics are Spearman rank correlation, Top-K recall, and BO uplift Top-K. BO uplift measures the difference between the mean observed score of the surrogate-selected Top-K and the mean score of K random draws from the same held-out pool. Paired comparisons use Wilcoxon signed-rank tests with Holm correction, effect-size interpretation uses Cliff’s dominance statistic, and uncertainty is estimated by cluster bootstrap with target as the cluster [22-24]. Variance decomposition uses a one-way ANOVA intraclass correlation coefficient to estimate how much score variation is attributable to target identity [25].</w:t>
      </w:r>
    </w:p>
    <w:p>
      <w:pPr>
        <w:pStyle w:val="BodyText"/>
      </w:pPr>
      <w:r>
        <w:t xml:space="preserve">The strict five-target surrogate-triage run used the original target backbone, disabled RFD3/BioEmu/Relax, requested 3,333 ProteinMPNN candidates for each of the 30%, 50%, and 70% conservation tiers, used GPU-backed ESM embeddings, and disabled fallback sequence recovery. WT SoluProt and ColabFold baselines were then computed once per target as reference points for interpretation; these WT baseline calls were not used for surrogate training, Top-K acquisition, or the 250-candidate triage-budget count. Structural-context effects were analysed separately in a corrected-chain eight-target ablation comparing the original target backbone, BioEmu conformational samples, a selected RFD3 backbone, and RFD3+BioEmu under matched design and AF2 budgets. BioEmu-containing arms were considered quantitatively evaluable only when the requested near-target conformers passed the fixed 2.0 Å target-RMSD gate. Detailed per-model, per-target, and QC tables are reported in the supplement.</w:t>
      </w:r>
    </w:p>
    <w:bookmarkEnd w:id="27"/>
    <w:bookmarkEnd w:id="28"/>
    <w:bookmarkStart w:id="38" w:name="results"/>
    <w:p>
      <w:pPr>
        <w:pStyle w:val="Heading2"/>
      </w:pPr>
      <w:r>
        <w:t xml:space="preserve">3. Results</w:t>
      </w:r>
    </w:p>
    <w:bookmarkStart w:id="29" w:name="reusable-artifact-substrate"/>
    <w:p>
      <w:pPr>
        <w:pStyle w:val="Heading3"/>
      </w:pPr>
      <w:r>
        <w:t xml:space="preserve">3.1 Reusable Artifact Substrate</w:t>
      </w:r>
    </w:p>
    <w:p>
      <w:pPr>
        <w:pStyle w:val="FirstParagraph"/>
      </w:pPr>
      <w:r>
        <w:t xml:space="preserve">The first result is operational: RAPID made heterogeneous model outputs reusable across analyses. In the current artifact benchmark, K-means versus random selection, surrogate-family comparison, sample-size ablation, rank-mean ensemble testing, acquisition-bias analysis, and variance decomposition were regenerated from the same 2,737 stored AF2/SoluProt records rather than from separately refolded datasets. This supports the artifact-contract claim without requiring RAPID to be interpreted as a new predictive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Stored artifact</w:t>
            </w:r>
          </w:p>
        </w:tc>
        <w:tc>
          <w:tcPr/>
          <w:p>
            <w:pPr>
              <w:pStyle w:val="Compact"/>
              <w:jc w:val="left"/>
            </w:pPr>
            <w:r>
              <w:t xml:space="preserve">Scope in current evidence</w:t>
            </w:r>
          </w:p>
        </w:tc>
        <w:tc>
          <w:tcPr/>
          <w:p>
            <w:pPr>
              <w:pStyle w:val="Compact"/>
              <w:jc w:val="left"/>
            </w:pPr>
            <w:r>
              <w:t xml:space="preserve">Reused analyses or actions</w:t>
            </w:r>
          </w:p>
        </w:tc>
        <w:tc>
          <w:tcPr/>
          <w:p>
            <w:pPr>
              <w:pStyle w:val="Compact"/>
              <w:jc w:val="left"/>
            </w:pPr>
            <w:r>
              <w:t xml:space="preserve">Claim 1 interpretation</w:t>
            </w:r>
          </w:p>
        </w:tc>
      </w:tr>
      <w:tr>
        <w:tc>
          <w:tcPr/>
          <w:p>
            <w:pPr>
              <w:pStyle w:val="Compact"/>
              <w:jc w:val="left"/>
            </w:pPr>
            <w:r>
              <w:t xml:space="preserve">Paired computational labels</w:t>
            </w:r>
          </w:p>
        </w:tc>
        <w:tc>
          <w:tcPr/>
          <w:p>
            <w:pPr>
              <w:pStyle w:val="Compact"/>
              <w:jc w:val="left"/>
            </w:pPr>
            <w:r>
              <w:t xml:space="preserve">2,737 SoluProt/pLDDT records from 23 QC-passing CATH runs</w:t>
            </w:r>
          </w:p>
        </w:tc>
        <w:tc>
          <w:tcPr/>
          <w:p>
            <w:pPr>
              <w:pStyle w:val="Compact"/>
              <w:jc w:val="left"/>
            </w:pPr>
            <w:r>
              <w:t xml:space="preserve">Model comparison, sample-size ablation, rank-mean ensemble testing, acquisition-bias analysis, variance decomposition</w:t>
            </w:r>
          </w:p>
        </w:tc>
        <w:tc>
          <w:tcPr/>
          <w:p>
            <w:pPr>
              <w:pStyle w:val="Compact"/>
              <w:jc w:val="left"/>
            </w:pPr>
            <w:r>
              <w:t xml:space="preserve">Multiple analyses were regenerated from stored labels rather than from new AF2/ColabFold calls.</w:t>
            </w:r>
          </w:p>
        </w:tc>
      </w:tr>
      <w:tr>
        <w:tc>
          <w:tcPr/>
          <w:p>
            <w:pPr>
              <w:pStyle w:val="Compact"/>
              <w:jc w:val="left"/>
            </w:pPr>
            <w:r>
              <w:t xml:space="preserve">Run-scoped provenance</w:t>
            </w:r>
          </w:p>
        </w:tc>
        <w:tc>
          <w:tcPr/>
          <w:p>
            <w:pPr>
              <w:pStyle w:val="Compact"/>
              <w:jc w:val="left"/>
            </w:pPr>
            <w:r>
              <w:t xml:space="preserve">Typed request, stage outputs, status records, trace events, QC summaries, and final summaries</w:t>
            </w:r>
          </w:p>
        </w:tc>
        <w:tc>
          <w:tcPr/>
          <w:p>
            <w:pPr>
              <w:pStyle w:val="Compact"/>
              <w:jc w:val="left"/>
            </w:pPr>
            <w:r>
              <w:t xml:space="preserve">Partial reruns, failure review, benchmark reconstruction, public-release export</w:t>
            </w:r>
          </w:p>
        </w:tc>
        <w:tc>
          <w:tcPr/>
          <w:p>
            <w:pPr>
              <w:pStyle w:val="Compact"/>
              <w:jc w:val="left"/>
            </w:pPr>
            <w:r>
              <w:t xml:space="preserve">The run ID acts as a provenance anchor instead of leaving each tool output as an isolated folder.</w:t>
            </w:r>
          </w:p>
        </w:tc>
      </w:tr>
      <w:tr>
        <w:tc>
          <w:tcPr/>
          <w:p>
            <w:pPr>
              <w:pStyle w:val="Compact"/>
              <w:jc w:val="left"/>
            </w:pPr>
            <w:r>
              <w:t xml:space="preserve">Candidate identifiers</w:t>
            </w:r>
          </w:p>
        </w:tc>
        <w:tc>
          <w:tcPr/>
          <w:p>
            <w:pPr>
              <w:pStyle w:val="Compact"/>
              <w:jc w:val="left"/>
            </w:pPr>
            <w:r>
              <w:t xml:space="preserve">Stable run, tier, sequence, and acquisition identifiers</w:t>
            </w:r>
          </w:p>
        </w:tc>
        <w:tc>
          <w:tcPr/>
          <w:p>
            <w:pPr>
              <w:pStyle w:val="Compact"/>
              <w:jc w:val="left"/>
            </w:pPr>
            <w:r>
              <w:t xml:space="preserve">Links surrogate selection, AF2 records, exported shortlists, and later assay labels</w:t>
            </w:r>
          </w:p>
        </w:tc>
        <w:tc>
          <w:tcPr/>
          <w:p>
            <w:pPr>
              <w:pStyle w:val="Compact"/>
              <w:jc w:val="left"/>
            </w:pPr>
            <w:r>
              <w:t xml:space="preserve">Computational candidates can be followed into downstream review and experimental-feedback records.</w:t>
            </w:r>
          </w:p>
        </w:tc>
      </w:tr>
      <w:tr>
        <w:tc>
          <w:tcPr/>
          <w:p>
            <w:pPr>
              <w:pStyle w:val="Compact"/>
              <w:jc w:val="left"/>
            </w:pPr>
            <w:r>
              <w:t xml:space="preserve">Shared artifact fields</w:t>
            </w:r>
          </w:p>
        </w:tc>
        <w:tc>
          <w:tcPr/>
          <w:p>
            <w:pPr>
              <w:pStyle w:val="Compact"/>
              <w:jc w:val="left"/>
            </w:pPr>
            <w:r>
              <w:t xml:space="preserve">Backend-independent score, path, policy, and QC fields consumed by benchmark scripts</w:t>
            </w:r>
          </w:p>
        </w:tc>
        <w:tc>
          <w:tcPr/>
          <w:p>
            <w:pPr>
              <w:pStyle w:val="Compact"/>
              <w:jc w:val="left"/>
            </w:pPr>
            <w:r>
              <w:t xml:space="preserve">Structure-predictor, solubility-model, surrogate-policy, and relax-backend replacement tests</w:t>
            </w:r>
          </w:p>
        </w:tc>
        <w:tc>
          <w:tcPr/>
          <w:p>
            <w:pPr>
              <w:pStyle w:val="Compact"/>
              <w:jc w:val="left"/>
            </w:pPr>
            <w:r>
              <w:t xml:space="preserve">Model replacement changes the writer backend, while downstream analysis consumes the same artifact contract.</w:t>
            </w:r>
          </w:p>
        </w:tc>
      </w:tr>
    </w:tbl>
    <w:p>
      <w:pPr>
        <w:pStyle w:val="BodyText"/>
      </w:pPr>
      <w:r>
        <w:rPr>
          <w:iCs/>
          <w:i/>
        </w:rPr>
        <w:t xml:space="preserve">Table 1. Evidence for the reusable-artifact claim. The table reports the artifact fields reused across analyses, the scope of the current evidence, and why those records support provenance, rerun, and model-replacement claims rather than a new predictive-model claim.</w:t>
      </w:r>
    </w:p>
    <w:bookmarkEnd w:id="29"/>
    <w:bookmarkStart w:id="33" w:name="surrogate-triage-budget-reduction"/>
    <w:p>
      <w:pPr>
        <w:pStyle w:val="Heading3"/>
      </w:pPr>
      <w:r>
        <w:t xml:space="preserve">3.2 Surrogate-Triage Budget Reduction</w:t>
      </w:r>
    </w:p>
    <w:p>
      <w:pPr>
        <w:pStyle w:val="FirstParagraph"/>
      </w:pPr>
      <w:r>
        <w:t xml:space="preserve">The surrogate-triage result is a budget result rather than a biological enrichment result. The 99.5% reduction assumes that every candidate entering the triage pool would otherwise be folded. The strict five-target run used the original target backbone, disabled RFD3, BioEmu, and Relax, requested 3,333 ProteinMPNN candidates for each of the 30%, 50%, and 70% conservation tiers, and applied one shared AF2/ColabFold validation budget per target. Across 49,946 pooled candidates entering triage, RAPID evaluated 250 AF2/ColabFold records: 150 K-means bootstrap labels and 100 Top-K acquisitions.</w:t>
      </w:r>
    </w:p>
    <w:p>
      <w:pPr>
        <w:pStyle w:val="BodyText"/>
      </w:pPr>
      <w:r>
        <w:t xml:space="preserve">Figure 2 summarizes both the budget effect and the bounded selection evidence. The upper panels show that each target used approximately 0.5% of its triage pool for AF2/ColabFold evaluation. The lower panels show the internal Auto-CV decision made from the 30 bootstrap labels and the selected Top-K candidates relative to a WT reference. In all five targets, the selected Top-K set contained at least one candidate with both higher pLDDT and higher SoluProt score than the corresponding WT baseline. This should still be read as proxy-based shortlist evidence rather than a full-pool enrichment test: the unselected candidates were not all folded, and WT baselines were reference calls that did not enter the acquisition budget. Available fitted comparator artifacts are exported for audit, but they do not add AF2 calls unless the operator explicitly changes the validation budget.</w:t>
      </w:r>
    </w:p>
    <w:p>
      <w:pPr>
        <w:pStyle w:val="CaptionedFigure"/>
      </w:pPr>
      <w:r>
        <w:drawing>
          <wp:inline>
            <wp:extent cx="5334000" cy="3495087"/>
            <wp:effectExtent b="0" l="0" r="0" t="0"/>
            <wp:docPr descr="Surrogate-triage budget and acquisition summary" title="" id="31" name="Picture"/>
            <a:graphic>
              <a:graphicData uri="http://schemas.openxmlformats.org/drawingml/2006/picture">
                <pic:pic>
                  <pic:nvPicPr>
                    <pic:cNvPr descr="figures/benchmark/fig2_surrogate_triage_budget.png" id="32" name="Picture"/>
                    <pic:cNvPicPr>
                      <a:picLocks noChangeArrowheads="1" noChangeAspect="1"/>
                    </pic:cNvPicPr>
                  </pic:nvPicPr>
                  <pic:blipFill>
                    <a:blip r:embed="rId30"/>
                    <a:stretch>
                      <a:fillRect/>
                    </a:stretch>
                  </pic:blipFill>
                  <pic:spPr bwMode="auto">
                    <a:xfrm>
                      <a:off x="0" y="0"/>
                      <a:ext cx="5334000" cy="3495087"/>
                    </a:xfrm>
                    <a:prstGeom prst="rect">
                      <a:avLst/>
                    </a:prstGeom>
                    <a:noFill/>
                    <a:ln w="9525">
                      <a:noFill/>
                      <a:headEnd/>
                      <a:tailEnd/>
                    </a:ln>
                  </pic:spPr>
                </pic:pic>
              </a:graphicData>
            </a:graphic>
          </wp:inline>
        </w:drawing>
      </w:r>
    </w:p>
    <w:p>
      <w:pPr>
        <w:pStyle w:val="ImageCaption"/>
      </w:pPr>
      <w:r>
        <w:t xml:space="preserve">Surrogate-triage budget and acquisition summary</w:t>
      </w:r>
    </w:p>
    <w:p>
      <w:pPr>
        <w:pStyle w:val="BodyText"/>
      </w:pPr>
      <w:r>
        <w:rPr>
          <w:iCs/>
          <w:i/>
        </w:rPr>
        <w:t xml:space="preserve">Figure 2. Strict five-target surrogate-triage budget and acquisition summary. (A) RAPID evaluates 250 AF2/ColabFold candidate records from 49,946 candidates entering triage, corresponding to a 99.5% reduction relative to folding every triage candidate. (B) Each bar is one target and reports the fixed candidate-level AF2/ColabFold validation budget as evaluated records divided by candidates entering triage. (C) Auto-CV selects the acquisition policy from the 30 bootstrap labels; RF and Ridge are offset within each target, marker shape identifies the policy, and an open ring marks the selected policy used for final Top-K acquisition. (D) Each circle is one selected Top-K candidate from one target, plotted after subtracting that target’s WT pLDDT and SoluProt values; WT references are therefore aligned at the blue diamond at zero. Green points improve both computational proxies over WT, whereas grey points are other selected candidates. WT baselines were computed once per target for reference and were not included in the candidate triage-budget count.</w:t>
      </w:r>
    </w:p>
    <w:bookmarkEnd w:id="33"/>
    <w:bookmarkStart w:id="37" w:name="structural-context-exploration"/>
    <w:p>
      <w:pPr>
        <w:pStyle w:val="Heading3"/>
      </w:pPr>
      <w:r>
        <w:t xml:space="preserve">3.3 Structural-Context Exploration</w:t>
      </w:r>
    </w:p>
    <w:p>
      <w:pPr>
        <w:pStyle w:val="FirstParagraph"/>
      </w:pPr>
      <w:r>
        <w:t xml:space="preserve">The structural-context result is a separate candidate-pool-generation analysis rather than an extension of the five-target surrogate-budget result. The relevant question is not whether an alternative context improves the aggregate mean or the best-scoring candidate, but whether it changes the accessible candidate distribution under the same downstream budget. Target identity explained 98.8% of pLDDT variance and 96.8% of SoluProt variance in the stored benchmark, indicating that deeper sampling of one local pool is not the only relevant allocation problem. A single-backbone ProteinMPNN pool can concentrate candidates around one local geometry and mask; any downstream selector can only choose among candidates already generated in that context. In the corrected-chain ablation, alternative contexts did not provide a consistent mean-score or upper-tail advantage. Instead, BioEmu-containing evaluable arms increased pLDDT range and sequence-pool diversity in all four evaluable paired targets, while RFD3 increased pLDDT range in six of eight targets but showed weaker support for SoluProt-spread and diversity shifts. RFD3 and BioEmu are therefore treated as controlled context-perturbation modules with explicit QC, not as default score boosters or as surrogate-model components.</w:t>
      </w:r>
    </w:p>
    <w:p>
      <w:pPr>
        <w:pStyle w:val="CaptionedFigure"/>
      </w:pPr>
      <w:r>
        <w:drawing>
          <wp:inline>
            <wp:extent cx="5334000" cy="3905796"/>
            <wp:effectExtent b="0" l="0" r="0" t="0"/>
            <wp:docPr descr="Structural-context ablation summary" title="" id="35" name="Picture"/>
            <a:graphic>
              <a:graphicData uri="http://schemas.openxmlformats.org/drawingml/2006/picture">
                <pic:pic>
                  <pic:nvPicPr>
                    <pic:cNvPr descr="figures/benchmark/fig12_backbone_ensemble_ablation.png" id="36" name="Picture"/>
                    <pic:cNvPicPr>
                      <a:picLocks noChangeArrowheads="1" noChangeAspect="1"/>
                    </pic:cNvPicPr>
                  </pic:nvPicPr>
                  <pic:blipFill>
                    <a:blip r:embed="rId34"/>
                    <a:stretch>
                      <a:fillRect/>
                    </a:stretch>
                  </pic:blipFill>
                  <pic:spPr bwMode="auto">
                    <a:xfrm>
                      <a:off x="0" y="0"/>
                      <a:ext cx="5334000" cy="3905796"/>
                    </a:xfrm>
                    <a:prstGeom prst="rect">
                      <a:avLst/>
                    </a:prstGeom>
                    <a:noFill/>
                    <a:ln w="9525">
                      <a:noFill/>
                      <a:headEnd/>
                      <a:tailEnd/>
                    </a:ln>
                  </pic:spPr>
                </pic:pic>
              </a:graphicData>
            </a:graphic>
          </wp:inline>
        </w:drawing>
      </w:r>
    </w:p>
    <w:p>
      <w:pPr>
        <w:pStyle w:val="ImageCaption"/>
      </w:pPr>
      <w:r>
        <w:t xml:space="preserve">Structural-context ablation summary</w:t>
      </w:r>
    </w:p>
    <w:p>
      <w:pPr>
        <w:pStyle w:val="BodyText"/>
      </w:pPr>
      <w:r>
        <w:rPr>
          <w:iCs/>
          <w:i/>
        </w:rPr>
        <w:t xml:space="preserve">Figure 3. Structural-context ablation as context-dependent candidate-pool shifts. Panels A-C show absolute target-level distributions for pLDDT range, SoluProt range, and mean pairwise diversity across the single-backbone, BioEmu, RFD3, and RFD3+BioEmu arms. Points are targets and boxes summarize target distributions; the label above each arm reports the number of evaluable targets. Higher mean pairwise diversity indicates lower sequence similarity within the candidate pool. Panel D reports positive paired shifts relative to the single-backbone arm, with bar labels showing positive paired targets over evaluable paired targets. Single-backbone and RFD3 arms were evaluable for all eight selected CATH targets, whereas BioEmu-containing arms were quantitatively evaluable for the four targets that passed the fixed 2.0 Å target-RMSD gate. The result supports structural-context sensitivity and diversity shifts rather than a universal upper-tail score improvement. Detailed structural-context and BioEmu QC tables are reported in the supplement.</w:t>
      </w:r>
    </w:p>
    <w:bookmarkEnd w:id="37"/>
    <w:bookmarkEnd w:id="38"/>
    <w:bookmarkStart w:id="39" w:name="discussion"/>
    <w:p>
      <w:pPr>
        <w:pStyle w:val="Heading2"/>
      </w:pPr>
      <w:r>
        <w:t xml:space="preserve">4. Discussion</w:t>
      </w:r>
    </w:p>
    <w:p>
      <w:pPr>
        <w:pStyle w:val="FirstParagraph"/>
      </w:pPr>
      <w:r>
        <w:t xml:space="preserve">RAPID should be read as a reproducible orchestration and compute-allocation contribution. The platform’s value is not that it claims a new protein-design model, but that it makes model composition, artifact reuse, and retrospective analysis practical for solubility-aware redesign. This matters in biofoundry-scale design-test-learn settings because the number of candidate sequences, target contexts, and model versions grows faster than manual collation can support. By storing typed artifacts under stable run identifiers, RAPID turns expensive model calls into reusable data that can support new ablations without repeating the compute.</w:t>
      </w:r>
    </w:p>
    <w:p>
      <w:pPr>
        <w:pStyle w:val="BodyText"/>
      </w:pPr>
      <w:r>
        <w:t xml:space="preserve">The workflow-scale implication is that RAPID changes what can be analysed after a high-throughput design campaign. In the present artifact benchmark, multiple surrogate, selection-size, diversity, and variance analyses were regenerated from the same 2,737 paired SoluProt/pLDDT records rather than from separately refolded datasets. In the representative production-scale traces, thousands of SoluProt-gated candidates were reduced to tens of AF2 evaluations while preserving the candidate identifiers needed for downstream review. These examples do not establish wet-lab performance, but they show the practical effect of the artifact contract: large computational batches become reusable experimental context rather than disposable model output folders.</w:t>
      </w:r>
    </w:p>
    <w:p>
      <w:pPr>
        <w:pStyle w:val="BodyText"/>
      </w:pPr>
      <w:r>
        <w:t xml:space="preserve">The surrogate-triage result is similarly bounded. The evidence supports a structure-prediction allocation policy, not a wet-lab hit-rate claim. K-means is most useful as a cold-start diversity mechanism, Random Forest is a conservative pLDDT acquisition reference, Ridge is useful for SoluProt-oriented ranking, and N = 30 is a cost-efficient bootstrap point in the current artifact benchmark. The current implementation uses those observations to define comparator policies, then selects one acquisition policy by internal CV for each run. A retrospective guardrail analysis on accumulated CATH artifacts (Supplementary Note 9) shows that simple pooled scaling without target conditioning does not monotonically improve ranking performance, which argues against prematurely replacing per-run calibration with a global pooled model. This is a guardrail result rather than a contradiction of the platform design: under the current feature set and label volume, accumulated computational labels are useful for audit and future modelling, but they do not yet justify a transferable surrogate that supersedes target-local calibration. These findings justify RAPID’s implemented default as a lightweight, run-specific orchestration policy for the expensive AF2 step after SoluProt filtering. The experimental-feedback evolution mode extends the same artifact substrate into a design-test-learn workflow by accepting objective metric values from assay records, but its biological utility must be assessed prospectively.</w:t>
      </w:r>
    </w:p>
    <w:p>
      <w:pPr>
        <w:pStyle w:val="BodyText"/>
      </w:pPr>
      <w:r>
        <w:t xml:space="preserve">One plausible reason for the pooled-model guardrail is target heterogeneity. Sequence length, fold class, intrinsic disorder or low-complexity propensity, MSA depth, conservation pattern, and backbone context can all change how sequence edits map to pLDDT or soluble-expression proxies. A pooled model trained before these factors are explicitly conditioned may therefore learn target-level offsets or context-specific noise rather than a transferable acquisition rule. The same logic applies to diversity: the observed acquisition bias (Supplementary Note 6) suggests that future policies should combine predicted quality with explicit ESM-space diversity constraints, such as determinantal point processes, max-min distance filtering, or cluster-balanced Top-K selection, instead of relying on score ranking alone [26].</w:t>
      </w:r>
    </w:p>
    <w:p>
      <w:pPr>
        <w:pStyle w:val="BodyText"/>
      </w:pPr>
      <w:r>
        <w:t xml:space="preserve">This framing also defines the longer-term learning path. RAPID’s near-term role is local surrogate orchestration: each run creates a candidate pool, labels a small diverse subset, and fits a task-specific acquisition model. The next step is not simply to train a larger sequence generator, but to accumulate a preference dataset from redesign decisions, including AF2 labels, assay labels, paired rankings, target metadata, structural context, conservation tier, and sequence-edit histories. Only after this substrate becomes sufficiently dense should a target-conditioned preference model be treated as a performance claim. In this sense, the platform is designed for biofoundry-scale learning because it records the full redesign process, not only the final selected sequences.</w:t>
      </w:r>
    </w:p>
    <w:p>
      <w:pPr>
        <w:pStyle w:val="BodyText"/>
      </w:pPr>
      <w:r>
        <w:t xml:space="preserve">The structural-context result reframes backbone and ensemble stages as context-sensitivity probes. If observed variance were mainly within a target, deeper ProteinMPNN sampling would be the primary way to spend compute. Instead, target identity dominates the stored benchmark, and the corrected-chain structural-context ablation shows target-dependent tradeoffs under matched AF2 caps. A single-backbone ProteinMPNN pool can overrepresent sequences compatible with one local geometry and mask; downstream triage can rank that local neighbourhood efficiently but cannot recover candidates that were never generated. The useful signal is therefore the paired change in score spread and sequence diversity, not an aggregate claim that one structural-context module improves quality. RFD3 primarily shifted pLDDT spread in a subset of targets, whereas BioEmu-containing evaluable arms more consistently increased sequence-pool diversity. This pattern argues for treating RFD3 and BioEmu as controlled exploration modules with explicit QC, rather than as default score-improvement modules.</w:t>
      </w:r>
    </w:p>
    <w:p>
      <w:pPr>
        <w:pStyle w:val="BodyText"/>
      </w:pPr>
      <w:r>
        <w:t xml:space="preserve">The model-replacement claim is architectural but testable. RAPID can swap a structure predictor, inverse-folding model, solubility model, or relax backend when the replacement writes the same artifact fields. The numerical operating point should be re-estimated after such a replacement, but the analysis workflow does not need to be redesigned. This is why the paper keeps model replacement as Claim 1 rather than as a separate performance claim.</w:t>
      </w:r>
    </w:p>
    <w:bookmarkEnd w:id="39"/>
    <w:bookmarkStart w:id="40" w:name="limitations"/>
    <w:p>
      <w:pPr>
        <w:pStyle w:val="Heading2"/>
      </w:pPr>
      <w:r>
        <w:t xml:space="preserve">5. Limitations</w:t>
      </w:r>
    </w:p>
    <w:p>
      <w:pPr>
        <w:pStyle w:val="FirstParagraph"/>
      </w:pPr>
      <w:r>
        <w:t xml:space="preserve">The current evidence is computational and proxy-based. pLDDT, SoluProt, and relax scores do not establish soluble expression, thermodynamic stability, or activity without wet-lab validation. The current surrogate-triage benchmark is based on a stored 23-target QC-passing artifact set generated before the final corrected-chain CATH refresh, so it should be interpreted as component-level evidence for AF2 triage rather than as the final population estimate. The completed corrected-chain CATH archive was sufficient to test pooled surrogate accumulation, but not to show a stable pooled-model advantage over target-specific calibration; we therefore treat this result as support for the current per-run adaptive default and as motivation for future preference-dataset accumulation. The experimental-feedback evolution interface can ingest assay labels and recommend the next candidate set, but no prospective wet-lab enrichment result is claimed here. The corrected-chain structural-context ablation covers eight targets, but BioEmu-containing arms are evaluable for only four targets under the fixed RMSD gate; this is sufficient to test structural-context allocation as a workflow variable, not to claim a universal advantage for RFD3, BioEmu, or their combination. Optional diagnostic summaries are used for audit and failure review only; they are not evaluated here as autonomous mutation-policy models.</w:t>
      </w:r>
    </w:p>
    <w:bookmarkEnd w:id="40"/>
    <w:bookmarkStart w:id="41" w:name="conclusion"/>
    <w:p>
      <w:pPr>
        <w:pStyle w:val="Heading2"/>
      </w:pPr>
      <w:r>
        <w:t xml:space="preserve">6. Conclusion</w:t>
      </w:r>
    </w:p>
    <w:p>
      <w:pPr>
        <w:pStyle w:val="FirstParagraph"/>
      </w:pPr>
      <w:r>
        <w:t xml:space="preserve">RAPID provides a run-scoped artifact layer for solubility-aware protein redesign. It preserves typed requests, stage outputs, status and trace records, quality-control summaries, experiment records, and final summaries so that heterogeneous model modules can be rerun, replaced, and analysed without rebuilding the workflow around each backend. On top of this infrastructure, the surrogate-triage mode reduces AF2/ColabFold evaluations for post-SoluProt candidate selection while exporting comparator-model evidence for audit.</w:t>
      </w:r>
    </w:p>
    <w:p>
      <w:pPr>
        <w:pStyle w:val="BodyText"/>
      </w:pPr>
      <w:r>
        <w:t xml:space="preserve">The manuscript’s claims are intentionally limited. RAPID makes fragmented model outputs reusable, reduces structure-prediction calls under an explicit triage budget, and makes structural-context allocation testable across single, BioEmu, RFD3, and combined contexts. Experimental solubility, stability, and activity remain future validation targets. The longer-term value of RAPID is the reusable learning substrate created as computational labels, assay labels, target metadata, and structural-context decisions accumulate under the same artifact contract.</w:t>
      </w:r>
    </w:p>
    <w:bookmarkEnd w:id="41"/>
    <w:bookmarkStart w:id="42" w:name="code-data-and-software-availability"/>
    <w:p>
      <w:pPr>
        <w:pStyle w:val="Heading2"/>
      </w:pPr>
      <w:r>
        <w:t xml:space="preserve">Code, Data, and Software Availability</w:t>
      </w:r>
    </w:p>
    <w:p>
      <w:pPr>
        <w:pStyle w:val="FirstParagraph"/>
      </w:pPr>
      <w:r>
        <w:t xml:space="preserve">The public-release package includes the RAPID backend/MCP service under</w:t>
      </w:r>
      <w:r>
        <w:t xml:space="preserve"> </w:t>
      </w:r>
      <w:r>
        <w:rPr>
          <w:rStyle w:val="VerbatimChar"/>
        </w:rPr>
        <w:t xml:space="preserve">pipeline-mcp/</w:t>
      </w:r>
      <w:r>
        <w:t xml:space="preserve">, the static browser interface under</w:t>
      </w:r>
      <w:r>
        <w:t xml:space="preserve"> </w:t>
      </w:r>
      <w:r>
        <w:rPr>
          <w:rStyle w:val="VerbatimChar"/>
        </w:rPr>
        <w:t xml:space="preserve">frontend/</w:t>
      </w:r>
      <w:r>
        <w:t xml:space="preserve">, benchmark scripts under</w:t>
      </w:r>
      <w:r>
        <w:t xml:space="preserve"> </w:t>
      </w:r>
      <w:r>
        <w:rPr>
          <w:rStyle w:val="VerbatimChar"/>
        </w:rPr>
        <w:t xml:space="preserve">scripts/benchmark/</w:t>
      </w:r>
      <w:r>
        <w:t xml:space="preserve">, generated figures under</w:t>
      </w:r>
      <w:r>
        <w:t xml:space="preserve"> </w:t>
      </w:r>
      <w:r>
        <w:rPr>
          <w:rStyle w:val="VerbatimChar"/>
        </w:rPr>
        <w:t xml:space="preserve">figures/benchmark/</w:t>
      </w:r>
      <w:r>
        <w:t xml:space="preserve">, tabular results under</w:t>
      </w:r>
      <w:r>
        <w:t xml:space="preserve"> </w:t>
      </w:r>
      <w:r>
        <w:rPr>
          <w:rStyle w:val="VerbatimChar"/>
        </w:rPr>
        <w:t xml:space="preserve">data/benchmark/results/</w:t>
      </w:r>
      <w:r>
        <w:t xml:space="preserve">, and representative 3RGK/1LVM execution summaries under</w:t>
      </w:r>
      <w:r>
        <w:t xml:space="preserve"> </w:t>
      </w:r>
      <w:r>
        <w:rPr>
          <w:rStyle w:val="VerbatimChar"/>
        </w:rPr>
        <w:t xml:space="preserve">data/case_studies/</w:t>
      </w:r>
      <w:r>
        <w:t xml:space="preserve">. The corrected-chain manuscript refresh manifest is stored as</w:t>
      </w:r>
      <w:r>
        <w:t xml:space="preserve"> </w:t>
      </w:r>
      <w:r>
        <w:rPr>
          <w:rStyle w:val="VerbatimChar"/>
        </w:rPr>
        <w:t xml:space="preserve">data/benchmark/results/rapid_target_manifest.csv</w:t>
      </w:r>
      <w:r>
        <w:t xml:space="preserve">. The strict five-target surrogate-triage budget data are stored in tier-level, target-level, CV-metric, acquired-Top-K, and WT-reference views under</w:t>
      </w:r>
      <w:r>
        <w:t xml:space="preserve"> </w:t>
      </w:r>
      <w:r>
        <w:rPr>
          <w:rStyle w:val="VerbatimChar"/>
        </w:rPr>
        <w:t xml:space="preserve">data/benchmark/results/</w:t>
      </w:r>
      <w:r>
        <w:t xml:space="preserve">, with the composite budget figure under</w:t>
      </w:r>
      <w:r>
        <w:t xml:space="preserve"> </w:t>
      </w:r>
      <w:r>
        <w:rPr>
          <w:rStyle w:val="VerbatimChar"/>
        </w:rPr>
        <w:t xml:space="preserve">figures/benchmark/fig2_surrogate_triage_budget.png</w:t>
      </w:r>
      <w:r>
        <w:t xml:space="preserve"> </w:t>
      </w:r>
      <w:r>
        <w:t xml:space="preserve">and the corresponding TeX budget table under</w:t>
      </w:r>
      <w:r>
        <w:t xml:space="preserve"> </w:t>
      </w:r>
      <w:r>
        <w:rPr>
          <w:rStyle w:val="VerbatimChar"/>
        </w:rPr>
        <w:t xml:space="preserve">figures/benchmark/table5_surrogate_triage_budget.tex</w:t>
      </w:r>
      <w:r>
        <w:t xml:space="preserve">. Runtime</w:t>
      </w:r>
      <w:r>
        <w:t xml:space="preserve"> </w:t>
      </w:r>
      <w:r>
        <w:rPr>
          <w:rStyle w:val="VerbatimChar"/>
        </w:rPr>
        <w:t xml:space="preserve">.env</w:t>
      </w:r>
      <w:r>
        <w:t xml:space="preserve"> </w:t>
      </w:r>
      <w:r>
        <w:t xml:space="preserve">files, endpoint IDs, API keys, and logs are excluded. Large CATH and run-output archives should be distributed as a release artifact or S3-backed dataset rather than committed directly to a lightweight GitHub source tree.</w:t>
      </w:r>
    </w:p>
    <w:bookmarkEnd w:id="42"/>
    <w:bookmarkStart w:id="43" w:name="references"/>
    <w:p>
      <w:pPr>
        <w:pStyle w:val="Heading2"/>
      </w:pPr>
      <w:r>
        <w:t xml:space="preserve">References</w:t>
      </w:r>
    </w:p>
    <w:p>
      <w:pPr>
        <w:pStyle w:val="FirstParagraph"/>
      </w:pPr>
      <w:r>
        <w:t xml:space="preserve">[1] Dauparas, J., Anishchenko, I., Bennett, N., et al. (2022). Robust deep learning-based protein sequence design using ProteinMPNN.</w:t>
      </w:r>
      <w:r>
        <w:t xml:space="preserve"> </w:t>
      </w:r>
      <w:r>
        <w:rPr>
          <w:iCs/>
          <w:i/>
        </w:rPr>
        <w:t xml:space="preserve">Science</w:t>
      </w:r>
      <w:r>
        <w:t xml:space="preserve">. doi:10.1126/science.add2187</w:t>
      </w:r>
    </w:p>
    <w:p>
      <w:pPr>
        <w:pStyle w:val="BodyText"/>
      </w:pPr>
      <w:r>
        <w:t xml:space="preserve">[2] Jumper, J., Evans, R., Pritzel, A., et al. (2021). Highly accurate protein structure prediction with AlphaFold.</w:t>
      </w:r>
      <w:r>
        <w:t xml:space="preserve"> </w:t>
      </w:r>
      <w:r>
        <w:rPr>
          <w:iCs/>
          <w:i/>
        </w:rPr>
        <w:t xml:space="preserve">Nature</w:t>
      </w:r>
      <w:r>
        <w:t xml:space="preserve">. doi:10.1038/s41586-021-03819-2</w:t>
      </w:r>
    </w:p>
    <w:p>
      <w:pPr>
        <w:pStyle w:val="BodyText"/>
      </w:pPr>
      <w:r>
        <w:t xml:space="preserve">[3] Mirdita, M., Schutze, K., Moriwaki, Y., Heo, L., Ovchinnikov, S., &amp; Steinegger, M. (2022). ColabFold: making protein folding accessible to all.</w:t>
      </w:r>
      <w:r>
        <w:t xml:space="preserve"> </w:t>
      </w:r>
      <w:r>
        <w:rPr>
          <w:iCs/>
          <w:i/>
        </w:rPr>
        <w:t xml:space="preserve">Nature Methods</w:t>
      </w:r>
      <w:r>
        <w:t xml:space="preserve">. doi:10.1038/s41592-022-01488-1</w:t>
      </w:r>
    </w:p>
    <w:p>
      <w:pPr>
        <w:pStyle w:val="BodyText"/>
      </w:pPr>
      <w:r>
        <w:t xml:space="preserve">[4] Lin, Z., Akin, H., Rao, R., et al. (2023). Evolutionary-scale prediction of atomic-level protein structure with a language model.</w:t>
      </w:r>
      <w:r>
        <w:t xml:space="preserve"> </w:t>
      </w:r>
      <w:r>
        <w:rPr>
          <w:iCs/>
          <w:i/>
        </w:rPr>
        <w:t xml:space="preserve">Science</w:t>
      </w:r>
      <w:r>
        <w:t xml:space="preserve">. doi:10.1126/science.ade2574</w:t>
      </w:r>
    </w:p>
    <w:p>
      <w:pPr>
        <w:pStyle w:val="BodyText"/>
      </w:pPr>
      <w:r>
        <w:t xml:space="preserve">[5] Watson, J. L., Juergens, D., Bennett, N. R., et al. (2023). De novo design of protein structure and function with RFdiffusion.</w:t>
      </w:r>
      <w:r>
        <w:t xml:space="preserve"> </w:t>
      </w:r>
      <w:r>
        <w:rPr>
          <w:iCs/>
          <w:i/>
        </w:rPr>
        <w:t xml:space="preserve">Nature</w:t>
      </w:r>
      <w:r>
        <w:t xml:space="preserve">. doi:10.1038/s41586-023-06415-8</w:t>
      </w:r>
    </w:p>
    <w:p>
      <w:pPr>
        <w:pStyle w:val="BodyText"/>
      </w:pPr>
      <w:r>
        <w:t xml:space="preserve">[6] Lewis, S., Hempel, T., Jimenez-Luna, J., et al. (2025). Scalable emulation of protein equilibrium ensembles with generative deep learning.</w:t>
      </w:r>
      <w:r>
        <w:t xml:space="preserve"> </w:t>
      </w:r>
      <w:r>
        <w:rPr>
          <w:iCs/>
          <w:i/>
        </w:rPr>
        <w:t xml:space="preserve">Science</w:t>
      </w:r>
      <w:r>
        <w:t xml:space="preserve">. doi:10.1126/science.adv9817</w:t>
      </w:r>
    </w:p>
    <w:p>
      <w:pPr>
        <w:pStyle w:val="BodyText"/>
      </w:pPr>
      <w:r>
        <w:t xml:space="preserve">[7] Hon, J., Marusiak, M., Martinek, T., Kunka, A., Zendulka, J., Bednar, D., &amp; Damborsky, J. (2021). SoluProt: prediction of soluble protein expression in</w:t>
      </w:r>
      <w:r>
        <w:t xml:space="preserve"> </w:t>
      </w:r>
      <w:r>
        <w:rPr>
          <w:iCs/>
          <w:i/>
        </w:rPr>
        <w:t xml:space="preserve">Escherichia coli</w:t>
      </w:r>
      <w:r>
        <w:t xml:space="preserve">.</w:t>
      </w:r>
      <w:r>
        <w:t xml:space="preserve"> </w:t>
      </w:r>
      <w:r>
        <w:rPr>
          <w:iCs/>
          <w:i/>
        </w:rPr>
        <w:t xml:space="preserve">Bioinformatics</w:t>
      </w:r>
      <w:r>
        <w:t xml:space="preserve">. doi:10.1093/bioinformatics/btaa1102</w:t>
      </w:r>
    </w:p>
    <w:p>
      <w:pPr>
        <w:pStyle w:val="BodyText"/>
      </w:pPr>
      <w:r>
        <w:t xml:space="preserve">[8] Steinegger, M., &amp; Soding, J. (2017). MMseqs2 enables sensitive protein sequence searching for the analysis of massive data sets.</w:t>
      </w:r>
      <w:r>
        <w:t xml:space="preserve"> </w:t>
      </w:r>
      <w:r>
        <w:rPr>
          <w:iCs/>
          <w:i/>
        </w:rPr>
        <w:t xml:space="preserve">Nature Biotechnology</w:t>
      </w:r>
      <w:r>
        <w:t xml:space="preserve">. doi:10.1038/nbt.3988</w:t>
      </w:r>
    </w:p>
    <w:p>
      <w:pPr>
        <w:pStyle w:val="BodyText"/>
      </w:pPr>
      <w:r>
        <w:t xml:space="preserve">[9] Goldenzweig, A., Goldsmith, M., Hill, S. E., et al. (2016). Automated structure- and sequence-based design of proteins for high bacterial expression and stability.</w:t>
      </w:r>
      <w:r>
        <w:t xml:space="preserve"> </w:t>
      </w:r>
      <w:r>
        <w:rPr>
          <w:iCs/>
          <w:i/>
        </w:rPr>
        <w:t xml:space="preserve">Molecular Cell</w:t>
      </w:r>
      <w:r>
        <w:t xml:space="preserve">. doi:10.1016/j.molcel.2016.06.012</w:t>
      </w:r>
    </w:p>
    <w:p>
      <w:pPr>
        <w:pStyle w:val="BodyText"/>
      </w:pPr>
      <w:r>
        <w:t xml:space="preserve">[10] Kosugi, T., &amp; Ohue, M. (2022). Solubility-Aware Protein Binding Peptide Design Using AlphaFold.</w:t>
      </w:r>
      <w:r>
        <w:t xml:space="preserve"> </w:t>
      </w:r>
      <w:r>
        <w:rPr>
          <w:iCs/>
          <w:i/>
        </w:rPr>
        <w:t xml:space="preserve">Biomedicines</w:t>
      </w:r>
      <w:r>
        <w:t xml:space="preserve">. doi:10.3390/biomedicines10071626</w:t>
      </w:r>
    </w:p>
    <w:p>
      <w:pPr>
        <w:pStyle w:val="BodyText"/>
      </w:pPr>
      <w:r>
        <w:t xml:space="preserve">[11] Fleishman, S. J., Leaver-Fay, A., Corn, J. E., et al. (2011). RosettaScripts: A scripting language interface to the Rosetta macromolecular modeling suite.</w:t>
      </w:r>
      <w:r>
        <w:t xml:space="preserve"> </w:t>
      </w:r>
      <w:r>
        <w:rPr>
          <w:iCs/>
          <w:i/>
        </w:rPr>
        <w:t xml:space="preserve">PLOS ONE</w:t>
      </w:r>
      <w:r>
        <w:t xml:space="preserve">. doi:10.1371/journal.pone.0020161</w:t>
      </w:r>
    </w:p>
    <w:p>
      <w:pPr>
        <w:pStyle w:val="BodyText"/>
      </w:pPr>
      <w:r>
        <w:t xml:space="preserve">[12] Jiang, K., Yan, Z., Di Bernardo, M., et al. (2025). Rapid in silico directed evolution by a protein language model with EVOLVEpro.</w:t>
      </w:r>
      <w:r>
        <w:t xml:space="preserve"> </w:t>
      </w:r>
      <w:r>
        <w:rPr>
          <w:iCs/>
          <w:i/>
        </w:rPr>
        <w:t xml:space="preserve">Science</w:t>
      </w:r>
      <w:r>
        <w:t xml:space="preserve">. doi:10.1126/science.adr6006</w:t>
      </w:r>
    </w:p>
    <w:p>
      <w:pPr>
        <w:pStyle w:val="BodyText"/>
      </w:pPr>
      <w:r>
        <w:t xml:space="preserve">[13] Model Context Protocol Contributors (2024). Model Context Protocol Specification. https://modelcontextprotocol.io/specification/2024-11-05/index</w:t>
      </w:r>
    </w:p>
    <w:p>
      <w:pPr>
        <w:pStyle w:val="BodyText"/>
      </w:pPr>
      <w:r>
        <w:t xml:space="preserve">[14] Conway, P., Tyka, M. D., DiMaio, F., Konerding, D. E., &amp; Baker, D. (2014). Relaxation of backbone bond geometry improves protein energy landscape modeling.</w:t>
      </w:r>
      <w:r>
        <w:t xml:space="preserve"> </w:t>
      </w:r>
      <w:r>
        <w:rPr>
          <w:iCs/>
          <w:i/>
        </w:rPr>
        <w:t xml:space="preserve">Protein Science</w:t>
      </w:r>
      <w:r>
        <w:t xml:space="preserve">. doi:10.1002/pro.2389</w:t>
      </w:r>
    </w:p>
    <w:p>
      <w:pPr>
        <w:pStyle w:val="BodyText"/>
      </w:pPr>
      <w:r>
        <w:t xml:space="preserve">[15] Sillitoe, I., Bordin, N., Dawson, N., et al. (2021). CATH: increased structural coverage of functional space.</w:t>
      </w:r>
      <w:r>
        <w:t xml:space="preserve"> </w:t>
      </w:r>
      <w:r>
        <w:rPr>
          <w:iCs/>
          <w:i/>
        </w:rPr>
        <w:t xml:space="preserve">Nucleic Acids Research</w:t>
      </w:r>
      <w:r>
        <w:t xml:space="preserve">. doi:10.1093/nar/gkaa1079</w:t>
      </w:r>
    </w:p>
    <w:p>
      <w:pPr>
        <w:pStyle w:val="BodyText"/>
      </w:pPr>
      <w:r>
        <w:t xml:space="preserve">[16] Breiman, L. (2001). Random Forests.</w:t>
      </w:r>
      <w:r>
        <w:t xml:space="preserve"> </w:t>
      </w:r>
      <w:r>
        <w:rPr>
          <w:iCs/>
          <w:i/>
        </w:rPr>
        <w:t xml:space="preserve">Machine Learning</w:t>
      </w:r>
      <w:r>
        <w:t xml:space="preserve">. doi:10.1023/A:1010933404324</w:t>
      </w:r>
    </w:p>
    <w:p>
      <w:pPr>
        <w:pStyle w:val="BodyText"/>
      </w:pPr>
      <w:r>
        <w:t xml:space="preserve">[17] Chen, T., &amp; Guestrin, C. (2016). XGBoost: A Scalable Tree Boosting System.</w:t>
      </w:r>
      <w:r>
        <w:t xml:space="preserve"> </w:t>
      </w:r>
      <w:r>
        <w:rPr>
          <w:iCs/>
          <w:i/>
        </w:rPr>
        <w:t xml:space="preserve">Proceedings of the 22nd ACM SIGKDD International Conference on Knowledge Discovery and Data Mining</w:t>
      </w:r>
      <w:r>
        <w:t xml:space="preserve">. doi:10.1145/2939672.2939785</w:t>
      </w:r>
    </w:p>
    <w:p>
      <w:pPr>
        <w:pStyle w:val="BodyText"/>
      </w:pPr>
      <w:r>
        <w:t xml:space="preserve">[18] Ke, G., Meng, Q., Finley, T., Wang, T., Chen, W., Ma, W., Ye, Q., &amp; Liu, T.-Y. (2017). LightGBM: A Highly Efficient Gradient Boosting Decision Tree.</w:t>
      </w:r>
      <w:r>
        <w:t xml:space="preserve"> </w:t>
      </w:r>
      <w:r>
        <w:rPr>
          <w:iCs/>
          <w:i/>
        </w:rPr>
        <w:t xml:space="preserve">Advances in Neural Information Processing Systems 30</w:t>
      </w:r>
      <w:r>
        <w:t xml:space="preserve">. https://papers.nips.cc/paper/6907-lightgbm-a-highly-efficient-gradient-boosting-decision-tree</w:t>
      </w:r>
    </w:p>
    <w:p>
      <w:pPr>
        <w:pStyle w:val="BodyText"/>
      </w:pPr>
      <w:r>
        <w:t xml:space="preserve">[19] Pedregosa, F., Varoquaux, G., Gramfort, A., et al. (2011). Scikit-learn: Machine Learning in Python.</w:t>
      </w:r>
      <w:r>
        <w:t xml:space="preserve"> </w:t>
      </w:r>
      <w:r>
        <w:rPr>
          <w:iCs/>
          <w:i/>
        </w:rPr>
        <w:t xml:space="preserve">Journal of Machine Learning Research</w:t>
      </w:r>
      <w:r>
        <w:t xml:space="preserve">. https://www.jmlr.org/papers/v12/pedregosa11a.html</w:t>
      </w:r>
    </w:p>
    <w:p>
      <w:pPr>
        <w:pStyle w:val="BodyText"/>
      </w:pPr>
      <w:r>
        <w:t xml:space="preserve">[20] Arthur, D., &amp; Vassilvitskii, S. (2007). k-means++: The Advantages of Careful Seeding.</w:t>
      </w:r>
      <w:r>
        <w:t xml:space="preserve"> </w:t>
      </w:r>
      <w:r>
        <w:rPr>
          <w:iCs/>
          <w:i/>
        </w:rPr>
        <w:t xml:space="preserve">Proceedings of the Eighteenth Annual ACM-SIAM Symposium on Discrete Algorithms</w:t>
      </w:r>
      <w:r>
        <w:t xml:space="preserve">. https://dl.acm.org/doi/10.5555/1283383.1283494</w:t>
      </w:r>
    </w:p>
    <w:p>
      <w:pPr>
        <w:pStyle w:val="BodyText"/>
      </w:pPr>
      <w:r>
        <w:t xml:space="preserve">[21] Shahriari, B., Swersky, K., Wang, Z., Adams, R. P., &amp; de Freitas, N. (2016). Taking the Human Out of the Loop: A Review of Bayesian Optimization.</w:t>
      </w:r>
      <w:r>
        <w:t xml:space="preserve"> </w:t>
      </w:r>
      <w:r>
        <w:rPr>
          <w:iCs/>
          <w:i/>
        </w:rPr>
        <w:t xml:space="preserve">Proceedings of the IEEE</w:t>
      </w:r>
      <w:r>
        <w:t xml:space="preserve">. doi:10.1109/JPROC.2015.2494218</w:t>
      </w:r>
    </w:p>
    <w:p>
      <w:pPr>
        <w:pStyle w:val="BodyText"/>
      </w:pPr>
      <w:r>
        <w:t xml:space="preserve">[22] Wilcoxon, F. (1945). Individual Comparisons by Ranking Methods.</w:t>
      </w:r>
      <w:r>
        <w:t xml:space="preserve"> </w:t>
      </w:r>
      <w:r>
        <w:rPr>
          <w:iCs/>
          <w:i/>
        </w:rPr>
        <w:t xml:space="preserve">Biometrics Bulletin</w:t>
      </w:r>
      <w:r>
        <w:t xml:space="preserve">, 1(6), 80-83. doi:10.2307/3001968</w:t>
      </w:r>
    </w:p>
    <w:p>
      <w:pPr>
        <w:pStyle w:val="BodyText"/>
      </w:pPr>
      <w:r>
        <w:t xml:space="preserve">[23] Holm, S. (1979). A Simple Sequentially Rejective Multiple Test Procedure.</w:t>
      </w:r>
      <w:r>
        <w:t xml:space="preserve"> </w:t>
      </w:r>
      <w:r>
        <w:rPr>
          <w:iCs/>
          <w:i/>
        </w:rPr>
        <w:t xml:space="preserve">Scandinavian Journal of Statistics</w:t>
      </w:r>
      <w:r>
        <w:t xml:space="preserve">, 6(2), 65-70. https://www.jstor.org/stable/4615733</w:t>
      </w:r>
    </w:p>
    <w:p>
      <w:pPr>
        <w:pStyle w:val="BodyText"/>
      </w:pPr>
      <w:r>
        <w:t xml:space="preserve">[24] Cliff, N. (1993). Dominance statistics: Ordinal analyses to answer ordinal questions.</w:t>
      </w:r>
      <w:r>
        <w:t xml:space="preserve"> </w:t>
      </w:r>
      <w:r>
        <w:rPr>
          <w:iCs/>
          <w:i/>
        </w:rPr>
        <w:t xml:space="preserve">Psychological Bulletin</w:t>
      </w:r>
      <w:r>
        <w:t xml:space="preserve">. doi:10.1037/0033-2909.114.3.494</w:t>
      </w:r>
    </w:p>
    <w:p>
      <w:pPr>
        <w:pStyle w:val="BodyText"/>
      </w:pPr>
      <w:r>
        <w:t xml:space="preserve">[25] Shrout, P. E., &amp; Fleiss, J. L. (1979). Intraclass correlations: Uses in assessing rater reliability.</w:t>
      </w:r>
      <w:r>
        <w:t xml:space="preserve"> </w:t>
      </w:r>
      <w:r>
        <w:rPr>
          <w:iCs/>
          <w:i/>
        </w:rPr>
        <w:t xml:space="preserve">Psychological Bulletin</w:t>
      </w:r>
      <w:r>
        <w:t xml:space="preserve">. doi:10.1037/0033-2909.86.2.420</w:t>
      </w:r>
    </w:p>
    <w:p>
      <w:pPr>
        <w:pStyle w:val="BodyText"/>
      </w:pPr>
      <w:r>
        <w:t xml:space="preserve">[26] Kulesza, A., &amp; Taskar, B. (2012). Determinantal Point Processes for Machine Learning.</w:t>
      </w:r>
      <w:r>
        <w:t xml:space="preserve"> </w:t>
      </w:r>
      <w:r>
        <w:rPr>
          <w:iCs/>
          <w:i/>
        </w:rPr>
        <w:t xml:space="preserve">Foundations and Trends in Machine Learning</w:t>
      </w:r>
      <w:r>
        <w:t xml:space="preserve">, 5(2-3), 123-286. doi:10.1561/2200000044</w:t>
      </w:r>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0" Target="media/rId30.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2026-05-26T02:31:54Z</dcterms:created>
  <dcterms:modified xsi:type="dcterms:W3CDTF">2026-05-26T02:31:54Z</dcterms:modified>
</cp:coreProperties>
</file>

<file path=docProps/custom.xml><?xml version="1.0" encoding="utf-8"?>
<Properties xmlns="http://schemas.openxmlformats.org/officeDocument/2006/custom-properties" xmlns:vt="http://schemas.openxmlformats.org/officeDocument/2006/docPropsVTypes"/>
</file>