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post-SoluProt, structure-prediction-budgeted surrogate-triage layer that can be enabled within the redesign pipeline. In the isolated budget benchmark, this layer was run on original-backbone candidate pools to avoid conflating triage efficiency with structural-context expansion. Using ESM-2 embeddings, K-means bootstrap selection, local surrogate cross-validation, and Top-K acquisition, RAPID evaluated 250 AF2/ColabFold records from 49,946 candidates entering triage across five CATH targets, a 99.5% reduction relative to folding every triage candidate. Third, an independent structural-context ablation compares candidate pools generated from the original backbone, RFD3, BioEmu, and RFD3+BioEmu. It tests whether structural inputs reshape candidate-pool spread and sequence diversity,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in an isolated original-backbone benchmark. Third, in a separate structural-context ablation, RAPID compares candidate pools generated from the original backbone, BioEmu, RFD3, and combined RFD3+BioEmu contexts under explicit design and AF2 budgets. Operationally, the same surrogate-triage layer can be enabled after optional structural-context stages, but the reported budget-reduction benchmark keeps those axes separate.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4000499"/>
            <wp:effectExtent b="0" l="0" r="0" t="0"/>
            <wp:docPr descr="RAPID run-scoped redesign workflow"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RAPID run-scoped redesign workflow</w:t>
      </w:r>
    </w:p>
    <w:p>
      <w:pPr>
        <w:pStyle w:val="BodyText"/>
      </w:pPr>
      <w:r>
        <w:rPr>
          <w:iCs/>
          <w:i/>
        </w:rPr>
        <w:t xml:space="preserve">Figure 1. RAPID run-scoped redesign workflow. A typed design request — target, mask and position constraints, resource budget, and mode — is written into the shared run-scoped record, which stores requests, stage outputs, QC summaries, AF2 labels, and assay records under a stable run identifier. The three subsystems consume and update this same record: (1) structural-context exploration generates candidate pools from the original backbone, RFD3, BioEmu, or RFD3+BioEmu via MSA-informed ProteinMPNN design and SoluProt filtering; (2) resource-aware surrogate triage labels a K-means bootstrap with AF2/ColabFold, selects an acquisition policy by cross-validation, and spends the Top-K AF2 budget (per target in the main benchmark: ≈10,000 designs → 30 bootstrap labels → 20 AF2 evaluations); and (3) experimental-feedback evolution loops assay results back into next-candidate recommendation. Structural-context exploration is analysed separately from the surrogate-triage budget benchmark to keep compute allocation distinct from candidate-pool generation. Modular backends can be replaced if they read from and write to the same run record, which is the basis for partial reruns, retrospective benchmark reconstruction, and future preference-dataset accumulation.</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layer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In the software, this triage layer is a switchable component after SoluProt and can be combined with optional upstream RFD3 or BioEmu stages. In the benchmark, it is evaluated on original-backbone candidate pools to isolate compute allocation from structural-context exploration.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layer is evaluated with the original target backbone and without RFD3 or BioEmu-generated candidate pools so that the AF2-budget reduction is attributed to surrogate triage rather than to structural-context expansion.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18-target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or the best-scoring candidate,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alternative contexts did not provide a consistent mean-score or upper-tail advantage. Instead, BioEmu-containing evaluable arms increased pLDDT range and sequence-pool diversity in all nine evaluable paired BioEmu targets and in all eight evaluable paired RFD3+BioEmu targets (Wilcoxon p = 0.004 and p = 0.008, respectively). RFD3 increased pLDDT range in 14 of 18 paired targets (Wilcoxon p = 0.002) and sequence-pool diversity in 9 of 18 paired targets (Wilcoxon p = 0.010), but its support for SoluProt-spread shifts remained weaker than for BioEmu. RFD3 and BioEmu are therefore treated as controlled context-perturbation modules with explicit QC, not as default score boosters or as surrogate-model components.</w:t>
      </w:r>
    </w:p>
    <w:p>
      <w:pPr>
        <w:pStyle w:val="CaptionedFigure"/>
      </w:pPr>
      <w:r>
        <w:drawing>
          <wp:inline>
            <wp:extent cx="5334000" cy="3905796"/>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3905796"/>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context-dependent candidate-pool shifts. Panels A-C show absolute target-level distributions for pLDDT range, SoluProt range, and mean pairwise diversity across the single-backbone, BioEmu, RFD3, and RFD3+BioEmu arms. Points are targets and boxes summarize target distributions; the label above each arm reports the number of evaluable targets. Higher mean pairwise diversity indicates lower sequence similarity within the candidate pool. Panel D reports positive paired shifts relative to the single-backbone arm, with bar labels showing positive paired targets over evaluable paired targets. Single-backbone and RFD3 arms were evaluable for all 18 selected CATH targets, whereas BioEmu was quantitatively evaluable for nine targets and RFD3+BioEmu for eight targets — those that passed the fixed 2.0 Å target-RMSD gate. The result supports structural-context sensitivity and diversity shifts rather than a universal upper-tail score improvement.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context-sensitivity probes.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the paired change in score spread and sequence diversity, not an aggregate claim that one structural-context module improves quality. RFD3 broadened pLDDT spread in most paired targets (14 of 18) but only shifted sequence-pool diversity in half of them (9 of 18), whereas BioEmu-containing evaluable arms increased both pLDDT range and sequence-pool diversity in every evaluable paired target.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18 targets, but BioEmu is evaluable for only nine targets and RFD3+BioEmu for only eight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2026-05-27T04:12:25Z</dcterms:created>
  <dcterms:modified xsi:type="dcterms:W3CDTF">2026-05-27T04:12:25Z</dcterms:modified>
</cp:coreProperties>
</file>

<file path=docProps/custom.xml><?xml version="1.0" encoding="utf-8"?>
<Properties xmlns="http://schemas.openxmlformats.org/officeDocument/2006/custom-properties" xmlns:vt="http://schemas.openxmlformats.org/officeDocument/2006/docPropsVTypes"/>
</file>