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2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be2dac2cd77b68e09ed60b1658027c9f05d2e6"/>
    <w:p>
      <w:pPr>
        <w:pStyle w:val="Heading1"/>
      </w:pPr>
      <w:r>
        <w:t xml:space="preserve">RAPID: A Reproducible Artifact Pipeline for Solubility-Aware Protein Redesign with AF2-Budgeted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Solubility-aware protein redesign increasingly depends on heterogeneous AI models for sequence search, conservation analysis, backbone or conformational sampling, inverse folding, soluble-expression filtering, structure prediction, and novelty assessment. These components are powerful individually, but practical campaigns often connect them with ad hoc scripts, making runs difficult to reproduce, rerun, compare, or update when a model backend changes. We present RAPID, a reproducible artifact pipeline for integrated design that turns fragmented model outputs into a stage-aware, run-scoped experimental substrate for solubility-aware multiple-mutant redesign. RAPID preserves typed requests, intermediate artifacts, status histories, orchestration traces, experiment records, quality-control records, and final summaries under stable run identifiers, allowing downstream analyses to be regenerated from stored artifacts rather than from repeated live model calls. We use RAPID to support three claims. First, an artifact contract and local/static interface make model replacement and retrospective analysis operational rather than manual. Second, an AF2-budgeted surrogate triage mode reduces structure-prediction use after SoluProt gating by using ESM-2 embeddings, K-means bootstrap selection, local surrogate ranking, and Top-K acquisition; in the current artifact benchmark, K-means gives its largest advantage in the small-label regime, Random Forest is the conservative default for pLDDT-oriented triage, and the implemented default evaluates 30 bootstrap candidates plus 20 surrogate-ranked Top-K candidates when the SoluProt-passing pool exceeds this budget. Third, target-level variation dominates observed design-quality variation, motivating explicit tests of compute allocation across single-target, BioEmu, RFD3, and RFD3+BioEmu structural contexts rather than simply increasing sequence sampling around one backbone. RAPID also exposes an experimental-feedback evolution mode that writes candidate sets for wet-lab testing and can train the next surrogate from user-supplied objective values. The present evidence is computational and proxy-based: pLDDT, SoluProt, and relax scores do not establish wet-lab soluble expression, thermodynamic stability, or activity. RAPID is therefore positioned as reproducible infrastructure for solubility-aware redesign and compute allocation, with final biological validation left to experimental follow-up.</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AF2-budgeted surrogate triage for post-SoluProt candidate selection. Third, RAPID makes structural-context allocation testable by comparing single-backbone, BioEmu, RFD3, and combined RFD3+BioEmu contexts under explicit design and AF2 budgets. Separately, RAPID records wet-lab outcomes and supports experimental-feedback evolution, but experimental activity or expression improvement is not claimed without prospective validation.</w:t>
      </w:r>
    </w:p>
    <w:bookmarkEnd w:id="21"/>
    <w:bookmarkStart w:id="34" w:name="methods"/>
    <w:p>
      <w:pPr>
        <w:pStyle w:val="Heading2"/>
      </w:pPr>
      <w:r>
        <w:t xml:space="preserve">2. Methods</w:t>
      </w:r>
    </w:p>
    <w:bookmarkStart w:id="22" w:name="rapid-scope-and-architecture"/>
    <w:p>
      <w:pPr>
        <w:pStyle w:val="Heading3"/>
      </w:pPr>
      <w:r>
        <w:t xml:space="preserve">2.1 RAPID Scope and Architecture</w:t>
      </w:r>
    </w:p>
    <w:p>
      <w:pPr>
        <w:pStyle w:val="FirstParagraph"/>
      </w:pPr>
      <w:r>
        <w:t xml:space="preserve">RAPID represents each redesign campaign as a stage-aware orchestration run designed for biofoundry-scale throughput rather than as a collection of disconnected jobs. The canonical stage order is</w:t>
      </w:r>
      <w:r>
        <w:t xml:space="preserve"> </w:t>
      </w:r>
      <w:r>
        <w:rPr>
          <w:rStyle w:val="VerbatimChar"/>
        </w:rPr>
        <w:t xml:space="preserve">msa -&gt; rfd3 -&gt; bioemu -&gt; design -&gt; soluprot -&gt; af2 -&gt; novelty</w:t>
      </w:r>
      <w:r>
        <w:t xml:space="preserve">. This order is dependency-driven. MSA construction provides conservation-derived residue constraints; optional RFD3 and BioEmu stages provide alternative backbone or conformational contexts; ProteinMPNN generates multiple-mutant sequence libraries under the active fixed-position constraints; SoluProt scores soluble-expression likelihood; AF2 or ColabFold supplies structural-confidence labels; novelty analysis compares surviving designs against sequence databases. Rosetta Relax is available as an optional post-AF2 refinement and scoring step, but it is disabled by default in the benchmark path because full relax coverage was not available for all artifact sets.</w:t>
      </w:r>
    </w:p>
    <w:p>
      <w:pPr>
        <w:pStyle w:val="BodyText"/>
      </w:pPr>
      <w:r>
        <w:t xml:space="preserve">The implementation separates the workflow into a control layer and a model-execution layer. The control layer validates requests, resolves stage order, records status transitions, and enforces safe rerun semantics. The model-execution layer dispatches stages to local, HTTP, or RunPod-backed providers as long as each provider writes the expected artifact fields. Optional diagnostic summaries can be generated from stored artifacts for audit and failure review, but they do not alter mutation masks or replace the deterministic execution graph in the analyses reported here.</w:t>
      </w:r>
    </w:p>
    <w:bookmarkEnd w:id="22"/>
    <w:bookmarkStart w:id="26" w:name="Xd7bed48149511df2565f72f4a56624f0610f18c"/>
    <w:p>
      <w:pPr>
        <w:pStyle w:val="Heading3"/>
      </w:pPr>
      <w:r>
        <w:t xml:space="preserve">2.2 Solubility-Aware Multiple-Mutant Redesign</w:t>
      </w:r>
    </w:p>
    <w:p>
      <w:pPr>
        <w:pStyle w:val="FirstParagraph"/>
      </w:pPr>
      <w:r>
        <w:t xml:space="preserve">RAPID is evaluated here as a solubility-aware redesign workflow. Conservation tiers at 30%, 50%, and 70% determine progressively constrained fixed-position sets from the MSA. These tiers do not define a single-mutation trajectory. Instead, ProteinMPNN redesigns the remaining positions jointly, producing multiple-mutant libraries under each conservation constraint. Manual residue selections from the interface enter through</w:t>
      </w:r>
      <w:r>
        <w:t xml:space="preserve"> </w:t>
      </w:r>
      <w:r>
        <w:rPr>
          <w:rStyle w:val="VerbatimChar"/>
        </w:rPr>
        <w:t xml:space="preserve">fixed_positions_extra</w:t>
      </w:r>
      <w:r>
        <w:t xml:space="preserve"> </w:t>
      </w:r>
      <w:r>
        <w:t xml:space="preserve">and are unioned into the fixed-position set. Programmatic mask consensus can aggregate MSA conservation, ligand proximity, MSA quality, and query-PDB identity into advisory or applied fixed positions, depending on whether consensus application is enabled.</w:t>
      </w:r>
    </w:p>
    <w:p>
      <w:pPr>
        <w:pStyle w:val="BodyText"/>
      </w:pPr>
      <w:r>
        <w:t xml:space="preserve">The default scoring path treats SoluProt as a cheap soluble-expression gate before AF2/ColabFold. pLDDT is used as a structural-confidence proxy for short-listing, not as evidence of experimental stability. When relax is enabled, its energy scores can be included as a penalty term in the composite ranking, but the manuscript does not claim thermodynamic stability improvement without wet-lab measurement.</w:t>
      </w:r>
    </w:p>
    <w:p>
      <w:pPr>
        <w:pStyle w:val="CaptionedFigure"/>
      </w:pPr>
      <w:r>
        <w:drawing>
          <wp:inline>
            <wp:extent cx="5334000" cy="2208400"/>
            <wp:effectExtent b="0" l="0" r="0" t="0"/>
            <wp:docPr descr="RAPID workflow" title="" id="24" name="Picture"/>
            <a:graphic>
              <a:graphicData uri="http://schemas.openxmlformats.org/drawingml/2006/picture">
                <pic:pic>
                  <pic:nvPicPr>
                    <pic:cNvPr descr="figures/benchmark/fig1_pipeline_overview.png" id="25" name="Picture"/>
                    <pic:cNvPicPr>
                      <a:picLocks noChangeArrowheads="1" noChangeAspect="1"/>
                    </pic:cNvPicPr>
                  </pic:nvPicPr>
                  <pic:blipFill>
                    <a:blip r:embed="rId23"/>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RAPID workflow</w:t>
      </w:r>
    </w:p>
    <w:p>
      <w:pPr>
        <w:pStyle w:val="BodyText"/>
      </w:pPr>
      <w:r>
        <w:rPr>
          <w:iCs/>
          <w:i/>
        </w:rPr>
        <w:t xml:space="preserve">Figure 1. RAPID stage order and diversification levers. The default workflow is solubility-aware multiple-mutant redesign: MSA-derived constraints guide ProteinMPNN sequence generation, SoluProt filters soluble-expression likelihood, and AF2/ColabFold is reserved for structurally plausible short lists. RFD3 and BioEmu provide structural-context diversification, while conservation tiers vary the number and placement of jointly redesigned positions.</w:t>
      </w:r>
    </w:p>
    <w:bookmarkEnd w:id="26"/>
    <w:bookmarkStart w:id="27" w:name="X3423e718be7563e5b617d48527be2f7c1375350"/>
    <w:p>
      <w:pPr>
        <w:pStyle w:val="Heading3"/>
      </w:pPr>
      <w:r>
        <w:t xml:space="preserve">2.3 Artifact Contract, Interface, and Model Replacement</w:t>
      </w:r>
    </w:p>
    <w:p>
      <w:pPr>
        <w:pStyle w:val="FirstParagraph"/>
      </w:pPr>
      <w:r>
        <w:t xml:space="preserve">Each RAPID run writes a typed request, stage outputs, status records, orchestration trace events, diagnostic records, experiment records, and final summaries under a stable run identifier. The run identifier is the unit of provenance. This structure supports controlled partial reruns: downstream thresholds or ranking steps can be repeated from stored artifacts, while upstream input changes invalidate unsafe reuse. The same contract is used by benchmark scripts, so model-comparison and surrogate-triage analyses can be regenerated from stored outputs without refolding the candidate set for every ablation.</w:t>
      </w:r>
    </w:p>
    <w:p>
      <w:pPr>
        <w:pStyle w:val="BodyText"/>
      </w:pPr>
      <w:r>
        <w:t xml:space="preserve">The artifact contract is defined around shared downstream fields rather than around a single model implementation (Table 1). This is the basis of the model-replacement claim: replacement is not asserted because every possible backend has already been benchmarked, but because the downstream analysis code consumes stable artifacts rather than model-specific 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Replaceable module</w:t>
            </w:r>
          </w:p>
        </w:tc>
        <w:tc>
          <w:tcPr/>
          <w:p>
            <w:pPr>
              <w:pStyle w:val="Compact"/>
              <w:jc w:val="left"/>
            </w:pPr>
            <w:r>
              <w:t xml:space="preserve">Tested or implemented options</w:t>
            </w:r>
          </w:p>
        </w:tc>
        <w:tc>
          <w:tcPr/>
          <w:p>
            <w:pPr>
              <w:pStyle w:val="Compact"/>
              <w:jc w:val="left"/>
            </w:pPr>
            <w:r>
              <w:t xml:space="preserve">Shared artifact fields</w:t>
            </w:r>
          </w:p>
        </w:tc>
        <w:tc>
          <w:tcPr/>
          <w:p>
            <w:pPr>
              <w:pStyle w:val="Compact"/>
              <w:jc w:val="left"/>
            </w:pPr>
            <w:r>
              <w:t xml:space="preserve">Downstream reuse</w:t>
            </w:r>
          </w:p>
        </w:tc>
      </w:tr>
      <w:tr>
        <w:tc>
          <w:tcPr/>
          <w:p>
            <w:pPr>
              <w:pStyle w:val="Compact"/>
              <w:jc w:val="left"/>
            </w:pPr>
            <w:r>
              <w:t xml:space="preserve">Structural context</w:t>
            </w:r>
          </w:p>
        </w:tc>
        <w:tc>
          <w:tcPr/>
          <w:p>
            <w:pPr>
              <w:pStyle w:val="Compact"/>
              <w:jc w:val="left"/>
            </w:pPr>
            <w:r>
              <w:t xml:space="preserve">Single target, BioEmu, RFD3, RFD3+BioEmu</w:t>
            </w:r>
          </w:p>
        </w:tc>
        <w:tc>
          <w:tcPr/>
          <w:p>
            <w:pPr>
              <w:pStyle w:val="Compact"/>
              <w:jc w:val="left"/>
            </w:pPr>
            <w:r>
              <w:rPr>
                <w:rStyle w:val="VerbatimChar"/>
              </w:rPr>
              <w:t xml:space="preserve">backbone_id</w:t>
            </w:r>
            <w:r>
              <w:t xml:space="preserve">, source, PDB path, sequence map</w:t>
            </w:r>
          </w:p>
        </w:tc>
        <w:tc>
          <w:tcPr/>
          <w:p>
            <w:pPr>
              <w:pStyle w:val="Compact"/>
              <w:jc w:val="left"/>
            </w:pPr>
            <w:r>
              <w:t xml:space="preserve">ProteinMPNN, SoluProt, AF2</w:t>
            </w:r>
          </w:p>
        </w:tc>
      </w:tr>
      <w:tr>
        <w:tc>
          <w:tcPr/>
          <w:p>
            <w:pPr>
              <w:pStyle w:val="Compact"/>
              <w:jc w:val="left"/>
            </w:pPr>
            <w:r>
              <w:t xml:space="preserve">Structure scorer</w:t>
            </w:r>
          </w:p>
        </w:tc>
        <w:tc>
          <w:tcPr/>
          <w:p>
            <w:pPr>
              <w:pStyle w:val="Compact"/>
              <w:jc w:val="left"/>
            </w:pPr>
            <w:r>
              <w:t xml:space="preserve">ColabFold/AF2</w:t>
            </w:r>
          </w:p>
        </w:tc>
        <w:tc>
          <w:tcPr/>
          <w:p>
            <w:pPr>
              <w:pStyle w:val="Compact"/>
              <w:jc w:val="left"/>
            </w:pPr>
            <w:r>
              <w:t xml:space="preserve">pLDDT, ranking confidence, output PDB</w:t>
            </w:r>
          </w:p>
        </w:tc>
        <w:tc>
          <w:tcPr/>
          <w:p>
            <w:pPr>
              <w:pStyle w:val="Compact"/>
              <w:jc w:val="left"/>
            </w:pPr>
            <w:r>
              <w:t xml:space="preserve">Surrogate benchmark, composite score</w:t>
            </w:r>
          </w:p>
        </w:tc>
      </w:tr>
      <w:tr>
        <w:tc>
          <w:tcPr/>
          <w:p>
            <w:pPr>
              <w:pStyle w:val="Compact"/>
              <w:jc w:val="left"/>
            </w:pPr>
            <w:r>
              <w:t xml:space="preserve">Solubility scorer</w:t>
            </w:r>
          </w:p>
        </w:tc>
        <w:tc>
          <w:tcPr/>
          <w:p>
            <w:pPr>
              <w:pStyle w:val="Compact"/>
              <w:jc w:val="left"/>
            </w:pPr>
            <w:r>
              <w:t xml:space="preserve">SoluProt</w:t>
            </w:r>
          </w:p>
        </w:tc>
        <w:tc>
          <w:tcPr/>
          <w:p>
            <w:pPr>
              <w:pStyle w:val="Compact"/>
              <w:jc w:val="left"/>
            </w:pPr>
            <w:r>
              <w:t xml:space="preserve">Solubility score, pass/fail records</w:t>
            </w:r>
          </w:p>
        </w:tc>
        <w:tc>
          <w:tcPr/>
          <w:p>
            <w:pPr>
              <w:pStyle w:val="Compact"/>
              <w:jc w:val="left"/>
            </w:pPr>
            <w:r>
              <w:t xml:space="preserve">Gate, composite score</w:t>
            </w:r>
          </w:p>
        </w:tc>
      </w:tr>
      <w:tr>
        <w:tc>
          <w:tcPr/>
          <w:p>
            <w:pPr>
              <w:pStyle w:val="Compact"/>
              <w:jc w:val="left"/>
            </w:pPr>
            <w:r>
              <w:t xml:space="preserve">Surrogate</w:t>
            </w:r>
          </w:p>
        </w:tc>
        <w:tc>
          <w:tcPr/>
          <w:p>
            <w:pPr>
              <w:pStyle w:val="Compact"/>
              <w:jc w:val="left"/>
            </w:pPr>
            <w:r>
              <w:t xml:space="preserve">RF, Ridge, XGBoost, LightGBM, rank-mean</w:t>
            </w:r>
          </w:p>
        </w:tc>
        <w:tc>
          <w:tcPr/>
          <w:p>
            <w:pPr>
              <w:pStyle w:val="Compact"/>
              <w:jc w:val="left"/>
            </w:pPr>
            <w:r>
              <w:t xml:space="preserve">Predicted pLDDT or rank</w:t>
            </w:r>
          </w:p>
        </w:tc>
        <w:tc>
          <w:tcPr/>
          <w:p>
            <w:pPr>
              <w:pStyle w:val="Compact"/>
              <w:jc w:val="left"/>
            </w:pPr>
            <w:r>
              <w:t xml:space="preserve">Top-K acquisition</w:t>
            </w:r>
          </w:p>
        </w:tc>
      </w:tr>
      <w:tr>
        <w:tc>
          <w:tcPr/>
          <w:p>
            <w:pPr>
              <w:pStyle w:val="Compact"/>
              <w:jc w:val="left"/>
            </w:pPr>
            <w:r>
              <w:t xml:space="preserve">Relax</w:t>
            </w:r>
          </w:p>
        </w:tc>
        <w:tc>
          <w:tcPr/>
          <w:p>
            <w:pPr>
              <w:pStyle w:val="Compact"/>
              <w:jc w:val="left"/>
            </w:pPr>
            <w:r>
              <w:t xml:space="preserve">Optional Rosetta Relax</w:t>
            </w:r>
          </w:p>
        </w:tc>
        <w:tc>
          <w:tcPr/>
          <w:p>
            <w:pPr>
              <w:pStyle w:val="Compact"/>
              <w:jc w:val="left"/>
            </w:pPr>
            <w:r>
              <w:t xml:space="preserve">Relax score, penalty flag</w:t>
            </w:r>
          </w:p>
        </w:tc>
        <w:tc>
          <w:tcPr/>
          <w:p>
            <w:pPr>
              <w:pStyle w:val="Compact"/>
              <w:jc w:val="left"/>
            </w:pPr>
            <w:r>
              <w:t xml:space="preserve">Composite score</w:t>
            </w:r>
          </w:p>
        </w:tc>
      </w:tr>
    </w:tbl>
    <w:p>
      <w:pPr>
        <w:pStyle w:val="BodyText"/>
      </w:pPr>
      <w:r>
        <w:rPr>
          <w:iCs/>
          <w:i/>
        </w:rPr>
        <w:t xml:space="preserve">Table 1. Replaceable modules and shared artifact fields in RAPID. The table separates the implemented artifact contract from any claim that all possible replacement models have already been validated.</w:t>
      </w:r>
    </w:p>
    <w:p>
      <w:pPr>
        <w:pStyle w:val="BodyText"/>
      </w:pPr>
      <w:r>
        <w:t xml:space="preserve">The local browser interface is treated as a reproducibility surface rather than as a separate scientific claim. It exposes the same run identifiers, request fields, status records, and exportable artifacts used by the benchmark scripts, and it is distributed as static assets over the backend API so that RAPID can be run locally or on a GPU server without relying on a hosted service. Interface-level controls and deployment details are reported in the supplement.</w:t>
      </w:r>
    </w:p>
    <w:bookmarkEnd w:id="27"/>
    <w:bookmarkStart w:id="31" w:name="X60e73cfbaf7ce4bc1cb13fc6e51f68ca82a5cdb"/>
    <w:p>
      <w:pPr>
        <w:pStyle w:val="Heading3"/>
      </w:pPr>
      <w:r>
        <w:t xml:space="preserve">2.4 AF2-Budgeted Surrogate Triage and Experimental Evolution</w:t>
      </w:r>
    </w:p>
    <w:p>
      <w:pPr>
        <w:pStyle w:val="FirstParagraph"/>
      </w:pPr>
      <w:r>
        <w:t xml:space="preserve">RAPID separates two related uses of surrogates. The first is a computational AF2-budgeted triage mode used in the benchmark (Figure 2). ProteinMPNN first generates a candidate pool across conservation tiers, and SoluProt scores every candidate. SoluProt-passing candidates are embedded with mean-pooled ESM-2 8M embeddings [4]. K-means selects a diverse bootstrap training set, AF2 labels those candidates, and a local surrogate is trained to rank the remaining SoluProt-passing pool by predicted pLDDT. AF2 then evaluates only the surrogate-ranked Top-K candidates. This mode is a compute-allocation policy for structure prediction, not evidence of experimental activity or expression.</w:t>
      </w:r>
    </w:p>
    <w:p>
      <w:pPr>
        <w:pStyle w:val="BodyText"/>
      </w:pPr>
      <w:r>
        <w:t xml:space="preserve">The production triage default uses 30 K-means-selected bootstrap labels and 20 Top-K AF2 acquisitions. The N = 30 bootstrap was chosen because the sample-size ablation reaches most of the observed Random Forest pLDDT uplift by that point, while Top-K = 20 fixes a target-level validation budget that is large enough for manual review but small enough to keep the AF2 cost explicit. The benchmark evaluates Random Forest, Ridge, GP-RBF, XGBoost, LightGBM, KNN, MLP, and random selection, with Random Forest and Ridge retained as the primary production options because they represent different score-specific operating points. The implemented interface also permits several surrogate models to be selected together; in that case they share the same AF2-labelled bootstrap set and use rank-mean acquisition, so model robustness can be tested without multiplying AF2 calls.</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p>
      <w:pPr>
        <w:pStyle w:val="CaptionedFigure"/>
      </w:pPr>
      <w:r>
        <w:drawing>
          <wp:inline>
            <wp:extent cx="5334000" cy="2435474"/>
            <wp:effectExtent b="0" l="0" r="0" t="0"/>
            <wp:docPr descr="AF2-budgeted surrogate triage"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AF2-budgeted surrogate triage</w:t>
      </w:r>
    </w:p>
    <w:p>
      <w:pPr>
        <w:pStyle w:val="BodyText"/>
      </w:pPr>
      <w:r>
        <w:rPr>
          <w:iCs/>
          <w:i/>
        </w:rPr>
        <w:t xml:space="preserve">Figure 2. AF2-budgeted surrogate triage. K-means selects a diverse AF2-labelled bootstrap set from SoluProt-passing candidates, one or more local surrogates rank the remaining pool, and AF2/ColabFold is reserved for Top-K acquisitions. When several surrogate families are selected, RAPID averages their held-out rank orders and still evaluates the same Top-K budget. Experimental-feedback evolution uses the same candidate and embedding contract but learns from user-recorded wet-lab objective values rather than treating AF2 as a biological oracle.</w:t>
      </w:r>
    </w:p>
    <w:bookmarkEnd w:id="31"/>
    <w:bookmarkStart w:id="32" w:name="X2043846be4301939c138a842f86c365629e61b1"/>
    <w:p>
      <w:pPr>
        <w:pStyle w:val="Heading3"/>
      </w:pPr>
      <w:r>
        <w:t xml:space="preserve">2.5 Current Artifact Benchmark and Statistical Analysis</w:t>
      </w:r>
    </w:p>
    <w:p>
      <w:pPr>
        <w:pStyle w:val="FirstParagraph"/>
      </w:pPr>
      <w:r>
        <w:t xml:space="preserve">The current stored artifact benchmark contains 2,737 paired SoluProt and pLDDT records from 23 QC-passing CATH runs. These data were generated before the final corrected-chain CATH refresh and are therefore used in the main text as component-level evidence for AF2-budgeted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the supplement.</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and uncertainty is estimated by cluster bootstrap with target as the cluster. Variance decomposition uses a one-way ANOVA intraclass correlation coefficient to estimate how much score variation is attributable to target identity.</w:t>
      </w:r>
    </w:p>
    <w:bookmarkEnd w:id="32"/>
    <w:bookmarkStart w:id="33" w:name="structural-context-ablation-protocol"/>
    <w:p>
      <w:pPr>
        <w:pStyle w:val="Heading3"/>
      </w:pPr>
      <w:r>
        <w:t xml:space="preserve">2.6 Structural-Context Ablation Protocol</w:t>
      </w:r>
    </w:p>
    <w:p>
      <w:pPr>
        <w:pStyle w:val="FirstParagraph"/>
      </w:pPr>
      <w:r>
        <w:t xml:space="preserve">The structural-context claim is tested by running matched design and AF2 budgets across four arms: the original target backbone, target plus BioEmu conformational samples, a selected RFD3 backbone, and a combined RFD3+BioEmu ensemble. The updated RAPID ablation script records the planned backbone count, planned design count, RFD3 settings, BioEmu settings, and AF2 budget for every target-arm pair. Each target-arm run caps AF2 at 30 candidates, so differences are interpreted as structural-context allocation effects rather than as unrestricted additional folding. BioEmu-containing arms are evaluated only when the requested near-target conformers pass the pre-specified target-RMSD gate. Arms that fail this gate are reported as not evaluable for that comparison, rather than being assigned zero-valued design scores, because the failure indicates that the conformational-sampling contract was not satisfied.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Structural context tested</w:t>
            </w:r>
          </w:p>
        </w:tc>
        <w:tc>
          <w:tcPr/>
          <w:p>
            <w:pPr>
              <w:pStyle w:val="Compact"/>
              <w:jc w:val="left"/>
            </w:pPr>
            <w:r>
              <w:t xml:space="preserve">Interpretation</w:t>
            </w:r>
          </w:p>
        </w:tc>
      </w:tr>
      <w:tr>
        <w:tc>
          <w:tcPr/>
          <w:p>
            <w:pPr>
              <w:pStyle w:val="Compact"/>
              <w:jc w:val="left"/>
            </w:pPr>
            <w:r>
              <w:t xml:space="preserve">Single</w:t>
            </w:r>
          </w:p>
        </w:tc>
        <w:tc>
          <w:tcPr/>
          <w:p>
            <w:pPr>
              <w:pStyle w:val="Compact"/>
              <w:jc w:val="left"/>
            </w:pPr>
            <w:r>
              <w:t xml:space="preserve">Original target backbone</w:t>
            </w:r>
          </w:p>
        </w:tc>
        <w:tc>
          <w:tcPr/>
          <w:p>
            <w:pPr>
              <w:pStyle w:val="Compact"/>
              <w:jc w:val="left"/>
            </w:pPr>
            <w:r>
              <w:t xml:space="preserve">Baseline redesign around one input structure</w:t>
            </w:r>
          </w:p>
        </w:tc>
      </w:tr>
      <w:tr>
        <w:tc>
          <w:tcPr/>
          <w:p>
            <w:pPr>
              <w:pStyle w:val="Compact"/>
              <w:jc w:val="left"/>
            </w:pPr>
            <w:r>
              <w:t xml:space="preserve">BioEmu</w:t>
            </w:r>
          </w:p>
        </w:tc>
        <w:tc>
          <w:tcPr/>
          <w:p>
            <w:pPr>
              <w:pStyle w:val="Compact"/>
              <w:jc w:val="left"/>
            </w:pPr>
            <w:r>
              <w:t xml:space="preserve">Conformational ensemble around the target backbone</w:t>
            </w:r>
          </w:p>
        </w:tc>
        <w:tc>
          <w:tcPr/>
          <w:p>
            <w:pPr>
              <w:pStyle w:val="Compact"/>
              <w:jc w:val="left"/>
            </w:pPr>
            <w:r>
              <w:t xml:space="preserve">Same topology with conformational variation</w:t>
            </w:r>
          </w:p>
        </w:tc>
      </w:tr>
      <w:tr>
        <w:tc>
          <w:tcPr/>
          <w:p>
            <w:pPr>
              <w:pStyle w:val="Compact"/>
              <w:jc w:val="left"/>
            </w:pPr>
            <w:r>
              <w:t xml:space="preserve">RFD3</w:t>
            </w:r>
          </w:p>
        </w:tc>
        <w:tc>
          <w:tcPr/>
          <w:p>
            <w:pPr>
              <w:pStyle w:val="Compact"/>
              <w:jc w:val="left"/>
            </w:pPr>
            <w:r>
              <w:t xml:space="preserve">Selected/generated RFD3 backbone</w:t>
            </w:r>
          </w:p>
        </w:tc>
        <w:tc>
          <w:tcPr/>
          <w:p>
            <w:pPr>
              <w:pStyle w:val="Compact"/>
              <w:jc w:val="left"/>
            </w:pPr>
            <w:r>
              <w:t xml:space="preserve">Altered backbone geometry or topology context</w:t>
            </w:r>
          </w:p>
        </w:tc>
      </w:tr>
      <w:tr>
        <w:tc>
          <w:tcPr/>
          <w:p>
            <w:pPr>
              <w:pStyle w:val="Compact"/>
              <w:jc w:val="left"/>
            </w:pPr>
            <w:r>
              <w:t xml:space="preserve">RFD3 + BioEmu</w:t>
            </w:r>
          </w:p>
        </w:tc>
        <w:tc>
          <w:tcPr/>
          <w:p>
            <w:pPr>
              <w:pStyle w:val="Compact"/>
              <w:jc w:val="left"/>
            </w:pPr>
            <w:r>
              <w:t xml:space="preserve">BioEmu ensemble seeded from an RFD3 backbone</w:t>
            </w:r>
          </w:p>
        </w:tc>
        <w:tc>
          <w:tcPr/>
          <w:p>
            <w:pPr>
              <w:pStyle w:val="Compact"/>
              <w:jc w:val="left"/>
            </w:pPr>
            <w:r>
              <w:t xml:space="preserve">Combined backbone diversification and conformational sampling</w:t>
            </w:r>
          </w:p>
        </w:tc>
      </w:tr>
    </w:tbl>
    <w:p>
      <w:pPr>
        <w:pStyle w:val="BodyText"/>
      </w:pPr>
      <w:r>
        <w:rPr>
          <w:iCs/>
          <w:i/>
        </w:rPr>
        <w:t xml:space="preserve">Table 2. Structural-context arms used for RAPID compute-allocation analysis. The arms are designed as controlled exploration modes under matched AF2 caps, not as a priori quality-ranking assumptions.</w:t>
      </w:r>
    </w:p>
    <w:p>
      <w:pPr>
        <w:pStyle w:val="BodyText"/>
      </w:pPr>
      <w:r>
        <w:t xml:space="preserve">The present structural-context analysis includes a three-target RFD3 pilot comparing a single target backbone, one selected RFD3 backbone, and a three-backbone RFD3 ensemble. This pilot is retained as preliminary evidence that structural context changes target-dependent outcomes. A corrected-chain four-arm RAPID ablation protocol has also been implemented for the expanded data refresh, using the target manifest generated from corrected-chain CATH inputs. For the BioEmu arms in that refresh, the primary analysis keeps the same 2.0 Å target-RMSD gate across targets; sensitivity reruns may increase the sampling budget, but not the acceptance cutoff.</w:t>
      </w:r>
    </w:p>
    <w:bookmarkEnd w:id="33"/>
    <w:bookmarkEnd w:id="34"/>
    <w:bookmarkStart w:id="47" w:name="results"/>
    <w:p>
      <w:pPr>
        <w:pStyle w:val="Heading2"/>
      </w:pPr>
      <w:r>
        <w:t xml:space="preserve">3. Results</w:t>
      </w:r>
    </w:p>
    <w:bookmarkStart w:id="35" w:name="X008ffff3e55fa499ea175b85f41c3098b072907"/>
    <w:p>
      <w:pPr>
        <w:pStyle w:val="Heading3"/>
      </w:pPr>
      <w:r>
        <w:t xml:space="preserve">3.1 Claim 1: RAPID Converts Fragmented Model Outputs into Reusable Experimental Artifacts</w:t>
      </w:r>
    </w:p>
    <w:p>
      <w:pPr>
        <w:pStyle w:val="FirstParagraph"/>
      </w:pPr>
      <w:r>
        <w:t xml:space="preserve">The first effect of RAPID is operational: it makes heterogeneous model outputs reusable across analyses. In the current artifact benchmark, the K-means versus random selection analysis, surrogate-family comparison, sample-size ablation, rank-mean ensemble test, acquisition-bias analysis, and variance decomposition were regenerated from the same 2,737 stored AF2/SoluProt records. No separate refolding was performed for each ablation, and the benchmark scripts read the same artifact fields regardless of which downstream question was asked.</w:t>
      </w:r>
    </w:p>
    <w:p>
      <w:pPr>
        <w:pStyle w:val="BodyText"/>
      </w:pPr>
      <w:r>
        <w:t xml:space="preserve">This artifact reuse is the practical contribution beyond job submission. A pipeline that only launches tools has limited scientific value if each ablation still requires manual collation or repeated folding. RAPID changes the cost structure of analysis because stored artifacts can be resampled, rescored, compared, and audited after the expensive model calls have already completed. It also changes the cost of model replacement. If AF2 is replaced by another structure predictor, ProteinMPNN by another inverse-folding model, or SoluProt by another soluble-expression filter, the surrounding analysis code can remain stable as long as the replacement backend writes the same contract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t xml:space="preserve">RAPID artifact contract</w:t>
            </w:r>
          </w:p>
        </w:tc>
      </w:tr>
      <w:tr>
        <w:tc>
          <w:tcPr/>
          <w:p>
            <w:pPr>
              <w:pStyle w:val="Compact"/>
              <w:jc w:val="left"/>
            </w:pPr>
            <w:r>
              <w:t xml:space="preserve">Add a new surrogate comparison</w:t>
            </w:r>
          </w:p>
        </w:tc>
        <w:tc>
          <w:tcPr/>
          <w:p>
            <w:pPr>
              <w:pStyle w:val="Compact"/>
              <w:jc w:val="left"/>
            </w:pPr>
            <w:r>
              <w:t xml:space="preserve">Rebuild parser and manually reload AF2 outputs</w:t>
            </w:r>
          </w:p>
        </w:tc>
        <w:tc>
          <w:tcPr/>
          <w:p>
            <w:pPr>
              <w:pStyle w:val="Compact"/>
              <w:jc w:val="left"/>
            </w:pPr>
            <w:r>
              <w:t xml:space="preserve">Reload stored AF2/SoluProt artifact fields</w:t>
            </w:r>
          </w:p>
        </w:tc>
      </w:tr>
      <w:tr>
        <w:tc>
          <w:tcPr/>
          <w:p>
            <w:pPr>
              <w:pStyle w:val="Compact"/>
              <w:jc w:val="left"/>
            </w:pPr>
            <w:r>
              <w:t xml:space="preserve">Compare training-set sizes</w:t>
            </w:r>
          </w:p>
        </w:tc>
        <w:tc>
          <w:tcPr/>
          <w:p>
            <w:pPr>
              <w:pStyle w:val="Compact"/>
              <w:jc w:val="left"/>
            </w:pPr>
            <w:r>
              <w:t xml:space="preserve">Rerun or maintain custom subsampling scripts</w:t>
            </w:r>
          </w:p>
        </w:tc>
        <w:tc>
          <w:tcPr/>
          <w:p>
            <w:pPr>
              <w:pStyle w:val="Compact"/>
              <w:jc w:val="left"/>
            </w:pPr>
            <w:r>
              <w:t xml:space="preserve">Subsample one stored candidate pool</w:t>
            </w:r>
          </w:p>
        </w:tc>
      </w:tr>
      <w:tr>
        <w:tc>
          <w:tcPr/>
          <w:p>
            <w:pPr>
              <w:pStyle w:val="Compact"/>
              <w:jc w:val="left"/>
            </w:pPr>
            <w:r>
              <w:t xml:space="preserve">Swap structure predictor</w:t>
            </w:r>
          </w:p>
        </w:tc>
        <w:tc>
          <w:tcPr/>
          <w:p>
            <w:pPr>
              <w:pStyle w:val="Compact"/>
              <w:jc w:val="left"/>
            </w:pPr>
            <w:r>
              <w:t xml:space="preserve">Rewrite scoring and downstream collation</w:t>
            </w:r>
          </w:p>
        </w:tc>
        <w:tc>
          <w:tcPr/>
          <w:p>
            <w:pPr>
              <w:pStyle w:val="Compact"/>
              <w:jc w:val="left"/>
            </w:pPr>
            <w:r>
              <w:t xml:space="preserve">Replace backend that writes pLDDT-like artifact fields</w:t>
            </w:r>
          </w:p>
        </w:tc>
      </w:tr>
      <w:tr>
        <w:tc>
          <w:tcPr/>
          <w:p>
            <w:pPr>
              <w:pStyle w:val="Compact"/>
              <w:jc w:val="left"/>
            </w:pPr>
            <w:r>
              <w:t xml:space="preserve">Swap solubility model</w:t>
            </w:r>
          </w:p>
        </w:tc>
        <w:tc>
          <w:tcPr/>
          <w:p>
            <w:pPr>
              <w:pStyle w:val="Compact"/>
              <w:jc w:val="left"/>
            </w:pPr>
            <w:r>
              <w:t xml:space="preserve">Rebuild thresholding and result collation</w:t>
            </w:r>
          </w:p>
        </w:tc>
        <w:tc>
          <w:tcPr/>
          <w:p>
            <w:pPr>
              <w:pStyle w:val="Compact"/>
              <w:jc w:val="left"/>
            </w:pPr>
            <w:r>
              <w:t xml:space="preserve">Replace soluble-expression artifact writer</w:t>
            </w:r>
          </w:p>
        </w:tc>
      </w:tr>
      <w:tr>
        <w:tc>
          <w:tcPr/>
          <w:p>
            <w:pPr>
              <w:pStyle w:val="Compact"/>
              <w:jc w:val="left"/>
            </w:pPr>
            <w:r>
              <w:t xml:space="preserve">Add a retrospective metric</w:t>
            </w:r>
          </w:p>
        </w:tc>
        <w:tc>
          <w:tcPr/>
          <w:p>
            <w:pPr>
              <w:pStyle w:val="Compact"/>
              <w:jc w:val="left"/>
            </w:pPr>
            <w:r>
              <w:t xml:space="preserve">Recompute or reparse historical folders manually</w:t>
            </w:r>
          </w:p>
        </w:tc>
        <w:tc>
          <w:tcPr/>
          <w:p>
            <w:pPr>
              <w:pStyle w:val="Compact"/>
              <w:jc w:val="left"/>
            </w:pPr>
            <w:r>
              <w:t xml:space="preserve">Compute from run-scoped stored artifacts</w:t>
            </w:r>
          </w:p>
        </w:tc>
      </w:tr>
      <w:tr>
        <w:tc>
          <w:tcPr/>
          <w:p>
            <w:pPr>
              <w:pStyle w:val="Compact"/>
              <w:jc w:val="left"/>
            </w:pPr>
            <w:r>
              <w:t xml:space="preserve">Reproduce an old run</w:t>
            </w:r>
          </w:p>
        </w:tc>
        <w:tc>
          <w:tcPr/>
          <w:p>
            <w:pPr>
              <w:pStyle w:val="Compact"/>
              <w:jc w:val="left"/>
            </w:pPr>
            <w:r>
              <w:t xml:space="preserve">Recover scripts, folders, and environment manually</w:t>
            </w:r>
          </w:p>
        </w:tc>
        <w:tc>
          <w:tcPr/>
          <w:p>
            <w:pPr>
              <w:pStyle w:val="Compact"/>
              <w:jc w:val="left"/>
            </w:pPr>
            <w:r>
              <w:t xml:space="preserve">Open</w:t>
            </w:r>
            <w:r>
              <w:t xml:space="preserve"> </w:t>
            </w:r>
            <w:r>
              <w:rPr>
                <w:rStyle w:val="VerbatimChar"/>
              </w:rPr>
              <w:t xml:space="preserve">run_id</w:t>
            </w:r>
            <w:r>
              <w:t xml:space="preserve"> </w:t>
            </w:r>
            <w:r>
              <w:t xml:space="preserve">and inspect</w:t>
            </w:r>
            <w:r>
              <w:t xml:space="preserve"> </w:t>
            </w:r>
            <w:r>
              <w:rPr>
                <w:rStyle w:val="VerbatimChar"/>
              </w:rPr>
              <w:t xml:space="preserve">request.json</w:t>
            </w:r>
            <w:r>
              <w:t xml:space="preserve">, status, and artifacts</w:t>
            </w:r>
          </w:p>
        </w:tc>
      </w:tr>
    </w:tbl>
    <w:p>
      <w:pPr>
        <w:pStyle w:val="BodyText"/>
      </w:pPr>
      <w:r>
        <w:rPr>
          <w:iCs/>
          <w:i/>
        </w:rPr>
        <w:t xml:space="preserve">Table 3. Operational effect of RAPID. The contribution is not that the same tools are launched from one screen, but that model outputs are converted into a reusable artifact substrate that supports retrospective analysis, partial reruns, and backend replacement.</w:t>
      </w:r>
    </w:p>
    <w:bookmarkEnd w:id="35"/>
    <w:bookmarkStart w:id="39" w:name="Xbac834e7075412984afd7ace91d7242c8c20e41"/>
    <w:p>
      <w:pPr>
        <w:pStyle w:val="Heading3"/>
      </w:pPr>
      <w:r>
        <w:t xml:space="preserve">3.2 Claim 2: AF2-Budgeted Surrogate Triage Reduces Structure-Prediction Use After SoluProt Gating</w:t>
      </w:r>
    </w:p>
    <w:p>
      <w:pPr>
        <w:pStyle w:val="FirstParagraph"/>
      </w:pPr>
      <w:r>
        <w:t xml:space="preserve">The surrogate-triage benchmark supports a conservative AF2 allocation policy. K-means bootstrap selection is most useful when AF2 labels are scarce: for Random Forest pLDDT BO uplift, K-means improves over random selection by 38% at N = 5, 19% at N = 10, and 12% at N = 20. At N = 30, the difference becomes small because random sampling is already diverse enough in the current pools. This pattern supports K-means as a cold-start safeguard rather than as evidence that it should be preferred at every label budget.</w:t>
      </w:r>
    </w:p>
    <w:p>
      <w:pPr>
        <w:pStyle w:val="BodyText"/>
      </w:pPr>
      <w:r>
        <w:t xml:space="preserve">At the N = 30 operating point, Random Forest gives the highest mean pLDDT BO uplift Top-5 in the current artifact benchmark, while Ridge is strongest for SoluProt ranking and recall-oriented metrics. Because SoluProt is directly scored for every candidate in RAPID, the primary surrogate bottleneck is pLDDT-oriented AF2 triage. RAPID therefore uses Random Forest as the conservative default for pLDDT-driven acquisition and retains Ridge as an option when SoluProt ranking or recall is prioritised.</w:t>
      </w:r>
    </w:p>
    <w:p>
      <w:pPr>
        <w:pStyle w:val="CaptionedFigure"/>
      </w:pPr>
      <w:r>
        <w:drawing>
          <wp:inline>
            <wp:extent cx="5334000" cy="3446173"/>
            <wp:effectExtent b="0" l="0" r="0" t="0"/>
            <wp:docPr descr="Selection and model benchmark" title="" id="37" name="Picture"/>
            <a:graphic>
              <a:graphicData uri="http://schemas.openxmlformats.org/drawingml/2006/picture">
                <pic:pic>
                  <pic:nvPicPr>
                    <pic:cNvPr descr="figures/benchmark/fig5_model_comparison.png" id="38" name="Picture"/>
                    <pic:cNvPicPr>
                      <a:picLocks noChangeArrowheads="1" noChangeAspect="1"/>
                    </pic:cNvPicPr>
                  </pic:nvPicPr>
                  <pic:blipFill>
                    <a:blip r:embed="rId3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Selection and model benchmark</w:t>
      </w:r>
    </w:p>
    <w:p>
      <w:pPr>
        <w:pStyle w:val="BodyText"/>
      </w:pPr>
      <w:r>
        <w:rPr>
          <w:iCs/>
          <w:i/>
        </w:rPr>
        <w:t xml:space="preserve">Figure 3. Current artifact-benchmark surrogate comparison at N = 30. Random Forest is the conservative pLDDT BO-uplift default, whereas Ridge dominates SoluProt-related ranking metrics. Detailed model tables and per-target heatmaps are reported in the supplement.</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Evidence item</w:t>
            </w:r>
          </w:p>
        </w:tc>
        <w:tc>
          <w:tcPr/>
          <w:p>
            <w:pPr>
              <w:pStyle w:val="Compact"/>
              <w:jc w:val="right"/>
            </w:pPr>
            <w:r>
              <w:t xml:space="preserve">Current result</w:t>
            </w:r>
          </w:p>
        </w:tc>
        <w:tc>
          <w:tcPr/>
          <w:p>
            <w:pPr>
              <w:pStyle w:val="Compact"/>
              <w:jc w:val="left"/>
            </w:pPr>
            <w:r>
              <w:t xml:space="preserve">Manuscript interpretation</w:t>
            </w:r>
          </w:p>
        </w:tc>
      </w:tr>
      <w:tr>
        <w:tc>
          <w:tcPr/>
          <w:p>
            <w:pPr>
              <w:pStyle w:val="Compact"/>
              <w:jc w:val="left"/>
            </w:pPr>
            <w:r>
              <w:t xml:space="preserve">K-means vs random at N = 5</w:t>
            </w:r>
          </w:p>
        </w:tc>
        <w:tc>
          <w:tcPr/>
          <w:p>
            <w:pPr>
              <w:pStyle w:val="Compact"/>
              <w:jc w:val="right"/>
            </w:pPr>
            <w:r>
              <w:t xml:space="preserve">+38% RF pLDDT BO uplift</w:t>
            </w:r>
          </w:p>
        </w:tc>
        <w:tc>
          <w:tcPr/>
          <w:p>
            <w:pPr>
              <w:pStyle w:val="Compact"/>
              <w:jc w:val="left"/>
            </w:pPr>
            <w:r>
              <w:t xml:space="preserve">K-means protects the cold start</w:t>
            </w:r>
          </w:p>
        </w:tc>
      </w:tr>
      <w:tr>
        <w:tc>
          <w:tcPr/>
          <w:p>
            <w:pPr>
              <w:pStyle w:val="Compact"/>
              <w:jc w:val="left"/>
            </w:pPr>
            <w:r>
              <w:t xml:space="preserve">K-means vs random at N = 30</w:t>
            </w:r>
          </w:p>
        </w:tc>
        <w:tc>
          <w:tcPr/>
          <w:p>
            <w:pPr>
              <w:pStyle w:val="Compact"/>
              <w:jc w:val="right"/>
            </w:pPr>
            <w:r>
              <w:t xml:space="preserve">-1% RF pLDDT BO uplift</w:t>
            </w:r>
          </w:p>
        </w:tc>
        <w:tc>
          <w:tcPr/>
          <w:p>
            <w:pPr>
              <w:pStyle w:val="Compact"/>
              <w:jc w:val="left"/>
            </w:pPr>
            <w:r>
              <w:t xml:space="preserve">N = 30 is already near the diversity plateau</w:t>
            </w:r>
          </w:p>
        </w:tc>
      </w:tr>
      <w:tr>
        <w:tc>
          <w:tcPr/>
          <w:p>
            <w:pPr>
              <w:pStyle w:val="Compact"/>
              <w:jc w:val="left"/>
            </w:pPr>
            <w:r>
              <w:t xml:space="preserve">Best pLDDT BO uplift at N = 30</w:t>
            </w:r>
          </w:p>
        </w:tc>
        <w:tc>
          <w:tcPr/>
          <w:p>
            <w:pPr>
              <w:pStyle w:val="Compact"/>
              <w:jc w:val="right"/>
            </w:pPr>
            <w:r>
              <w:t xml:space="preserve">RF, 0.602</w:t>
            </w:r>
          </w:p>
        </w:tc>
        <w:tc>
          <w:tcPr/>
          <w:p>
            <w:pPr>
              <w:pStyle w:val="Compact"/>
              <w:jc w:val="left"/>
            </w:pPr>
            <w:r>
              <w:t xml:space="preserve">RF is the conservative AF2-triage default</w:t>
            </w:r>
          </w:p>
        </w:tc>
      </w:tr>
      <w:tr>
        <w:tc>
          <w:tcPr/>
          <w:p>
            <w:pPr>
              <w:pStyle w:val="Compact"/>
              <w:jc w:val="left"/>
            </w:pPr>
            <w:r>
              <w:t xml:space="preserve">Best SoluProt ranking metrics</w:t>
            </w:r>
          </w:p>
        </w:tc>
        <w:tc>
          <w:tcPr/>
          <w:p>
            <w:pPr>
              <w:pStyle w:val="Compact"/>
              <w:jc w:val="right"/>
            </w:pPr>
            <w:r>
              <w:t xml:space="preserve">Ridge</w:t>
            </w:r>
          </w:p>
        </w:tc>
        <w:tc>
          <w:tcPr/>
          <w:p>
            <w:pPr>
              <w:pStyle w:val="Compact"/>
              <w:jc w:val="left"/>
            </w:pPr>
            <w:r>
              <w:t xml:space="preserve">Ridge remains a score-specific production option</w:t>
            </w:r>
          </w:p>
        </w:tc>
      </w:tr>
      <w:tr>
        <w:tc>
          <w:tcPr/>
          <w:p>
            <w:pPr>
              <w:pStyle w:val="Compact"/>
              <w:jc w:val="left"/>
            </w:pPr>
            <w:r>
              <w:t xml:space="preserve">N = 30 vs N = 80</w:t>
            </w:r>
          </w:p>
        </w:tc>
        <w:tc>
          <w:tcPr/>
          <w:p>
            <w:pPr>
              <w:pStyle w:val="Compact"/>
              <w:jc w:val="right"/>
            </w:pPr>
            <w:r>
              <w:t xml:space="preserve">93.1% of RF pLDDT uplift at 37.5% of labels</w:t>
            </w:r>
          </w:p>
        </w:tc>
        <w:tc>
          <w:tcPr/>
          <w:p>
            <w:pPr>
              <w:pStyle w:val="Compact"/>
              <w:jc w:val="left"/>
            </w:pPr>
            <w:r>
              <w:t xml:space="preserve">N = 30 is a cost-efficient operating point</w:t>
            </w:r>
          </w:p>
        </w:tc>
      </w:tr>
    </w:tbl>
    <w:p>
      <w:pPr>
        <w:pStyle w:val="BodyText"/>
      </w:pPr>
      <w:r>
        <w:rPr>
          <w:iCs/>
          <w:i/>
        </w:rPr>
        <w:t xml:space="preserve">Table 4. Surrogate-triage evidence condensed for the main manuscript. The full surrogate, sample-size, and acquisition-bias analyses are moved to supplementary material.</w:t>
      </w:r>
    </w:p>
    <w:p>
      <w:pPr>
        <w:pStyle w:val="BodyText"/>
      </w:pPr>
      <w:r>
        <w:t xml:space="preserve">The budget effect is explicit at the run level. Folding every candidate in a 90-candidate SoluProt-gated pool would require 90 AF2 calls. The implemented surrogate-triage schedule spends 30 calls on the K-means bootstrap set and 20 calls on surrogate-ranked Top-K candidates, for 50 AF2 calls when the pool exceeds this budget. This is a 44% reduction in AF2 evaluations for the representative 90-candidate pool. Larger pools produce larger absolute savings because the triage budget remains fixed while the full-folding baseline scales with the number of SoluProt-passing candidates.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surrogate triage</w:t>
            </w:r>
          </w:p>
        </w:tc>
        <w:tc>
          <w:tcPr/>
          <w:p>
            <w:pPr>
              <w:pStyle w:val="Compact"/>
              <w:jc w:val="right"/>
            </w:pPr>
            <w:r>
              <w:t xml:space="preserve">Reduction</w:t>
            </w:r>
          </w:p>
        </w:tc>
      </w:tr>
      <w:tr>
        <w:tc>
          <w:tcPr/>
          <w:p>
            <w:pPr>
              <w:pStyle w:val="Compact"/>
              <w:jc w:val="left"/>
            </w:pPr>
            <w:r>
              <w:t xml:space="preserve">One target run, 90 gated candidates</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One target run, 200 gated candidates</w:t>
            </w:r>
          </w:p>
        </w:tc>
        <w:tc>
          <w:tcPr/>
          <w:p>
            <w:pPr>
              <w:pStyle w:val="Compact"/>
              <w:jc w:val="right"/>
            </w:pPr>
            <w:r>
              <w:t xml:space="preserve">200</w:t>
            </w:r>
          </w:p>
        </w:tc>
        <w:tc>
          <w:tcPr/>
          <w:p>
            <w:pPr>
              <w:pStyle w:val="Compact"/>
              <w:jc w:val="right"/>
            </w:pPr>
            <w:r>
              <w:t xml:space="preserve">50</w:t>
            </w:r>
          </w:p>
        </w:tc>
        <w:tc>
          <w:tcPr/>
          <w:p>
            <w:pPr>
              <w:pStyle w:val="Compact"/>
              <w:jc w:val="right"/>
            </w:pPr>
            <w:r>
              <w:t xml:space="preserve">75%</w:t>
            </w:r>
          </w:p>
        </w:tc>
      </w:tr>
      <w:tr>
        <w:tc>
          <w:tcPr/>
          <w:p>
            <w:pPr>
              <w:pStyle w:val="Compact"/>
              <w:jc w:val="left"/>
            </w:pPr>
            <w:r>
              <w:t xml:space="preserve">One target run, 1,000 gated candidates</w:t>
            </w:r>
          </w:p>
        </w:tc>
        <w:tc>
          <w:tcPr/>
          <w:p>
            <w:pPr>
              <w:pStyle w:val="Compact"/>
              <w:jc w:val="right"/>
            </w:pPr>
            <w:r>
              <w:t xml:space="preserve">1,000</w:t>
            </w:r>
          </w:p>
        </w:tc>
        <w:tc>
          <w:tcPr/>
          <w:p>
            <w:pPr>
              <w:pStyle w:val="Compact"/>
              <w:jc w:val="right"/>
            </w:pPr>
            <w:r>
              <w:t xml:space="preserve">50</w:t>
            </w:r>
          </w:p>
        </w:tc>
        <w:tc>
          <w:tcPr/>
          <w:p>
            <w:pPr>
              <w:pStyle w:val="Compact"/>
              <w:jc w:val="right"/>
            </w:pPr>
            <w:r>
              <w:t xml:space="preserve">95%</w:t>
            </w:r>
          </w:p>
        </w:tc>
      </w:tr>
    </w:tbl>
    <w:p>
      <w:pPr>
        <w:pStyle w:val="BodyText"/>
      </w:pPr>
      <w:r>
        <w:rPr>
          <w:iCs/>
          <w:i/>
        </w:rPr>
        <w:t xml:space="preserve">Table 5. AF2 budget model for the standard surrogate-triage mode. The implemented default evaluates 30 K-means bootstrap candidates and 20 Top-K acquisitions. This table is a budget model, not a biological enrichment result; prospective wet-lab outcomes are handled by the separate experimental-feedback evolution mode.</w:t>
      </w:r>
    </w:p>
    <w:p>
      <w:pPr>
        <w:pStyle w:val="BodyText"/>
      </w:pPr>
      <w:r>
        <w:t xml:space="preserve">Two representative historical in-silico traces verify that the computational surrogate path is implemented end to end. The 3RGK run evaluated 94 AF2 records from 8,000 SoluProt-gated candidates, and the 1LVM run evaluated 49 AF2 records from 8,000 SoluProt-gated candidates. These traces demonstrate pool generation, SoluProt gating, ESM embedding, K-means bootstrap labelling, surrogate ranking, AF2 acquisition, and final design selection within the stored artifact model. They are not treated as paired biological validation because they cover two targets, use computational pLDDT labels, and have different Top-K settings. The current paper-run script for claim 2 uses the standard surrogate-triage mode rather than experimental-feedback evolution, so the computational budget claim and the wet-lab feedback interface remain separate.</w:t>
      </w:r>
    </w:p>
    <w:bookmarkEnd w:id="39"/>
    <w:bookmarkStart w:id="46" w:name="X2331df6cb21d1e33f5c545233b655cdc17d7824"/>
    <w:p>
      <w:pPr>
        <w:pStyle w:val="Heading3"/>
      </w:pPr>
      <w:r>
        <w:t xml:space="preserve">3.3 Claim 3: Structural Context Provides a Testable Compute-Allocation Axis</w:t>
      </w:r>
    </w:p>
    <w:p>
      <w:pPr>
        <w:pStyle w:val="FirstParagraph"/>
      </w:pPr>
      <w:r>
        <w:t xml:space="preserve">The current artifact benchmark shows that target identity dominates observed design-quality variation. In the 23-target stored benchmark, target identity explains 98.8% of pLDDT variance and 96.8% of SoluProt variance. This does not prove that ProteinMPNN has no sampling headroom. It shows that, in the observed artifact set, drawing more sequences around the same target/backbone has much less variance to exploit than changing the target or structural context.</w:t>
      </w:r>
    </w:p>
    <w:p>
      <w:pPr>
        <w:pStyle w:val="CaptionedFigure"/>
      </w:pPr>
      <w:r>
        <w:drawing>
          <wp:inline>
            <wp:extent cx="5334000" cy="3740385"/>
            <wp:effectExtent b="0" l="0" r="0" t="0"/>
            <wp:docPr descr="Variance decomposition" title="" id="41" name="Picture"/>
            <a:graphic>
              <a:graphicData uri="http://schemas.openxmlformats.org/drawingml/2006/picture">
                <pic:pic>
                  <pic:nvPicPr>
                    <pic:cNvPr descr="figures/benchmark/fig10_mpnn_decomposition.png" id="42" name="Picture"/>
                    <pic:cNvPicPr>
                      <a:picLocks noChangeArrowheads="1" noChangeAspect="1"/>
                    </pic:cNvPicPr>
                  </pic:nvPicPr>
                  <pic:blipFill>
                    <a:blip r:embed="rId40"/>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Variance decomposition</w:t>
      </w:r>
    </w:p>
    <w:p>
      <w:pPr>
        <w:pStyle w:val="BodyText"/>
      </w:pPr>
      <w:r>
        <w:rPr>
          <w:iCs/>
          <w:i/>
        </w:rPr>
        <w:t xml:space="preserve">Figure 4. Current artifact-benchmark variance decomposition. Per-target pLDDT distributions are tightly clustered within target and separated across targets, indicating that target or structural context is the dominant observed variance axis.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t xml:space="preserve">0.968</w:t>
            </w:r>
          </w:p>
        </w:tc>
      </w:tr>
    </w:tbl>
    <w:p>
      <w:pPr>
        <w:pStyle w:val="BodyText"/>
      </w:pPr>
      <w:r>
        <w:rPr>
          <w:iCs/>
          <w:i/>
        </w:rPr>
        <w:t xml:space="preserve">Table 6. Variance decomposition in the current artifact benchmark. ICC1 near 1 supports allocating some early compute to target or structural-context triage rather than only to deeper sequence sampling within one context.</w:t>
      </w:r>
    </w:p>
    <w:p>
      <w:pPr>
        <w:pStyle w:val="BodyText"/>
      </w:pPr>
      <w:r>
        <w:t xml:space="preserve">The completed three-target RFD3 pilot is consistent with this interpretation but is not powered as a general performance claim. Averaged over three CATH targets, the selected-RFD3 arm had higher Top-5 pLDDT than the single-backbone arm, whereas the RFD3-ensemble arm was intermediate for pLDDT and slightly higher for Top-5 SoluProt. The target-level pattern was mixed: RFD3 helped a low-pLDDT case but did not uniformly improve already high-confidence targets. This supports the claim that structural-context exploration is measurable and target-dependent, not the claim that one structural generator is universally superior.</w:t>
      </w:r>
    </w:p>
    <w:p>
      <w:pPr>
        <w:pStyle w:val="CaptionedFigure"/>
      </w:pPr>
      <w:r>
        <w:drawing>
          <wp:inline>
            <wp:extent cx="5334000" cy="1668473"/>
            <wp:effectExtent b="0" l="0" r="0" t="0"/>
            <wp:docPr descr="Structural-context pilot" title="" id="44" name="Picture"/>
            <a:graphic>
              <a:graphicData uri="http://schemas.openxmlformats.org/drawingml/2006/picture">
                <pic:pic>
                  <pic:nvPicPr>
                    <pic:cNvPr descr="figures/benchmark/fig12_backbone_ensemble_ablation.png" id="45" name="Picture"/>
                    <pic:cNvPicPr>
                      <a:picLocks noChangeArrowheads="1" noChangeAspect="1"/>
                    </pic:cNvPicPr>
                  </pic:nvPicPr>
                  <pic:blipFill>
                    <a:blip r:embed="rId43"/>
                    <a:stretch>
                      <a:fillRect/>
                    </a:stretch>
                  </pic:blipFill>
                  <pic:spPr bwMode="auto">
                    <a:xfrm>
                      <a:off x="0" y="0"/>
                      <a:ext cx="5334000" cy="1668473"/>
                    </a:xfrm>
                    <a:prstGeom prst="rect">
                      <a:avLst/>
                    </a:prstGeom>
                    <a:noFill/>
                    <a:ln w="9525">
                      <a:noFill/>
                      <a:headEnd/>
                      <a:tailEnd/>
                    </a:ln>
                  </pic:spPr>
                </pic:pic>
              </a:graphicData>
            </a:graphic>
          </wp:inline>
        </w:drawing>
      </w:r>
    </w:p>
    <w:p>
      <w:pPr>
        <w:pStyle w:val="ImageCaption"/>
      </w:pPr>
      <w:r>
        <w:t xml:space="preserve">Structural-context pilot</w:t>
      </w:r>
    </w:p>
    <w:p>
      <w:pPr>
        <w:pStyle w:val="BodyText"/>
      </w:pPr>
      <w:r>
        <w:rPr>
          <w:iCs/>
          <w:i/>
        </w:rPr>
        <w:t xml:space="preserve">Figure 5. Three-target structural-context pilot. The single-target, selected-RFD3, and RFD3-ensemble arms were compared under matched AF2 caps. The updated RAPID implementation extends this protocol to BioEmu and RFD3+BioEmu arms for the corrected-chain data refresh.</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p>
      <w:pPr>
        <w:pStyle w:val="BodyText"/>
      </w:pPr>
      <w:r>
        <w:rPr>
          <w:iCs/>
          <w:i/>
        </w:rPr>
        <w:t xml:space="preserve">Table 7. Structural-context pilot summary. Values are target-level means over three CATH targets and one replicate per target-arm condition. The pilot supports structural-context exploration as a measurable workflow variable, not a universal performance advantage for a particular generator.</w:t>
      </w:r>
    </w:p>
    <w:bookmarkEnd w:id="46"/>
    <w:bookmarkEnd w:id="47"/>
    <w:bookmarkStart w:id="48"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an AF2-allocation policy, not a wet-lab hit-rate claim. K-means is most useful as a cold-start diversity mechanism, Random Forest is a conservative pLDDT acquisition default, Ridge is useful for SoluProt-oriented ranking, and N = 30 is a cost-efficient bootstrap point in the current artifact benchmark. These findings justify the implemented budget model because they directly address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The structural-context result reframes backbone and ensemble stages as allocation levers. If observed variance were mainly within a target, deeper ProteinMPNN sampling would be the primary way to spend compute. Instead, target identity dominates the current stored benchmark, and the RFD3 pilot shows target-dependent tradeoffs. The next analysis should therefore compare single, BioEmu, RFD3, and RFD3+BioEmu contexts across a corrected-chain target set rather than treating RFD3 or BioEmu as default score-improvement modules. In that comparison, BioEmu coverage is itself an informative workflow outcome: failure to obtain near-target conformers under the pre-specified RMSD gate is a QC limitation of that structural-context arm, not evidence that the downstream sequences are biologically poor. The updated RAPID scripts now support both the four-arm comparison and the BioEmu sampling-budget sensitivity check.</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48"/>
    <w:bookmarkStart w:id="49"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experimental-feedback evolution interface can ingest assay labels and recommend the next candidate set, but no prospective wet-lab enrichment result is claimed here. The completed structural-context pilot covers three targets and does not include BioEmu arms; it is sufficient to motivate the four-arm RAPID ablation but not to claim a universal advantage for RFD3, BioEmu, or their combination. Optional diagnostic summaries are used for audit and failure review only; they are not evaluated here as autonomous mutation-policy models.</w:t>
      </w:r>
    </w:p>
    <w:bookmarkEnd w:id="49"/>
    <w:bookmarkStart w:id="50" w:name="conclusion"/>
    <w:p>
      <w:pPr>
        <w:pStyle w:val="Heading2"/>
      </w:pPr>
      <w:r>
        <w:t xml:space="preserve">6. Conclusion</w:t>
      </w:r>
    </w:p>
    <w:p>
      <w:pPr>
        <w:pStyle w:val="FirstParagraph"/>
      </w:pPr>
      <w:r>
        <w:t xml:space="preserve">RAPID addresses a practical gap between rapidly changing protein-design models and the reproducible infrastructure needed to use them in solubility-aware redesign campaigns. It preserves run-scoped artifacts, supports controlled partial reruns, exposes the workflow through a packageable static interface and backend API, and keeps model interfaces replaceable. On top of this infrastructure, an AF2-budgeted surrogate-triage mode uses SoluProt gating, K-means bootstrap selection, local surrogate ranking, and Top-K acquisition to reduce structure-prediction calls. A separate experimental-feedback evolution mode records assay outcomes and uses those labels to recommend the next candidate set.</w:t>
      </w:r>
    </w:p>
    <w:p>
      <w:pPr>
        <w:pStyle w:val="BodyText"/>
      </w:pPr>
      <w:r>
        <w:t xml:space="preserve">The manuscript’s central claims are intentionally limited. RAPID makes fragmented model outputs reusable; it reduces AF2/ColabFold evaluations for post-SoluProt triage; and it makes structural-context allocation testable across single, BioEmu, RFD3, and combined contexts. These claims are suitable for a software and empirical benchmark paper because they are tied to stored artifacts, explicit budgets, and reproducible scripts. Experimental solubility, stability, and activity remain future validation targets rather than claims of the present work, even though the software now provides the data path needed to incorporate those measurements in subsequent rounds.</w:t>
      </w:r>
    </w:p>
    <w:bookmarkEnd w:id="50"/>
    <w:bookmarkStart w:id="51"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w:t>
      </w:r>
      <w:r>
        <w:t xml:space="preserve">in the public-release package.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51"/>
    <w:bookmarkStart w:id="52"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2026-05-20T00:41:56Z</dcterms:created>
  <dcterms:modified xsi:type="dcterms:W3CDTF">2026-05-20T00:41:56Z</dcterms:modified>
</cp:coreProperties>
</file>

<file path=docProps/custom.xml><?xml version="1.0" encoding="utf-8"?>
<Properties xmlns="http://schemas.openxmlformats.org/officeDocument/2006/custom-properties" xmlns:vt="http://schemas.openxmlformats.org/officeDocument/2006/docPropsVTypes"/>
</file>