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8.png" ContentType="image/png"/>
  <Override PartName="/word/media/rId37.png" ContentType="image/png"/>
  <Override PartName="/word/media/rId4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supplementary-material-for-rapid"/>
    <w:p>
      <w:pPr>
        <w:pStyle w:val="Heading1"/>
      </w:pPr>
      <w:r>
        <w:t xml:space="preserve">Supplementary Material for RAPID</w:t>
      </w:r>
    </w:p>
    <w:bookmarkStart w:id="20" w:name="X9307564d3717466c8fe0a41272ee2e302e8143a"/>
    <w:p>
      <w:pPr>
        <w:pStyle w:val="Heading2"/>
      </w:pPr>
      <w:r>
        <w:t xml:space="preserve">Supplementary Note 1. Status of the CATH Benchmark Refresh</w:t>
      </w:r>
    </w:p>
    <w:p>
      <w:pPr>
        <w:pStyle w:val="FirstParagraph"/>
      </w:pPr>
      <w:r>
        <w:t xml:space="preserve">The main manuscript uses the current 23-target CATH artifact benchmark as component-level evidence for AF2-budgeted surrogate-triage design choices rather than as the final corrected-chain benchmark. That benchmark was generated before the final chain-selection fixes and is retained because it provides paired SoluProt and pLDDT records for surrogate and acquisition analyses. A corrected-chain refresh manifest has been generated at</w:t>
      </w:r>
      <w:r>
        <w:t xml:space="preserve"> </w:t>
      </w:r>
      <w:r>
        <w:rPr>
          <w:rStyle w:val="VerbatimChar"/>
        </w:rPr>
        <w:t xml:space="preserve">public_release/data/benchmark/results/rapid_target_manifest.csv</w:t>
      </w:r>
      <w:r>
        <w:t xml:space="preserve">. The manifest selects 40 CATH targets for re-screening and 8 targets for the four-arm structural-context ablation. The selected structural-context arms are the original target backbone, target plus BioEmu ensemble, selected RFD3 backbone, and RFD3 plus BioEmu ensemble.</w:t>
      </w:r>
    </w:p>
    <w:bookmarkEnd w:id="20"/>
    <w:bookmarkStart w:id="24" w:name="X4846836f4a2c4ca26d384eb638b52d29193eedd"/>
    <w:p>
      <w:pPr>
        <w:pStyle w:val="Heading2"/>
      </w:pPr>
      <w:r>
        <w:t xml:space="preserve">Supplementary Note 2. Current CATH Artifact Corpus</w:t>
      </w:r>
    </w:p>
    <w:p>
      <w:pPr>
        <w:pStyle w:val="FirstParagraph"/>
      </w:pPr>
      <w:r>
        <w:t xml:space="preserve">The pre-refresh CATH archive contains 73 completed CATH run directories. Twenty-three runs passed the QC rule requiring all three conservation tiers, at least 100 valid non-fallback amino-acid design sequences, and at least 100 positive pLDDT records. The included subset contains 2,737 paired SoluProt/pLDDT design rows. Excluded records are treated as input-compatibility or fallback-design artifacts under the previous pipeline contract, not as valid low-quality biological designs.</w:t>
      </w:r>
    </w:p>
    <w:p>
      <w:pPr>
        <w:pStyle w:val="CaptionedFigure"/>
      </w:pPr>
      <w:r>
        <w:drawing>
          <wp:inline>
            <wp:extent cx="5334000" cy="4185209"/>
            <wp:effectExtent b="0" l="0" r="0" t="0"/>
            <wp:docPr descr="QC-filtered CATH artifact corpus" title="" id="22" name="Picture"/>
            <a:graphic>
              <a:graphicData uri="http://schemas.openxmlformats.org/drawingml/2006/picture">
                <pic:pic>
                  <pic:nvPicPr>
                    <pic:cNvPr descr="figures/benchmark/fig11_cath_curated_expansion.png" id="23" name="Picture"/>
                    <pic:cNvPicPr>
                      <a:picLocks noChangeArrowheads="1" noChangeAspect="1"/>
                    </pic:cNvPicPr>
                  </pic:nvPicPr>
                  <pic:blipFill>
                    <a:blip r:embed="rId21"/>
                    <a:stretch>
                      <a:fillRect/>
                    </a:stretch>
                  </pic:blipFill>
                  <pic:spPr bwMode="auto">
                    <a:xfrm>
                      <a:off x="0" y="0"/>
                      <a:ext cx="5334000" cy="4185209"/>
                    </a:xfrm>
                    <a:prstGeom prst="rect">
                      <a:avLst/>
                    </a:prstGeom>
                    <a:noFill/>
                    <a:ln w="9525">
                      <a:noFill/>
                      <a:headEnd/>
                      <a:tailEnd/>
                    </a:ln>
                  </pic:spPr>
                </pic:pic>
              </a:graphicData>
            </a:graphic>
          </wp:inline>
        </w:drawing>
      </w:r>
    </w:p>
    <w:p>
      <w:pPr>
        <w:pStyle w:val="ImageCaption"/>
      </w:pPr>
      <w:r>
        <w:t xml:space="preserve">QC-filtered CATH artifact corpus</w:t>
      </w:r>
    </w:p>
    <w:p>
      <w:pPr>
        <w:pStyle w:val="BodyText"/>
      </w:pPr>
      <w:r>
        <w:rPr>
          <w:iCs/>
          <w:i/>
        </w:rPr>
        <w:t xml:space="preserve">Supplementary Figure S1. Target-level summary of the pre-refresh CATH artifact corpus. The figure shows target-level pLDDT and SoluProt heterogeneity after excluding fallback or input-incompatible outputs.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Completed CATH runs parsed</w:t>
            </w:r>
          </w:p>
        </w:tc>
        <w:tc>
          <w:tcPr/>
          <w:p>
            <w:pPr>
              <w:pStyle w:val="Compact"/>
              <w:jc w:val="right"/>
            </w:pPr>
            <w:r>
              <w:t xml:space="preserve">73</w:t>
            </w:r>
          </w:p>
        </w:tc>
      </w:tr>
      <w:tr>
        <w:tc>
          <w:tcPr/>
          <w:p>
            <w:pPr>
              <w:pStyle w:val="Compact"/>
              <w:jc w:val="left"/>
            </w:pPr>
            <w:r>
              <w:t xml:space="preserve">QC-included targets</w:t>
            </w:r>
          </w:p>
        </w:tc>
        <w:tc>
          <w:tcPr/>
          <w:p>
            <w:pPr>
              <w:pStyle w:val="Compact"/>
              <w:jc w:val="right"/>
            </w:pPr>
            <w:r>
              <w:t xml:space="preserve">23</w:t>
            </w:r>
          </w:p>
        </w:tc>
      </w:tr>
      <w:tr>
        <w:tc>
          <w:tcPr/>
          <w:p>
            <w:pPr>
              <w:pStyle w:val="Compact"/>
              <w:jc w:val="left"/>
            </w:pPr>
            <w:r>
              <w:t xml:space="preserve">QC-excluded runs</w:t>
            </w:r>
          </w:p>
        </w:tc>
        <w:tc>
          <w:tcPr/>
          <w:p>
            <w:pPr>
              <w:pStyle w:val="Compact"/>
              <w:jc w:val="right"/>
            </w:pPr>
            <w:r>
              <w:t xml:space="preserve">50</w:t>
            </w:r>
          </w:p>
        </w:tc>
      </w:tr>
      <w:tr>
        <w:tc>
          <w:tcPr/>
          <w:p>
            <w:pPr>
              <w:pStyle w:val="Compact"/>
              <w:jc w:val="left"/>
            </w:pPr>
            <w:r>
              <w:t xml:space="preserve">Valid paired design rows</w:t>
            </w:r>
          </w:p>
        </w:tc>
        <w:tc>
          <w:tcPr/>
          <w:p>
            <w:pPr>
              <w:pStyle w:val="Compact"/>
              <w:jc w:val="right"/>
            </w:pPr>
            <w:r>
              <w:t xml:space="preserve">2,737</w:t>
            </w:r>
          </w:p>
        </w:tc>
      </w:tr>
      <w:tr>
        <w:tc>
          <w:tcPr/>
          <w:p>
            <w:pPr>
              <w:pStyle w:val="Compact"/>
              <w:jc w:val="left"/>
            </w:pPr>
            <w:r>
              <w:t xml:space="preserve">Positive pLDDT records</w:t>
            </w:r>
          </w:p>
        </w:tc>
        <w:tc>
          <w:tcPr/>
          <w:p>
            <w:pPr>
              <w:pStyle w:val="Compact"/>
              <w:jc w:val="right"/>
            </w:pPr>
            <w:r>
              <w:t xml:space="preserve">2,737</w:t>
            </w:r>
          </w:p>
        </w:tc>
      </w:tr>
      <w:tr>
        <w:tc>
          <w:tcPr/>
          <w:p>
            <w:pPr>
              <w:pStyle w:val="Compact"/>
              <w:jc w:val="left"/>
            </w:pPr>
            <w:r>
              <w:t xml:space="preserve">SoluProt records</w:t>
            </w:r>
          </w:p>
        </w:tc>
        <w:tc>
          <w:tcPr/>
          <w:p>
            <w:pPr>
              <w:pStyle w:val="Compact"/>
              <w:jc w:val="right"/>
            </w:pPr>
            <w:r>
              <w:t xml:space="preserve">2,737</w:t>
            </w:r>
          </w:p>
        </w:tc>
      </w:tr>
      <w:tr>
        <w:tc>
          <w:tcPr/>
          <w:p>
            <w:pPr>
              <w:pStyle w:val="Compact"/>
              <w:jc w:val="left"/>
            </w:pPr>
            <w:r>
              <w:t xml:space="preserve">Mean pLDDT</w:t>
            </w:r>
          </w:p>
        </w:tc>
        <w:tc>
          <w:tcPr/>
          <w:p>
            <w:pPr>
              <w:pStyle w:val="Compact"/>
              <w:jc w:val="right"/>
            </w:pPr>
            <w:r>
              <w:t xml:space="preserve">91.91</w:t>
            </w:r>
          </w:p>
        </w:tc>
      </w:tr>
      <w:tr>
        <w:tc>
          <w:tcPr/>
          <w:p>
            <w:pPr>
              <w:pStyle w:val="Compact"/>
              <w:jc w:val="left"/>
            </w:pPr>
            <w:r>
              <w:t xml:space="preserve">Maximum pLDDT</w:t>
            </w:r>
          </w:p>
        </w:tc>
        <w:tc>
          <w:tcPr/>
          <w:p>
            <w:pPr>
              <w:pStyle w:val="Compact"/>
              <w:jc w:val="right"/>
            </w:pPr>
            <w:r>
              <w:t xml:space="preserve">97.89</w:t>
            </w:r>
          </w:p>
        </w:tc>
      </w:tr>
      <w:tr>
        <w:tc>
          <w:tcPr/>
          <w:p>
            <w:pPr>
              <w:pStyle w:val="Compact"/>
              <w:jc w:val="left"/>
            </w:pPr>
            <w:r>
              <w:t xml:space="preserve">Mean SoluProt</w:t>
            </w:r>
          </w:p>
        </w:tc>
        <w:tc>
          <w:tcPr/>
          <w:p>
            <w:pPr>
              <w:pStyle w:val="Compact"/>
              <w:jc w:val="right"/>
            </w:pPr>
            <w:r>
              <w:t xml:space="preserve">0.615</w:t>
            </w:r>
          </w:p>
        </w:tc>
      </w:tr>
      <w:tr>
        <w:tc>
          <w:tcPr/>
          <w:p>
            <w:pPr>
              <w:pStyle w:val="Compact"/>
              <w:jc w:val="left"/>
            </w:pPr>
            <w:r>
              <w:t xml:space="preserve">Maximum SoluProt</w:t>
            </w:r>
          </w:p>
        </w:tc>
        <w:tc>
          <w:tcPr/>
          <w:p>
            <w:pPr>
              <w:pStyle w:val="Compact"/>
              <w:jc w:val="right"/>
            </w:pPr>
            <w:r>
              <w:t xml:space="preserve">0.971</w:t>
            </w:r>
          </w:p>
        </w:tc>
      </w:tr>
    </w:tbl>
    <w:bookmarkEnd w:id="24"/>
    <w:bookmarkStart w:id="31" w:name="Xd9791686d04a039c6e586fe30f5a6697d06f033"/>
    <w:p>
      <w:pPr>
        <w:pStyle w:val="Heading2"/>
      </w:pPr>
      <w:r>
        <w:t xml:space="preserve">Supplementary Note 3. Training-Set Selection</w:t>
      </w:r>
    </w:p>
    <w:p>
      <w:pPr>
        <w:pStyle w:val="FirstParagraph"/>
      </w:pPr>
      <w:r>
        <w:t xml:space="preserve">The Random Forest selection-size ablation shows that K-means is most useful when AF2 labels are scarce. The K-means advantage is largest at N = 5 and N = 10 and becomes small near the production default N = 30. This supports using K-means as a cold-start safeguard rather than as a claim that K-means always dominates random selection at larger training budgets.</w:t>
      </w:r>
    </w:p>
    <w:p>
      <w:pPr>
        <w:pStyle w:val="CaptionedFigure"/>
      </w:pPr>
      <w:r>
        <w:drawing>
          <wp:inline>
            <wp:extent cx="5334000" cy="2073653"/>
            <wp:effectExtent b="0" l="0" r="0" t="0"/>
            <wp:docPr descr="Selection-size ablation" title="" id="26" name="Picture"/>
            <a:graphic>
              <a:graphicData uri="http://schemas.openxmlformats.org/drawingml/2006/picture">
                <pic:pic>
                  <pic:nvPicPr>
                    <pic:cNvPr descr="figures/benchmark/fig3_selection_n_curves.png" id="27" name="Picture"/>
                    <pic:cNvPicPr>
                      <a:picLocks noChangeArrowheads="1" noChangeAspect="1"/>
                    </pic:cNvPicPr>
                  </pic:nvPicPr>
                  <pic:blipFill>
                    <a:blip r:embed="rId25"/>
                    <a:stretch>
                      <a:fillRect/>
                    </a:stretch>
                  </pic:blipFill>
                  <pic:spPr bwMode="auto">
                    <a:xfrm>
                      <a:off x="0" y="0"/>
                      <a:ext cx="5334000" cy="2073653"/>
                    </a:xfrm>
                    <a:prstGeom prst="rect">
                      <a:avLst/>
                    </a:prstGeom>
                    <a:noFill/>
                    <a:ln w="9525">
                      <a:noFill/>
                      <a:headEnd/>
                      <a:tailEnd/>
                    </a:ln>
                  </pic:spPr>
                </pic:pic>
              </a:graphicData>
            </a:graphic>
          </wp:inline>
        </w:drawing>
      </w:r>
    </w:p>
    <w:p>
      <w:pPr>
        <w:pStyle w:val="ImageCaption"/>
      </w:pPr>
      <w:r>
        <w:t xml:space="preserve">Selection-size ablation</w:t>
      </w:r>
    </w:p>
    <w:p>
      <w:pPr>
        <w:pStyle w:val="BodyText"/>
      </w:pPr>
      <w:r>
        <w:rPr>
          <w:iCs/>
          <w:i/>
        </w:rPr>
        <w:t xml:space="preserve">Supplementary Figure S2. Random Forest BO uplift Top-5 as a function of the number of AF2-labelled training examples. K-means selection provides its largest benefit in the low-label regime and converges with random selection near N = 30.</w:t>
      </w:r>
    </w:p>
    <w:p>
      <w:pPr>
        <w:pStyle w:val="CaptionedFigure"/>
      </w:pPr>
      <w:r>
        <w:drawing>
          <wp:inline>
            <wp:extent cx="5334000" cy="2075692"/>
            <wp:effectExtent b="0" l="0" r="0" t="0"/>
            <wp:docPr descr="Selection by surrogate family" title="" id="29" name="Picture"/>
            <a:graphic>
              <a:graphicData uri="http://schemas.openxmlformats.org/drawingml/2006/picture">
                <pic:pic>
                  <pic:nvPicPr>
                    <pic:cNvPr descr="figures/benchmark/fig4_selection_comparison.png" id="30" name="Picture"/>
                    <pic:cNvPicPr>
                      <a:picLocks noChangeArrowheads="1" noChangeAspect="1"/>
                    </pic:cNvPicPr>
                  </pic:nvPicPr>
                  <pic:blipFill>
                    <a:blip r:embed="rId28"/>
                    <a:stretch>
                      <a:fillRect/>
                    </a:stretch>
                  </pic:blipFill>
                  <pic:spPr bwMode="auto">
                    <a:xfrm>
                      <a:off x="0" y="0"/>
                      <a:ext cx="5334000" cy="2075692"/>
                    </a:xfrm>
                    <a:prstGeom prst="rect">
                      <a:avLst/>
                    </a:prstGeom>
                    <a:noFill/>
                    <a:ln w="9525">
                      <a:noFill/>
                      <a:headEnd/>
                      <a:tailEnd/>
                    </a:ln>
                  </pic:spPr>
                </pic:pic>
              </a:graphicData>
            </a:graphic>
          </wp:inline>
        </w:drawing>
      </w:r>
    </w:p>
    <w:p>
      <w:pPr>
        <w:pStyle w:val="ImageCaption"/>
      </w:pPr>
      <w:r>
        <w:t xml:space="preserve">Selection by surrogate family</w:t>
      </w:r>
    </w:p>
    <w:p>
      <w:pPr>
        <w:pStyle w:val="BodyText"/>
      </w:pPr>
      <w:r>
        <w:rPr>
          <w:iCs/>
          <w:i/>
        </w:rPr>
        <w:t xml:space="preserve">Supplementary Figure S3. Effect of K-means versus random training-set selection at fixed N = 30 across surrogate families. The smaller differences at N = 30 support using K-means primarily as a bootstrap safeguard rather than as a universal advantage at all training sizes.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right"/>
            </w:pPr>
            <w:r>
              <w:t xml:space="preserve">N</w:t>
            </w:r>
          </w:p>
        </w:tc>
        <w:tc>
          <w:tcPr/>
          <w:p>
            <w:pPr>
              <w:pStyle w:val="Compact"/>
              <w:jc w:val="right"/>
            </w:pPr>
            <w:r>
              <w:t xml:space="preserve">Random RF pLDDT BO uplift Top-5</w:t>
            </w:r>
          </w:p>
        </w:tc>
        <w:tc>
          <w:tcPr/>
          <w:p>
            <w:pPr>
              <w:pStyle w:val="Compact"/>
              <w:jc w:val="right"/>
            </w:pPr>
            <w:r>
              <w:t xml:space="preserve">K-means RF pLDDT BO uplift Top-5</w:t>
            </w:r>
          </w:p>
        </w:tc>
        <w:tc>
          <w:tcPr/>
          <w:p>
            <w:pPr>
              <w:pStyle w:val="Compact"/>
              <w:jc w:val="right"/>
            </w:pPr>
            <w:r>
              <w:t xml:space="preserve">Delta</w:t>
            </w:r>
          </w:p>
        </w:tc>
      </w:tr>
      <w:tr>
        <w:tc>
          <w:tcPr/>
          <w:p>
            <w:pPr>
              <w:pStyle w:val="Compact"/>
              <w:jc w:val="right"/>
            </w:pPr>
            <w:r>
              <w:t xml:space="preserve">5</w:t>
            </w:r>
          </w:p>
        </w:tc>
        <w:tc>
          <w:tcPr/>
          <w:p>
            <w:pPr>
              <w:pStyle w:val="Compact"/>
              <w:jc w:val="right"/>
            </w:pPr>
            <w:r>
              <w:t xml:space="preserve">0.254</w:t>
            </w:r>
          </w:p>
        </w:tc>
        <w:tc>
          <w:tcPr/>
          <w:p>
            <w:pPr>
              <w:pStyle w:val="Compact"/>
              <w:jc w:val="right"/>
            </w:pPr>
            <w:r>
              <w:t xml:space="preserve">0.350</w:t>
            </w:r>
          </w:p>
        </w:tc>
        <w:tc>
          <w:tcPr/>
          <w:p>
            <w:pPr>
              <w:pStyle w:val="Compact"/>
              <w:jc w:val="right"/>
            </w:pPr>
            <w:r>
              <w:t xml:space="preserve">+0.097 (+38%)</w:t>
            </w:r>
          </w:p>
        </w:tc>
      </w:tr>
      <w:tr>
        <w:tc>
          <w:tcPr/>
          <w:p>
            <w:pPr>
              <w:pStyle w:val="Compact"/>
              <w:jc w:val="right"/>
            </w:pPr>
            <w:r>
              <w:t xml:space="preserve">10</w:t>
            </w:r>
          </w:p>
        </w:tc>
        <w:tc>
          <w:tcPr/>
          <w:p>
            <w:pPr>
              <w:pStyle w:val="Compact"/>
              <w:jc w:val="right"/>
            </w:pPr>
            <w:r>
              <w:t xml:space="preserve">0.327</w:t>
            </w:r>
          </w:p>
        </w:tc>
        <w:tc>
          <w:tcPr/>
          <w:p>
            <w:pPr>
              <w:pStyle w:val="Compact"/>
              <w:jc w:val="right"/>
            </w:pPr>
            <w:r>
              <w:t xml:space="preserve">0.390</w:t>
            </w:r>
          </w:p>
        </w:tc>
        <w:tc>
          <w:tcPr/>
          <w:p>
            <w:pPr>
              <w:pStyle w:val="Compact"/>
              <w:jc w:val="right"/>
            </w:pPr>
            <w:r>
              <w:t xml:space="preserve">+0.063 (+19%)</w:t>
            </w:r>
          </w:p>
        </w:tc>
      </w:tr>
      <w:tr>
        <w:tc>
          <w:tcPr/>
          <w:p>
            <w:pPr>
              <w:pStyle w:val="Compact"/>
              <w:jc w:val="right"/>
            </w:pPr>
            <w:r>
              <w:t xml:space="preserve">20</w:t>
            </w:r>
          </w:p>
        </w:tc>
        <w:tc>
          <w:tcPr/>
          <w:p>
            <w:pPr>
              <w:pStyle w:val="Compact"/>
              <w:jc w:val="right"/>
            </w:pPr>
            <w:r>
              <w:t xml:space="preserve">0.418</w:t>
            </w:r>
          </w:p>
        </w:tc>
        <w:tc>
          <w:tcPr/>
          <w:p>
            <w:pPr>
              <w:pStyle w:val="Compact"/>
              <w:jc w:val="right"/>
            </w:pPr>
            <w:r>
              <w:t xml:space="preserve">0.468</w:t>
            </w:r>
          </w:p>
        </w:tc>
        <w:tc>
          <w:tcPr/>
          <w:p>
            <w:pPr>
              <w:pStyle w:val="Compact"/>
              <w:jc w:val="right"/>
            </w:pPr>
            <w:r>
              <w:t xml:space="preserve">+0.050 (+12%)</w:t>
            </w:r>
          </w:p>
        </w:tc>
      </w:tr>
      <w:tr>
        <w:tc>
          <w:tcPr/>
          <w:p>
            <w:pPr>
              <w:pStyle w:val="Compact"/>
              <w:jc w:val="right"/>
            </w:pPr>
            <w:r>
              <w:t xml:space="preserve">30</w:t>
            </w:r>
          </w:p>
        </w:tc>
        <w:tc>
          <w:tcPr/>
          <w:p>
            <w:pPr>
              <w:pStyle w:val="Compact"/>
              <w:jc w:val="right"/>
            </w:pPr>
            <w:r>
              <w:t xml:space="preserve">0.459</w:t>
            </w:r>
          </w:p>
        </w:tc>
        <w:tc>
          <w:tcPr/>
          <w:p>
            <w:pPr>
              <w:pStyle w:val="Compact"/>
              <w:jc w:val="right"/>
            </w:pPr>
            <w:r>
              <w:t xml:space="preserve">0.456</w:t>
            </w:r>
          </w:p>
        </w:tc>
        <w:tc>
          <w:tcPr/>
          <w:p>
            <w:pPr>
              <w:pStyle w:val="Compact"/>
              <w:jc w:val="right"/>
            </w:pPr>
            <w:r>
              <w:t xml:space="preserve">-0.003 (-1%)</w:t>
            </w:r>
          </w:p>
        </w:tc>
      </w:tr>
      <w:tr>
        <w:tc>
          <w:tcPr/>
          <w:p>
            <w:pPr>
              <w:pStyle w:val="Compact"/>
              <w:jc w:val="right"/>
            </w:pPr>
            <w:r>
              <w:t xml:space="preserve">50</w:t>
            </w:r>
          </w:p>
        </w:tc>
        <w:tc>
          <w:tcPr/>
          <w:p>
            <w:pPr>
              <w:pStyle w:val="Compact"/>
              <w:jc w:val="right"/>
            </w:pPr>
            <w:r>
              <w:t xml:space="preserve">0.459</w:t>
            </w:r>
          </w:p>
        </w:tc>
        <w:tc>
          <w:tcPr/>
          <w:p>
            <w:pPr>
              <w:pStyle w:val="Compact"/>
              <w:jc w:val="right"/>
            </w:pPr>
            <w:r>
              <w:t xml:space="preserve">0.484</w:t>
            </w:r>
          </w:p>
        </w:tc>
        <w:tc>
          <w:tcPr/>
          <w:p>
            <w:pPr>
              <w:pStyle w:val="Compact"/>
              <w:jc w:val="right"/>
            </w:pPr>
            <w:r>
              <w:t xml:space="preserve">+0.025 (+5%)</w:t>
            </w:r>
          </w:p>
        </w:tc>
      </w:tr>
      <w:tr>
        <w:tc>
          <w:tcPr/>
          <w:p>
            <w:pPr>
              <w:pStyle w:val="Compact"/>
              <w:jc w:val="right"/>
            </w:pPr>
            <w:r>
              <w:t xml:space="preserve">80</w:t>
            </w:r>
          </w:p>
        </w:tc>
        <w:tc>
          <w:tcPr/>
          <w:p>
            <w:pPr>
              <w:pStyle w:val="Compact"/>
              <w:jc w:val="right"/>
            </w:pPr>
            <w:r>
              <w:t xml:space="preserve">0.454</w:t>
            </w:r>
          </w:p>
        </w:tc>
        <w:tc>
          <w:tcPr/>
          <w:p>
            <w:pPr>
              <w:pStyle w:val="Compact"/>
              <w:jc w:val="right"/>
            </w:pPr>
            <w:r>
              <w:t xml:space="preserve">0.490</w:t>
            </w:r>
          </w:p>
        </w:tc>
        <w:tc>
          <w:tcPr/>
          <w:p>
            <w:pPr>
              <w:pStyle w:val="Compact"/>
              <w:jc w:val="right"/>
            </w:pPr>
            <w:r>
              <w:t xml:space="preserve">+0.036 (+8%)</w:t>
            </w:r>
          </w:p>
        </w:tc>
      </w:tr>
    </w:tbl>
    <w:bookmarkEnd w:id="31"/>
    <w:bookmarkStart w:id="32" w:name="Xb4345a0cbc3361bef29b3eab80d73fc03fca4ae"/>
    <w:p>
      <w:pPr>
        <w:pStyle w:val="Heading2"/>
      </w:pPr>
      <w:r>
        <w:t xml:space="preserve">Supplementary Note 4. Surrogate Model Comparison</w:t>
      </w:r>
    </w:p>
    <w:p>
      <w:pPr>
        <w:pStyle w:val="FirstParagraph"/>
      </w:pPr>
      <w:r>
        <w:t xml:space="preserve">At K-means N = 30, Random Forest gives the highest mean pLDDT BO uplift Top-5, while Ridge remains strongest for SoluProt ranking and recall-oriented metrics. The production recommendation is therefore score-specific: Random Forest is the conservative pLDDT acquisition default, and Ridge is retained when the operator prioritises SoluProt-related ranking or recall. The aggregate visualization is shown once in the main manuscript as Figure 3; the supplementary material reports the numerical model-level comparison to avoid duplicating the same figure.</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Model</w:t>
            </w:r>
          </w:p>
        </w:tc>
        <w:tc>
          <w:tcPr/>
          <w:p>
            <w:pPr>
              <w:pStyle w:val="Compact"/>
              <w:jc w:val="right"/>
            </w:pPr>
            <w:r>
              <w:t xml:space="preserve">pLDDT BO uplift Top-5</w:t>
            </w:r>
          </w:p>
        </w:tc>
        <w:tc>
          <w:tcPr/>
          <w:p>
            <w:pPr>
              <w:pStyle w:val="Compact"/>
              <w:jc w:val="right"/>
            </w:pPr>
            <w:r>
              <w:t xml:space="preserve">Delta vs RF</w:t>
            </w:r>
          </w:p>
        </w:tc>
        <w:tc>
          <w:tcPr/>
          <w:p>
            <w:pPr>
              <w:pStyle w:val="Compact"/>
              <w:jc w:val="right"/>
            </w:pPr>
            <w:r>
              <w:t xml:space="preserve">Holm-adjusted p vs RF</w:t>
            </w:r>
          </w:p>
        </w:tc>
        <w:tc>
          <w:tcPr/>
          <w:p>
            <w:pPr>
              <w:pStyle w:val="Compact"/>
              <w:jc w:val="right"/>
            </w:pPr>
            <w:r>
              <w:t xml:space="preserve">Cliff’s delta</w:t>
            </w:r>
          </w:p>
        </w:tc>
      </w:tr>
      <w:tr>
        <w:tc>
          <w:tcPr/>
          <w:p>
            <w:pPr>
              <w:pStyle w:val="Compact"/>
              <w:jc w:val="left"/>
            </w:pPr>
            <w:r>
              <w:t xml:space="preserve">RF</w:t>
            </w:r>
          </w:p>
        </w:tc>
        <w:tc>
          <w:tcPr/>
          <w:p>
            <w:pPr>
              <w:pStyle w:val="Compact"/>
              <w:jc w:val="right"/>
            </w:pPr>
            <w:r>
              <w:t xml:space="preserve">0.602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Ridge</w:t>
            </w:r>
          </w:p>
        </w:tc>
        <w:tc>
          <w:tcPr/>
          <w:p>
            <w:pPr>
              <w:pStyle w:val="Compact"/>
              <w:jc w:val="right"/>
            </w:pPr>
            <w:r>
              <w:t xml:space="preserve">0.583</w:t>
            </w:r>
          </w:p>
        </w:tc>
        <w:tc>
          <w:tcPr/>
          <w:p>
            <w:pPr>
              <w:pStyle w:val="Compact"/>
              <w:jc w:val="right"/>
            </w:pPr>
            <w:r>
              <w:t xml:space="preserve">-0.019</w:t>
            </w:r>
          </w:p>
        </w:tc>
        <w:tc>
          <w:tcPr/>
          <w:p>
            <w:pPr>
              <w:pStyle w:val="Compact"/>
              <w:jc w:val="right"/>
            </w:pPr>
            <w:r>
              <w:t xml:space="preserve">0.71</w:t>
            </w:r>
          </w:p>
        </w:tc>
        <w:tc>
          <w:tcPr/>
          <w:p>
            <w:pPr>
              <w:pStyle w:val="Compact"/>
              <w:jc w:val="right"/>
            </w:pPr>
            <w:r>
              <w:t xml:space="preserve">+0.04</w:t>
            </w:r>
          </w:p>
        </w:tc>
      </w:tr>
      <w:tr>
        <w:tc>
          <w:tcPr/>
          <w:p>
            <w:pPr>
              <w:pStyle w:val="Compact"/>
              <w:jc w:val="left"/>
            </w:pPr>
            <w:r>
              <w:t xml:space="preserve">KNN</w:t>
            </w:r>
          </w:p>
        </w:tc>
        <w:tc>
          <w:tcPr/>
          <w:p>
            <w:pPr>
              <w:pStyle w:val="Compact"/>
              <w:jc w:val="right"/>
            </w:pPr>
            <w:r>
              <w:t xml:space="preserve">0.572</w:t>
            </w:r>
          </w:p>
        </w:tc>
        <w:tc>
          <w:tcPr/>
          <w:p>
            <w:pPr>
              <w:pStyle w:val="Compact"/>
              <w:jc w:val="right"/>
            </w:pPr>
            <w:r>
              <w:t xml:space="preserve">-0.030</w:t>
            </w:r>
          </w:p>
        </w:tc>
        <w:tc>
          <w:tcPr/>
          <w:p>
            <w:pPr>
              <w:pStyle w:val="Compact"/>
              <w:jc w:val="right"/>
            </w:pPr>
            <w:r>
              <w:t xml:space="preserve">0.51</w:t>
            </w:r>
          </w:p>
        </w:tc>
        <w:tc>
          <w:tcPr/>
          <w:p>
            <w:pPr>
              <w:pStyle w:val="Compact"/>
              <w:jc w:val="right"/>
            </w:pPr>
            <w:r>
              <w:t xml:space="preserve">+0.05</w:t>
            </w:r>
          </w:p>
        </w:tc>
      </w:tr>
      <w:tr>
        <w:tc>
          <w:tcPr/>
          <w:p>
            <w:pPr>
              <w:pStyle w:val="Compact"/>
              <w:jc w:val="left"/>
            </w:pPr>
            <w:r>
              <w:t xml:space="preserve">XGBoost</w:t>
            </w:r>
          </w:p>
        </w:tc>
        <w:tc>
          <w:tcPr/>
          <w:p>
            <w:pPr>
              <w:pStyle w:val="Compact"/>
              <w:jc w:val="right"/>
            </w:pPr>
            <w:r>
              <w:t xml:space="preserve">0.558</w:t>
            </w:r>
          </w:p>
        </w:tc>
        <w:tc>
          <w:tcPr/>
          <w:p>
            <w:pPr>
              <w:pStyle w:val="Compact"/>
              <w:jc w:val="right"/>
            </w:pPr>
            <w:r>
              <w:t xml:space="preserve">-0.044</w:t>
            </w:r>
          </w:p>
        </w:tc>
        <w:tc>
          <w:tcPr/>
          <w:p>
            <w:pPr>
              <w:pStyle w:val="Compact"/>
              <w:jc w:val="right"/>
            </w:pPr>
            <w:r>
              <w:t xml:space="preserve">0.51</w:t>
            </w:r>
          </w:p>
        </w:tc>
        <w:tc>
          <w:tcPr/>
          <w:p>
            <w:pPr>
              <w:pStyle w:val="Compact"/>
              <w:jc w:val="right"/>
            </w:pPr>
            <w:r>
              <w:t xml:space="preserve">+0.07</w:t>
            </w:r>
          </w:p>
        </w:tc>
      </w:tr>
      <w:tr>
        <w:tc>
          <w:tcPr/>
          <w:p>
            <w:pPr>
              <w:pStyle w:val="Compact"/>
              <w:jc w:val="left"/>
            </w:pPr>
            <w:r>
              <w:t xml:space="preserve">LightGBM</w:t>
            </w:r>
          </w:p>
        </w:tc>
        <w:tc>
          <w:tcPr/>
          <w:p>
            <w:pPr>
              <w:pStyle w:val="Compact"/>
              <w:jc w:val="right"/>
            </w:pPr>
            <w:r>
              <w:t xml:space="preserve">0.549</w:t>
            </w:r>
          </w:p>
        </w:tc>
        <w:tc>
          <w:tcPr/>
          <w:p>
            <w:pPr>
              <w:pStyle w:val="Compact"/>
              <w:jc w:val="right"/>
            </w:pPr>
            <w:r>
              <w:t xml:space="preserve">-0.053</w:t>
            </w:r>
          </w:p>
        </w:tc>
        <w:tc>
          <w:tcPr/>
          <w:p>
            <w:pPr>
              <w:pStyle w:val="Compact"/>
              <w:jc w:val="right"/>
            </w:pPr>
            <w:r>
              <w:t xml:space="preserve">0.046</w:t>
            </w:r>
          </w:p>
        </w:tc>
        <w:tc>
          <w:tcPr/>
          <w:p>
            <w:pPr>
              <w:pStyle w:val="Compact"/>
              <w:jc w:val="right"/>
            </w:pPr>
            <w:r>
              <w:t xml:space="preserve">+0.05</w:t>
            </w:r>
          </w:p>
        </w:tc>
      </w:tr>
      <w:tr>
        <w:tc>
          <w:tcPr/>
          <w:p>
            <w:pPr>
              <w:pStyle w:val="Compact"/>
              <w:jc w:val="left"/>
            </w:pPr>
            <w:r>
              <w:t xml:space="preserve">GP-RBF</w:t>
            </w:r>
          </w:p>
        </w:tc>
        <w:tc>
          <w:tcPr/>
          <w:p>
            <w:pPr>
              <w:pStyle w:val="Compact"/>
              <w:jc w:val="right"/>
            </w:pPr>
            <w:r>
              <w:t xml:space="preserve">0.326</w:t>
            </w:r>
          </w:p>
        </w:tc>
        <w:tc>
          <w:tcPr/>
          <w:p>
            <w:pPr>
              <w:pStyle w:val="Compact"/>
              <w:jc w:val="right"/>
            </w:pPr>
            <w:r>
              <w:t xml:space="preserve">-0.276</w:t>
            </w:r>
          </w:p>
        </w:tc>
        <w:tc>
          <w:tcPr/>
          <w:p>
            <w:pPr>
              <w:pStyle w:val="Compact"/>
              <w:jc w:val="right"/>
            </w:pPr>
            <w:r>
              <w:t xml:space="preserve">0.00022</w:t>
            </w:r>
          </w:p>
        </w:tc>
        <w:tc>
          <w:tcPr/>
          <w:p>
            <w:pPr>
              <w:pStyle w:val="Compact"/>
              <w:jc w:val="right"/>
            </w:pPr>
            <w:r>
              <w:t xml:space="preserve">+0.20</w:t>
            </w:r>
          </w:p>
        </w:tc>
      </w:tr>
      <w:tr>
        <w:tc>
          <w:tcPr/>
          <w:p>
            <w:pPr>
              <w:pStyle w:val="Compact"/>
              <w:jc w:val="left"/>
            </w:pPr>
            <w:r>
              <w:t xml:space="preserve">MLP</w:t>
            </w:r>
          </w:p>
        </w:tc>
        <w:tc>
          <w:tcPr/>
          <w:p>
            <w:pPr>
              <w:pStyle w:val="Compact"/>
              <w:jc w:val="right"/>
            </w:pPr>
            <w:r>
              <w:t xml:space="preserve">0.185</w:t>
            </w:r>
          </w:p>
        </w:tc>
        <w:tc>
          <w:tcPr/>
          <w:p>
            <w:pPr>
              <w:pStyle w:val="Compact"/>
              <w:jc w:val="right"/>
            </w:pPr>
            <w:r>
              <w:t xml:space="preserve">-0.417</w:t>
            </w:r>
          </w:p>
        </w:tc>
        <w:tc>
          <w:tcPr/>
          <w:p>
            <w:pPr>
              <w:pStyle w:val="Compact"/>
              <w:jc w:val="right"/>
            </w:pPr>
            <w:r>
              <w:t xml:space="preserve">1.6e-13</w:t>
            </w:r>
          </w:p>
        </w:tc>
        <w:tc>
          <w:tcPr/>
          <w:p>
            <w:pPr>
              <w:pStyle w:val="Compact"/>
              <w:jc w:val="right"/>
            </w:pPr>
            <w:r>
              <w:t xml:space="preserve">+0.49</w:t>
            </w:r>
          </w:p>
        </w:tc>
      </w:tr>
      <w:tr>
        <w:tc>
          <w:tcPr/>
          <w:p>
            <w:pPr>
              <w:pStyle w:val="Compact"/>
              <w:jc w:val="left"/>
            </w:pPr>
            <w:r>
              <w:t xml:space="preserve">Random</w:t>
            </w:r>
          </w:p>
        </w:tc>
        <w:tc>
          <w:tcPr/>
          <w:p>
            <w:pPr>
              <w:pStyle w:val="Compact"/>
              <w:jc w:val="right"/>
            </w:pPr>
            <w:r>
              <w:t xml:space="preserve">0.016</w:t>
            </w:r>
          </w:p>
        </w:tc>
        <w:tc>
          <w:tcPr/>
          <w:p>
            <w:pPr>
              <w:pStyle w:val="Compact"/>
              <w:jc w:val="right"/>
            </w:pPr>
            <w:r>
              <w:t xml:space="preserve">-0.586</w:t>
            </w:r>
          </w:p>
        </w:tc>
        <w:tc>
          <w:tcPr/>
          <w:p>
            <w:pPr>
              <w:pStyle w:val="Compact"/>
              <w:jc w:val="right"/>
            </w:pPr>
            <w:r>
              <w:t xml:space="preserve">1.1e-11</w:t>
            </w:r>
          </w:p>
        </w:tc>
        <w:tc>
          <w:tcPr/>
          <w:p>
            <w:pPr>
              <w:pStyle w:val="Compact"/>
              <w:jc w:val="right"/>
            </w:pPr>
            <w:r>
              <w:t xml:space="preserve">+0.47</w:t>
            </w:r>
          </w:p>
        </w:tc>
      </w:tr>
    </w:tbl>
    <w:bookmarkEnd w:id="32"/>
    <w:bookmarkStart w:id="36" w:name="X3b9d3ffe91a139c4cc85811536a87b017ff925e"/>
    <w:p>
      <w:pPr>
        <w:pStyle w:val="Heading2"/>
      </w:pPr>
      <w:r>
        <w:t xml:space="preserve">Supplementary Note 5. Sample-Size Operating Point</w:t>
      </w:r>
    </w:p>
    <w:p>
      <w:pPr>
        <w:pStyle w:val="FirstParagraph"/>
      </w:pPr>
      <w:r>
        <w:t xml:space="preserve">The N-ablation places N = 30 on a cost-efficient plateau. Increasing RF training labels from 30 to 80 requires approximately 2.7 times more AF2-labelled training examples but gives a modest additional pLDDT BO-uplift gain. The N = 30 default is therefore a conservative operating point for the bootstrap round.</w:t>
      </w:r>
    </w:p>
    <w:p>
      <w:pPr>
        <w:pStyle w:val="CaptionedFigure"/>
      </w:pPr>
      <w:r>
        <w:drawing>
          <wp:inline>
            <wp:extent cx="5334000" cy="3443947"/>
            <wp:effectExtent b="0" l="0" r="0" t="0"/>
            <wp:docPr descr="Sample-size ablation" title="" id="34" name="Picture"/>
            <a:graphic>
              <a:graphicData uri="http://schemas.openxmlformats.org/drawingml/2006/picture">
                <pic:pic>
                  <pic:nvPicPr>
                    <pic:cNvPr descr="figures/benchmark/fig8_sample_size.png" id="35" name="Picture"/>
                    <pic:cNvPicPr>
                      <a:picLocks noChangeArrowheads="1" noChangeAspect="1"/>
                    </pic:cNvPicPr>
                  </pic:nvPicPr>
                  <pic:blipFill>
                    <a:blip r:embed="rId33"/>
                    <a:stretch>
                      <a:fillRect/>
                    </a:stretch>
                  </pic:blipFill>
                  <pic:spPr bwMode="auto">
                    <a:xfrm>
                      <a:off x="0" y="0"/>
                      <a:ext cx="5334000" cy="3443947"/>
                    </a:xfrm>
                    <a:prstGeom prst="rect">
                      <a:avLst/>
                    </a:prstGeom>
                    <a:noFill/>
                    <a:ln w="9525">
                      <a:noFill/>
                      <a:headEnd/>
                      <a:tailEnd/>
                    </a:ln>
                  </pic:spPr>
                </pic:pic>
              </a:graphicData>
            </a:graphic>
          </wp:inline>
        </w:drawing>
      </w:r>
    </w:p>
    <w:p>
      <w:pPr>
        <w:pStyle w:val="ImageCaption"/>
      </w:pPr>
      <w:r>
        <w:t xml:space="preserve">Sample-size ablation</w:t>
      </w:r>
    </w:p>
    <w:p>
      <w:pPr>
        <w:pStyle w:val="BodyText"/>
      </w:pPr>
      <w:r>
        <w:rPr>
          <w:iCs/>
          <w:i/>
        </w:rPr>
        <w:t xml:space="preserve">Supplementary Figure S5. Sample-size ablation for production-supported surrogate families. The vertical reference at N = 30 marks the operating point used in RAPID. The curves show diminishing returns beyond roughly 20-30 AF2-labelled examples, supporting N = 30 as a conservative default rather than an arbitrary setting.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right"/>
            </w:pPr>
            <w:r>
              <w:t xml:space="preserve">N_train</w:t>
            </w:r>
          </w:p>
        </w:tc>
        <w:tc>
          <w:tcPr/>
          <w:p>
            <w:pPr>
              <w:pStyle w:val="Compact"/>
              <w:jc w:val="right"/>
            </w:pPr>
            <w:r>
              <w:t xml:space="preserve">RF pLDDT BO uplift Top-5</w:t>
            </w:r>
          </w:p>
        </w:tc>
        <w:tc>
          <w:tcPr/>
          <w:p>
            <w:pPr>
              <w:pStyle w:val="Compact"/>
              <w:jc w:val="right"/>
            </w:pPr>
            <w:r>
              <w:t xml:space="preserve">Percent of N = 80</w:t>
            </w:r>
          </w:p>
        </w:tc>
        <w:tc>
          <w:tcPr/>
          <w:p>
            <w:pPr>
              <w:pStyle w:val="Compact"/>
              <w:jc w:val="right"/>
            </w:pPr>
            <w:r>
              <w:t xml:space="preserve">RF SoluProt BO uplift Top-5</w:t>
            </w:r>
          </w:p>
        </w:tc>
        <w:tc>
          <w:tcPr/>
          <w:p>
            <w:pPr>
              <w:pStyle w:val="Compact"/>
              <w:jc w:val="right"/>
            </w:pPr>
            <w:r>
              <w:t xml:space="preserve">Percent of N = 80</w:t>
            </w:r>
          </w:p>
        </w:tc>
      </w:tr>
      <w:tr>
        <w:tc>
          <w:tcPr/>
          <w:p>
            <w:pPr>
              <w:pStyle w:val="Compact"/>
              <w:jc w:val="right"/>
            </w:pPr>
            <w:r>
              <w:t xml:space="preserve">5</w:t>
            </w:r>
          </w:p>
        </w:tc>
        <w:tc>
          <w:tcPr/>
          <w:p>
            <w:pPr>
              <w:pStyle w:val="Compact"/>
              <w:jc w:val="right"/>
            </w:pPr>
            <w:r>
              <w:t xml:space="preserve">0.350</w:t>
            </w:r>
          </w:p>
        </w:tc>
        <w:tc>
          <w:tcPr/>
          <w:p>
            <w:pPr>
              <w:pStyle w:val="Compact"/>
              <w:jc w:val="right"/>
            </w:pPr>
            <w:r>
              <w:t xml:space="preserve">71.4%</w:t>
            </w:r>
          </w:p>
        </w:tc>
        <w:tc>
          <w:tcPr/>
          <w:p>
            <w:pPr>
              <w:pStyle w:val="Compact"/>
              <w:jc w:val="right"/>
            </w:pPr>
            <w:r>
              <w:t xml:space="preserve">0.0140</w:t>
            </w:r>
          </w:p>
        </w:tc>
        <w:tc>
          <w:tcPr/>
          <w:p>
            <w:pPr>
              <w:pStyle w:val="Compact"/>
              <w:jc w:val="right"/>
            </w:pPr>
            <w:r>
              <w:t xml:space="preserve">62.1%</w:t>
            </w:r>
          </w:p>
        </w:tc>
      </w:tr>
      <w:tr>
        <w:tc>
          <w:tcPr/>
          <w:p>
            <w:pPr>
              <w:pStyle w:val="Compact"/>
              <w:jc w:val="right"/>
            </w:pPr>
            <w:r>
              <w:t xml:space="preserve">10</w:t>
            </w:r>
          </w:p>
        </w:tc>
        <w:tc>
          <w:tcPr/>
          <w:p>
            <w:pPr>
              <w:pStyle w:val="Compact"/>
              <w:jc w:val="right"/>
            </w:pPr>
            <w:r>
              <w:t xml:space="preserve">0.390</w:t>
            </w:r>
          </w:p>
        </w:tc>
        <w:tc>
          <w:tcPr/>
          <w:p>
            <w:pPr>
              <w:pStyle w:val="Compact"/>
              <w:jc w:val="right"/>
            </w:pPr>
            <w:r>
              <w:t xml:space="preserve">79.7%</w:t>
            </w:r>
          </w:p>
        </w:tc>
        <w:tc>
          <w:tcPr/>
          <w:p>
            <w:pPr>
              <w:pStyle w:val="Compact"/>
              <w:jc w:val="right"/>
            </w:pPr>
            <w:r>
              <w:t xml:space="preserve">0.0155</w:t>
            </w:r>
          </w:p>
        </w:tc>
        <w:tc>
          <w:tcPr/>
          <w:p>
            <w:pPr>
              <w:pStyle w:val="Compact"/>
              <w:jc w:val="right"/>
            </w:pPr>
            <w:r>
              <w:t xml:space="preserve">69.1%</w:t>
            </w:r>
          </w:p>
        </w:tc>
      </w:tr>
      <w:tr>
        <w:tc>
          <w:tcPr/>
          <w:p>
            <w:pPr>
              <w:pStyle w:val="Compact"/>
              <w:jc w:val="right"/>
            </w:pPr>
            <w:r>
              <w:t xml:space="preserve">20</w:t>
            </w:r>
          </w:p>
        </w:tc>
        <w:tc>
          <w:tcPr/>
          <w:p>
            <w:pPr>
              <w:pStyle w:val="Compact"/>
              <w:jc w:val="right"/>
            </w:pPr>
            <w:r>
              <w:t xml:space="preserve">0.468</w:t>
            </w:r>
          </w:p>
        </w:tc>
        <w:tc>
          <w:tcPr/>
          <w:p>
            <w:pPr>
              <w:pStyle w:val="Compact"/>
              <w:jc w:val="right"/>
            </w:pPr>
            <w:r>
              <w:t xml:space="preserve">95.6%</w:t>
            </w:r>
          </w:p>
        </w:tc>
        <w:tc>
          <w:tcPr/>
          <w:p>
            <w:pPr>
              <w:pStyle w:val="Compact"/>
              <w:jc w:val="right"/>
            </w:pPr>
            <w:r>
              <w:t xml:space="preserve">0.0199</w:t>
            </w:r>
          </w:p>
        </w:tc>
        <w:tc>
          <w:tcPr/>
          <w:p>
            <w:pPr>
              <w:pStyle w:val="Compact"/>
              <w:jc w:val="right"/>
            </w:pPr>
            <w:r>
              <w:t xml:space="preserve">88.5%</w:t>
            </w:r>
          </w:p>
        </w:tc>
      </w:tr>
      <w:tr>
        <w:tc>
          <w:tcPr/>
          <w:p>
            <w:pPr>
              <w:pStyle w:val="Compact"/>
              <w:jc w:val="right"/>
            </w:pPr>
            <w:r>
              <w:t xml:space="preserve">30</w:t>
            </w:r>
          </w:p>
        </w:tc>
        <w:tc>
          <w:tcPr/>
          <w:p>
            <w:pPr>
              <w:pStyle w:val="Compact"/>
              <w:jc w:val="right"/>
            </w:pPr>
            <w:r>
              <w:t xml:space="preserve">0.456</w:t>
            </w:r>
          </w:p>
        </w:tc>
        <w:tc>
          <w:tcPr/>
          <w:p>
            <w:pPr>
              <w:pStyle w:val="Compact"/>
              <w:jc w:val="right"/>
            </w:pPr>
            <w:r>
              <w:t xml:space="preserve">93.1%</w:t>
            </w:r>
          </w:p>
        </w:tc>
        <w:tc>
          <w:tcPr/>
          <w:p>
            <w:pPr>
              <w:pStyle w:val="Compact"/>
              <w:jc w:val="right"/>
            </w:pPr>
            <w:r>
              <w:t xml:space="preserve">0.0202</w:t>
            </w:r>
          </w:p>
        </w:tc>
        <w:tc>
          <w:tcPr/>
          <w:p>
            <w:pPr>
              <w:pStyle w:val="Compact"/>
              <w:jc w:val="right"/>
            </w:pPr>
            <w:r>
              <w:t xml:space="preserve">89.8%</w:t>
            </w:r>
          </w:p>
        </w:tc>
      </w:tr>
      <w:tr>
        <w:tc>
          <w:tcPr/>
          <w:p>
            <w:pPr>
              <w:pStyle w:val="Compact"/>
              <w:jc w:val="right"/>
            </w:pPr>
            <w:r>
              <w:t xml:space="preserve">50</w:t>
            </w:r>
          </w:p>
        </w:tc>
        <w:tc>
          <w:tcPr/>
          <w:p>
            <w:pPr>
              <w:pStyle w:val="Compact"/>
              <w:jc w:val="right"/>
            </w:pPr>
            <w:r>
              <w:t xml:space="preserve">0.484</w:t>
            </w:r>
          </w:p>
        </w:tc>
        <w:tc>
          <w:tcPr/>
          <w:p>
            <w:pPr>
              <w:pStyle w:val="Compact"/>
              <w:jc w:val="right"/>
            </w:pPr>
            <w:r>
              <w:t xml:space="preserve">98.9%</w:t>
            </w:r>
          </w:p>
        </w:tc>
        <w:tc>
          <w:tcPr/>
          <w:p>
            <w:pPr>
              <w:pStyle w:val="Compact"/>
              <w:jc w:val="right"/>
            </w:pPr>
            <w:r>
              <w:t xml:space="preserve">0.0213</w:t>
            </w:r>
          </w:p>
        </w:tc>
        <w:tc>
          <w:tcPr/>
          <w:p>
            <w:pPr>
              <w:pStyle w:val="Compact"/>
              <w:jc w:val="right"/>
            </w:pPr>
            <w:r>
              <w:t xml:space="preserve">94.5%</w:t>
            </w:r>
          </w:p>
        </w:tc>
      </w:tr>
      <w:tr>
        <w:tc>
          <w:tcPr/>
          <w:p>
            <w:pPr>
              <w:pStyle w:val="Compact"/>
              <w:jc w:val="right"/>
            </w:pPr>
            <w:r>
              <w:t xml:space="preserve">80</w:t>
            </w:r>
          </w:p>
        </w:tc>
        <w:tc>
          <w:tcPr/>
          <w:p>
            <w:pPr>
              <w:pStyle w:val="Compact"/>
              <w:jc w:val="right"/>
            </w:pPr>
            <w:r>
              <w:t xml:space="preserve">0.490</w:t>
            </w:r>
          </w:p>
        </w:tc>
        <w:tc>
          <w:tcPr/>
          <w:p>
            <w:pPr>
              <w:pStyle w:val="Compact"/>
              <w:jc w:val="right"/>
            </w:pPr>
            <w:r>
              <w:t xml:space="preserve">100.0%</w:t>
            </w:r>
          </w:p>
        </w:tc>
        <w:tc>
          <w:tcPr/>
          <w:p>
            <w:pPr>
              <w:pStyle w:val="Compact"/>
              <w:jc w:val="right"/>
            </w:pPr>
            <w:r>
              <w:t xml:space="preserve">0.0225</w:t>
            </w:r>
          </w:p>
        </w:tc>
        <w:tc>
          <w:tcPr/>
          <w:p>
            <w:pPr>
              <w:pStyle w:val="Compact"/>
              <w:jc w:val="right"/>
            </w:pPr>
            <w:r>
              <w:t xml:space="preserve">100.0%</w:t>
            </w:r>
          </w:p>
        </w:tc>
      </w:tr>
    </w:tbl>
    <w:bookmarkEnd w:id="36"/>
    <w:bookmarkStart w:id="43" w:name="X1078c682579cc65d2b8a8ed42ef7883258c93d4"/>
    <w:p>
      <w:pPr>
        <w:pStyle w:val="Heading2"/>
      </w:pPr>
      <w:r>
        <w:t xml:space="preserve">Supplementary Note 6. Acquisition Bias and Diversity</w:t>
      </w:r>
    </w:p>
    <w:p>
      <w:pPr>
        <w:pStyle w:val="FirstParagraph"/>
      </w:pPr>
      <w:r>
        <w:t xml:space="preserve">K-means training selection does not by itself remove acquisition bias. In the current artifact benchmark, RF-selected Top-K sets are more internally similar than the true Top-K sets, even when the bootstrap training set is selected by K-means. This means diversity control belongs at acquisition time if sequence diversity is an explicit design objective.</w:t>
      </w:r>
    </w:p>
    <w:p>
      <w:pPr>
        <w:pStyle w:val="CaptionedFigure"/>
      </w:pPr>
      <w:r>
        <w:drawing>
          <wp:inline>
            <wp:extent cx="5334000" cy="4045748"/>
            <wp:effectExtent b="0" l="0" r="0" t="0"/>
            <wp:docPr descr="Acquisition-bias analysis" title="" id="38" name="Picture"/>
            <a:graphic>
              <a:graphicData uri="http://schemas.openxmlformats.org/drawingml/2006/picture">
                <pic:pic>
                  <pic:nvPicPr>
                    <pic:cNvPr descr="figures/benchmark/fig6_bias_analysis.png" id="39" name="Picture"/>
                    <pic:cNvPicPr>
                      <a:picLocks noChangeArrowheads="1" noChangeAspect="1"/>
                    </pic:cNvPicPr>
                  </pic:nvPicPr>
                  <pic:blipFill>
                    <a:blip r:embed="rId37"/>
                    <a:stretch>
                      <a:fillRect/>
                    </a:stretch>
                  </pic:blipFill>
                  <pic:spPr bwMode="auto">
                    <a:xfrm>
                      <a:off x="0" y="0"/>
                      <a:ext cx="5334000" cy="4045748"/>
                    </a:xfrm>
                    <a:prstGeom prst="rect">
                      <a:avLst/>
                    </a:prstGeom>
                    <a:noFill/>
                    <a:ln w="9525">
                      <a:noFill/>
                      <a:headEnd/>
                      <a:tailEnd/>
                    </a:ln>
                  </pic:spPr>
                </pic:pic>
              </a:graphicData>
            </a:graphic>
          </wp:inline>
        </w:drawing>
      </w:r>
    </w:p>
    <w:p>
      <w:pPr>
        <w:pStyle w:val="ImageCaption"/>
      </w:pPr>
      <w:r>
        <w:t xml:space="preserve">Acquisition-bias analysis</w:t>
      </w:r>
    </w:p>
    <w:p>
      <w:pPr>
        <w:pStyle w:val="BodyText"/>
      </w:pPr>
      <w:r>
        <w:rPr>
          <w:iCs/>
          <w:i/>
        </w:rPr>
        <w:t xml:space="preserve">Supplementary Figure S6. Acquisition-bias analysis for RF at N = 30. K-means reduces identity to the best training sequence relative to random bootstrap selection, but surrogate-selected Top-K sets remain more internally similar than the true Top-K sets.</w:t>
      </w:r>
    </w:p>
    <w:p>
      <w:pPr>
        <w:pStyle w:val="CaptionedFigure"/>
      </w:pPr>
      <w:r>
        <w:drawing>
          <wp:inline>
            <wp:extent cx="5334000" cy="1996939"/>
            <wp:effectExtent b="0" l="0" r="0" t="0"/>
            <wp:docPr descr="Per-target surrogate heatmap" title="" id="41" name="Picture"/>
            <a:graphic>
              <a:graphicData uri="http://schemas.openxmlformats.org/drawingml/2006/picture">
                <pic:pic>
                  <pic:nvPicPr>
                    <pic:cNvPr descr="figures/benchmark/fig7_per_target_heatmap.png" id="42" name="Picture"/>
                    <pic:cNvPicPr>
                      <a:picLocks noChangeArrowheads="1" noChangeAspect="1"/>
                    </pic:cNvPicPr>
                  </pic:nvPicPr>
                  <pic:blipFill>
                    <a:blip r:embed="rId40"/>
                    <a:stretch>
                      <a:fillRect/>
                    </a:stretch>
                  </pic:blipFill>
                  <pic:spPr bwMode="auto">
                    <a:xfrm>
                      <a:off x="0" y="0"/>
                      <a:ext cx="5334000" cy="1996939"/>
                    </a:xfrm>
                    <a:prstGeom prst="rect">
                      <a:avLst/>
                    </a:prstGeom>
                    <a:noFill/>
                    <a:ln w="9525">
                      <a:noFill/>
                      <a:headEnd/>
                      <a:tailEnd/>
                    </a:ln>
                  </pic:spPr>
                </pic:pic>
              </a:graphicData>
            </a:graphic>
          </wp:inline>
        </w:drawing>
      </w:r>
    </w:p>
    <w:p>
      <w:pPr>
        <w:pStyle w:val="ImageCaption"/>
      </w:pPr>
      <w:r>
        <w:t xml:space="preserve">Per-target surrogate heatmap</w:t>
      </w:r>
    </w:p>
    <w:p>
      <w:pPr>
        <w:pStyle w:val="BodyText"/>
      </w:pPr>
      <w:r>
        <w:rPr>
          <w:iCs/>
          <w:i/>
        </w:rPr>
        <w:t xml:space="preserve">Supplementary Figure S7. Per-target BO uplift difference relative to Random Forest. The heatmap shows target-level winner switching that is obscured by aggregate means, supporting a configurable surrogate layer rather than a hard-coded single-model policy.</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Metric</w:t>
            </w:r>
          </w:p>
        </w:tc>
        <w:tc>
          <w:tcPr/>
          <w:p>
            <w:pPr>
              <w:pStyle w:val="Compact"/>
              <w:jc w:val="right"/>
            </w:pPr>
            <w:r>
              <w:t xml:space="preserve">Random training</w:t>
            </w:r>
          </w:p>
        </w:tc>
        <w:tc>
          <w:tcPr/>
          <w:p>
            <w:pPr>
              <w:pStyle w:val="Compact"/>
              <w:jc w:val="right"/>
            </w:pPr>
            <w:r>
              <w:t xml:space="preserve">K-means training</w:t>
            </w:r>
          </w:p>
        </w:tc>
        <w:tc>
          <w:tcPr/>
          <w:p>
            <w:pPr>
              <w:pStyle w:val="Compact"/>
              <w:jc w:val="right"/>
            </w:pPr>
            <w:r>
              <w:t xml:space="preserve">True optimal</w:t>
            </w:r>
          </w:p>
        </w:tc>
        <w:tc>
          <w:tcPr/>
          <w:p>
            <w:pPr>
              <w:pStyle w:val="Compact"/>
              <w:jc w:val="right"/>
            </w:pPr>
            <w:r>
              <w:t xml:space="preserve">Random Top-K</w:t>
            </w:r>
          </w:p>
        </w:tc>
      </w:tr>
      <w:tr>
        <w:tc>
          <w:tcPr/>
          <w:p>
            <w:pPr>
              <w:pStyle w:val="Compact"/>
              <w:jc w:val="left"/>
            </w:pPr>
            <w:r>
              <w:t xml:space="preserve">Top-5 overfit identity</w:t>
            </w:r>
          </w:p>
        </w:tc>
        <w:tc>
          <w:tcPr/>
          <w:p>
            <w:pPr>
              <w:pStyle w:val="Compact"/>
              <w:jc w:val="right"/>
            </w:pPr>
            <w:r>
              <w:t xml:space="preserve">0.872</w:t>
            </w:r>
          </w:p>
        </w:tc>
        <w:tc>
          <w:tcPr/>
          <w:p>
            <w:pPr>
              <w:pStyle w:val="Compact"/>
              <w:jc w:val="right"/>
            </w:pPr>
            <w:r>
              <w:t xml:space="preserve">0.862</w:t>
            </w:r>
          </w:p>
        </w:tc>
        <w:tc>
          <w:tcPr/>
          <w:p>
            <w:pPr>
              <w:pStyle w:val="Compact"/>
              <w:jc w:val="right"/>
            </w:pPr>
            <w:r>
              <w:t xml:space="preserve">0.860</w:t>
            </w:r>
          </w:p>
        </w:tc>
        <w:tc>
          <w:tcPr/>
          <w:p>
            <w:pPr>
              <w:pStyle w:val="Compact"/>
              <w:jc w:val="right"/>
            </w:pPr>
            <w:r>
              <w:t xml:space="preserve">-</w:t>
            </w:r>
          </w:p>
        </w:tc>
      </w:tr>
      <w:tr>
        <w:tc>
          <w:tcPr/>
          <w:p>
            <w:pPr>
              <w:pStyle w:val="Compact"/>
              <w:jc w:val="left"/>
            </w:pPr>
            <w:r>
              <w:t xml:space="preserve">Top-5 internal identity</w:t>
            </w:r>
          </w:p>
        </w:tc>
        <w:tc>
          <w:tcPr/>
          <w:p>
            <w:pPr>
              <w:pStyle w:val="Compact"/>
              <w:jc w:val="right"/>
            </w:pPr>
            <w:r>
              <w:t xml:space="preserve">0.898</w:t>
            </w:r>
          </w:p>
        </w:tc>
        <w:tc>
          <w:tcPr/>
          <w:p>
            <w:pPr>
              <w:pStyle w:val="Compact"/>
              <w:jc w:val="right"/>
            </w:pPr>
            <w:r>
              <w:t xml:space="preserve">0.891</w:t>
            </w:r>
          </w:p>
        </w:tc>
        <w:tc>
          <w:tcPr/>
          <w:p>
            <w:pPr>
              <w:pStyle w:val="Compact"/>
              <w:jc w:val="right"/>
            </w:pPr>
            <w:r>
              <w:t xml:space="preserve">0.866</w:t>
            </w:r>
          </w:p>
        </w:tc>
        <w:tc>
          <w:tcPr/>
          <w:p>
            <w:pPr>
              <w:pStyle w:val="Compact"/>
              <w:jc w:val="right"/>
            </w:pPr>
            <w:r>
              <w:t xml:space="preserve">0.828</w:t>
            </w:r>
          </w:p>
        </w:tc>
      </w:tr>
      <w:tr>
        <w:tc>
          <w:tcPr/>
          <w:p>
            <w:pPr>
              <w:pStyle w:val="Compact"/>
              <w:jc w:val="left"/>
            </w:pPr>
            <w:r>
              <w:t xml:space="preserve">Top-5 mean pLDDT</w:t>
            </w:r>
          </w:p>
        </w:tc>
        <w:tc>
          <w:tcPr/>
          <w:p>
            <w:pPr>
              <w:pStyle w:val="Compact"/>
              <w:jc w:val="right"/>
            </w:pPr>
            <w:r>
              <w:t xml:space="preserve">92.51</w:t>
            </w:r>
          </w:p>
        </w:tc>
        <w:tc>
          <w:tcPr/>
          <w:p>
            <w:pPr>
              <w:pStyle w:val="Compact"/>
              <w:jc w:val="right"/>
            </w:pPr>
            <w:r>
              <w:t xml:space="preserve">92.51</w:t>
            </w:r>
          </w:p>
        </w:tc>
        <w:tc>
          <w:tcPr/>
          <w:p>
            <w:pPr>
              <w:pStyle w:val="Compact"/>
              <w:jc w:val="right"/>
            </w:pPr>
            <w:r>
              <w:t xml:space="preserve">93.09</w:t>
            </w:r>
          </w:p>
        </w:tc>
        <w:tc>
          <w:tcPr/>
          <w:p>
            <w:pPr>
              <w:pStyle w:val="Compact"/>
              <w:jc w:val="right"/>
            </w:pPr>
            <w:r>
              <w:t xml:space="preserve">91.95</w:t>
            </w:r>
          </w:p>
        </w:tc>
      </w:tr>
      <w:tr>
        <w:tc>
          <w:tcPr/>
          <w:p>
            <w:pPr>
              <w:pStyle w:val="Compact"/>
              <w:jc w:val="left"/>
            </w:pPr>
            <w:r>
              <w:t xml:space="preserve">Top-10 overfit identity</w:t>
            </w:r>
          </w:p>
        </w:tc>
        <w:tc>
          <w:tcPr/>
          <w:p>
            <w:pPr>
              <w:pStyle w:val="Compact"/>
              <w:jc w:val="right"/>
            </w:pPr>
            <w:r>
              <w:t xml:space="preserve">0.870</w:t>
            </w:r>
          </w:p>
        </w:tc>
        <w:tc>
          <w:tcPr/>
          <w:p>
            <w:pPr>
              <w:pStyle w:val="Compact"/>
              <w:jc w:val="right"/>
            </w:pPr>
            <w:r>
              <w:t xml:space="preserve">0.859</w:t>
            </w:r>
          </w:p>
        </w:tc>
        <w:tc>
          <w:tcPr/>
          <w:p>
            <w:pPr>
              <w:pStyle w:val="Compact"/>
              <w:jc w:val="right"/>
            </w:pPr>
            <w:r>
              <w:t xml:space="preserve">0.854</w:t>
            </w:r>
          </w:p>
        </w:tc>
        <w:tc>
          <w:tcPr/>
          <w:p>
            <w:pPr>
              <w:pStyle w:val="Compact"/>
              <w:jc w:val="right"/>
            </w:pPr>
            <w:r>
              <w:t xml:space="preserve">-</w:t>
            </w:r>
          </w:p>
        </w:tc>
      </w:tr>
      <w:tr>
        <w:tc>
          <w:tcPr/>
          <w:p>
            <w:pPr>
              <w:pStyle w:val="Compact"/>
              <w:jc w:val="left"/>
            </w:pPr>
            <w:r>
              <w:t xml:space="preserve">Top-10 internal identity</w:t>
            </w:r>
          </w:p>
        </w:tc>
        <w:tc>
          <w:tcPr/>
          <w:p>
            <w:pPr>
              <w:pStyle w:val="Compact"/>
              <w:jc w:val="right"/>
            </w:pPr>
            <w:r>
              <w:t xml:space="preserve">0.892</w:t>
            </w:r>
          </w:p>
        </w:tc>
        <w:tc>
          <w:tcPr/>
          <w:p>
            <w:pPr>
              <w:pStyle w:val="Compact"/>
              <w:jc w:val="right"/>
            </w:pPr>
            <w:r>
              <w:t xml:space="preserve">0.887</w:t>
            </w:r>
          </w:p>
        </w:tc>
        <w:tc>
          <w:tcPr/>
          <w:p>
            <w:pPr>
              <w:pStyle w:val="Compact"/>
              <w:jc w:val="right"/>
            </w:pPr>
            <w:r>
              <w:t xml:space="preserve">0.864</w:t>
            </w:r>
          </w:p>
        </w:tc>
        <w:tc>
          <w:tcPr/>
          <w:p>
            <w:pPr>
              <w:pStyle w:val="Compact"/>
              <w:jc w:val="right"/>
            </w:pPr>
            <w:r>
              <w:t xml:space="preserve">0.831</w:t>
            </w:r>
          </w:p>
        </w:tc>
      </w:tr>
      <w:tr>
        <w:tc>
          <w:tcPr/>
          <w:p>
            <w:pPr>
              <w:pStyle w:val="Compact"/>
              <w:jc w:val="left"/>
            </w:pPr>
            <w:r>
              <w:t xml:space="preserve">Top-10 mean pLDDT</w:t>
            </w:r>
          </w:p>
        </w:tc>
        <w:tc>
          <w:tcPr/>
          <w:p>
            <w:pPr>
              <w:pStyle w:val="Compact"/>
              <w:jc w:val="right"/>
            </w:pPr>
            <w:r>
              <w:t xml:space="preserve">92.47</w:t>
            </w:r>
          </w:p>
        </w:tc>
        <w:tc>
          <w:tcPr/>
          <w:p>
            <w:pPr>
              <w:pStyle w:val="Compact"/>
              <w:jc w:val="right"/>
            </w:pPr>
            <w:r>
              <w:t xml:space="preserve">92.45</w:t>
            </w:r>
          </w:p>
        </w:tc>
        <w:tc>
          <w:tcPr/>
          <w:p>
            <w:pPr>
              <w:pStyle w:val="Compact"/>
              <w:jc w:val="right"/>
            </w:pPr>
            <w:r>
              <w:t xml:space="preserve">92.89</w:t>
            </w:r>
          </w:p>
        </w:tc>
        <w:tc>
          <w:tcPr/>
          <w:p>
            <w:pPr>
              <w:pStyle w:val="Compact"/>
              <w:jc w:val="right"/>
            </w:pPr>
            <w:r>
              <w:t xml:space="preserve">91.91</w:t>
            </w:r>
          </w:p>
        </w:tc>
      </w:tr>
    </w:tbl>
    <w:bookmarkEnd w:id="43"/>
    <w:bookmarkStart w:id="44" w:name="supplementary-note-7.-rank-mean-ensemble"/>
    <w:p>
      <w:pPr>
        <w:pStyle w:val="Heading2"/>
      </w:pPr>
      <w:r>
        <w:t xml:space="preserve">Supplementary Note 7. Rank-Mean Ensemble</w:t>
      </w:r>
    </w:p>
    <w:p>
      <w:pPr>
        <w:pStyle w:val="FirstParagraph"/>
      </w:pPr>
      <w:r>
        <w:t xml:space="preserve">A rank-mean ensemble over RF, Ridge, LightGBM, and XGBoost gives the highest mean pLDDT BO uplift in the current artifact benchmark, but the gain over RF is small and does not remove acquisition diversity collapse. Rank-mean is therefore retained as an optional robustness layer rather than as the default surrogate. In the RAPID interface, selecting multiple surrogate families uses this rank-mean rule on the same AF2-labelled bootstrap set, so the number of AF2/ColabFold calls remains</w:t>
      </w:r>
      <w:r>
        <w:t xml:space="preserve"> </w:t>
      </w:r>
      <w:r>
        <w:rPr>
          <w:rStyle w:val="VerbatimChar"/>
        </w:rPr>
        <w:t xml:space="preserve">N_train + Top-K</w:t>
      </w:r>
      <w:r>
        <w:t xml:space="preserve"> </w:t>
      </w:r>
      <w:r>
        <w:t xml:space="preserve">rather than increasing with the number of selected models.</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Combination rule</w:t>
            </w:r>
          </w:p>
        </w:tc>
        <w:tc>
          <w:tcPr/>
          <w:p>
            <w:pPr>
              <w:pStyle w:val="Compact"/>
              <w:jc w:val="right"/>
            </w:pPr>
            <w:r>
              <w:t xml:space="preserve">pLDDT BO uplift Top-5</w:t>
            </w:r>
          </w:p>
        </w:tc>
        <w:tc>
          <w:tcPr/>
          <w:p>
            <w:pPr>
              <w:pStyle w:val="Compact"/>
              <w:jc w:val="right"/>
            </w:pPr>
            <w:r>
              <w:t xml:space="preserve">SoluProt BO uplift Top-5</w:t>
            </w:r>
          </w:p>
        </w:tc>
        <w:tc>
          <w:tcPr/>
          <w:p>
            <w:pPr>
              <w:pStyle w:val="Compact"/>
              <w:jc w:val="right"/>
            </w:pPr>
            <w:r>
              <w:t xml:space="preserve">Top-10 internal identity</w:t>
            </w:r>
          </w:p>
        </w:tc>
      </w:tr>
      <w:tr>
        <w:tc>
          <w:tcPr/>
          <w:p>
            <w:pPr>
              <w:pStyle w:val="Compact"/>
              <w:jc w:val="left"/>
            </w:pPr>
            <w:r>
              <w:t xml:space="preserve">rank-mean ensemble</w:t>
            </w:r>
          </w:p>
        </w:tc>
        <w:tc>
          <w:tcPr/>
          <w:p>
            <w:pPr>
              <w:pStyle w:val="Compact"/>
              <w:jc w:val="right"/>
            </w:pPr>
            <w:r>
              <w:t xml:space="preserve">0.622</w:t>
            </w:r>
          </w:p>
        </w:tc>
        <w:tc>
          <w:tcPr/>
          <w:p>
            <w:pPr>
              <w:pStyle w:val="Compact"/>
              <w:jc w:val="right"/>
            </w:pPr>
            <w:r>
              <w:t xml:space="preserve">0.0370</w:t>
            </w:r>
          </w:p>
        </w:tc>
        <w:tc>
          <w:tcPr/>
          <w:p>
            <w:pPr>
              <w:pStyle w:val="Compact"/>
              <w:jc w:val="right"/>
            </w:pPr>
            <w:r>
              <w:t xml:space="preserve">0.883</w:t>
            </w:r>
          </w:p>
        </w:tc>
      </w:tr>
      <w:tr>
        <w:tc>
          <w:tcPr/>
          <w:p>
            <w:pPr>
              <w:pStyle w:val="Compact"/>
              <w:jc w:val="left"/>
            </w:pPr>
            <w:r>
              <w:t xml:space="preserve">score-mean ensemble</w:t>
            </w:r>
          </w:p>
        </w:tc>
        <w:tc>
          <w:tcPr/>
          <w:p>
            <w:pPr>
              <w:pStyle w:val="Compact"/>
              <w:jc w:val="right"/>
            </w:pPr>
            <w:r>
              <w:t xml:space="preserve">0.611</w:t>
            </w:r>
          </w:p>
        </w:tc>
        <w:tc>
          <w:tcPr/>
          <w:p>
            <w:pPr>
              <w:pStyle w:val="Compact"/>
              <w:jc w:val="right"/>
            </w:pPr>
            <w:r>
              <w:t xml:space="preserve">0.0377</w:t>
            </w:r>
          </w:p>
        </w:tc>
        <w:tc>
          <w:tcPr/>
          <w:p>
            <w:pPr>
              <w:pStyle w:val="Compact"/>
              <w:jc w:val="right"/>
            </w:pPr>
            <w:r>
              <w:t xml:space="preserve">0.881</w:t>
            </w:r>
          </w:p>
        </w:tc>
      </w:tr>
      <w:tr>
        <w:tc>
          <w:tcPr/>
          <w:p>
            <w:pPr>
              <w:pStyle w:val="Compact"/>
              <w:jc w:val="left"/>
            </w:pPr>
            <w:r>
              <w:t xml:space="preserve">RF</w:t>
            </w:r>
          </w:p>
        </w:tc>
        <w:tc>
          <w:tcPr/>
          <w:p>
            <w:pPr>
              <w:pStyle w:val="Compact"/>
              <w:jc w:val="right"/>
            </w:pPr>
            <w:r>
              <w:t xml:space="preserve">0.602</w:t>
            </w:r>
          </w:p>
        </w:tc>
        <w:tc>
          <w:tcPr/>
          <w:p>
            <w:pPr>
              <w:pStyle w:val="Compact"/>
              <w:jc w:val="right"/>
            </w:pPr>
            <w:r>
              <w:t xml:space="preserve">0.0335</w:t>
            </w:r>
          </w:p>
        </w:tc>
        <w:tc>
          <w:tcPr/>
          <w:p>
            <w:pPr>
              <w:pStyle w:val="Compact"/>
              <w:jc w:val="right"/>
            </w:pPr>
            <w:r>
              <w:t xml:space="preserve">0.887</w:t>
            </w:r>
          </w:p>
        </w:tc>
      </w:tr>
      <w:tr>
        <w:tc>
          <w:tcPr/>
          <w:p>
            <w:pPr>
              <w:pStyle w:val="Compact"/>
              <w:jc w:val="left"/>
            </w:pPr>
            <w:r>
              <w:t xml:space="preserve">top-5 vote ensemble</w:t>
            </w:r>
          </w:p>
        </w:tc>
        <w:tc>
          <w:tcPr/>
          <w:p>
            <w:pPr>
              <w:pStyle w:val="Compact"/>
              <w:jc w:val="right"/>
            </w:pPr>
            <w:r>
              <w:t xml:space="preserve">0.600</w:t>
            </w:r>
          </w:p>
        </w:tc>
        <w:tc>
          <w:tcPr/>
          <w:p>
            <w:pPr>
              <w:pStyle w:val="Compact"/>
              <w:jc w:val="right"/>
            </w:pPr>
            <w:r>
              <w:t xml:space="preserve">0.0363</w:t>
            </w:r>
          </w:p>
        </w:tc>
        <w:tc>
          <w:tcPr/>
          <w:p>
            <w:pPr>
              <w:pStyle w:val="Compact"/>
              <w:jc w:val="right"/>
            </w:pPr>
            <w:r>
              <w:t xml:space="preserve">0.880</w:t>
            </w:r>
          </w:p>
        </w:tc>
      </w:tr>
      <w:tr>
        <w:tc>
          <w:tcPr/>
          <w:p>
            <w:pPr>
              <w:pStyle w:val="Compact"/>
              <w:jc w:val="left"/>
            </w:pPr>
            <w:r>
              <w:t xml:space="preserve">Ridge</w:t>
            </w:r>
          </w:p>
        </w:tc>
        <w:tc>
          <w:tcPr/>
          <w:p>
            <w:pPr>
              <w:pStyle w:val="Compact"/>
              <w:jc w:val="right"/>
            </w:pPr>
            <w:r>
              <w:t xml:space="preserve">0.583</w:t>
            </w:r>
          </w:p>
        </w:tc>
        <w:tc>
          <w:tcPr/>
          <w:p>
            <w:pPr>
              <w:pStyle w:val="Compact"/>
              <w:jc w:val="right"/>
            </w:pPr>
            <w:r>
              <w:t xml:space="preserve">0.0418</w:t>
            </w:r>
          </w:p>
        </w:tc>
        <w:tc>
          <w:tcPr/>
          <w:p>
            <w:pPr>
              <w:pStyle w:val="Compact"/>
              <w:jc w:val="right"/>
            </w:pPr>
            <w:r>
              <w:t xml:space="preserve">0.865</w:t>
            </w:r>
          </w:p>
        </w:tc>
      </w:tr>
      <w:tr>
        <w:tc>
          <w:tcPr/>
          <w:p>
            <w:pPr>
              <w:pStyle w:val="Compact"/>
              <w:jc w:val="left"/>
            </w:pPr>
            <w:r>
              <w:t xml:space="preserve">XGBoost</w:t>
            </w:r>
          </w:p>
        </w:tc>
        <w:tc>
          <w:tcPr/>
          <w:p>
            <w:pPr>
              <w:pStyle w:val="Compact"/>
              <w:jc w:val="right"/>
            </w:pPr>
            <w:r>
              <w:t xml:space="preserve">0.558</w:t>
            </w:r>
          </w:p>
        </w:tc>
        <w:tc>
          <w:tcPr/>
          <w:p>
            <w:pPr>
              <w:pStyle w:val="Compact"/>
              <w:jc w:val="right"/>
            </w:pPr>
            <w:r>
              <w:t xml:space="preserve">0.0308</w:t>
            </w:r>
          </w:p>
        </w:tc>
        <w:tc>
          <w:tcPr/>
          <w:p>
            <w:pPr>
              <w:pStyle w:val="Compact"/>
              <w:jc w:val="right"/>
            </w:pPr>
            <w:r>
              <w:t xml:space="preserve">0.873</w:t>
            </w:r>
          </w:p>
        </w:tc>
      </w:tr>
      <w:tr>
        <w:tc>
          <w:tcPr/>
          <w:p>
            <w:pPr>
              <w:pStyle w:val="Compact"/>
              <w:jc w:val="left"/>
            </w:pPr>
            <w:r>
              <w:t xml:space="preserve">LightGBM</w:t>
            </w:r>
          </w:p>
        </w:tc>
        <w:tc>
          <w:tcPr/>
          <w:p>
            <w:pPr>
              <w:pStyle w:val="Compact"/>
              <w:jc w:val="right"/>
            </w:pPr>
            <w:r>
              <w:t xml:space="preserve">0.549</w:t>
            </w:r>
          </w:p>
        </w:tc>
        <w:tc>
          <w:tcPr/>
          <w:p>
            <w:pPr>
              <w:pStyle w:val="Compact"/>
              <w:jc w:val="right"/>
            </w:pPr>
            <w:r>
              <w:t xml:space="preserve">0.0297</w:t>
            </w:r>
          </w:p>
        </w:tc>
        <w:tc>
          <w:tcPr/>
          <w:p>
            <w:pPr>
              <w:pStyle w:val="Compact"/>
              <w:jc w:val="right"/>
            </w:pPr>
            <w:r>
              <w:t xml:space="preserve">0.877</w:t>
            </w:r>
          </w:p>
        </w:tc>
      </w:tr>
    </w:tbl>
    <w:bookmarkEnd w:id="44"/>
    <w:bookmarkStart w:id="45" w:name="X555d0fcfaeac2a9cda91d2c666bb440483dd4b0"/>
    <w:p>
      <w:pPr>
        <w:pStyle w:val="Heading2"/>
      </w:pPr>
      <w:r>
        <w:t xml:space="preserve">Supplementary Note 8. Representative Surrogate-Budget Runs</w:t>
      </w:r>
    </w:p>
    <w:p>
      <w:pPr>
        <w:pStyle w:val="FirstParagraph"/>
      </w:pPr>
      <w:r>
        <w:t xml:space="preserve">Two representative historical in-silico runs verify the implemented computational surrogate path but are not treated as a paired biological benchmark. They used AF2/pLDDT as a computational label source and therefore support the software and budget path, not experimental enrichment. The current paper-run script for claim 2 is</w:t>
      </w:r>
      <w:r>
        <w:t xml:space="preserve"> </w:t>
      </w:r>
      <w:r>
        <w:rPr>
          <w:rStyle w:val="VerbatimChar"/>
        </w:rPr>
        <w:t xml:space="preserve">scripts/paper_runs/03_launch_surrogate_triage_budget.py</w:t>
      </w:r>
      <w:r>
        <w:t xml:space="preserve">, which runs the standard pipeline with</w:t>
      </w:r>
      <w:r>
        <w:t xml:space="preserve"> </w:t>
      </w:r>
      <w:r>
        <w:rPr>
          <w:rStyle w:val="VerbatimChar"/>
        </w:rPr>
        <w:t xml:space="preserve">evolution_mode=False</w:t>
      </w:r>
      <w:r>
        <w:t xml:space="preserve">,</w:t>
      </w:r>
      <w:r>
        <w:t xml:space="preserve"> </w:t>
      </w:r>
      <w:r>
        <w:rPr>
          <w:rStyle w:val="VerbatimChar"/>
        </w:rPr>
        <w:t xml:space="preserve">surrogate_triage_enabled=True</w:t>
      </w:r>
      <w:r>
        <w:t xml:space="preserve">, RFD3/BioEmu/Relax disabled, and default</w:t>
      </w:r>
      <w:r>
        <w:t xml:space="preserve"> </w:t>
      </w:r>
      <w:r>
        <w:rPr>
          <w:rStyle w:val="VerbatimChar"/>
        </w:rPr>
        <w:t xml:space="preserve">N_train = 30</w:t>
      </w:r>
      <w:r>
        <w:t xml:space="preserve">,</w:t>
      </w:r>
      <w:r>
        <w:t xml:space="preserve"> </w:t>
      </w:r>
      <w:r>
        <w:rPr>
          <w:rStyle w:val="VerbatimChar"/>
        </w:rPr>
        <w:t xml:space="preserve">Top-K = 20</w:t>
      </w:r>
      <w:r>
        <w:t xml:space="preserve">.</w:t>
      </w:r>
    </w:p>
    <w:tbl>
      <w:tblPr>
        <w:tblStyle w:val="Table"/>
        <w:tblW w:type="pct" w:w="5000"/>
        <w:tblLook w:firstRow="1" w:lastRow="0" w:firstColumn="0" w:lastColumn="0" w:noHBand="0" w:noVBand="0" w:val="0020"/>
        <w:jc w:val="start"/>
      </w:tblPr>
      <w:tblGrid>
        <w:gridCol w:w="642"/>
        <w:gridCol w:w="642"/>
        <w:gridCol w:w="856"/>
        <w:gridCol w:w="856"/>
        <w:gridCol w:w="856"/>
        <w:gridCol w:w="856"/>
        <w:gridCol w:w="642"/>
        <w:gridCol w:w="856"/>
        <w:gridCol w:w="856"/>
        <w:gridCol w:w="856"/>
      </w:tblGrid>
      <w:tr>
        <w:trPr>
          <w:tblHeader w:val="true"/>
        </w:trPr>
        <w:tc>
          <w:tcPr/>
          <w:p>
            <w:pPr>
              <w:pStyle w:val="Compact"/>
              <w:jc w:val="left"/>
            </w:pPr>
            <w:r>
              <w:t xml:space="preserve">Target</w:t>
            </w:r>
          </w:p>
        </w:tc>
        <w:tc>
          <w:tcPr/>
          <w:p>
            <w:pPr>
              <w:pStyle w:val="Compact"/>
              <w:jc w:val="left"/>
            </w:pPr>
            <w:r>
              <w:t xml:space="preserve">Run ID</w:t>
            </w:r>
          </w:p>
        </w:tc>
        <w:tc>
          <w:tcPr/>
          <w:p>
            <w:pPr>
              <w:pStyle w:val="Compact"/>
              <w:jc w:val="right"/>
            </w:pPr>
            <w:r>
              <w:t xml:space="preserve">SoluProt-gated candidates</w:t>
            </w:r>
          </w:p>
        </w:tc>
        <w:tc>
          <w:tcPr/>
          <w:p>
            <w:pPr>
              <w:pStyle w:val="Compact"/>
              <w:jc w:val="right"/>
            </w:pPr>
            <w:r>
              <w:t xml:space="preserve">AF2 records</w:t>
            </w:r>
          </w:p>
        </w:tc>
        <w:tc>
          <w:tcPr/>
          <w:p>
            <w:pPr>
              <w:pStyle w:val="Compact"/>
              <w:jc w:val="right"/>
            </w:pPr>
            <w:r>
              <w:t xml:space="preserve">AF2 reduction vs folding all gated candidates</w:t>
            </w:r>
          </w:p>
        </w:tc>
        <w:tc>
          <w:tcPr/>
          <w:p>
            <w:pPr>
              <w:pStyle w:val="Compact"/>
              <w:jc w:val="right"/>
            </w:pPr>
            <w:r>
              <w:t xml:space="preserve">Top-K setting</w:t>
            </w:r>
          </w:p>
        </w:tc>
        <w:tc>
          <w:tcPr/>
          <w:p>
            <w:pPr>
              <w:pStyle w:val="Compact"/>
              <w:jc w:val="left"/>
            </w:pPr>
            <w:r>
              <w:t xml:space="preserve">Best phase</w:t>
            </w:r>
          </w:p>
        </w:tc>
        <w:tc>
          <w:tcPr/>
          <w:p>
            <w:pPr>
              <w:pStyle w:val="Compact"/>
              <w:jc w:val="right"/>
            </w:pPr>
            <w:r>
              <w:t xml:space="preserve">Best SoluProt</w:t>
            </w:r>
          </w:p>
        </w:tc>
        <w:tc>
          <w:tcPr/>
          <w:p>
            <w:pPr>
              <w:pStyle w:val="Compact"/>
              <w:jc w:val="right"/>
            </w:pPr>
            <w:r>
              <w:t xml:space="preserve">Best pLDDT</w:t>
            </w:r>
          </w:p>
        </w:tc>
        <w:tc>
          <w:tcPr/>
          <w:p>
            <w:pPr>
              <w:pStyle w:val="Compact"/>
              <w:jc w:val="right"/>
            </w:pPr>
            <w:r>
              <w:t xml:space="preserve">Best relax score</w:t>
            </w:r>
          </w:p>
        </w:tc>
      </w:tr>
      <w:tr>
        <w:tc>
          <w:tcPr/>
          <w:p>
            <w:pPr>
              <w:pStyle w:val="Compact"/>
              <w:jc w:val="left"/>
            </w:pPr>
            <w:r>
              <w:t xml:space="preserve">3RGK</w:t>
            </w:r>
          </w:p>
        </w:tc>
        <w:tc>
          <w:tcPr/>
          <w:p>
            <w:pPr>
              <w:pStyle w:val="Compact"/>
              <w:jc w:val="left"/>
            </w:pPr>
            <w:r>
              <w:rPr>
                <w:rStyle w:val="VerbatimChar"/>
              </w:rPr>
              <w:t xml:space="preserve">pys74631_kribb.re.kr_ev_3rgk</w:t>
            </w:r>
          </w:p>
        </w:tc>
        <w:tc>
          <w:tcPr/>
          <w:p>
            <w:pPr>
              <w:pStyle w:val="Compact"/>
              <w:jc w:val="right"/>
            </w:pPr>
            <w:r>
              <w:t xml:space="preserve">8,000</w:t>
            </w:r>
          </w:p>
        </w:tc>
        <w:tc>
          <w:tcPr/>
          <w:p>
            <w:pPr>
              <w:pStyle w:val="Compact"/>
              <w:jc w:val="right"/>
            </w:pPr>
            <w:r>
              <w:t xml:space="preserve">94</w:t>
            </w:r>
          </w:p>
        </w:tc>
        <w:tc>
          <w:tcPr/>
          <w:p>
            <w:pPr>
              <w:pStyle w:val="Compact"/>
              <w:jc w:val="right"/>
            </w:pPr>
            <w:r>
              <w:t xml:space="preserve">98.8%</w:t>
            </w:r>
          </w:p>
        </w:tc>
        <w:tc>
          <w:tcPr/>
          <w:p>
            <w:pPr>
              <w:pStyle w:val="Compact"/>
              <w:jc w:val="right"/>
            </w:pPr>
            <w:r>
              <w:t xml:space="preserve">20</w:t>
            </w:r>
          </w:p>
        </w:tc>
        <w:tc>
          <w:tcPr/>
          <w:p>
            <w:pPr>
              <w:pStyle w:val="Compact"/>
              <w:jc w:val="left"/>
            </w:pPr>
            <w:r>
              <w:t xml:space="preserve">R1 train</w:t>
            </w:r>
          </w:p>
        </w:tc>
        <w:tc>
          <w:tcPr/>
          <w:p>
            <w:pPr>
              <w:pStyle w:val="Compact"/>
              <w:jc w:val="right"/>
            </w:pPr>
            <w:r>
              <w:t xml:space="preserve">0.794</w:t>
            </w:r>
          </w:p>
        </w:tc>
        <w:tc>
          <w:tcPr/>
          <w:p>
            <w:pPr>
              <w:pStyle w:val="Compact"/>
              <w:jc w:val="right"/>
            </w:pPr>
            <w:r>
              <w:t xml:space="preserve">97.05</w:t>
            </w:r>
          </w:p>
        </w:tc>
        <w:tc>
          <w:tcPr/>
          <w:p>
            <w:pPr>
              <w:pStyle w:val="Compact"/>
              <w:jc w:val="right"/>
            </w:pPr>
            <w:r>
              <w:t xml:space="preserve">-3.13</w:t>
            </w:r>
          </w:p>
        </w:tc>
      </w:tr>
      <w:tr>
        <w:tc>
          <w:tcPr/>
          <w:p>
            <w:pPr>
              <w:pStyle w:val="Compact"/>
              <w:jc w:val="left"/>
            </w:pPr>
            <w:r>
              <w:t xml:space="preserve">1LVM</w:t>
            </w:r>
          </w:p>
        </w:tc>
        <w:tc>
          <w:tcPr/>
          <w:p>
            <w:pPr>
              <w:pStyle w:val="Compact"/>
              <w:jc w:val="left"/>
            </w:pPr>
            <w:r>
              <w:rPr>
                <w:rStyle w:val="VerbatimChar"/>
              </w:rPr>
              <w:t xml:space="preserve">admin_20260430_064926_afb67369</w:t>
            </w:r>
          </w:p>
        </w:tc>
        <w:tc>
          <w:tcPr/>
          <w:p>
            <w:pPr>
              <w:pStyle w:val="Compact"/>
              <w:jc w:val="right"/>
            </w:pPr>
            <w:r>
              <w:t xml:space="preserve">8,000</w:t>
            </w:r>
          </w:p>
        </w:tc>
        <w:tc>
          <w:tcPr/>
          <w:p>
            <w:pPr>
              <w:pStyle w:val="Compact"/>
              <w:jc w:val="right"/>
            </w:pPr>
            <w:r>
              <w:t xml:space="preserve">49</w:t>
            </w:r>
          </w:p>
        </w:tc>
        <w:tc>
          <w:tcPr/>
          <w:p>
            <w:pPr>
              <w:pStyle w:val="Compact"/>
              <w:jc w:val="right"/>
            </w:pPr>
            <w:r>
              <w:t xml:space="preserve">99.4%</w:t>
            </w:r>
          </w:p>
        </w:tc>
        <w:tc>
          <w:tcPr/>
          <w:p>
            <w:pPr>
              <w:pStyle w:val="Compact"/>
              <w:jc w:val="right"/>
            </w:pPr>
            <w:r>
              <w:t xml:space="preserve">5</w:t>
            </w:r>
          </w:p>
        </w:tc>
        <w:tc>
          <w:tcPr/>
          <w:p>
            <w:pPr>
              <w:pStyle w:val="Compact"/>
              <w:jc w:val="left"/>
            </w:pPr>
            <w:r>
              <w:t xml:space="preserve">R3 top-k</w:t>
            </w:r>
          </w:p>
        </w:tc>
        <w:tc>
          <w:tcPr/>
          <w:p>
            <w:pPr>
              <w:pStyle w:val="Compact"/>
              <w:jc w:val="right"/>
            </w:pPr>
            <w:r>
              <w:t xml:space="preserve">0.734</w:t>
            </w:r>
          </w:p>
        </w:tc>
        <w:tc>
          <w:tcPr/>
          <w:p>
            <w:pPr>
              <w:pStyle w:val="Compact"/>
              <w:jc w:val="right"/>
            </w:pPr>
            <w:r>
              <w:t xml:space="preserve">89.52</w:t>
            </w:r>
          </w:p>
        </w:tc>
        <w:tc>
          <w:tcPr/>
          <w:p>
            <w:pPr>
              <w:pStyle w:val="Compact"/>
              <w:jc w:val="right"/>
            </w:pPr>
            <w:r>
              <w:t xml:space="preserve">-3.15</w:t>
            </w:r>
          </w:p>
        </w:tc>
      </w:tr>
    </w:tbl>
    <w:p>
      <w:pPr>
        <w:pStyle w:val="BodyText"/>
      </w:pPr>
      <w:r>
        <w:t xml:space="preserve">The Top-K default of 20 is an operating budget rather than a fitted hyperparameter. It pairs with the N = 30 bootstrap setting to give 50 AF2 calls per target-tier decision point when the SoluProt-passing pool exceeds the budget. N = 30 is supported by the sample-size ablation, where additional labels beyond 30 provide diminishing returns in the current artifact benchmark; Top-K = 20 keeps enough candidates for manual review while making the AF2/ColabFold cost visible before a run is launched.</w:t>
      </w:r>
    </w:p>
    <w:bookmarkEnd w:id="45"/>
    <w:bookmarkStart w:id="46" w:name="Xc85e3c529b6ac06f7aaa51837f94abc065724b0"/>
    <w:p>
      <w:pPr>
        <w:pStyle w:val="Heading2"/>
      </w:pPr>
      <w:r>
        <w:t xml:space="preserve">Supplementary Note 9. Structural-Context Pilot</w:t>
      </w:r>
    </w:p>
    <w:p>
      <w:pPr>
        <w:pStyle w:val="FirstParagraph"/>
      </w:pPr>
      <w:r>
        <w:t xml:space="preserve">The completed structural-context pilot compares the original target backbone, one selected RFD3 backbone, and a three-backbone RFD3 ensemble across three CATH targets. It shows target-dependent tradeoffs and motivates the four-arm RAPID refresh, but it is not powered to claim a universal structural-generator advantage. The pilot visualization is shown once in the main manuscript as Figure 5; the supplementary material retains the numeric summary and protocol context rather than repeating the same image.</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Arm</w:t>
            </w:r>
          </w:p>
        </w:tc>
        <w:tc>
          <w:tcPr/>
          <w:p>
            <w:pPr>
              <w:pStyle w:val="Compact"/>
              <w:jc w:val="right"/>
            </w:pPr>
            <w:r>
              <w:t xml:space="preserve">Designs per target</w:t>
            </w:r>
          </w:p>
        </w:tc>
        <w:tc>
          <w:tcPr/>
          <w:p>
            <w:pPr>
              <w:pStyle w:val="Compact"/>
              <w:jc w:val="right"/>
            </w:pPr>
            <w:r>
              <w:t xml:space="preserve">AF2 records per target</w:t>
            </w:r>
          </w:p>
        </w:tc>
        <w:tc>
          <w:tcPr/>
          <w:p>
            <w:pPr>
              <w:pStyle w:val="Compact"/>
              <w:jc w:val="right"/>
            </w:pPr>
            <w:r>
              <w:t xml:space="preserve">Top-5 pLDDT</w:t>
            </w:r>
          </w:p>
        </w:tc>
        <w:tc>
          <w:tcPr/>
          <w:p>
            <w:pPr>
              <w:pStyle w:val="Compact"/>
              <w:jc w:val="right"/>
            </w:pPr>
            <w:r>
              <w:t xml:space="preserve">Top-5 SoluProt</w:t>
            </w:r>
          </w:p>
        </w:tc>
      </w:tr>
      <w:tr>
        <w:tc>
          <w:tcPr/>
          <w:p>
            <w:pPr>
              <w:pStyle w:val="Compact"/>
              <w:jc w:val="left"/>
            </w:pPr>
            <w:r>
              <w:t xml:space="preserve">Single target backbone</w:t>
            </w:r>
          </w:p>
        </w:tc>
        <w:tc>
          <w:tcPr/>
          <w:p>
            <w:pPr>
              <w:pStyle w:val="Compact"/>
              <w:jc w:val="right"/>
            </w:pPr>
            <w:r>
              <w:t xml:space="preserve">120</w:t>
            </w:r>
          </w:p>
        </w:tc>
        <w:tc>
          <w:tcPr/>
          <w:p>
            <w:pPr>
              <w:pStyle w:val="Compact"/>
              <w:jc w:val="right"/>
            </w:pPr>
            <w:r>
              <w:t xml:space="preserve">30</w:t>
            </w:r>
          </w:p>
        </w:tc>
        <w:tc>
          <w:tcPr/>
          <w:p>
            <w:pPr>
              <w:pStyle w:val="Compact"/>
              <w:jc w:val="right"/>
            </w:pPr>
            <w:r>
              <w:t xml:space="preserve">84.76</w:t>
            </w:r>
          </w:p>
        </w:tc>
        <w:tc>
          <w:tcPr/>
          <w:p>
            <w:pPr>
              <w:pStyle w:val="Compact"/>
              <w:jc w:val="right"/>
            </w:pPr>
            <w:r>
              <w:t xml:space="preserve">0.756</w:t>
            </w:r>
          </w:p>
        </w:tc>
      </w:tr>
      <w:tr>
        <w:tc>
          <w:tcPr/>
          <w:p>
            <w:pPr>
              <w:pStyle w:val="Compact"/>
              <w:jc w:val="left"/>
            </w:pPr>
            <w:r>
              <w:t xml:space="preserve">RFD3 selected backbone</w:t>
            </w:r>
          </w:p>
        </w:tc>
        <w:tc>
          <w:tcPr/>
          <w:p>
            <w:pPr>
              <w:pStyle w:val="Compact"/>
              <w:jc w:val="right"/>
            </w:pPr>
            <w:r>
              <w:t xml:space="preserve">120</w:t>
            </w:r>
          </w:p>
        </w:tc>
        <w:tc>
          <w:tcPr/>
          <w:p>
            <w:pPr>
              <w:pStyle w:val="Compact"/>
              <w:jc w:val="right"/>
            </w:pPr>
            <w:r>
              <w:t xml:space="preserve">30</w:t>
            </w:r>
          </w:p>
        </w:tc>
        <w:tc>
          <w:tcPr/>
          <w:p>
            <w:pPr>
              <w:pStyle w:val="Compact"/>
              <w:jc w:val="right"/>
            </w:pPr>
            <w:r>
              <w:t xml:space="preserve">87.58</w:t>
            </w:r>
          </w:p>
        </w:tc>
        <w:tc>
          <w:tcPr/>
          <w:p>
            <w:pPr>
              <w:pStyle w:val="Compact"/>
              <w:jc w:val="right"/>
            </w:pPr>
            <w:r>
              <w:t xml:space="preserve">0.725</w:t>
            </w:r>
          </w:p>
        </w:tc>
      </w:tr>
      <w:tr>
        <w:tc>
          <w:tcPr/>
          <w:p>
            <w:pPr>
              <w:pStyle w:val="Compact"/>
              <w:jc w:val="left"/>
            </w:pPr>
            <w:r>
              <w:t xml:space="preserve">RFD3 ensemble, 3 backbones</w:t>
            </w:r>
          </w:p>
        </w:tc>
        <w:tc>
          <w:tcPr/>
          <w:p>
            <w:pPr>
              <w:pStyle w:val="Compact"/>
              <w:jc w:val="right"/>
            </w:pPr>
            <w:r>
              <w:t xml:space="preserve">117</w:t>
            </w:r>
          </w:p>
        </w:tc>
        <w:tc>
          <w:tcPr/>
          <w:p>
            <w:pPr>
              <w:pStyle w:val="Compact"/>
              <w:jc w:val="right"/>
            </w:pPr>
            <w:r>
              <w:t xml:space="preserve">30</w:t>
            </w:r>
          </w:p>
        </w:tc>
        <w:tc>
          <w:tcPr/>
          <w:p>
            <w:pPr>
              <w:pStyle w:val="Compact"/>
              <w:jc w:val="right"/>
            </w:pPr>
            <w:r>
              <w:t xml:space="preserve">85.58</w:t>
            </w:r>
          </w:p>
        </w:tc>
        <w:tc>
          <w:tcPr/>
          <w:p>
            <w:pPr>
              <w:pStyle w:val="Compact"/>
              <w:jc w:val="right"/>
            </w:pPr>
            <w:r>
              <w:t xml:space="preserve">0.759</w:t>
            </w:r>
          </w:p>
        </w:tc>
      </w:tr>
    </w:tbl>
    <w:bookmarkEnd w:id="46"/>
    <w:bookmarkStart w:id="47" w:name="X77975bf8f185cdc4fc1fe0c10f70cc1114c7fd2"/>
    <w:p>
      <w:pPr>
        <w:pStyle w:val="Heading2"/>
      </w:pPr>
      <w:r>
        <w:t xml:space="preserve">Supplementary Note 10. BioEmu Target-RMSD Gate QC</w:t>
      </w:r>
    </w:p>
    <w:p>
      <w:pPr>
        <w:pStyle w:val="FirstParagraph"/>
      </w:pPr>
      <w:r>
        <w:t xml:space="preserve">BioEmu-containing structural-context arms were required to satisfy the same 2.0 Å target-RMSD gate used in the primary four-arm refresh. This gate is part of the artifact contract: a BioEmu arm is quantitatively evaluable only when the requested near-target conformers are recovered. Initial BioEmu runs for four targets did not recover three accepted conformers within the 10-attempt budget. These cases are therefore treated as not evaluable for BioEmu-based score comparison, rather than as zero-valued design outcomes. A sensitivity rerun increases the BioEmu sampling and maximum-attempt budgets to 30 while preserving the 2.0 Å acceptance gate.</w:t>
      </w:r>
    </w:p>
    <w:tbl>
      <w:tblPr>
        <w:tblStyle w:val="Table"/>
        <w:tblW w:type="pct" w:w="5000"/>
        <w:tblLook w:firstRow="1" w:lastRow="0" w:firstColumn="0" w:lastColumn="0" w:noHBand="0" w:noVBand="0" w:val="0020"/>
        <w:jc w:val="start"/>
      </w:tblPr>
      <w:tblGrid>
        <w:gridCol w:w="1080"/>
        <w:gridCol w:w="1440"/>
        <w:gridCol w:w="1440"/>
        <w:gridCol w:w="1440"/>
        <w:gridCol w:w="1440"/>
        <w:gridCol w:w="1080"/>
      </w:tblGrid>
      <w:tr>
        <w:trPr>
          <w:tblHeader w:val="true"/>
        </w:trPr>
        <w:tc>
          <w:tcPr/>
          <w:p>
            <w:pPr>
              <w:pStyle w:val="Compact"/>
              <w:jc w:val="left"/>
            </w:pPr>
            <w:r>
              <w:t xml:space="preserve">Target</w:t>
            </w:r>
          </w:p>
        </w:tc>
        <w:tc>
          <w:tcPr/>
          <w:p>
            <w:pPr>
              <w:pStyle w:val="Compact"/>
              <w:jc w:val="right"/>
            </w:pPr>
            <w:r>
              <w:t xml:space="preserve">BioEmu accepted/attempted</w:t>
            </w:r>
          </w:p>
        </w:tc>
        <w:tc>
          <w:tcPr/>
          <w:p>
            <w:pPr>
              <w:pStyle w:val="Compact"/>
              <w:jc w:val="right"/>
            </w:pPr>
            <w:r>
              <w:t xml:space="preserve">BioEmu min RMSD (Å)</w:t>
            </w:r>
          </w:p>
        </w:tc>
        <w:tc>
          <w:tcPr/>
          <w:p>
            <w:pPr>
              <w:pStyle w:val="Compact"/>
              <w:jc w:val="right"/>
            </w:pPr>
            <w:r>
              <w:t xml:space="preserve">RFD3+BioEmu accepted/attempted</w:t>
            </w:r>
          </w:p>
        </w:tc>
        <w:tc>
          <w:tcPr/>
          <w:p>
            <w:pPr>
              <w:pStyle w:val="Compact"/>
              <w:jc w:val="right"/>
            </w:pPr>
            <w:r>
              <w:t xml:space="preserve">RFD3+BioEmu min RMSD (Å)</w:t>
            </w:r>
          </w:p>
        </w:tc>
        <w:tc>
          <w:tcPr/>
          <w:p>
            <w:pPr>
              <w:pStyle w:val="Compact"/>
              <w:jc w:val="left"/>
            </w:pPr>
            <w:r>
              <w:t xml:space="preserve">Primary handling</w:t>
            </w:r>
          </w:p>
        </w:tc>
      </w:tr>
      <w:tr>
        <w:tc>
          <w:tcPr/>
          <w:p>
            <w:pPr>
              <w:pStyle w:val="Compact"/>
              <w:jc w:val="left"/>
            </w:pPr>
            <w:r>
              <w:t xml:space="preserve">1h6wA03</w:t>
            </w:r>
          </w:p>
        </w:tc>
        <w:tc>
          <w:tcPr/>
          <w:p>
            <w:pPr>
              <w:pStyle w:val="Compact"/>
              <w:jc w:val="right"/>
            </w:pPr>
            <w:r>
              <w:t xml:space="preserve">0/10</w:t>
            </w:r>
          </w:p>
        </w:tc>
        <w:tc>
          <w:tcPr/>
          <w:p>
            <w:pPr>
              <w:pStyle w:val="Compact"/>
              <w:jc w:val="right"/>
            </w:pPr>
            <w:r>
              <w:t xml:space="preserve">22.664</w:t>
            </w:r>
          </w:p>
        </w:tc>
        <w:tc>
          <w:tcPr/>
          <w:p>
            <w:pPr>
              <w:pStyle w:val="Compact"/>
              <w:jc w:val="right"/>
            </w:pPr>
            <w:r>
              <w:t xml:space="preserve">0/10</w:t>
            </w:r>
          </w:p>
        </w:tc>
        <w:tc>
          <w:tcPr/>
          <w:p>
            <w:pPr>
              <w:pStyle w:val="Compact"/>
              <w:jc w:val="right"/>
            </w:pPr>
            <w:r>
              <w:t xml:space="preserve">22.664</w:t>
            </w:r>
          </w:p>
        </w:tc>
        <w:tc>
          <w:tcPr/>
          <w:p>
            <w:pPr>
              <w:pStyle w:val="Compact"/>
              <w:jc w:val="left"/>
            </w:pPr>
            <w:r>
              <w:t xml:space="preserve">Not evaluable</w:t>
            </w:r>
          </w:p>
        </w:tc>
      </w:tr>
      <w:tr>
        <w:tc>
          <w:tcPr/>
          <w:p>
            <w:pPr>
              <w:pStyle w:val="Compact"/>
              <w:jc w:val="left"/>
            </w:pPr>
            <w:r>
              <w:t xml:space="preserve">2auaB01</w:t>
            </w:r>
          </w:p>
        </w:tc>
        <w:tc>
          <w:tcPr/>
          <w:p>
            <w:pPr>
              <w:pStyle w:val="Compact"/>
              <w:jc w:val="right"/>
            </w:pPr>
            <w:r>
              <w:t xml:space="preserve">0/10</w:t>
            </w:r>
          </w:p>
        </w:tc>
        <w:tc>
          <w:tcPr/>
          <w:p>
            <w:pPr>
              <w:pStyle w:val="Compact"/>
              <w:jc w:val="right"/>
            </w:pPr>
            <w:r>
              <w:t xml:space="preserve">8.051</w:t>
            </w:r>
          </w:p>
        </w:tc>
        <w:tc>
          <w:tcPr/>
          <w:p>
            <w:pPr>
              <w:pStyle w:val="Compact"/>
              <w:jc w:val="right"/>
            </w:pPr>
            <w:r>
              <w:t xml:space="preserve">0/10</w:t>
            </w:r>
          </w:p>
        </w:tc>
        <w:tc>
          <w:tcPr/>
          <w:p>
            <w:pPr>
              <w:pStyle w:val="Compact"/>
              <w:jc w:val="right"/>
            </w:pPr>
            <w:r>
              <w:t xml:space="preserve">8.051</w:t>
            </w:r>
          </w:p>
        </w:tc>
        <w:tc>
          <w:tcPr/>
          <w:p>
            <w:pPr>
              <w:pStyle w:val="Compact"/>
              <w:jc w:val="left"/>
            </w:pPr>
            <w:r>
              <w:t xml:space="preserve">Not evaluable</w:t>
            </w:r>
          </w:p>
        </w:tc>
      </w:tr>
      <w:tr>
        <w:tc>
          <w:tcPr/>
          <w:p>
            <w:pPr>
              <w:pStyle w:val="Compact"/>
              <w:jc w:val="left"/>
            </w:pPr>
            <w:r>
              <w:t xml:space="preserve">3jvoG00</w:t>
            </w:r>
          </w:p>
        </w:tc>
        <w:tc>
          <w:tcPr/>
          <w:p>
            <w:pPr>
              <w:pStyle w:val="Compact"/>
              <w:jc w:val="right"/>
            </w:pPr>
            <w:r>
              <w:t xml:space="preserve">0/10</w:t>
            </w:r>
          </w:p>
        </w:tc>
        <w:tc>
          <w:tcPr/>
          <w:p>
            <w:pPr>
              <w:pStyle w:val="Compact"/>
              <w:jc w:val="right"/>
            </w:pPr>
            <w:r>
              <w:t xml:space="preserve">2.887</w:t>
            </w:r>
          </w:p>
        </w:tc>
        <w:tc>
          <w:tcPr/>
          <w:p>
            <w:pPr>
              <w:pStyle w:val="Compact"/>
              <w:jc w:val="right"/>
            </w:pPr>
            <w:r>
              <w:t xml:space="preserve">0/10</w:t>
            </w:r>
          </w:p>
        </w:tc>
        <w:tc>
          <w:tcPr/>
          <w:p>
            <w:pPr>
              <w:pStyle w:val="Compact"/>
              <w:jc w:val="right"/>
            </w:pPr>
            <w:r>
              <w:t xml:space="preserve">3.219</w:t>
            </w:r>
          </w:p>
        </w:tc>
        <w:tc>
          <w:tcPr/>
          <w:p>
            <w:pPr>
              <w:pStyle w:val="Compact"/>
              <w:jc w:val="left"/>
            </w:pPr>
            <w:r>
              <w:t xml:space="preserve">Not evaluable</w:t>
            </w:r>
          </w:p>
        </w:tc>
      </w:tr>
      <w:tr>
        <w:tc>
          <w:tcPr/>
          <w:p>
            <w:pPr>
              <w:pStyle w:val="Compact"/>
              <w:jc w:val="left"/>
            </w:pPr>
            <w:r>
              <w:t xml:space="preserve">3twkA01</w:t>
            </w:r>
          </w:p>
        </w:tc>
        <w:tc>
          <w:tcPr/>
          <w:p>
            <w:pPr>
              <w:pStyle w:val="Compact"/>
              <w:jc w:val="right"/>
            </w:pPr>
            <w:r>
              <w:t xml:space="preserve">0/10</w:t>
            </w:r>
          </w:p>
        </w:tc>
        <w:tc>
          <w:tcPr/>
          <w:p>
            <w:pPr>
              <w:pStyle w:val="Compact"/>
              <w:jc w:val="right"/>
            </w:pPr>
            <w:r>
              <w:t xml:space="preserve">4.976</w:t>
            </w:r>
          </w:p>
        </w:tc>
        <w:tc>
          <w:tcPr/>
          <w:p>
            <w:pPr>
              <w:pStyle w:val="Compact"/>
              <w:jc w:val="right"/>
            </w:pPr>
            <w:r>
              <w:t xml:space="preserve">0/10</w:t>
            </w:r>
          </w:p>
        </w:tc>
        <w:tc>
          <w:tcPr/>
          <w:p>
            <w:pPr>
              <w:pStyle w:val="Compact"/>
              <w:jc w:val="right"/>
            </w:pPr>
            <w:r>
              <w:t xml:space="preserve">4.976</w:t>
            </w:r>
          </w:p>
        </w:tc>
        <w:tc>
          <w:tcPr/>
          <w:p>
            <w:pPr>
              <w:pStyle w:val="Compact"/>
              <w:jc w:val="left"/>
            </w:pPr>
            <w:r>
              <w:t xml:space="preserve">Not evaluable</w:t>
            </w:r>
          </w:p>
        </w:tc>
      </w:tr>
    </w:tbl>
    <w:p>
      <w:pPr>
        <w:pStyle w:val="BodyText"/>
      </w:pPr>
      <w:r>
        <w:rPr>
          <w:iCs/>
          <w:i/>
        </w:rPr>
        <w:t xml:space="preserve">Supplementary Table S8. BioEmu target-RMSD gate failures in the initial four-arm structural-context refresh. The table reports the initial 10-attempt BioEmu runs only. The sensitivity rerun changes the sampling budget but keeps the acceptance gate fixed, avoiding post-hoc relaxation of the structural-quality criterion.</w:t>
      </w:r>
    </w:p>
    <w:bookmarkEnd w:id="47"/>
    <w:bookmarkStart w:id="48" w:name="X0b333ff9e9191539e0b5c21e5983fcc179a8e48"/>
    <w:p>
      <w:pPr>
        <w:pStyle w:val="Heading2"/>
      </w:pPr>
      <w:r>
        <w:t xml:space="preserve">Supplementary Note 11. Execution Environment and RunPod Images</w:t>
      </w:r>
    </w:p>
    <w:p>
      <w:pPr>
        <w:pStyle w:val="FirstParagraph"/>
      </w:pPr>
      <w:r>
        <w:t xml:space="preserve">The public release records Docker image tags for the RunPod-backed model stages, while endpoint IDs and API keys are excluded from the repository. Endpoint IDs are deployment-specific secrets and should be supplied through</w:t>
      </w:r>
      <w:r>
        <w:t xml:space="preserve"> </w:t>
      </w:r>
      <w:r>
        <w:rPr>
          <w:rStyle w:val="VerbatimChar"/>
        </w:rPr>
        <w:t xml:space="preserve">.env</w:t>
      </w:r>
      <w:r>
        <w:t xml:space="preserve"> </w:t>
      </w:r>
      <w:r>
        <w:t xml:space="preserve">or server environment variables. For manuscript reproduction, image tags should be pinned for each benchmark run, and any image tagged as</w:t>
      </w:r>
      <w:r>
        <w:t xml:space="preserve"> </w:t>
      </w:r>
      <w:r>
        <w:rPr>
          <w:rStyle w:val="VerbatimChar"/>
        </w:rPr>
        <w:t xml:space="preserve">latest</w:t>
      </w:r>
      <w:r>
        <w:t xml:space="preserve"> </w:t>
      </w:r>
      <w:r>
        <w:t xml:space="preserve">should be accompanied by a digest or release note before final archival.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Pipeline stage</w:t>
            </w:r>
          </w:p>
        </w:tc>
        <w:tc>
          <w:tcPr/>
          <w:p>
            <w:pPr>
              <w:pStyle w:val="Compact"/>
              <w:jc w:val="left"/>
            </w:pPr>
            <w:r>
              <w:t xml:space="preserve">Environment variable</w:t>
            </w:r>
          </w:p>
        </w:tc>
        <w:tc>
          <w:tcPr/>
          <w:p>
            <w:pPr>
              <w:pStyle w:val="Compact"/>
              <w:jc w:val="left"/>
            </w:pPr>
            <w:r>
              <w:t xml:space="preserve">Docker image</w:t>
            </w:r>
          </w:p>
        </w:tc>
      </w:tr>
      <w:tr>
        <w:tc>
          <w:tcPr/>
          <w:p>
            <w:pPr>
              <w:pStyle w:val="Compact"/>
              <w:jc w:val="left"/>
            </w:pPr>
            <w:r>
              <w:t xml:space="preserve">MMseqs2 MSA/search</w:t>
            </w:r>
          </w:p>
        </w:tc>
        <w:tc>
          <w:tcPr/>
          <w:p>
            <w:pPr>
              <w:pStyle w:val="Compact"/>
              <w:jc w:val="left"/>
            </w:pPr>
            <w:r>
              <w:rPr>
                <w:rStyle w:val="VerbatimChar"/>
              </w:rPr>
              <w:t xml:space="preserve">MMSEQS_ENDPOINT_ID</w:t>
            </w:r>
          </w:p>
        </w:tc>
        <w:tc>
          <w:tcPr/>
          <w:p>
            <w:pPr>
              <w:pStyle w:val="Compact"/>
              <w:jc w:val="left"/>
            </w:pPr>
            <w:r>
              <w:rPr>
                <w:rStyle w:val="VerbatimChar"/>
              </w:rPr>
              <w:t xml:space="preserve">mimikyou0607/mmseqs-runpod:latest</w:t>
            </w:r>
          </w:p>
        </w:tc>
      </w:tr>
      <w:tr>
        <w:tc>
          <w:tcPr/>
          <w:p>
            <w:pPr>
              <w:pStyle w:val="Compact"/>
              <w:jc w:val="left"/>
            </w:pPr>
            <w:r>
              <w:t xml:space="preserve">ProteinMPNN sequence generation</w:t>
            </w:r>
          </w:p>
        </w:tc>
        <w:tc>
          <w:tcPr/>
          <w:p>
            <w:pPr>
              <w:pStyle w:val="Compact"/>
              <w:jc w:val="left"/>
            </w:pPr>
            <w:r>
              <w:rPr>
                <w:rStyle w:val="VerbatimChar"/>
              </w:rPr>
              <w:t xml:space="preserve">PROTEINMPNN_ENDPOINT_ID</w:t>
            </w:r>
          </w:p>
        </w:tc>
        <w:tc>
          <w:tcPr/>
          <w:p>
            <w:pPr>
              <w:pStyle w:val="Compact"/>
              <w:jc w:val="left"/>
            </w:pPr>
            <w:r>
              <w:rPr>
                <w:rStyle w:val="VerbatimChar"/>
              </w:rPr>
              <w:t xml:space="preserve">mimikyou0607/proteinmpnn-runpod:latest</w:t>
            </w:r>
          </w:p>
        </w:tc>
      </w:tr>
      <w:tr>
        <w:tc>
          <w:tcPr/>
          <w:p>
            <w:pPr>
              <w:pStyle w:val="Compact"/>
              <w:jc w:val="left"/>
            </w:pPr>
            <w:r>
              <w:t xml:space="preserve">ColabFold/AF2 structure prediction</w:t>
            </w:r>
          </w:p>
        </w:tc>
        <w:tc>
          <w:tcPr/>
          <w:p>
            <w:pPr>
              <w:pStyle w:val="Compact"/>
              <w:jc w:val="left"/>
            </w:pPr>
            <w:r>
              <w:rPr>
                <w:rStyle w:val="VerbatimChar"/>
              </w:rPr>
              <w:t xml:space="preserve">COLABFOLD_ENDPOINT_ID</w:t>
            </w:r>
            <w:r>
              <w:t xml:space="preserve"> </w:t>
            </w:r>
            <w:r>
              <w:t xml:space="preserve">or</w:t>
            </w:r>
            <w:r>
              <w:t xml:space="preserve"> </w:t>
            </w:r>
            <w:r>
              <w:rPr>
                <w:rStyle w:val="VerbatimChar"/>
              </w:rPr>
              <w:t xml:space="preserve">AF2_ENDPOINT_ID</w:t>
            </w:r>
          </w:p>
        </w:tc>
        <w:tc>
          <w:tcPr/>
          <w:p>
            <w:pPr>
              <w:pStyle w:val="Compact"/>
              <w:jc w:val="left"/>
            </w:pPr>
            <w:r>
              <w:rPr>
                <w:rStyle w:val="VerbatimChar"/>
              </w:rPr>
              <w:t xml:space="preserve">mimikyou0607/colabfold-runpod:20260304_4</w:t>
            </w:r>
          </w:p>
        </w:tc>
      </w:tr>
      <w:tr>
        <w:tc>
          <w:tcPr/>
          <w:p>
            <w:pPr>
              <w:pStyle w:val="Compact"/>
              <w:jc w:val="left"/>
            </w:pPr>
            <w:r>
              <w:t xml:space="preserve">RFdiffusion3 backbone generation</w:t>
            </w:r>
          </w:p>
        </w:tc>
        <w:tc>
          <w:tcPr/>
          <w:p>
            <w:pPr>
              <w:pStyle w:val="Compact"/>
              <w:jc w:val="left"/>
            </w:pPr>
            <w:r>
              <w:rPr>
                <w:rStyle w:val="VerbatimChar"/>
              </w:rPr>
              <w:t xml:space="preserve">RFD3_ENDPOINT_ID</w:t>
            </w:r>
          </w:p>
        </w:tc>
        <w:tc>
          <w:tcPr/>
          <w:p>
            <w:pPr>
              <w:pStyle w:val="Compact"/>
              <w:jc w:val="left"/>
            </w:pPr>
            <w:r>
              <w:rPr>
                <w:rStyle w:val="VerbatimChar"/>
              </w:rPr>
              <w:t xml:space="preserve">mimikyou0607/rfd3-runpod:260408-3</w:t>
            </w:r>
          </w:p>
        </w:tc>
      </w:tr>
      <w:tr>
        <w:tc>
          <w:tcPr/>
          <w:p>
            <w:pPr>
              <w:pStyle w:val="Compact"/>
              <w:jc w:val="left"/>
            </w:pPr>
            <w:r>
              <w:t xml:space="preserve">BioEmu ensemble sampling</w:t>
            </w:r>
          </w:p>
        </w:tc>
        <w:tc>
          <w:tcPr/>
          <w:p>
            <w:pPr>
              <w:pStyle w:val="Compact"/>
              <w:jc w:val="left"/>
            </w:pPr>
            <w:r>
              <w:rPr>
                <w:rStyle w:val="VerbatimChar"/>
              </w:rPr>
              <w:t xml:space="preserve">BIOEMU_ENDPOINT_ID</w:t>
            </w:r>
          </w:p>
        </w:tc>
        <w:tc>
          <w:tcPr/>
          <w:p>
            <w:pPr>
              <w:pStyle w:val="Compact"/>
              <w:jc w:val="left"/>
            </w:pPr>
            <w:r>
              <w:rPr>
                <w:rStyle w:val="VerbatimChar"/>
              </w:rPr>
              <w:t xml:space="preserve">mimikyou0607/bioemu-runpod:latest</w:t>
            </w:r>
          </w:p>
        </w:tc>
      </w:tr>
      <w:tr>
        <w:tc>
          <w:tcPr/>
          <w:p>
            <w:pPr>
              <w:pStyle w:val="Compact"/>
              <w:jc w:val="left"/>
            </w:pPr>
            <w:r>
              <w:t xml:space="preserve">Rosetta Relax post-processing</w:t>
            </w:r>
          </w:p>
        </w:tc>
        <w:tc>
          <w:tcPr/>
          <w:p>
            <w:pPr>
              <w:pStyle w:val="Compact"/>
              <w:jc w:val="left"/>
            </w:pPr>
            <w:r>
              <w:rPr>
                <w:rStyle w:val="VerbatimChar"/>
              </w:rPr>
              <w:t xml:space="preserve">RUNPOD_RELAX_ENDPOINT_ID</w:t>
            </w:r>
          </w:p>
        </w:tc>
        <w:tc>
          <w:tcPr/>
          <w:p>
            <w:pPr>
              <w:pStyle w:val="Compact"/>
              <w:jc w:val="left"/>
            </w:pPr>
            <w:r>
              <w:rPr>
                <w:rStyle w:val="VerbatimChar"/>
              </w:rPr>
              <w:t xml:space="preserve">mimikyou0607/relax_runpod:260428_1</w:t>
            </w:r>
          </w:p>
        </w:tc>
      </w:tr>
    </w:tbl>
    <w:bookmarkEnd w:id="48"/>
    <w:bookmarkStart w:id="49" w:name="X17bba55f65ad46b7d642b1112542904c9290ac5"/>
    <w:p>
      <w:pPr>
        <w:pStyle w:val="Heading2"/>
      </w:pPr>
      <w:r>
        <w:t xml:space="preserve">Supplementary Note 12. Software Interface and Deployment Scope</w:t>
      </w:r>
    </w:p>
    <w:p>
      <w:pPr>
        <w:pStyle w:val="FirstParagraph"/>
      </w:pPr>
      <w:r>
        <w:t xml:space="preserve">RAPID is distributed with a static browser interface served by the backend API. The interface is not treated as a separate scientific contribution in the main manuscript; its role is to make the run-scoped artifact contract accessible during local or server-based operation. Basic mode exposes the default solubility-aware multiple-mutant redesign workflow with a compact set of output-size and threshold controls. Advanced mode exposes start and stop points, optional RFD3 and BioEmu stages, masking controls, AF2/ColabFold budget parameters, provider choices, surrogate-triage mode, and experimental-feedback evolution records. These controls map to the same request fields stored in each run directory, so analyses can be reproduced from the resulting artifacts without depending on the browser state.</w:t>
      </w:r>
    </w:p>
    <w:p>
      <w:pPr>
        <w:pStyle w:val="BodyText"/>
      </w:pPr>
      <w:r>
        <w:t xml:space="preserve">The intended deployment model is local or server-side execution by the user, including GPU-backed RunPod endpoints configured through environment variables. Runtime</w:t>
      </w:r>
      <w:r>
        <w:t xml:space="preserve"> </w:t>
      </w:r>
      <w:r>
        <w:rPr>
          <w:rStyle w:val="VerbatimChar"/>
        </w:rPr>
        <w:t xml:space="preserve">.env</w:t>
      </w:r>
      <w:r>
        <w:t xml:space="preserve"> </w:t>
      </w:r>
      <w:r>
        <w:t xml:space="preserve">files, endpoint identifiers, API keys, and raw logs are excluded from the public release. The browser interface therefore documents and exposes the reproducibility contract, but the manuscript’s empirical claims are based on stored artifacts and benchmark scripts rather than on user-interface behaviour.</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2026-05-20T00:41:56Z</dcterms:created>
  <dcterms:modified xsi:type="dcterms:W3CDTF">2026-05-20T00:41:56Z</dcterms:modified>
</cp:coreProperties>
</file>

<file path=docProps/custom.xml><?xml version="1.0" encoding="utf-8"?>
<Properties xmlns="http://schemas.openxmlformats.org/officeDocument/2006/custom-properties" xmlns:vt="http://schemas.openxmlformats.org/officeDocument/2006/docPropsVTypes"/>
</file>