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7.png" ContentType="image/png"/>
  <Override PartName="/word/media/rId40.png" ContentType="image/png"/>
  <Override PartName="/word/media/rId33.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AF2-budgeted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2" w:name="Xb4345a0cbc3361bef29b3eab80d73fc03fca4ae"/>
    <w:p>
      <w:pPr>
        <w:pStyle w:val="Heading2"/>
      </w:pPr>
      <w:r>
        <w:t xml:space="preserve">Supplementary Note 4. Surrogate Model Comparison</w:t>
      </w:r>
    </w:p>
    <w:p>
      <w:pPr>
        <w:pStyle w:val="FirstParagraph"/>
      </w:pPr>
      <w:r>
        <w:t xml:space="preserve">At K-means N = 30, Random Forest gives the highest mean pLDDT BO uplift Top-5, while Ridge remains strongest for SoluProt ranking and recall-oriented metrics. The production recommendation is therefore score-specific: Random Forest is the conservative pLDDT acquisition reference, and Ridge is retained when the operator prioritises SoluProt-related ranking or recall. The implemented RAPID default now treats these models as comparator policies: they are evaluated on the initial AF2-labelled bootstrap set, the selected acquisition policy is refit on all bootstrap labels, and only that policy’s Top-K is sent to AF2. The aggregate visualization is shown once in the main manuscript as Figure 3; the supplementary material reports the numerical model-level comparison to avoid duplicating the same figure.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Model</w:t>
            </w:r>
          </w:p>
        </w:tc>
        <w:tc>
          <w:tcPr/>
          <w:p>
            <w:pPr>
              <w:pStyle w:val="Compact"/>
              <w:jc w:val="right"/>
            </w:pPr>
            <w:r>
              <w:t xml:space="preserve">pLDDT BO uplift Top-5</w:t>
            </w:r>
          </w:p>
        </w:tc>
        <w:tc>
          <w:tcPr/>
          <w:p>
            <w:pPr>
              <w:pStyle w:val="Compact"/>
              <w:jc w:val="right"/>
            </w:pPr>
            <w:r>
              <w:t xml:space="preserve">Delta vs RF</w:t>
            </w:r>
          </w:p>
        </w:tc>
        <w:tc>
          <w:tcPr/>
          <w:p>
            <w:pPr>
              <w:pStyle w:val="Compact"/>
              <w:jc w:val="right"/>
            </w:pPr>
            <w:r>
              <w:t xml:space="preserve">Holm-adjusted p vs RF</w:t>
            </w:r>
          </w:p>
        </w:tc>
        <w:tc>
          <w:tcPr/>
          <w:p>
            <w:pPr>
              <w:pStyle w:val="Compact"/>
              <w:jc w:val="right"/>
            </w:pPr>
            <w:r>
              <w:t xml:space="preserve">Cliff’s delta</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-0.019</w:t>
            </w:r>
          </w:p>
        </w:tc>
        <w:tc>
          <w:tcPr/>
          <w:p>
            <w:pPr>
              <w:pStyle w:val="Compact"/>
              <w:jc w:val="right"/>
            </w:pPr>
            <w:r>
              <w:t xml:space="preserve">0.71</w:t>
            </w:r>
          </w:p>
        </w:tc>
        <w:tc>
          <w:tcPr/>
          <w:p>
            <w:pPr>
              <w:pStyle w:val="Compact"/>
              <w:jc w:val="right"/>
            </w:pPr>
            <w:r>
              <w:t xml:space="preserve">+0.04</w:t>
            </w:r>
          </w:p>
        </w:tc>
      </w:tr>
      <w:tr>
        <w:tc>
          <w:tcPr/>
          <w:p>
            <w:pPr>
              <w:pStyle w:val="Compact"/>
              <w:jc w:val="left"/>
            </w:pPr>
            <w:r>
              <w:t xml:space="preserve">KNN</w:t>
            </w:r>
          </w:p>
        </w:tc>
        <w:tc>
          <w:tcPr/>
          <w:p>
            <w:pPr>
              <w:pStyle w:val="Compact"/>
              <w:jc w:val="right"/>
            </w:pPr>
            <w:r>
              <w:t xml:space="preserve">0.572</w:t>
            </w:r>
          </w:p>
        </w:tc>
        <w:tc>
          <w:tcPr/>
          <w:p>
            <w:pPr>
              <w:pStyle w:val="Compact"/>
              <w:jc w:val="right"/>
            </w:pPr>
            <w:r>
              <w:t xml:space="preserve">-0.030</w:t>
            </w:r>
          </w:p>
        </w:tc>
        <w:tc>
          <w:tcPr/>
          <w:p>
            <w:pPr>
              <w:pStyle w:val="Compact"/>
              <w:jc w:val="right"/>
            </w:pPr>
            <w:r>
              <w:t xml:space="preserve">0.51</w:t>
            </w:r>
          </w:p>
        </w:tc>
        <w:tc>
          <w:tcPr/>
          <w:p>
            <w:pPr>
              <w:pStyle w:val="Compact"/>
              <w:jc w:val="right"/>
            </w:pPr>
            <w:r>
              <w:t xml:space="preserve">+0.05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-0.044</w:t>
            </w:r>
          </w:p>
        </w:tc>
        <w:tc>
          <w:tcPr/>
          <w:p>
            <w:pPr>
              <w:pStyle w:val="Compact"/>
              <w:jc w:val="right"/>
            </w:pPr>
            <w:r>
              <w:t xml:space="preserve">0.51</w:t>
            </w:r>
          </w:p>
        </w:tc>
        <w:tc>
          <w:tcPr/>
          <w:p>
            <w:pPr>
              <w:pStyle w:val="Compact"/>
              <w:jc w:val="right"/>
            </w:pPr>
            <w:r>
              <w:t xml:space="preserve">+0.07</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-0.053</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GP-RBF</w:t>
            </w:r>
          </w:p>
        </w:tc>
        <w:tc>
          <w:tcPr/>
          <w:p>
            <w:pPr>
              <w:pStyle w:val="Compact"/>
              <w:jc w:val="right"/>
            </w:pPr>
            <w:r>
              <w:t xml:space="preserve">0.326</w:t>
            </w:r>
          </w:p>
        </w:tc>
        <w:tc>
          <w:tcPr/>
          <w:p>
            <w:pPr>
              <w:pStyle w:val="Compact"/>
              <w:jc w:val="right"/>
            </w:pPr>
            <w:r>
              <w:t xml:space="preserve">-0.276</w:t>
            </w:r>
          </w:p>
        </w:tc>
        <w:tc>
          <w:tcPr/>
          <w:p>
            <w:pPr>
              <w:pStyle w:val="Compact"/>
              <w:jc w:val="right"/>
            </w:pPr>
            <w:r>
              <w:t xml:space="preserve">0.00022</w:t>
            </w:r>
          </w:p>
        </w:tc>
        <w:tc>
          <w:tcPr/>
          <w:p>
            <w:pPr>
              <w:pStyle w:val="Compact"/>
              <w:jc w:val="right"/>
            </w:pPr>
            <w:r>
              <w:t xml:space="preserve">+0.20</w:t>
            </w:r>
          </w:p>
        </w:tc>
      </w:tr>
      <w:tr>
        <w:tc>
          <w:tcPr/>
          <w:p>
            <w:pPr>
              <w:pStyle w:val="Compact"/>
              <w:jc w:val="left"/>
            </w:pPr>
            <w:r>
              <w:t xml:space="preserve">MLP</w:t>
            </w:r>
          </w:p>
        </w:tc>
        <w:tc>
          <w:tcPr/>
          <w:p>
            <w:pPr>
              <w:pStyle w:val="Compact"/>
              <w:jc w:val="right"/>
            </w:pPr>
            <w:r>
              <w:t xml:space="preserve">0.185</w:t>
            </w:r>
          </w:p>
        </w:tc>
        <w:tc>
          <w:tcPr/>
          <w:p>
            <w:pPr>
              <w:pStyle w:val="Compact"/>
              <w:jc w:val="right"/>
            </w:pPr>
            <w:r>
              <w:t xml:space="preserve">-0.417</w:t>
            </w:r>
          </w:p>
        </w:tc>
        <w:tc>
          <w:tcPr/>
          <w:p>
            <w:pPr>
              <w:pStyle w:val="Compact"/>
              <w:jc w:val="right"/>
            </w:pPr>
            <w:r>
              <w:t xml:space="preserve">1.6e-13</w:t>
            </w:r>
          </w:p>
        </w:tc>
        <w:tc>
          <w:tcPr/>
          <w:p>
            <w:pPr>
              <w:pStyle w:val="Compact"/>
              <w:jc w:val="right"/>
            </w:pPr>
            <w:r>
              <w:t xml:space="preserve">+0.49</w:t>
            </w:r>
          </w:p>
        </w:tc>
      </w:tr>
      <w:tr>
        <w:tc>
          <w:tcPr/>
          <w:p>
            <w:pPr>
              <w:pStyle w:val="Compact"/>
              <w:jc w:val="left"/>
            </w:pPr>
            <w:r>
              <w:t xml:space="preserve">Random</w:t>
            </w:r>
          </w:p>
        </w:tc>
        <w:tc>
          <w:tcPr/>
          <w:p>
            <w:pPr>
              <w:pStyle w:val="Compact"/>
              <w:jc w:val="right"/>
            </w:pPr>
            <w:r>
              <w:t xml:space="preserve">0.016</w:t>
            </w:r>
          </w:p>
        </w:tc>
        <w:tc>
          <w:tcPr/>
          <w:p>
            <w:pPr>
              <w:pStyle w:val="Compact"/>
              <w:jc w:val="right"/>
            </w:pPr>
            <w:r>
              <w:t xml:space="preserve">-0.586</w:t>
            </w:r>
          </w:p>
        </w:tc>
        <w:tc>
          <w:tcPr/>
          <w:p>
            <w:pPr>
              <w:pStyle w:val="Compact"/>
              <w:jc w:val="right"/>
            </w:pPr>
            <w:r>
              <w:t xml:space="preserve">1.1e-11</w:t>
            </w:r>
          </w:p>
        </w:tc>
        <w:tc>
          <w:tcPr/>
          <w:p>
            <w:pPr>
              <w:pStyle w:val="Compact"/>
              <w:jc w:val="right"/>
            </w:pPr>
            <w:r>
              <w:t xml:space="preserve">+0.47</w:t>
            </w:r>
          </w:p>
        </w:tc>
      </w:tr>
    </w:tbl>
    <w:bookmarkEnd w:id="32"/>
    <w:bookmarkStart w:id="36"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4" name="Picture"/>
            <a:graphic>
              <a:graphicData uri="http://schemas.openxmlformats.org/drawingml/2006/picture">
                <pic:pic>
                  <pic:nvPicPr>
                    <pic:cNvPr descr="figures/benchmark/fig8_sample_size.png" id="35" name="Picture"/>
                    <pic:cNvPicPr>
                      <a:picLocks noChangeArrowheads="1" noChangeAspect="1"/>
                    </pic:cNvPicPr>
                  </pic:nvPicPr>
                  <pic:blipFill>
                    <a:blip r:embed="rId33"/>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S5.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6"/>
    <w:bookmarkStart w:id="43"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This means diversity control belongs at acquisition time if sequence diversity is an explicit design objective.</w:t>
      </w:r>
    </w:p>
    <w:p>
      <w:pPr>
        <w:pStyle w:val="CaptionedFigure"/>
      </w:pPr>
      <w:r>
        <w:drawing>
          <wp:inline>
            <wp:extent cx="5334000" cy="4045748"/>
            <wp:effectExtent b="0" l="0" r="0" t="0"/>
            <wp:docPr descr="Acquisition-bias analysis" title="" id="38" name="Picture"/>
            <a:graphic>
              <a:graphicData uri="http://schemas.openxmlformats.org/drawingml/2006/picture">
                <pic:pic>
                  <pic:nvPicPr>
                    <pic:cNvPr descr="figures/benchmark/fig6_bias_analysis.png" id="39" name="Picture"/>
                    <pic:cNvPicPr>
                      <a:picLocks noChangeArrowheads="1" noChangeAspect="1"/>
                    </pic:cNvPicPr>
                  </pic:nvPicPr>
                  <pic:blipFill>
                    <a:blip r:embed="rId37"/>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S6.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1" name="Picture"/>
            <a:graphic>
              <a:graphicData uri="http://schemas.openxmlformats.org/drawingml/2006/picture">
                <pic:pic>
                  <pic:nvPicPr>
                    <pic:cNvPr descr="figures/benchmark/fig7_per_target_heatmap.png" id="42" name="Picture"/>
                    <pic:cNvPicPr>
                      <a:picLocks noChangeArrowheads="1" noChangeAspect="1"/>
                    </pic:cNvPicPr>
                  </pic:nvPicPr>
                  <pic:blipFill>
                    <a:blip r:embed="rId40"/>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S7.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3"/>
    <w:bookmarkStart w:id="44"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rather than as a universal default. In RAPID, Auto-CV compares the configured individual models by default; the rank-mean ensemble is added only when the operator explicitly selects ensemble members or forces the ensemble policy. RAPID distinguishes comparator models from the acquisition policy: comparator predictions, CV metrics, model-selection summaries,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4"/>
    <w:bookmarkStart w:id="45" w:name="X555d0fcfaeac2a9cda91d2c666bb440483dd4b0"/>
    <w:p>
      <w:pPr>
        <w:pStyle w:val="Heading2"/>
      </w:pPr>
      <w:r>
        <w:t xml:space="preserve">Supplementary Note 8. Representative Surrogate-Budget Runs</w:t>
      </w:r>
    </w:p>
    <w:p>
      <w:pPr>
        <w:pStyle w:val="FirstParagraph"/>
      </w:pPr>
      <w:r>
        <w:t xml:space="preserve">Two representative historical in-silico runs verify the implemented computational surrogate path but are not treated as a paired biological benchmark. They used AF2/pLDDT as a computational label source and therefore support the software and budget path, not experimental enrichment. The current paper-run script for claim 2 is</w:t>
      </w:r>
      <w:r>
        <w:t xml:space="preserve"> </w:t>
      </w:r>
      <w:r>
        <w:rPr>
          <w:rStyle w:val="VerbatimChar"/>
        </w:rPr>
        <w:t xml:space="preserve">scripts/paper_runs/03_launch_surrogate_triage_budget.py</w:t>
      </w:r>
      <w:r>
        <w:t xml:space="preserve">, which runs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w:t>
      </w:r>
      <w:r>
        <w:t xml:space="preserve"> </w:t>
      </w:r>
      <w:r>
        <w:rPr>
          <w:rStyle w:val="VerbatimChar"/>
        </w:rPr>
        <w:t xml:space="preserve">surrogate_triage_scope="pooled_tiers"</w:t>
      </w:r>
      <w:r>
        <w:t xml:space="preserve">, RFD3/BioEmu/Relax disabled, and the manuscript operating point of 3,333 generated candidates per 30/50/70% conservation tier,</w:t>
      </w:r>
      <w:r>
        <w:t xml:space="preserve"> </w:t>
      </w:r>
      <w:r>
        <w:rPr>
          <w:rStyle w:val="VerbatimChar"/>
        </w:rPr>
        <w:t xml:space="preserve">N_train = 30</w:t>
      </w:r>
      <w:r>
        <w:t xml:space="preserve">, and</w:t>
      </w:r>
      <w:r>
        <w:t xml:space="preserve"> </w:t>
      </w:r>
      <w:r>
        <w:rPr>
          <w:rStyle w:val="VerbatimChar"/>
        </w:rPr>
        <w:t xml:space="preserve">Top-K = 20</w:t>
      </w:r>
      <w:r>
        <w:t xml:space="preserve">.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surrogate_triage/model_selection.json</w:t>
      </w:r>
      <w:r>
        <w:t xml:space="preserve">; per-tier AF2 score files point back to the same pooled selection artifact. The ESM-2 embedding stage can be delegated to a configured GPU worker through the</w:t>
      </w:r>
      <w:r>
        <w:t xml:space="preserve"> </w:t>
      </w:r>
      <w:r>
        <w:rPr>
          <w:rStyle w:val="VerbatimChar"/>
        </w:rPr>
        <w:t xml:space="preserve">esm_embedding</w:t>
      </w:r>
      <w:r>
        <w:t xml:space="preserve"> </w:t>
      </w:r>
      <w:r>
        <w:t xml:space="preserve">model provider; if no provider is configured, RAPID falls back to the local ESM path and then to deterministic sequence-composition features unless strict ESM mode is requested. The live paper run uses the RunPod ColabFold backend by default so that job identifiers are recorded during AF2 evaluation.</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t xml:space="preserve">The Top-K default of 20 is an operating budget rather than a fitted hyperparameter. It pairs with the N = 30 bootstrap setting to give 50 AF2 calls per pooled target decision point when the SoluProt-passing pool exceeds the budget. N = 30 is supported by the sample-size ablation, where additional labels beyond 30 provide diminishing returns in the current artifact benchmark; Top-K = 20 keeps enough candidates for manual review while making the AF2/ColabFold cost visible before a run is launched. Model-comparison artifacts are written to</w:t>
      </w:r>
      <w:r>
        <w:t xml:space="preserve"> </w:t>
      </w:r>
      <w:r>
        <w:rPr>
          <w:rStyle w:val="VerbatimChar"/>
        </w:rPr>
        <w:t xml:space="preserve">surrogate_triage/cv_metrics.csv</w:t>
      </w:r>
      <w:r>
        <w:t xml:space="preserve">,</w:t>
      </w:r>
      <w:r>
        <w:t xml:space="preserve"> </w:t>
      </w:r>
      <w:r>
        <w:rPr>
          <w:rStyle w:val="VerbatimChar"/>
        </w:rPr>
        <w:t xml:space="preserve">model_comparison.svg</w:t>
      </w:r>
      <w:r>
        <w:t xml:space="preserve">,</w:t>
      </w:r>
      <w:r>
        <w:t xml:space="preserve"> </w:t>
      </w:r>
      <w:r>
        <w:rPr>
          <w:rStyle w:val="VerbatimChar"/>
        </w:rPr>
        <w:t xml:space="preserve">model_predictions.csv</w:t>
      </w:r>
      <w:r>
        <w:t xml:space="preserve">,</w:t>
      </w:r>
      <w:r>
        <w:t xml:space="preserve"> </w:t>
      </w:r>
      <w:r>
        <w:rPr>
          <w:rStyle w:val="VerbatimChar"/>
        </w:rPr>
        <w:t xml:space="preserve">feature_importance.csv</w:t>
      </w:r>
      <w:r>
        <w:t xml:space="preserve">,</w:t>
      </w:r>
      <w:r>
        <w:t xml:space="preserve"> </w:t>
      </w:r>
      <w:r>
        <w:rPr>
          <w:rStyle w:val="VerbatimChar"/>
        </w:rPr>
        <w:t xml:space="preserve">acquired_topk.csv</w:t>
      </w:r>
      <w:r>
        <w:t xml:space="preserve">, and</w:t>
      </w:r>
      <w:r>
        <w:t xml:space="preserve"> </w:t>
      </w:r>
      <w:r>
        <w:rPr>
          <w:rStyle w:val="VerbatimChar"/>
        </w:rPr>
        <w:t xml:space="preserve">models/*.pkl</w:t>
      </w:r>
      <w:r>
        <w:t xml:space="preserve">, allowing the analysis tab or exported run package to audit why a policy was selected without repeating AF2 calls.</w:t>
      </w:r>
    </w:p>
    <w:bookmarkEnd w:id="45"/>
    <w:bookmarkStart w:id="49" w:name="Xb25f2a59c64d40222476eff2cde0207285fcb1d"/>
    <w:p>
      <w:pPr>
        <w:pStyle w:val="Heading2"/>
      </w:pPr>
      <w:r>
        <w:t xml:space="preserve">Supplementary Note 9. Pooled Surrogate Scaling from Completed CATH Artifacts</w:t>
      </w:r>
    </w:p>
    <w:p>
      <w:pPr>
        <w:pStyle w:val="FirstParagraph"/>
      </w:pPr>
      <w:r>
        <w:t xml:space="preserve">The completed CATH archive was also used to test whether accumulated surrogate labels already justify replacing RAPID’s per-target surrogate with a pooled model. This retrospective analysis parsed 4,392 AF2-labelled designs from the completed CATH outputs. After excluding target-tier units with fewer than 35 positive pLDDT labels, 107 target-tier units from 38 targets remained evaluable. For each target-tier unit, 30 designs were used as the target calibration set and the remaining designs were held out. Candidate features used the same ESM-2 8M mean embedding family used by RAPID surrogate triage, concatenated with sequence-composition and ProteinMPNN metadata features. Labels were centered within each target-tier training set before fitting a ridge residual surrogate, so pooled data had to improve within-target ranking rather than merely learn target-level pLDDT offsets.</w:t>
      </w:r>
    </w:p>
    <w:p>
      <w:pPr>
        <w:pStyle w:val="BodyText"/>
      </w:pPr>
      <w:r>
        <w:t xml:space="preserve">The result did not support a monotonic pooled-model improvement. Target-only calibration gave a mean held-out top-3 regret of 0.351 pLDDT. Adding labels from 10 external pooled targets reduced the mean regret to 0.320 pLDDT, but this improvement was not stable as the pool increased: the mean regret was 0.347 with 20 pooled targets and 0.357 with 30 pooled targets. Mean MAE also did not improve over the target-only baseline. The paired win rate for pooled-plus-target calibration was approximately 35% across pool sizes. RAPID therefore stores pooled surrogate labels and fitted-model artifacts for future cross-target modelling, but the present manuscript keeps the production default as target-specific calibration with per-run Auto-CV rather than claiming that a pooled surrogate has already improved generalization.</w:t>
      </w:r>
    </w:p>
    <w:p>
      <w:pPr>
        <w:pStyle w:val="CaptionedFigure"/>
      </w:pPr>
      <w:r>
        <w:drawing>
          <wp:inline>
            <wp:extent cx="5334000" cy="2000250"/>
            <wp:effectExtent b="0" l="0" r="0" t="0"/>
            <wp:docPr descr="Pooled surrogate scaling" title="" id="47" name="Picture"/>
            <a:graphic>
              <a:graphicData uri="http://schemas.openxmlformats.org/drawingml/2006/picture">
                <pic:pic>
                  <pic:nvPicPr>
                    <pic:cNvPr descr="figures/benchmark/fig9_pooled_surrogate_scaling_esm.png" id="48" name="Picture"/>
                    <pic:cNvPicPr>
                      <a:picLocks noChangeArrowheads="1" noChangeAspect="1"/>
                    </pic:cNvPicPr>
                  </pic:nvPicPr>
                  <pic:blipFill>
                    <a:blip r:embed="rId46"/>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Pooled surrogate scaling</w:t>
      </w:r>
    </w:p>
    <w:p>
      <w:pPr>
        <w:pStyle w:val="BodyText"/>
      </w:pPr>
      <w:r>
        <w:rPr>
          <w:iCs/>
          <w:i/>
        </w:rPr>
        <w:t xml:space="preserve">Supplementary Figure S8. Retrospective pooled-surrogate scaling from completed CATH artifacts. Lower values are better for both held-out MAE and top-3 regret. The ESM-plus-composition ridge residual model did not show a monotonic benefit from adding more pooled targets, supporting the decision to treat pooled surrogate training as future work rather than as a main claim.</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Training source</w:t>
            </w:r>
          </w:p>
        </w:tc>
        <w:tc>
          <w:tcPr/>
          <w:p>
            <w:pPr>
              <w:pStyle w:val="Compact"/>
              <w:jc w:val="right"/>
            </w:pPr>
            <w:r>
              <w:t xml:space="preserve">Pooled targets</w:t>
            </w:r>
          </w:p>
        </w:tc>
        <w:tc>
          <w:tcPr/>
          <w:p>
            <w:pPr>
              <w:pStyle w:val="Compact"/>
              <w:jc w:val="right"/>
            </w:pPr>
            <w:r>
              <w:t xml:space="preserve">Evaluable units</w:t>
            </w:r>
          </w:p>
        </w:tc>
        <w:tc>
          <w:tcPr/>
          <w:p>
            <w:pPr>
              <w:pStyle w:val="Compact"/>
              <w:jc w:val="right"/>
            </w:pPr>
            <w:r>
              <w:t xml:space="preserve">Mean MAE</w:t>
            </w:r>
          </w:p>
        </w:tc>
        <w:tc>
          <w:tcPr/>
          <w:p>
            <w:pPr>
              <w:pStyle w:val="Compact"/>
              <w:jc w:val="right"/>
            </w:pPr>
            <w:r>
              <w:t xml:space="preserve">Mean Top-3 regret</w:t>
            </w:r>
          </w:p>
        </w:tc>
        <w:tc>
          <w:tcPr/>
          <w:p>
            <w:pPr>
              <w:pStyle w:val="Compact"/>
              <w:jc w:val="right"/>
            </w:pPr>
            <w:r>
              <w:t xml:space="preserve">Median Spearman</w:t>
            </w:r>
          </w:p>
        </w:tc>
      </w:tr>
      <w:tr>
        <w:tc>
          <w:tcPr/>
          <w:p>
            <w:pPr>
              <w:pStyle w:val="Compact"/>
              <w:jc w:val="left"/>
            </w:pPr>
            <w:r>
              <w:t xml:space="preserve">Target calibration only</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0.397</w:t>
            </w:r>
          </w:p>
        </w:tc>
        <w:tc>
          <w:tcPr/>
          <w:p>
            <w:pPr>
              <w:pStyle w:val="Compact"/>
              <w:jc w:val="right"/>
            </w:pPr>
            <w:r>
              <w:t xml:space="preserve">0.351</w:t>
            </w:r>
          </w:p>
        </w:tc>
        <w:tc>
          <w:tcPr/>
          <w:p>
            <w:pPr>
              <w:pStyle w:val="Compact"/>
              <w:jc w:val="right"/>
            </w:pPr>
            <w:r>
              <w:t xml:space="preserve">0.164</w:t>
            </w:r>
          </w:p>
        </w:tc>
      </w:tr>
      <w:tr>
        <w:tc>
          <w:tcPr/>
          <w:p>
            <w:pPr>
              <w:pStyle w:val="Compact"/>
              <w:jc w:val="left"/>
            </w:pPr>
            <w:r>
              <w:t xml:space="preserve">Pooled prior + target calibration</w:t>
            </w:r>
          </w:p>
        </w:tc>
        <w:tc>
          <w:tcPr/>
          <w:p>
            <w:pPr>
              <w:pStyle w:val="Compact"/>
              <w:jc w:val="right"/>
            </w:pPr>
            <w:r>
              <w:t xml:space="preserve">10</w:t>
            </w:r>
          </w:p>
        </w:tc>
        <w:tc>
          <w:tcPr/>
          <w:p>
            <w:pPr>
              <w:pStyle w:val="Compact"/>
              <w:jc w:val="right"/>
            </w:pPr>
            <w:r>
              <w:t xml:space="preserve">107</w:t>
            </w:r>
          </w:p>
        </w:tc>
        <w:tc>
          <w:tcPr/>
          <w:p>
            <w:pPr>
              <w:pStyle w:val="Compact"/>
              <w:jc w:val="right"/>
            </w:pPr>
            <w:r>
              <w:t xml:space="preserve">0.407</w:t>
            </w:r>
          </w:p>
        </w:tc>
        <w:tc>
          <w:tcPr/>
          <w:p>
            <w:pPr>
              <w:pStyle w:val="Compact"/>
              <w:jc w:val="right"/>
            </w:pPr>
            <w:r>
              <w:t xml:space="preserve">0.320</w:t>
            </w:r>
          </w:p>
        </w:tc>
        <w:tc>
          <w:tcPr/>
          <w:p>
            <w:pPr>
              <w:pStyle w:val="Compact"/>
              <w:jc w:val="right"/>
            </w:pPr>
            <w:r>
              <w:t xml:space="preserve">0.139</w:t>
            </w:r>
          </w:p>
        </w:tc>
      </w:tr>
      <w:tr>
        <w:tc>
          <w:tcPr/>
          <w:p>
            <w:pPr>
              <w:pStyle w:val="Compact"/>
              <w:jc w:val="left"/>
            </w:pPr>
            <w:r>
              <w:t xml:space="preserve">Pooled prior + target calibration</w:t>
            </w:r>
          </w:p>
        </w:tc>
        <w:tc>
          <w:tcPr/>
          <w:p>
            <w:pPr>
              <w:pStyle w:val="Compact"/>
              <w:jc w:val="right"/>
            </w:pPr>
            <w:r>
              <w:t xml:space="preserve">20</w:t>
            </w:r>
          </w:p>
        </w:tc>
        <w:tc>
          <w:tcPr/>
          <w:p>
            <w:pPr>
              <w:pStyle w:val="Compact"/>
              <w:jc w:val="right"/>
            </w:pPr>
            <w:r>
              <w:t xml:space="preserve">107</w:t>
            </w:r>
          </w:p>
        </w:tc>
        <w:tc>
          <w:tcPr/>
          <w:p>
            <w:pPr>
              <w:pStyle w:val="Compact"/>
              <w:jc w:val="right"/>
            </w:pPr>
            <w:r>
              <w:t xml:space="preserve">0.412</w:t>
            </w:r>
          </w:p>
        </w:tc>
        <w:tc>
          <w:tcPr/>
          <w:p>
            <w:pPr>
              <w:pStyle w:val="Compact"/>
              <w:jc w:val="right"/>
            </w:pPr>
            <w:r>
              <w:t xml:space="preserve">0.347</w:t>
            </w:r>
          </w:p>
        </w:tc>
        <w:tc>
          <w:tcPr/>
          <w:p>
            <w:pPr>
              <w:pStyle w:val="Compact"/>
              <w:jc w:val="right"/>
            </w:pPr>
            <w:r>
              <w:t xml:space="preserve">0.067</w:t>
            </w:r>
          </w:p>
        </w:tc>
      </w:tr>
      <w:tr>
        <w:tc>
          <w:tcPr/>
          <w:p>
            <w:pPr>
              <w:pStyle w:val="Compact"/>
              <w:jc w:val="left"/>
            </w:pPr>
            <w:r>
              <w:t xml:space="preserve">Pooled prior + target calibration</w:t>
            </w:r>
          </w:p>
        </w:tc>
        <w:tc>
          <w:tcPr/>
          <w:p>
            <w:pPr>
              <w:pStyle w:val="Compact"/>
              <w:jc w:val="right"/>
            </w:pPr>
            <w:r>
              <w:t xml:space="preserve">30</w:t>
            </w:r>
          </w:p>
        </w:tc>
        <w:tc>
          <w:tcPr/>
          <w:p>
            <w:pPr>
              <w:pStyle w:val="Compact"/>
              <w:jc w:val="right"/>
            </w:pPr>
            <w:r>
              <w:t xml:space="preserve">107</w:t>
            </w:r>
          </w:p>
        </w:tc>
        <w:tc>
          <w:tcPr/>
          <w:p>
            <w:pPr>
              <w:pStyle w:val="Compact"/>
              <w:jc w:val="right"/>
            </w:pPr>
            <w:r>
              <w:t xml:space="preserve">0.408</w:t>
            </w:r>
          </w:p>
        </w:tc>
        <w:tc>
          <w:tcPr/>
          <w:p>
            <w:pPr>
              <w:pStyle w:val="Compact"/>
              <w:jc w:val="right"/>
            </w:pPr>
            <w:r>
              <w:t xml:space="preserve">0.357</w:t>
            </w:r>
          </w:p>
        </w:tc>
        <w:tc>
          <w:tcPr/>
          <w:p>
            <w:pPr>
              <w:pStyle w:val="Compact"/>
              <w:jc w:val="right"/>
            </w:pPr>
            <w:r>
              <w:t xml:space="preserve">0.139</w:t>
            </w:r>
          </w:p>
        </w:tc>
      </w:tr>
    </w:tbl>
    <w:p>
      <w:pPr>
        <w:pStyle w:val="BodyText"/>
      </w:pPr>
      <w:r>
        <w:rPr>
          <w:iCs/>
          <w:i/>
        </w:rPr>
        <w:t xml:space="preserve">Supplementary Table S8. Pooled surrogate scaling summary. The non-monotonic regret and unchanged or worse MAE indicate that the current completed CATH artifact set is useful for testing pooled-model infrastructure, but not yet sufficient to support a pooled-surrogate performance claim.</w:t>
      </w:r>
    </w:p>
    <w:bookmarkEnd w:id="49"/>
    <w:bookmarkStart w:id="50" w:name="Xd01e4e25267997dd8e48ae7a443985c0ae2af5a"/>
    <w:p>
      <w:pPr>
        <w:pStyle w:val="Heading2"/>
      </w:pPr>
      <w:r>
        <w:t xml:space="preserve">Supplementary Note 10. Structural-Context Ablation</w:t>
      </w:r>
    </w:p>
    <w:p>
      <w:pPr>
        <w:pStyle w:val="FirstParagraph"/>
      </w:pPr>
      <w:r>
        <w:t xml:space="preserve">The corrected-chain structural-context ablation compares the original target backbone, BioEmu conformational sampling, one selected RFD3 backbone, and RFD3+BioEmu across eight selected CATH targets. Because ProteinMPNN is conditioned on the supplied backbone, these arms test whether changing structural context perturbs the accessible sequence neighbourhood under matched masking and AF2 budgets. The single-backbone and RFD3 arms are evaluable for all eight targets. BioEmu-containing arms are evaluable for the four targets that passed the fixed 2.0 Å target-RMSD gate. The figure is shown once in the main manuscript as Figure 5; the supplementary material retains the numerical summary and BioEmu QC context rather than repeating the same image.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c>
          <w:tcPr/>
          <w:p>
            <w:pPr>
              <w:pStyle w:val="Compact"/>
              <w:jc w:val="right"/>
            </w:pPr>
            <w:r>
              <w:t xml:space="preserve">Paired Top-5 pLDDT delta vs single</w:t>
            </w:r>
          </w:p>
        </w:tc>
      </w:tr>
      <w:tr>
        <w:tc>
          <w:tcPr/>
          <w:p>
            <w:pPr>
              <w:pStyle w:val="Compact"/>
              <w:jc w:val="left"/>
            </w:pPr>
            <w:r>
              <w:t xml:space="preserve">Single target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c>
          <w:tcPr/>
          <w:p>
            <w:pPr>
              <w:pStyle w:val="Compact"/>
              <w:jc w:val="right"/>
            </w:pPr>
            <w:r>
              <w:t xml:space="preserve">reference</w:t>
            </w:r>
          </w:p>
        </w:tc>
      </w:tr>
      <w:tr>
        <w:tc>
          <w:tcPr/>
          <w:p>
            <w:pPr>
              <w:pStyle w:val="Compact"/>
              <w:jc w:val="left"/>
            </w:pPr>
            <w:r>
              <w:t xml:space="preserve">Target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c>
          <w:tcPr/>
          <w:p>
            <w:pPr>
              <w:pStyle w:val="Compact"/>
              <w:jc w:val="right"/>
            </w:pPr>
            <w:r>
              <w:t xml:space="preserve">-0.14</w:t>
            </w:r>
          </w:p>
        </w:tc>
      </w:tr>
      <w:tr>
        <w:tc>
          <w:tcPr/>
          <w:p>
            <w:pPr>
              <w:pStyle w:val="Compact"/>
              <w:jc w:val="left"/>
            </w:pPr>
            <w:r>
              <w:t xml:space="preserve">RFD3 selected backbone</w:t>
            </w:r>
          </w:p>
        </w:tc>
        <w:tc>
          <w:tcPr/>
          <w:p>
            <w:pPr>
              <w:pStyle w:val="Compact"/>
              <w:jc w:val="right"/>
            </w:pPr>
            <w:r>
              <w:t xml:space="preserve">8</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c>
          <w:tcPr/>
          <w:p>
            <w:pPr>
              <w:pStyle w:val="Compact"/>
              <w:jc w:val="right"/>
            </w:pPr>
            <w:r>
              <w:t xml:space="preserve">-0.05</w:t>
            </w:r>
          </w:p>
        </w:tc>
      </w:tr>
      <w:tr>
        <w:tc>
          <w:tcPr/>
          <w:p>
            <w:pPr>
              <w:pStyle w:val="Compact"/>
              <w:jc w:val="left"/>
            </w:pPr>
            <w:r>
              <w:t xml:space="preserve">RFD3 + BioEmu ensemble</w:t>
            </w:r>
          </w:p>
        </w:tc>
        <w:tc>
          <w:tcPr/>
          <w:p>
            <w:pPr>
              <w:pStyle w:val="Compact"/>
              <w:jc w:val="right"/>
            </w:pPr>
            <w:r>
              <w:t xml:space="preserve">4</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c>
          <w:tcPr/>
          <w:p>
            <w:pPr>
              <w:pStyle w:val="Compact"/>
              <w:jc w:val="right"/>
            </w:pPr>
            <w:r>
              <w:t xml:space="preserve">-0.98</w:t>
            </w:r>
          </w:p>
        </w:tc>
      </w:tr>
    </w:tbl>
    <w:bookmarkEnd w:id="50"/>
    <w:bookmarkStart w:id="51" w:name="X9dd5d9406e76b95487860f0056d9b33e1c765b5"/>
    <w:p>
      <w:pPr>
        <w:pStyle w:val="Heading2"/>
      </w:pPr>
      <w:r>
        <w:t xml:space="preserve">Supplementary Note 11.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Initial BioEmu runs for four targets did not recover three accepted conformers within the 10-attempt budget.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Supplementary Table S9. BioEmu target-RMSD gate failures in the initial four-arm structural-context refresh. The table reports the initial 10-attempt BioEmu runs only. The sensitivity rerun changes the sampling budget but keeps the acceptance gate fixed, avoiding post-hoc relaxation of the structural-quality criterion.</w:t>
      </w:r>
    </w:p>
    <w:bookmarkEnd w:id="51"/>
    <w:bookmarkStart w:id="52" w:name="X68083938a3206f64fb9894eef69bdf5097c85b8"/>
    <w:p>
      <w:pPr>
        <w:pStyle w:val="Heading2"/>
      </w:pPr>
      <w:r>
        <w:t xml:space="preserve">Supplementary Note 12. Execution Environment and RunPod Images</w:t>
      </w:r>
    </w:p>
    <w:p>
      <w:pPr>
        <w:pStyle w:val="FirstParagraph"/>
      </w:pPr>
      <w:r>
        <w:t xml:space="preserve">The public release records Docker image tags for the RunPod-backed model stages, while endpoint IDs and API keys are excluded from the repository. Endpoint IDs are deployment-specific secrets and should be supplied through</w:t>
      </w:r>
      <w:r>
        <w:t xml:space="preserve"> </w:t>
      </w:r>
      <w:r>
        <w:rPr>
          <w:rStyle w:val="VerbatimChar"/>
        </w:rPr>
        <w:t xml:space="preserve">.env</w:t>
      </w:r>
      <w:r>
        <w:t xml:space="preserve"> </w:t>
      </w:r>
      <w:r>
        <w:t xml:space="preserve">or server environment variables. For manuscript reproduction, image tags should be pinned for each benchmark run, and any image tagged as</w:t>
      </w:r>
      <w:r>
        <w:t xml:space="preserve"> </w:t>
      </w:r>
      <w:r>
        <w:rPr>
          <w:rStyle w:val="VerbatimChar"/>
        </w:rPr>
        <w:t xml:space="preserve">latest</w:t>
      </w:r>
      <w:r>
        <w:t xml:space="preserve"> </w:t>
      </w:r>
      <w:r>
        <w:t xml:space="preserve">should be accompanied by a digest or release note before final archival.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Pipeline stage</w:t>
            </w:r>
          </w:p>
        </w:tc>
        <w:tc>
          <w:tcPr/>
          <w:p>
            <w:pPr>
              <w:pStyle w:val="Compact"/>
              <w:jc w:val="left"/>
            </w:pPr>
            <w:r>
              <w:t xml:space="preserve">Environment variable</w:t>
            </w:r>
          </w:p>
        </w:tc>
        <w:tc>
          <w:tcPr/>
          <w:p>
            <w:pPr>
              <w:pStyle w:val="Compact"/>
              <w:jc w:val="left"/>
            </w:pPr>
            <w:r>
              <w:t xml:space="preserve">Docker image</w:t>
            </w:r>
          </w:p>
        </w:tc>
      </w:tr>
      <w:tr>
        <w:tc>
          <w:tcPr/>
          <w:p>
            <w:pPr>
              <w:pStyle w:val="Compact"/>
              <w:jc w:val="left"/>
            </w:pPr>
            <w:r>
              <w:t xml:space="preserve">MMseqs2 MSA/search</w:t>
            </w:r>
          </w:p>
        </w:tc>
        <w:tc>
          <w:tcPr/>
          <w:p>
            <w:pPr>
              <w:pStyle w:val="Compact"/>
              <w:jc w:val="left"/>
            </w:pPr>
            <w:r>
              <w:rPr>
                <w:rStyle w:val="VerbatimChar"/>
              </w:rPr>
              <w:t xml:space="preserve">MMSEQS_ENDPOINT_ID</w:t>
            </w:r>
          </w:p>
        </w:tc>
        <w:tc>
          <w:tcPr/>
          <w:p>
            <w:pPr>
              <w:pStyle w:val="Compact"/>
              <w:jc w:val="left"/>
            </w:pPr>
            <w:r>
              <w:rPr>
                <w:rStyle w:val="VerbatimChar"/>
              </w:rPr>
              <w:t xml:space="preserve">mimikyou0607/mmseqs-runpod:latest</w:t>
            </w:r>
          </w:p>
        </w:tc>
      </w:tr>
      <w:tr>
        <w:tc>
          <w:tcPr/>
          <w:p>
            <w:pPr>
              <w:pStyle w:val="Compact"/>
              <w:jc w:val="left"/>
            </w:pPr>
            <w:r>
              <w:t xml:space="preserve">ProteinMPNN sequence generation</w:t>
            </w:r>
          </w:p>
        </w:tc>
        <w:tc>
          <w:tcPr/>
          <w:p>
            <w:pPr>
              <w:pStyle w:val="Compact"/>
              <w:jc w:val="left"/>
            </w:pPr>
            <w:r>
              <w:rPr>
                <w:rStyle w:val="VerbatimChar"/>
              </w:rPr>
              <w:t xml:space="preserve">PROTEINMPNN_ENDPOINT_ID</w:t>
            </w:r>
          </w:p>
        </w:tc>
        <w:tc>
          <w:tcPr/>
          <w:p>
            <w:pPr>
              <w:pStyle w:val="Compact"/>
              <w:jc w:val="left"/>
            </w:pPr>
            <w:r>
              <w:rPr>
                <w:rStyle w:val="VerbatimChar"/>
              </w:rPr>
              <w:t xml:space="preserve">mimikyou0607/proteinmpnn-runpod:latest</w:t>
            </w:r>
          </w:p>
        </w:tc>
      </w:tr>
      <w:tr>
        <w:tc>
          <w:tcPr/>
          <w:p>
            <w:pPr>
              <w:pStyle w:val="Compact"/>
              <w:jc w:val="left"/>
            </w:pPr>
            <w:r>
              <w:t xml:space="preserve">ColabFold/AF2 structure prediction</w:t>
            </w:r>
          </w:p>
        </w:tc>
        <w:tc>
          <w:tcPr/>
          <w:p>
            <w:pPr>
              <w:pStyle w:val="Compact"/>
              <w:jc w:val="left"/>
            </w:pPr>
            <w:r>
              <w:rPr>
                <w:rStyle w:val="VerbatimChar"/>
              </w:rPr>
              <w:t xml:space="preserve">COLABFOLD_ENDPOINT_ID</w:t>
            </w:r>
            <w:r>
              <w:t xml:space="preserve"> </w:t>
            </w:r>
            <w:r>
              <w:t xml:space="preserve">or</w:t>
            </w:r>
            <w:r>
              <w:t xml:space="preserve"> </w:t>
            </w:r>
            <w:r>
              <w:rPr>
                <w:rStyle w:val="VerbatimChar"/>
              </w:rPr>
              <w:t xml:space="preserve">AF2_ENDPOINT_ID</w:t>
            </w:r>
          </w:p>
        </w:tc>
        <w:tc>
          <w:tcPr/>
          <w:p>
            <w:pPr>
              <w:pStyle w:val="Compact"/>
              <w:jc w:val="left"/>
            </w:pPr>
            <w:r>
              <w:rPr>
                <w:rStyle w:val="VerbatimChar"/>
              </w:rPr>
              <w:t xml:space="preserve">mimikyou0607/colabfold-runpod:20260304_4</w:t>
            </w:r>
          </w:p>
        </w:tc>
      </w:tr>
      <w:tr>
        <w:tc>
          <w:tcPr/>
          <w:p>
            <w:pPr>
              <w:pStyle w:val="Compact"/>
              <w:jc w:val="left"/>
            </w:pPr>
            <w:r>
              <w:t xml:space="preserve">RFdiffusion3 backbone generation</w:t>
            </w:r>
          </w:p>
        </w:tc>
        <w:tc>
          <w:tcPr/>
          <w:p>
            <w:pPr>
              <w:pStyle w:val="Compact"/>
              <w:jc w:val="left"/>
            </w:pPr>
            <w:r>
              <w:rPr>
                <w:rStyle w:val="VerbatimChar"/>
              </w:rPr>
              <w:t xml:space="preserve">RFD3_ENDPOINT_ID</w:t>
            </w:r>
          </w:p>
        </w:tc>
        <w:tc>
          <w:tcPr/>
          <w:p>
            <w:pPr>
              <w:pStyle w:val="Compact"/>
              <w:jc w:val="left"/>
            </w:pPr>
            <w:r>
              <w:rPr>
                <w:rStyle w:val="VerbatimChar"/>
              </w:rPr>
              <w:t xml:space="preserve">mimikyou0607/rfd3-runpod:260408-3</w:t>
            </w:r>
          </w:p>
        </w:tc>
      </w:tr>
      <w:tr>
        <w:tc>
          <w:tcPr/>
          <w:p>
            <w:pPr>
              <w:pStyle w:val="Compact"/>
              <w:jc w:val="left"/>
            </w:pPr>
            <w:r>
              <w:t xml:space="preserve">BioEmu ensemble sampling</w:t>
            </w:r>
          </w:p>
        </w:tc>
        <w:tc>
          <w:tcPr/>
          <w:p>
            <w:pPr>
              <w:pStyle w:val="Compact"/>
              <w:jc w:val="left"/>
            </w:pPr>
            <w:r>
              <w:rPr>
                <w:rStyle w:val="VerbatimChar"/>
              </w:rPr>
              <w:t xml:space="preserve">BIOEMU_ENDPOINT_ID</w:t>
            </w:r>
          </w:p>
        </w:tc>
        <w:tc>
          <w:tcPr/>
          <w:p>
            <w:pPr>
              <w:pStyle w:val="Compact"/>
              <w:jc w:val="left"/>
            </w:pPr>
            <w:r>
              <w:rPr>
                <w:rStyle w:val="VerbatimChar"/>
              </w:rPr>
              <w:t xml:space="preserve">mimikyou0607/bioemu-runpod:latest</w:t>
            </w:r>
          </w:p>
        </w:tc>
      </w:tr>
      <w:tr>
        <w:tc>
          <w:tcPr/>
          <w:p>
            <w:pPr>
              <w:pStyle w:val="Compact"/>
              <w:jc w:val="left"/>
            </w:pPr>
            <w:r>
              <w:t xml:space="preserve">Rosetta Relax post-processing</w:t>
            </w:r>
          </w:p>
        </w:tc>
        <w:tc>
          <w:tcPr/>
          <w:p>
            <w:pPr>
              <w:pStyle w:val="Compact"/>
              <w:jc w:val="left"/>
            </w:pPr>
            <w:r>
              <w:rPr>
                <w:rStyle w:val="VerbatimChar"/>
              </w:rPr>
              <w:t xml:space="preserve">RUNPOD_RELAX_ENDPOINT_ID</w:t>
            </w:r>
          </w:p>
        </w:tc>
        <w:tc>
          <w:tcPr/>
          <w:p>
            <w:pPr>
              <w:pStyle w:val="Compact"/>
              <w:jc w:val="left"/>
            </w:pPr>
            <w:r>
              <w:rPr>
                <w:rStyle w:val="VerbatimChar"/>
              </w:rPr>
              <w:t xml:space="preserve">mimikyou0607/relax_runpod:260428_1</w:t>
            </w:r>
          </w:p>
        </w:tc>
      </w:tr>
      <w:tr>
        <w:tc>
          <w:tcPr/>
          <w:p>
            <w:pPr>
              <w:pStyle w:val="Compact"/>
              <w:jc w:val="left"/>
            </w:pPr>
            <w:r>
              <w:t xml:space="preserve">ESM embedding</w:t>
            </w:r>
          </w:p>
        </w:tc>
        <w:tc>
          <w:tcPr/>
          <w:p>
            <w:pPr>
              <w:pStyle w:val="Compact"/>
              <w:jc w:val="left"/>
            </w:pPr>
            <w:r>
              <w:rPr>
                <w:rStyle w:val="VerbatimChar"/>
              </w:rPr>
              <w:t xml:space="preserve">ESM_EMBEDDING_ENDPOINT_ID</w:t>
            </w:r>
          </w:p>
        </w:tc>
        <w:tc>
          <w:tcPr/>
          <w:p>
            <w:pPr>
              <w:pStyle w:val="Compact"/>
              <w:jc w:val="left"/>
            </w:pPr>
            <w:r>
              <w:t xml:space="preserve">user-built from</w:t>
            </w:r>
            <w:r>
              <w:t xml:space="preserve"> </w:t>
            </w:r>
            <w:r>
              <w:rPr>
                <w:rStyle w:val="VerbatimChar"/>
              </w:rPr>
              <w:t xml:space="preserve">workers/esm_embedding</w:t>
            </w:r>
          </w:p>
        </w:tc>
      </w:tr>
    </w:tbl>
    <w:bookmarkEnd w:id="52"/>
    <w:bookmarkStart w:id="53" w:name="Xb6fcecef35535300d3ec64a0cc71932cfb2ce65"/>
    <w:p>
      <w:pPr>
        <w:pStyle w:val="Heading2"/>
      </w:pPr>
      <w:r>
        <w:t xml:space="preserve">Supplementary Note 13. Software Interface and Deployment Scope</w:t>
      </w:r>
    </w:p>
    <w:p>
      <w:pPr>
        <w:pStyle w:val="FirstParagraph"/>
      </w:pPr>
      <w:r>
        <w:t xml:space="preserve">RAPID is distributed with a static browser interface served by the backend API. The interface is not treated as a separate scientific contribution in the main manuscript; its role is to make the run-scoped artifact contract accessible during local or server-based operation. Basic mode exposes the default solubility-aware multiple-mutant redesign workflow with a compact set of output-size and threshold controls. Advanced mode exposes start and stop points, optional RFD3 and BioEmu stages, masking controls, AF2/ColabFold budget parameters, provider choices, surrogate-triage mode, Auto-CV acquisition-policy selection, comparator-model settings, and experimental-feedback evolution records. These controls map to the same request fields stored in each run directory, so analyses can be reproduced from the resulting artifacts without depending on the browser state.</w:t>
      </w:r>
    </w:p>
    <w:p>
      <w:pPr>
        <w:pStyle w:val="BodyText"/>
      </w:pPr>
      <w:r>
        <w:t xml:space="preserve">The intended deployment model is local or server-side execution by the user, including GPU-backed RunPod endpoints configured through environment variables. Runtime</w:t>
      </w:r>
      <w:r>
        <w:t xml:space="preserve"> </w:t>
      </w:r>
      <w:r>
        <w:rPr>
          <w:rStyle w:val="VerbatimChar"/>
        </w:rPr>
        <w:t xml:space="preserve">.env</w:t>
      </w:r>
      <w:r>
        <w:t xml:space="preserve"> </w:t>
      </w:r>
      <w:r>
        <w:t xml:space="preserve">files, endpoint identifiers, API keys, and raw logs are excluded from the public release. The browser interface therefore documents and exposes the reproducibility contract, but the manuscript’s empirical claims are based on stored artifacts and benchmark scripts rather than on user-interface behaviour.</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2026-05-20T07:22:40Z</dcterms:created>
  <dcterms:modified xsi:type="dcterms:W3CDTF">2026-05-20T07:22:40Z</dcterms:modified>
</cp:coreProperties>
</file>

<file path=docProps/custom.xml><?xml version="1.0" encoding="utf-8"?>
<Properties xmlns="http://schemas.openxmlformats.org/officeDocument/2006/custom-properties" xmlns:vt="http://schemas.openxmlformats.org/officeDocument/2006/docPropsVTypes"/>
</file>