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160" w:after="40"/>
      </w:pPr>
      <w:r>
        <w:rPr>
          <w:rFonts w:ascii="Nanum Gothic" w:hAnsi="Nanum Gothic" w:eastAsia="Nanum Gothic" w:cs="Nanum Gothic"/>
          <w:b/>
          <w:i w:val="0"/>
          <w:color w:val="2E74B5"/>
          <w:sz w:val="19"/>
        </w:rPr>
        <w:t>INTERFACE SPECIFICATION</w:t>
      </w:r>
    </w:p>
    <w:p>
      <w:pPr>
        <w:spacing w:before="0" w:after="100"/>
      </w:pPr>
      <w:r>
        <w:rPr>
          <w:rFonts w:ascii="Nanum Gothic" w:hAnsi="Nanum Gothic" w:eastAsia="Nanum Gothic" w:cs="Nanum Gothic"/>
          <w:b/>
          <w:i w:val="0"/>
          <w:color w:val="0B2545"/>
          <w:sz w:val="48"/>
        </w:rPr>
        <w:t>CB-001 심사 결과 콜백 상세 명세</w:t>
      </w:r>
    </w:p>
    <w:p>
      <w:pPr>
        <w:spacing w:before="0" w:after="280"/>
      </w:pPr>
      <w:r>
        <w:rPr>
          <w:rFonts w:ascii="Nanum Gothic" w:hAnsi="Nanum Gothic" w:eastAsia="Nanum Gothic" w:cs="Nanum Gothic"/>
          <w:b w:val="0"/>
          <w:i w:val="0"/>
          <w:color w:val="5F6B76"/>
          <w:sz w:val="24"/>
        </w:rPr>
        <w:t>LLM 서버 → 풀스택 백엔드  |  POST /agent-callback</w:t>
      </w:r>
    </w:p>
    <w:p>
      <w:pPr>
        <w:spacing w:before="0" w:after="40"/>
      </w:pPr>
      <w:r>
        <w:rPr>
          <w:rFonts w:ascii="Nanum Gothic" w:hAnsi="Nanum Gothic" w:eastAsia="Nanum Gothic" w:cs="Nanum Gothic"/>
          <w:b/>
          <w:i w:val="0"/>
          <w:color w:val="222222"/>
          <w:sz w:val="21"/>
        </w:rPr>
        <w:t xml:space="preserve">문서 목적: </w:t>
      </w:r>
      <w:r>
        <w:rPr>
          <w:rFonts w:ascii="Nanum Gothic" w:hAnsi="Nanum Gothic" w:eastAsia="Nanum Gothic" w:cs="Nanum Gothic"/>
          <w:b w:val="0"/>
          <w:i w:val="0"/>
          <w:color w:val="222222"/>
          <w:sz w:val="21"/>
        </w:rPr>
        <w:t>수신 DTO·파서·저장 로직 구현을 위한 실제 콜백 계약</w:t>
      </w:r>
    </w:p>
    <w:p>
      <w:pPr>
        <w:spacing w:before="0" w:after="40"/>
      </w:pPr>
      <w:r>
        <w:rPr>
          <w:rFonts w:ascii="Nanum Gothic" w:hAnsi="Nanum Gothic" w:eastAsia="Nanum Gothic" w:cs="Nanum Gothic"/>
          <w:b/>
          <w:i w:val="0"/>
          <w:color w:val="222222"/>
          <w:sz w:val="21"/>
        </w:rPr>
        <w:t xml:space="preserve">기준: </w:t>
      </w:r>
      <w:r>
        <w:rPr>
          <w:rFonts w:ascii="Nanum Gothic" w:hAnsi="Nanum Gothic" w:eastAsia="Nanum Gothic" w:cs="Nanum Gothic"/>
          <w:b w:val="0"/>
          <w:i w:val="0"/>
          <w:color w:val="222222"/>
          <w:sz w:val="21"/>
        </w:rPr>
        <w:t>현재 Pydantic 스키마와 camelCase 직렬화 결과</w:t>
      </w:r>
    </w:p>
    <w:p>
      <w:pPr>
        <w:spacing w:before="0" w:after="40"/>
      </w:pPr>
      <w:r>
        <w:rPr>
          <w:rFonts w:ascii="Nanum Gothic" w:hAnsi="Nanum Gothic" w:eastAsia="Nanum Gothic" w:cs="Nanum Gothic"/>
          <w:b/>
          <w:i w:val="0"/>
          <w:color w:val="222222"/>
          <w:sz w:val="21"/>
        </w:rPr>
        <w:t xml:space="preserve">작성일: </w:t>
      </w:r>
      <w:r>
        <w:rPr>
          <w:rFonts w:ascii="Nanum Gothic" w:hAnsi="Nanum Gothic" w:eastAsia="Nanum Gothic" w:cs="Nanum Gothic"/>
          <w:b w:val="0"/>
          <w:i w:val="0"/>
          <w:color w:val="222222"/>
          <w:sz w:val="21"/>
        </w:rPr>
        <w:t>2026-07-30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1F4D78"/>
                <w:sz w:val="21"/>
              </w:rPr>
              <w:t xml:space="preserve">핵심 계약  </w:t>
            </w: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21"/>
              </w:rPr>
              <w:t>opinions와 mismatch는 문자열 배열이 아니라 객체 배열이다. 최상위 키는 camelCase지만 opinions[].similar_cases는 현재 snake_case이며, mismatch[].claimed와 receipt는 금액도 문자열로 전달된다.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 Gothic" w:hAnsi="Nanum Gothic" w:eastAsia="Nanum Gothic" w:cs="Nanum Gothic"/>
        </w:rPr>
        <w:t>1. 전송 개요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심사 완료 시 LLM 서버가 백엔드의 /agent-callback으로 JSON을 전송한다. HTTP 2xx이면 성공으로 처리하며 응답 본문은 사용하지 않는다.</w:t>
      </w: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7"/>
        </w:rPr>
        <w:t>POST {BACKEND_BASE_URL}/agent-callback</w:t>
        <w:br/>
        <w:t>Content-Type: application/json</w:t>
        <w:br/>
        <w:t>Authorization: Bearer &lt;SERVICE_TOKEN&gt;</w:t>
      </w:r>
    </w:p>
    <w:p>
      <w:r>
        <w:rPr>
          <w:rFonts w:ascii="Nanum Gothic" w:hAnsi="Nanum Gothic" w:eastAsia="Nanum Gothic" w:cs="Nanum Gothic"/>
        </w:rPr>
        <w:br w:type="page"/>
      </w:r>
    </w:p>
    <w:p>
      <w:pPr>
        <w:pStyle w:val="Heading1"/>
      </w:pPr>
      <w:r>
        <w:rPr>
          <w:rFonts w:ascii="Nanum Gothic" w:hAnsi="Nanum Gothic" w:eastAsia="Nanum Gothic" w:cs="Nanum Gothic"/>
        </w:rPr>
        <w:t>2. 타입 정의</w:t>
      </w: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7"/>
        </w:rPr>
        <w:t>type CallbackPayload = {</w:t>
        <w:br/>
        <w:t xml:space="preserve">  jobId: string;</w:t>
        <w:br/>
        <w:t xml:space="preserve">  expenseId: number;              // JSON integer(int64), DB BIGINT</w:t>
        <w:br/>
        <w:t xml:space="preserve">  teamId: number;                 // JSON integer(int64), DB BIGINT</w:t>
        <w:br/>
        <w:t xml:space="preserve">  verdict: "approve" | "reject" | "escalate";</w:t>
        <w:br/>
        <w:t xml:space="preserve">  suggestedCategory: string | null;</w:t>
        <w:br/>
        <w:t xml:space="preserve">  processedBy: string;              // 현재 "AI"</w:t>
        <w:br/>
        <w:t xml:space="preserve">  confidence: number | null;</w:t>
        <w:br/>
        <w:t xml:space="preserve">  opinions: Opinion[];</w:t>
        <w:br/>
        <w:t xml:space="preserve">  mismatch: Mismatch[];</w:t>
        <w:br/>
        <w:t xml:space="preserve">  reasons: Reasons | null;</w:t>
        <w:br/>
        <w:t xml:space="preserve">  dryRun: boolean;                  // 현재 false</w:t>
        <w:br/>
        <w:t>};</w:t>
        <w:br/>
        <w:br/>
        <w:t>type Opinion = {</w:t>
        <w:br/>
        <w:t xml:space="preserve">  auditor: "rule" | "budget" | "precedent";</w:t>
        <w:br/>
        <w:t xml:space="preserve">  verdict: "pass" | "warn" | "fail" | "error";</w:t>
        <w:br/>
        <w:t xml:space="preserve">  summary: string;</w:t>
        <w:br/>
        <w:t xml:space="preserve">  evidence: string[];</w:t>
        <w:br/>
        <w:t xml:space="preserve">  figures: Record&lt;string, number&gt;;</w:t>
        <w:br/>
        <w:t xml:space="preserve">  similar_cases: string[];</w:t>
        <w:br/>
        <w:t>};</w:t>
        <w:br/>
        <w:br/>
        <w:t>type Mismatch = {</w:t>
        <w:br/>
        <w:t xml:space="preserve">  field: "amount" | "date" | "merchant" | "items";</w:t>
        <w:br/>
        <w:t xml:space="preserve">  claimed: string;</w:t>
        <w:br/>
        <w:t xml:space="preserve">  receipt: string;</w:t>
        <w:br/>
        <w:t>};</w:t>
        <w:br/>
        <w:br/>
        <w:t>type Reasons = {</w:t>
        <w:br/>
        <w:t xml:space="preserve">  requester: string;</w:t>
        <w:br/>
        <w:t xml:space="preserve">  admin: string;</w:t>
        <w:br/>
        <w:t>};</w:t>
      </w:r>
    </w:p>
    <w:p>
      <w:pPr>
        <w:sectPr>
          <w:headerReference w:type="default" ns2:id="rId9"/>
          <w:footerReference w:type="default" ns2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Nanum Gothic" w:hAnsi="Nanum Gothic" w:eastAsia="Nanum Gothic" w:cs="Nanum Gothic"/>
        </w:rPr>
        <w:t>3. 최상위 필드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필드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JSON 타입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의미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jobId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백엔드가 심사 요청 시 발급한 jobId를 그대로 반환한다.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expenseId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anum Gothic" w:hAnsi="Nanum Gothic" w:eastAsia="Nanum Gothic" w:cs="Nanum Gothic"/>
              </w:rPr>
              <w:t>integer(int64)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anum Gothic" w:hAnsi="Nanum Gothic" w:eastAsia="Nanum Gothic" w:cs="Nanum Gothic"/>
              </w:rPr>
              <w:t>백엔드 expenses.id와 동일한 지출 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teamId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anum Gothic" w:hAnsi="Nanum Gothic" w:eastAsia="Nanum Gothic" w:cs="Nanum Gothic"/>
              </w:rPr>
              <w:t>integer(int64)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anum Gothic" w:hAnsi="Nanum Gothic" w:eastAsia="Nanum Gothic" w:cs="Nanum Gothic"/>
              </w:rPr>
              <w:t>심사 요청의 organizationId와 동일한 BIGINT 값.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verdict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enum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approve(승인), reject(반려), escalate(관리자 확인 필요).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suggestedCategory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 | null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기존 카테고리를 유지하거나, 비어 있으면 AI가 분류한 카테고리.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processedBy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LLM 콜백에서는 현재 "AI". 관리자 변경은 백엔드가 갱신.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confidence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number | null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최종 판정 신뢰도. 일반적으로 0~1이며 조기 에스컬레이션에서는 null 가능.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opinions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Opinion[]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회칙·예산·판례 심사관별 상세 소견 객체 배열.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mismatch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Mismatch[]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청구값과 영수증 판독값의 불일치 객체 배열.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reasons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Reasons | null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요청자용·관리자용 최종 판정 사유.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dryRun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boolean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드라이런 여부. 현재 false.</w:t>
            </w:r>
          </w:p>
        </w:tc>
      </w:tr>
    </w:tbl>
    <w:p>
      <w:pPr>
        <w:spacing w:before="0" w:after="40"/>
      </w:pP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필수성: 모델 생성 시 필수인 값은 jobId, expenseId, teamId, verdict다. 다만 현재 직렬화는 기본값을 제외하지 않으므로 실제 콜백에는 위 최상위 키가 모두 포함된다. suggestedCategory, confidence, reasons는 null일 수 있다.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 xml:space="preserve">2026-08-03 변경: modelVersion · promptVersion · costUsd · latencyMs 4개를 콜백에서 제거했습니다(15 → 11키). 지출 상세 화면 어디에서도 쓰이지 않는 관측 전용값이라 보내드릴 이유가 없었습니다. 값 자체는 LLM 서버에 그대로 남아 GET /v1/jobs/{job_id} 의 result로 조회됩니다. 전환 중에는 이 4개가 더 실려 올 수 있으니, 모르는 필드는 무시하도록 파서를 만들어 주세요 — 위 11키는 항상 옵니다.</w:t>
      </w:r>
    </w:p>
    <w:p>
      <w:r>
        <w:rPr>
          <w:rFonts w:ascii="Nanum Gothic" w:hAnsi="Nanum Gothic" w:eastAsia="Nanum Gothic" w:cs="Nanum Gothic"/>
        </w:rPr>
        <w:br w:type="page"/>
      </w:r>
    </w:p>
    <w:p>
      <w:pPr>
        <w:pStyle w:val="Heading1"/>
      </w:pPr>
      <w:r>
        <w:rPr>
          <w:rFonts w:ascii="Nanum Gothic" w:hAnsi="Nanum Gothic" w:eastAsia="Nanum Gothic" w:cs="Nanum Gothic"/>
        </w:rPr>
        <w:t>4. opinions[] 상세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opinions는 문자열 배열이 아니라 Opinion 객체 배열이다. 정상 경로에서는 회칙(rule), 예산(budget), 판례(precedent) 심사관 소견이 들어오며, 배열 순서는 계약하지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필드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JSON 타입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7"/>
              </w:rPr>
              <w:t>의미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auditor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enum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rule | budget | precedent. 배열 위치가 아니라 이 값으로 구분.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verdict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enum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pass | warn | fail | error.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summary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해당 심사관의 요약 소견.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evidence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근거 회칙 조항 등. 주로 rule 심사관이 사용.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figures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Record&lt;string, number&gt;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예산·한도 관련 수치 Map. 고정 DTO보다 숫자 Map 권장.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similar_cases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string[]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7"/>
              </w:rPr>
              <w:t>유사 판례 요약. 현재 키 이름은 snake_case.</w:t>
            </w:r>
          </w:p>
        </w:tc>
      </w:tr>
    </w:tbl>
    <w:p>
      <w:pPr>
        <w:spacing w:before="0" w:after="40"/>
      </w:pP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7"/>
        </w:rPr>
        <w:t>{</w:t>
        <w:br/>
        <w:t xml:space="preserve">  "auditor": "budget",</w:t>
        <w:br/>
        <w:t xml:space="preserve">  "verdict": "pass",</w:t>
        <w:br/>
        <w:t xml:space="preserve">  "summary": "총예산 잔액이 충분합니다.",</w:t>
        <w:br/>
        <w:t xml:space="preserve">  "evidence": [],</w:t>
        <w:br/>
        <w:t xml:space="preserve">  "figures": {</w:t>
        <w:br/>
        <w:t xml:space="preserve">    "total_budget": 1000000,</w:t>
        <w:br/>
        <w:t xml:space="preserve">    "spent": 500000,</w:t>
        <w:br/>
        <w:t xml:space="preserve">    "remaining": 500000,</w:t>
        <w:br/>
        <w:t xml:space="preserve">    "remaining_after": 468000</w:t>
        <w:br/>
        <w:t xml:space="preserve">  },</w:t>
        <w:br/>
        <w:t xml:space="preserve">  "similar_cases": []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1F4D78"/>
                <w:sz w:val="21"/>
              </w:rPr>
              <w:t xml:space="preserve">수신 주의  </w:t>
            </w: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21"/>
              </w:rPr>
              <w:t>영수증 불일치로 즉시 에스컬레이션되거나 fail-safe가 실행된 경우 opinions는 []일 수 있다. auditor, verdict, summary는 필수이고 evidence·figures·similar_cases는 빈 값이 가능하다.</w:t>
            </w:r>
          </w:p>
        </w:tc>
      </w:tr>
    </w:tbl>
    <w:p>
      <w:pPr>
        <w:spacing w:after="20"/>
      </w:pPr>
    </w:p>
    <w:p>
      <w:pPr>
        <w:sectPr>
          <w:headerReference w:type="default" ns2:id="rId11"/>
          <w:footerReference w:type="default" ns2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Nanum Gothic" w:hAnsi="Nanum Gothic" w:eastAsia="Nanum Gothic" w:cs="Nanum Gothic"/>
        </w:rPr>
        <w:t>5. mismatch[] 상세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mismatch는 청구 데이터와 영수증 OCR 결과가 다른 항목을 표현하는 Mismatch 객체 배열이다.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필드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JSON 타입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의미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enum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amount | date | merchant | items.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claimed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지출 신청에 입력된 값. 금액도 문자열.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receipt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영수증에서 판독된 값. 금액도 문자열.</w:t>
            </w:r>
          </w:p>
        </w:tc>
      </w:tr>
    </w:tbl>
    <w:p>
      <w:pPr>
        <w:spacing w:before="0" w:after="40"/>
      </w:pP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7"/>
        </w:rPr>
        <w:t>{</w:t>
        <w:br/>
        <w:t xml:space="preserve">  "field": "amount",</w:t>
        <w:br/>
        <w:t xml:space="preserve">  "claimed": "40000",</w:t>
        <w:br/>
        <w:t xml:space="preserve">  "receipt": "25000"</w:t>
        <w:br/>
        <w:t>}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현재 실제 비교·생성되는 field는 amount와 date다. merchant와 items는 확장용이다. 불일치가 없으면 []이며, 불일치가 있으면 verdict는 escalate가 되고 opinions는 보통 []다. 영수증 판독 자체가 실패한 경우에는 mismatch가 아니라 별도 fail-safe 사유로 처리되므로 mismatch가 []일 수 있다.</w:t>
      </w:r>
    </w:p>
    <w:p>
      <w:pPr>
        <w:pStyle w:val="Heading1"/>
      </w:pPr>
      <w:r>
        <w:rPr>
          <w:rFonts w:ascii="Nanum Gothic" w:hAnsi="Nanum Gothic" w:eastAsia="Nanum Gothic" w:cs="Nanum Gothic"/>
        </w:rPr>
        <w:t>6. reasons 상세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필드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JSON 타입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의미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requester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일반 요청자에게 노출할 간결한 판정 사유.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admin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회칙 조항·예산 수치 등을 포함한 관리자용 상세 사유.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7A5A00"/>
                <w:sz w:val="21"/>
              </w:rPr>
              <w:t xml:space="preserve">노출 정책  </w:t>
            </w: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21"/>
              </w:rPr>
              <w:t>requester와 admin은 분리 저장·노출해야 한다. admin의 상세 수치와 내부 근거가 일반 요청자 화면에 그대로 노출되지 않도록 한다.</w:t>
            </w:r>
          </w:p>
        </w:tc>
      </w:tr>
    </w:tbl>
    <w:p>
      <w:pPr>
        <w:spacing w:after="20"/>
      </w:pPr>
    </w:p>
    <w:p>
      <w:r>
        <w:rPr>
          <w:rFonts w:ascii="Nanum Gothic" w:hAnsi="Nanum Gothic" w:eastAsia="Nanum Gothic" w:cs="Nanum Gothic"/>
        </w:rPr>
        <w:br w:type="page"/>
      </w:r>
    </w:p>
    <w:p>
      <w:pPr>
        <w:pStyle w:val="Heading1"/>
      </w:pPr>
      <w:r>
        <w:rPr>
          <w:rFonts w:ascii="Nanum Gothic" w:hAnsi="Nanum Gothic" w:eastAsia="Nanum Gothic" w:cs="Nanum Gothic"/>
        </w:rPr>
        <w:t>7. 전체 페이로드 예시</w:t>
      </w:r>
    </w:p>
    <w:p>
      <w:pPr>
        <w:pStyle w:val="Heading2"/>
      </w:pPr>
      <w:r>
        <w:rPr>
          <w:rFonts w:ascii="Nanum Gothic" w:hAnsi="Nanum Gothic" w:eastAsia="Nanum Gothic" w:cs="Nanum Gothic"/>
        </w:rPr>
        <w:t>7.1 정상 승인</w:t>
      </w: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6"/>
        </w:rPr>
        <w:t>{</w:t>
        <w:br/>
        <w:t xml:space="preserve">  "jobId": "job-001",</w:t>
        <w:br/>
        <w:t xml:space="preserve">  "expenseId": 4821,</w:t>
        <w:br/>
        <w:t xml:space="preserve">  "teamId": 17,</w:t>
        <w:br/>
        <w:t xml:space="preserve">  "verdict": "approve",</w:t>
        <w:br/>
        <w:t xml:space="preserve">  "suggestedCategory": "도서",</w:t>
        <w:br/>
        <w:t xml:space="preserve">  "processedBy": "AI",</w:t>
        <w:br/>
        <w:t xml:space="preserve">  "confidence": 0.93,</w:t>
        <w:br/>
        <w:t xml:space="preserve">  "opinions": [</w:t>
        <w:br/>
        <w:t xml:space="preserve">    {"auditor": "rule", "verdict": "pass",</w:t>
        <w:br/>
        <w:t xml:space="preserve">     "summary": "회칙에 부합합니다.",</w:t>
        <w:br/>
        <w:t xml:space="preserve">     "evidence": ["제4조 도서 구입 인정"],</w:t>
        <w:br/>
        <w:t xml:space="preserve">     "figures": {}, "similar_cases": []},</w:t>
        <w:br/>
        <w:t xml:space="preserve">    {"auditor": "budget", "verdict": "pass",</w:t>
        <w:br/>
        <w:t xml:space="preserve">     "summary": "총예산 잔액이 충분합니다.",</w:t>
        <w:br/>
        <w:t xml:space="preserve">     "evidence": [],</w:t>
        <w:br/>
        <w:t xml:space="preserve">     "figures": {"total_budget": 1000000, "spent": 500000,</w:t>
        <w:br/>
        <w:t xml:space="preserve">                 "remaining": 500000, "remaining_after": 468000},</w:t>
        <w:br/>
        <w:t xml:space="preserve">     "similar_cases": []}</w:t>
        <w:br/>
        <w:t xml:space="preserve">  ],</w:t>
        <w:br/>
        <w:t xml:space="preserve">  "mismatch": [],</w:t>
        <w:br/>
        <w:t xml:space="preserve">  "reasons": {</w:t>
        <w:br/>
        <w:t xml:space="preserve">    "requester": "승인되었습니다.",</w:t>
        <w:br/>
        <w:t xml:space="preserve">    "admin": "회칙과 예산 기준을 충족했습니다."</w:t>
        <w:br/>
        <w:t xml:space="preserve">  },</w:t>
        <w:br/>
        <w:t xml:space="preserve">  "dryRun": false</w:t>
        <w:br/>
        <w:t>}</w:t>
      </w:r>
    </w:p>
    <w:p>
      <w:pPr>
        <w:sectPr>
          <w:headerReference w:type="default" ns2:id="rId13"/>
          <w:footerReference w:type="default" ns2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Nanum Gothic" w:hAnsi="Nanum Gothic" w:eastAsia="Nanum Gothic" w:cs="Nanum Gothic"/>
        </w:rPr>
        <w:t>7.2 영수증 금액 불일치</w:t>
      </w:r>
    </w:p>
    <w:p>
      <w:pPr>
        <w:pStyle w:val="CodeBlock"/>
        <w:keepNext w:val="0"/>
        <w:keepLines w:val="0"/>
        <w:shd w:fill="F7F8FA"/>
        <w:pBdr>
          <w:top w:val="single" w:sz="6" w:space="5" w:color="C9D3DF"/>
          <w:left w:val="single" w:sz="6" w:space="5" w:color="C9D3DF"/>
          <w:bottom w:val="single" w:sz="6" w:space="5" w:color="C9D3DF"/>
          <w:right w:val="single" w:sz="6" w:space="5" w:color="C9D3DF"/>
        </w:pBdr>
      </w:pPr>
      <w:r>
        <w:rPr>
          <w:rFonts w:ascii="Nanum Gothic" w:hAnsi="Nanum Gothic" w:eastAsia="Nanum Gothic" w:cs="Nanum Gothic"/>
          <w:b w:val="0"/>
          <w:i w:val="0"/>
          <w:color w:val="1F2933"/>
          <w:sz w:val="16"/>
        </w:rPr>
        <w:t>{</w:t>
        <w:br/>
        <w:t xml:space="preserve">  "jobId": "job-002",</w:t>
        <w:br/>
        <w:t xml:space="preserve">  "expenseId": 4822,</w:t>
        <w:br/>
        <w:t xml:space="preserve">  "teamId": 17,</w:t>
        <w:br/>
        <w:t xml:space="preserve">  "verdict": "escalate",</w:t>
        <w:br/>
        <w:t xml:space="preserve">  "suggestedCategory": "비품",</w:t>
        <w:br/>
        <w:t xml:space="preserve">  "processedBy": "AI",</w:t>
        <w:br/>
        <w:t xml:space="preserve">  "confidence": null,</w:t>
        <w:br/>
        <w:t xml:space="preserve">  "opinions": [],</w:t>
        <w:br/>
        <w:t xml:space="preserve">  "mismatch": [</w:t>
        <w:br/>
        <w:t xml:space="preserve">    {"field": "amount", "claimed": "40000", "receipt": "25000"}</w:t>
        <w:br/>
        <w:t xml:space="preserve">  ],</w:t>
        <w:br/>
        <w:t xml:space="preserve">  "reasons": {</w:t>
        <w:br/>
        <w:t xml:space="preserve">    "requester": "관리자 확인이 필요한 건으로 분류되었습니다.",</w:t>
        <w:br/>
        <w:t xml:space="preserve">    "admin": "영수증-청구 불일치: amount(청구 40000 / 영수증 25000)"</w:t>
        <w:br/>
        <w:t xml:space="preserve">  },</w:t>
        <w:br/>
        <w:t xml:space="preserve">  "dryRun": false</w:t>
        <w:br/>
        <w:t>}</w:t>
      </w:r>
    </w:p>
    <w:p>
      <w:pPr>
        <w:pStyle w:val="Heading1"/>
      </w:pPr>
      <w:r>
        <w:rPr>
          <w:rFonts w:ascii="Nanum Gothic" w:hAnsi="Nanum Gothic" w:eastAsia="Nanum Gothic" w:cs="Nanum Gothic"/>
        </w:rPr>
        <w:t>8. 수신 구현 체크사항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확인 항목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구현 기준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중첩 구조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opinions와 mismatch를 객체 배열로 파싱한다.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키 표기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최상위는 camelCase, opinions[].similar_cases는 현재 snake_case로 처리한다.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문자열 타입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mismatch.claimed와 mismatch.receipt는 금액도 문자열로 받는다.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배열 처리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opinions·mismatch의 빈 배열을 정상 값으로 허용한다.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배열 순서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opinions는 인덱스가 아니라 auditor 값으로 식별한다.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사유 노출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reasons.requester와 reasons.admin을 분리 저장·노출한다.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멱등 처리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재시도 과정에서 동일 콜백이 중복 도착할 수 있으므로 jobId 기준으로 처리한다.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응답 규칙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저장 성공 시 HTTP 2xx를 반환한다. 응답 본문은 자유 형식이다.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Nanum Gothic" w:hAnsi="Nanum Gothic" w:eastAsia="Nanum Gothic" w:cs="Nanum Gothic"/>
        </w:rPr>
        <w:t>9. 재시도 및 장애 처리</w:t>
      </w:r>
    </w:p>
    <w:p>
      <w:r>
        <w:rPr>
          <w:rFonts w:ascii="Nanum Gothic" w:hAnsi="Nanum Gothic" w:eastAsia="Nanum Gothic" w:cs="Nanum Gothic"/>
          <w:b w:val="0"/>
          <w:i w:val="0"/>
          <w:color w:val="222222"/>
          <w:sz w:val="22"/>
        </w:rPr>
        <w:t>콜백 타임아웃은 10초이며, 실패 시 최대 3회 전송한다. 재시도 간격은 1초, 2초다. 3회 모두 실패해도 심사 잡 자체는 실패 처리하지 않으며, 백엔드는 잡 조회 API를 통해 결과를 폴링할 수 있다. 응답 유실로 인해 백엔드가 저장한 뒤 동일 콜백이 다시 도착할 수 있으므로 jobId 기준 멱등성이 필요하다.</w:t>
      </w:r>
    </w:p>
    <w:p>
      <w:pPr>
        <w:pStyle w:val="Heading1"/>
      </w:pPr>
      <w:r>
        <w:rPr>
          <w:rFonts w:ascii="Nanum Gothic" w:hAnsi="Nanum Gothic" w:eastAsia="Nanum Gothic" w:cs="Nanum Gothic"/>
        </w:rPr>
        <w:t>10. 기준 문서 및 구현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b/>
                <w:i w:val="0"/>
                <w:color w:val="0B2545"/>
                <w:sz w:val="18"/>
              </w:rPr>
              <w:t>위치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엑셀 API 명세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docs/LLM_API명세서.xlsx · 콜백·내부API 시트 · CB-001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연동 계약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docs/풀스택_연동_계약.md · §3 아웃바운드 콜백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최상위 스키마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app/schemas/callback.py · CallbackPayload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중첩 스키마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app/schemas/common.py · Opinion, Mismatch, Reasons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페이로드 조립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app/graphs/review/nodes/callback.py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불일치 생성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8"/>
              </w:rPr>
              <w:t>app/graphs/review/nodes/mismatch_gate.py</w:t>
            </w:r>
          </w:p>
        </w:tc>
      </w:tr>
    </w:tbl>
    <w:sectPr w:rsidR="00FC693F" w:rsidRPr="0006063C" w:rsidSect="00034616">
      <w:headerReference w:type="default" ns2:id="rId15"/>
      <w:footerReference w:type="default" ns2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anum Gothic" w:hAnsi="Nanum Gothic" w:eastAsia="Nanum Gothic" w:cs="Nanum Gothic"/>
        <w:b w:val="0"/>
        <w:i w:val="0"/>
        <w:color w:val="5F6B76"/>
        <w:sz w:val="18"/>
      </w:rPr>
      <w:t xml:space="preserve">CB-001  ·  </w:t>
    </w:r>
    <w:r>
      <w:rPr>
        <w:rFonts w:ascii="Nanum Gothic" w:hAnsi="Nanum Gothic" w:eastAsia="Nanum Gothic" w:cs="Nanum Gothic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anum Gothic" w:hAnsi="Nanum Gothic" w:eastAsia="Nanum Gothic" w:cs="Nanum Gothic"/>
        <w:b w:val="0"/>
        <w:i w:val="0"/>
        <w:color w:val="5F6B76"/>
        <w:sz w:val="18"/>
      </w:rPr>
      <w:t xml:space="preserve">CB-001  ·  </w:t>
    </w:r>
    <w:r>
      <w:rPr>
        <w:rFonts w:ascii="Nanum Gothic" w:hAnsi="Nanum Gothic" w:eastAsia="Nanum Gothic" w:cs="Nanum Gothic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anum Gothic" w:hAnsi="Nanum Gothic" w:eastAsia="Nanum Gothic" w:cs="Nanum Gothic"/>
        <w:b w:val="0"/>
        <w:i w:val="0"/>
        <w:color w:val="5F6B76"/>
        <w:sz w:val="18"/>
      </w:rPr>
      <w:t xml:space="preserve">CB-001  ·  </w:t>
    </w:r>
    <w:r>
      <w:rPr>
        <w:rFonts w:ascii="Nanum Gothic" w:hAnsi="Nanum Gothic" w:eastAsia="Nanum Gothic" w:cs="Nanum Gothic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anum Gothic" w:hAnsi="Nanum Gothic" w:eastAsia="Nanum Gothic" w:cs="Nanum Gothic"/>
        <w:b w:val="0"/>
        <w:i w:val="0"/>
        <w:color w:val="5F6B76"/>
        <w:sz w:val="18"/>
      </w:rPr>
      <w:t xml:space="preserve">CB-001  ·  </w:t>
    </w:r>
    <w:r>
      <w:rPr>
        <w:rFonts w:ascii="Nanum Gothic" w:hAnsi="Nanum Gothic" w:eastAsia="Nanum Gothic" w:cs="Nanum Gothic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anum Gothic" w:hAnsi="Nanum Gothic" w:eastAsia="Nanum Gothic" w:cs="Nanum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 Gothic" w:hAnsi="Nanum Gothic" w:eastAsia="Nanum Gothic" w:cs="Nanum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anum Gothic" w:hAnsi="Nanum Gothic" w:eastAsia="Nanum Gothic" w:cs="Nanum 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 Gothic" w:hAnsi="Nanum Gothic" w:eastAsia="Nanum Gothic" w:cs="Nanum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anum Gothic" w:hAnsi="Nanum Gothic" w:eastAsia="Nanum Gothic" w:cs="Nanum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anum Gothic" w:hAnsi="Nanum Gothic" w:eastAsia="Nanum Gothic" w:cs="Nanum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anum Gothic" w:hAnsi="Nanum Gothic" w:eastAsia="Nanum Gothic" w:cs="Nanum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anum Gothic" w:hAnsi="Nanum Gothic" w:eastAsia="Nanum Gothic" w:cs="Nanum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anum Gothic" w:hAnsi="Nanum Gothic" w:eastAsia="Nanum Gothic" w:cs="Nanum Gothic"/>
    </w:rPr>
  </w:style>
  <w:style w:type="table" w:default="1" w:styleId="TableNormal">
    <w:name w:val="Normal Table"/>
    <w:uiPriority w:val="99"/>
    <w:semiHidden/>
    <w:unhideWhenUsed/>
    <w:rPr>
      <w:rFonts w:ascii="Nanum Gothic" w:hAnsi="Nanum Gothic" w:eastAsia="Nanum Gothic" w:cs="Nanum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anum Gothic" w:hAnsi="Nanum Gothic" w:eastAsia="Nanum Gothic" w:cs="Nanum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anum Gothic" w:hAnsi="Nanum Gothic" w:eastAsia="Nanum Gothic" w:cs="Nanum 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 Gothic" w:hAnsi="Nanum Gothic" w:eastAsia="Nanum Gothic" w:cs="Nanum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anum Gothic" w:hAnsi="Nanum Gothic" w:eastAsia="Nanum Gothic" w:cs="Nanum 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anum Gothic" w:hAnsi="Nanum Gothic" w:eastAsia="Nanum Gothic" w:cs="Nanum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 Gothic" w:hAnsi="Nanum Gothic" w:eastAsia="Nanum Gothic" w:cs="Nanum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anum Gothic" w:hAnsi="Nanum Gothic" w:eastAsia="Nanum Gothic" w:cs="Nanum 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anum Gothic" w:hAnsi="Nanum Gothic" w:eastAsia="Nanum Gothic" w:cs="Nanum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anum Gothic" w:hAnsi="Nanum Gothic" w:eastAsia="Nanum Gothic" w:cs="Nanum 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anum Gothic" w:hAnsi="Nanum Gothic" w:eastAsia="Nanum Gothic" w:cs="Nanum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anum Gothic" w:hAnsi="Nanum Gothic" w:eastAsia="Nanum Gothic" w:cs="Nanum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anum Gothic" w:hAnsi="Nanum Gothic" w:eastAsia="Nanum Gothic" w:cs="Nanum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anum Gothic" w:hAnsi="Nanum Gothic" w:eastAsia="Nanum Gothic" w:cs="Nanum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anum Gothic" w:hAnsi="Nanum Gothic" w:eastAsia="Nanum Gothic" w:cs="Nanum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 Gothic" w:hAnsi="Nanum Gothic" w:eastAsia="Nanum Gothic" w:cs="Nanum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 Gothic" w:hAnsi="Nanum Gothic" w:eastAsia="Nanum Gothic" w:cs="Nanum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anum Gothic" w:hAnsi="Nanum Gothic" w:eastAsia="Nanum Gothic" w:cs="Nanum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 Gothic" w:hAnsi="Nanum Gothic" w:eastAsia="Nanum Gothic" w:cs="Nanum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 Gothic" w:hAnsi="Nanum Gothic" w:eastAsia="Nanum Gothic" w:cs="Nanum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anum Gothic" w:hAnsi="Nanum Gothic" w:eastAsia="Nanum Gothic" w:cs="Nanum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anum Gothic" w:hAnsi="Nanum Gothic" w:eastAsia="Nanum Gothic" w:cs="Nanum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anum Gothic" w:hAnsi="Nanum Gothic" w:eastAsia="Nanum Gothic" w:cs="Nanum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anum Gothic" w:hAnsi="Nanum Gothic" w:eastAsia="Nanum Gothic" w:cs="Nanum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 Gothic" w:hAnsi="Nanum Gothic" w:eastAsia="Nanum Gothic" w:cs="Nanum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 Gothic" w:hAnsi="Nanum Gothic" w:eastAsia="Nanum Gothic" w:cs="Nanum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 Gothic" w:hAnsi="Nanum Gothic" w:eastAsia="Nanum Gothic" w:cs="Nanum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anum Gothic" w:hAnsi="Nanum Gothic" w:eastAsia="Nanum Gothic" w:cs="Nanum 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anum Gothic" w:hAnsi="Nanum Gothic" w:eastAsia="Nanum Gothic" w:cs="Nanum 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 Gothic" w:hAnsi="Nanum Gothic" w:eastAsia="Nanum Gothic" w:cs="Nanum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anum Gothic" w:hAnsi="Nanum Gothic" w:eastAsia="Nanum Gothic" w:cs="Nanum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anum Gothic" w:hAnsi="Nanum Gothic" w:eastAsia="Nanum Gothic" w:cs="Nanum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anum Gothic" w:hAnsi="Nanum Gothic" w:eastAsia="Nanum Gothic" w:cs="Nanum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anum Gothic" w:hAnsi="Nanum Gothic" w:eastAsia="Nanum Gothic" w:cs="Nanum 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anum Gothic" w:hAnsi="Nanum Gothic" w:eastAsia="Nanum Gothic" w:cs="Nanum 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anum Gothic" w:hAnsi="Nanum Gothic" w:eastAsia="Nanum Gothic" w:cs="Nanum 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anum Gothic" w:hAnsi="Nanum Gothic" w:eastAsia="Nanum Gothic" w:cs="Nanum 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anum Gothic" w:hAnsi="Nanum Gothic" w:eastAsia="Nanum Gothic" w:cs="Nanum 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anum Gothic" w:hAnsi="Nanum Gothic" w:eastAsia="Nanum Gothic" w:cs="Nanum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anum Gothic" w:hAnsi="Nanum Gothic" w:eastAsia="Nanum Gothic" w:cs="Nanum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anum Gothic" w:hAnsi="Nanum Gothic" w:eastAsia="Nanum Gothic" w:cs="Nanum 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anum Gothic" w:hAnsi="Nanum Gothic" w:eastAsia="Nanum Gothic" w:cs="Nanum 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anum Gothic" w:hAnsi="Nanum Gothic" w:eastAsia="Nanum Gothic" w:cs="Nanum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anum Gothic" w:hAnsi="Nanum Gothic" w:eastAsia="Nanum Gothic" w:cs="Nanum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anum Gothic" w:hAnsi="Nanum Gothic" w:eastAsia="Nanum Gothic" w:cs="Nanum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173" w:right="173"/>
    </w:pPr>
    <w:rPr>
      <w:rFonts w:ascii="Nanum Gothic" w:hAnsi="Nanum Gothic" w:eastAsia="Nanum Gothic" w:cs="Nanum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CB-001 심사 결과 콜백 상세 명세</dc:title>
  <dc:subject>LLM 서버에서 풀스택 백엔드로 전송하는 심사 결과 콜백 계약</dc:subject>
  <dc:creator>BudgetOps LLM Team</dc:creator>
  <cp:keywords>CB-001, agent-callback, LLM, API, callback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