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32A1" w:rsidRPr="00EC5E83" w:rsidRDefault="00313159">
      <w:pPr>
        <w:rPr>
          <w:rFonts w:ascii="Arial" w:hAnsi="Arial" w:cs="Arial"/>
          <w:color w:val="111111"/>
          <w:sz w:val="24"/>
          <w:szCs w:val="24"/>
          <w:shd w:val="clear" w:color="auto" w:fill="FFFFFF"/>
        </w:rPr>
      </w:pPr>
      <w:r w:rsidRPr="00EC5E83">
        <w:rPr>
          <w:rFonts w:ascii="Arial" w:hAnsi="Arial" w:cs="Arial"/>
          <w:color w:val="111111"/>
          <w:sz w:val="24"/>
          <w:szCs w:val="24"/>
          <w:shd w:val="clear" w:color="auto" w:fill="FFFFFF"/>
        </w:rPr>
        <w:t xml:space="preserve">Round </w:t>
      </w:r>
      <w:r w:rsidR="00EC5E83" w:rsidRPr="00EC5E83">
        <w:rPr>
          <w:rFonts w:ascii="Arial" w:hAnsi="Arial" w:cs="Arial"/>
          <w:color w:val="111111"/>
          <w:sz w:val="24"/>
          <w:szCs w:val="24"/>
          <w:shd w:val="clear" w:color="auto" w:fill="FFFFFF"/>
        </w:rPr>
        <w:t>Trip:</w:t>
      </w:r>
      <w:r w:rsidRPr="00EC5E83">
        <w:rPr>
          <w:rFonts w:ascii="Arial" w:hAnsi="Arial" w:cs="Arial"/>
          <w:color w:val="111111"/>
          <w:sz w:val="24"/>
          <w:szCs w:val="24"/>
          <w:shd w:val="clear" w:color="auto" w:fill="FFFFFF"/>
        </w:rPr>
        <w:t xml:space="preserve"> Purchasing and selling shares of the same </w:t>
      </w:r>
      <w:hyperlink r:id="rId5" w:history="1">
        <w:r w:rsidRPr="00EC5E83">
          <w:rPr>
            <w:rFonts w:ascii="Arial" w:hAnsi="Arial" w:cs="Arial"/>
            <w:color w:val="111111"/>
            <w:sz w:val="24"/>
            <w:szCs w:val="24"/>
            <w:shd w:val="clear" w:color="auto" w:fill="FFFFFF"/>
          </w:rPr>
          <w:t>security</w:t>
        </w:r>
      </w:hyperlink>
      <w:r w:rsidRPr="00EC5E83">
        <w:rPr>
          <w:rFonts w:ascii="Arial" w:hAnsi="Arial" w:cs="Arial"/>
          <w:color w:val="111111"/>
          <w:sz w:val="24"/>
          <w:szCs w:val="24"/>
          <w:shd w:val="clear" w:color="auto" w:fill="FFFFFF"/>
        </w:rPr>
        <w:t xml:space="preserve"> during the trading.</w:t>
      </w:r>
    </w:p>
    <w:p w:rsidR="00313159" w:rsidRPr="00EC5E83" w:rsidRDefault="00313159">
      <w:pPr>
        <w:rPr>
          <w:rFonts w:ascii="Arial" w:hAnsi="Arial" w:cs="Arial"/>
          <w:color w:val="111111"/>
          <w:sz w:val="24"/>
          <w:szCs w:val="24"/>
          <w:shd w:val="clear" w:color="auto" w:fill="FFFFFF"/>
        </w:rPr>
      </w:pPr>
      <w:r w:rsidRPr="00EC5E83">
        <w:rPr>
          <w:rFonts w:ascii="Arial" w:hAnsi="Arial" w:cs="Arial"/>
          <w:color w:val="111111"/>
          <w:sz w:val="24"/>
          <w:szCs w:val="24"/>
          <w:shd w:val="clear" w:color="auto" w:fill="FFFFFF"/>
        </w:rPr>
        <w:t>Winning trade : Profitable trades are winning trades</w:t>
      </w:r>
    </w:p>
    <w:p w:rsidR="00313159" w:rsidRPr="00EC5E83" w:rsidRDefault="00313159">
      <w:pPr>
        <w:rPr>
          <w:rFonts w:ascii="Arial" w:hAnsi="Arial" w:cs="Arial"/>
          <w:color w:val="111111"/>
          <w:sz w:val="24"/>
          <w:szCs w:val="24"/>
          <w:shd w:val="clear" w:color="auto" w:fill="FFFFFF"/>
        </w:rPr>
      </w:pPr>
      <w:r w:rsidRPr="00EC5E83">
        <w:rPr>
          <w:rFonts w:ascii="Arial" w:hAnsi="Arial" w:cs="Arial"/>
          <w:color w:val="111111"/>
          <w:sz w:val="24"/>
          <w:szCs w:val="24"/>
          <w:shd w:val="clear" w:color="auto" w:fill="FFFFFF"/>
        </w:rPr>
        <w:t>Losing Trase:  Lose making trades are losing trades</w:t>
      </w:r>
    </w:p>
    <w:p w:rsidR="00313159" w:rsidRPr="00EC5E83" w:rsidRDefault="00313159">
      <w:pPr>
        <w:rPr>
          <w:rFonts w:ascii="Arial" w:hAnsi="Arial" w:cs="Arial"/>
          <w:color w:val="111111"/>
          <w:sz w:val="24"/>
          <w:szCs w:val="24"/>
          <w:shd w:val="clear" w:color="auto" w:fill="FFFFFF"/>
        </w:rPr>
      </w:pPr>
      <w:r w:rsidRPr="00EC5E83">
        <w:rPr>
          <w:rFonts w:ascii="Arial" w:hAnsi="Arial" w:cs="Arial"/>
          <w:color w:val="111111"/>
          <w:sz w:val="24"/>
          <w:szCs w:val="24"/>
          <w:shd w:val="clear" w:color="auto" w:fill="FFFFFF"/>
        </w:rPr>
        <w:t>Wining Trade % : Winning trade / Total Trades</w:t>
      </w:r>
    </w:p>
    <w:p w:rsidR="00313159" w:rsidRPr="00EC5E83" w:rsidRDefault="00313159">
      <w:pPr>
        <w:rPr>
          <w:rFonts w:ascii="Arial" w:hAnsi="Arial" w:cs="Arial"/>
          <w:bCs/>
          <w:color w:val="111111"/>
          <w:sz w:val="24"/>
          <w:szCs w:val="24"/>
          <w:shd w:val="clear" w:color="auto" w:fill="FFFFFF"/>
        </w:rPr>
      </w:pPr>
      <w:r w:rsidRPr="00EC5E83">
        <w:rPr>
          <w:rFonts w:ascii="Arial" w:hAnsi="Arial" w:cs="Arial"/>
          <w:bCs/>
          <w:color w:val="111111"/>
          <w:sz w:val="24"/>
          <w:szCs w:val="24"/>
          <w:shd w:val="clear" w:color="auto" w:fill="FFFFFF"/>
        </w:rPr>
        <w:t xml:space="preserve">Largest winning trade </w:t>
      </w:r>
    </w:p>
    <w:p w:rsidR="00313159" w:rsidRPr="00EC5E83" w:rsidRDefault="00313159">
      <w:pPr>
        <w:rPr>
          <w:rFonts w:ascii="Arial" w:hAnsi="Arial" w:cs="Arial"/>
          <w:bCs/>
          <w:color w:val="111111"/>
          <w:sz w:val="24"/>
          <w:szCs w:val="24"/>
          <w:shd w:val="clear" w:color="auto" w:fill="FFFFFF"/>
        </w:rPr>
      </w:pPr>
      <w:r w:rsidRPr="00EC5E83">
        <w:rPr>
          <w:rFonts w:ascii="Arial" w:hAnsi="Arial" w:cs="Arial"/>
          <w:color w:val="111111"/>
          <w:sz w:val="24"/>
          <w:szCs w:val="24"/>
          <w:shd w:val="clear" w:color="auto" w:fill="FFFFFF"/>
        </w:rPr>
        <w:t>Largest losing trade</w:t>
      </w:r>
    </w:p>
    <w:p w:rsidR="00313159" w:rsidRPr="00EC5E83" w:rsidRDefault="00313159">
      <w:pPr>
        <w:rPr>
          <w:rFonts w:ascii="Arial" w:hAnsi="Arial" w:cs="Arial"/>
          <w:color w:val="111111"/>
          <w:sz w:val="24"/>
          <w:szCs w:val="24"/>
          <w:shd w:val="clear" w:color="auto" w:fill="FFFFFF"/>
        </w:rPr>
      </w:pPr>
    </w:p>
    <w:p w:rsidR="00313159" w:rsidRPr="00EC5E83" w:rsidRDefault="00313159">
      <w:pPr>
        <w:rPr>
          <w:rFonts w:ascii="Arial" w:hAnsi="Arial" w:cs="Arial"/>
          <w:bCs/>
          <w:color w:val="111111"/>
          <w:shd w:val="clear" w:color="auto" w:fill="FFFFFF"/>
        </w:rPr>
      </w:pPr>
      <w:r w:rsidRPr="00EC5E83">
        <w:rPr>
          <w:rFonts w:ascii="Arial" w:hAnsi="Arial" w:cs="Arial"/>
          <w:bCs/>
          <w:color w:val="111111"/>
          <w:shd w:val="clear" w:color="auto" w:fill="FFFFFF"/>
        </w:rPr>
        <w:t>Annual return</w:t>
      </w:r>
    </w:p>
    <w:p w:rsidR="00313159" w:rsidRPr="00313159" w:rsidRDefault="00313159" w:rsidP="00313159">
      <w:pPr>
        <w:numPr>
          <w:ilvl w:val="0"/>
          <w:numId w:val="1"/>
        </w:numPr>
        <w:shd w:val="clear" w:color="auto" w:fill="FFFFFF"/>
        <w:spacing w:before="100" w:beforeAutospacing="1" w:after="100" w:afterAutospacing="1" w:line="240" w:lineRule="auto"/>
        <w:rPr>
          <w:rFonts w:ascii="Arial" w:eastAsia="Times New Roman" w:hAnsi="Arial" w:cs="Arial"/>
          <w:color w:val="111111"/>
          <w:sz w:val="24"/>
          <w:szCs w:val="24"/>
        </w:rPr>
      </w:pPr>
      <w:r w:rsidRPr="00313159">
        <w:rPr>
          <w:rFonts w:ascii="Arial" w:eastAsia="Times New Roman" w:hAnsi="Arial" w:cs="Arial"/>
          <w:color w:val="111111"/>
          <w:sz w:val="24"/>
          <w:szCs w:val="24"/>
        </w:rPr>
        <w:t>An annual or annualized return is a measure of how much an investment has increased on average each year, during a specific time period.</w:t>
      </w:r>
    </w:p>
    <w:p w:rsidR="00313159" w:rsidRPr="00313159" w:rsidRDefault="00313159" w:rsidP="00313159">
      <w:pPr>
        <w:numPr>
          <w:ilvl w:val="0"/>
          <w:numId w:val="1"/>
        </w:numPr>
        <w:shd w:val="clear" w:color="auto" w:fill="FFFFFF"/>
        <w:spacing w:before="100" w:beforeAutospacing="1" w:after="100" w:afterAutospacing="1" w:line="240" w:lineRule="auto"/>
        <w:rPr>
          <w:rFonts w:ascii="Arial" w:eastAsia="Times New Roman" w:hAnsi="Arial" w:cs="Arial"/>
          <w:color w:val="111111"/>
          <w:sz w:val="24"/>
          <w:szCs w:val="24"/>
        </w:rPr>
      </w:pPr>
      <w:r w:rsidRPr="00313159">
        <w:rPr>
          <w:rFonts w:ascii="Arial" w:eastAsia="Times New Roman" w:hAnsi="Arial" w:cs="Arial"/>
          <w:color w:val="111111"/>
          <w:sz w:val="24"/>
          <w:szCs w:val="24"/>
        </w:rPr>
        <w:t>The annualized return is calculated as a geometric average to show what the annual return compounded would look like.</w:t>
      </w:r>
    </w:p>
    <w:p w:rsidR="00313159" w:rsidRPr="00313159" w:rsidRDefault="00313159" w:rsidP="00313159">
      <w:pPr>
        <w:numPr>
          <w:ilvl w:val="0"/>
          <w:numId w:val="1"/>
        </w:numPr>
        <w:shd w:val="clear" w:color="auto" w:fill="FFFFFF"/>
        <w:spacing w:before="100" w:beforeAutospacing="1" w:after="100" w:afterAutospacing="1" w:line="240" w:lineRule="auto"/>
        <w:rPr>
          <w:rFonts w:ascii="Arial" w:eastAsia="Times New Roman" w:hAnsi="Arial" w:cs="Arial"/>
          <w:color w:val="111111"/>
          <w:sz w:val="24"/>
          <w:szCs w:val="24"/>
        </w:rPr>
      </w:pPr>
      <w:r w:rsidRPr="00313159">
        <w:rPr>
          <w:rFonts w:ascii="Arial" w:eastAsia="Times New Roman" w:hAnsi="Arial" w:cs="Arial"/>
          <w:color w:val="111111"/>
          <w:sz w:val="24"/>
          <w:szCs w:val="24"/>
        </w:rPr>
        <w:t>An annual return can be more useful than a simple return when you want to see how an investment has performed over time, or to compare two investments.</w:t>
      </w:r>
    </w:p>
    <w:p w:rsidR="00313159" w:rsidRPr="00EC5E83" w:rsidRDefault="00313159">
      <w:pPr>
        <w:rPr>
          <w:rStyle w:val="fontstyle01"/>
          <w:b w:val="0"/>
        </w:rPr>
      </w:pPr>
    </w:p>
    <w:p w:rsidR="00313159" w:rsidRPr="00EC5E83" w:rsidRDefault="00313159">
      <w:pPr>
        <w:rPr>
          <w:rStyle w:val="fontstyle01"/>
          <w:b w:val="0"/>
        </w:rPr>
      </w:pPr>
      <w:r w:rsidRPr="00EC5E83">
        <w:rPr>
          <w:rStyle w:val="fontstyle01"/>
          <w:b w:val="0"/>
        </w:rPr>
        <w:t>Annual volatility:</w:t>
      </w:r>
    </w:p>
    <w:p w:rsidR="00313159" w:rsidRPr="00EC5E83" w:rsidRDefault="00313159">
      <w:pPr>
        <w:rPr>
          <w:rStyle w:val="fontstyle01"/>
          <w:b w:val="0"/>
        </w:rPr>
      </w:pPr>
      <w:r w:rsidRPr="00EC5E83">
        <w:rPr>
          <w:rFonts w:ascii="Arial" w:hAnsi="Arial" w:cs="Arial"/>
          <w:color w:val="333333"/>
          <w:sz w:val="24"/>
          <w:szCs w:val="24"/>
          <w:shd w:val="clear" w:color="auto" w:fill="FFFFFF"/>
        </w:rPr>
        <w:t>The relative rate at which the price of a security moves up and down. Volatility is found by calculating the annualized standard deviation of daily change in price. If the price of a stock moves up and down rapidly over short time periods, it has high volatility. If the price almost never changes, it has low volatility.</w:t>
      </w:r>
      <w:r w:rsidRPr="00EC5E83">
        <w:rPr>
          <w:rFonts w:ascii="Arial" w:hAnsi="Arial" w:cs="Arial"/>
          <w:color w:val="333333"/>
          <w:sz w:val="24"/>
          <w:szCs w:val="24"/>
        </w:rPr>
        <w:br/>
      </w:r>
      <w:r w:rsidRPr="00EC5E83">
        <w:rPr>
          <w:rFonts w:ascii="Arial" w:hAnsi="Arial" w:cs="Arial"/>
          <w:color w:val="333333"/>
          <w:sz w:val="24"/>
          <w:szCs w:val="24"/>
          <w:shd w:val="clear" w:color="auto" w:fill="FFFFFF"/>
        </w:rPr>
        <w:t>Stock with High Volatility are also knows as High Beta stocks.</w:t>
      </w:r>
    </w:p>
    <w:p w:rsidR="00313159" w:rsidRPr="00EC5E83" w:rsidRDefault="00313159">
      <w:pPr>
        <w:rPr>
          <w:rStyle w:val="fontstyle01"/>
          <w:b w:val="0"/>
        </w:rPr>
      </w:pPr>
    </w:p>
    <w:p w:rsidR="00313159" w:rsidRPr="00EC5E83" w:rsidRDefault="00313159">
      <w:pPr>
        <w:rPr>
          <w:rStyle w:val="fontstyle01"/>
          <w:b w:val="0"/>
        </w:rPr>
      </w:pPr>
    </w:p>
    <w:p w:rsidR="00FC1685" w:rsidRPr="00EC5E83" w:rsidRDefault="00313159">
      <w:pPr>
        <w:rPr>
          <w:rStyle w:val="fontstyle01"/>
          <w:b w:val="0"/>
        </w:rPr>
      </w:pPr>
      <w:r w:rsidRPr="00EC5E83">
        <w:rPr>
          <w:rStyle w:val="fontstyle01"/>
          <w:b w:val="0"/>
        </w:rPr>
        <w:t>Sharpe ratio</w:t>
      </w:r>
      <w:r w:rsidR="00FC1685" w:rsidRPr="00EC5E83">
        <w:rPr>
          <w:rStyle w:val="fontstyle01"/>
          <w:b w:val="0"/>
        </w:rPr>
        <w:t xml:space="preserve"> </w:t>
      </w:r>
    </w:p>
    <w:p w:rsidR="00313159" w:rsidRPr="00EC5E83" w:rsidRDefault="00FC1685">
      <w:pPr>
        <w:rPr>
          <w:rStyle w:val="fontstyle01"/>
          <w:b w:val="0"/>
        </w:rPr>
      </w:pPr>
      <w:r w:rsidRPr="00EC5E83">
        <w:rPr>
          <w:rStyle w:val="fontstyle01"/>
          <w:b w:val="0"/>
        </w:rPr>
        <w:t>T</w:t>
      </w:r>
      <w:r w:rsidRPr="00EC5E83">
        <w:rPr>
          <w:rFonts w:ascii="Arial" w:hAnsi="Arial" w:cs="Arial"/>
          <w:color w:val="111111"/>
          <w:sz w:val="24"/>
          <w:szCs w:val="24"/>
          <w:shd w:val="clear" w:color="auto" w:fill="FFFFFF"/>
        </w:rPr>
        <w:t>he ratio is the average return earned in excess of the risk-free rate per unit of volatility or total risk.</w:t>
      </w:r>
    </w:p>
    <w:p w:rsidR="00313159" w:rsidRPr="00EC5E83" w:rsidRDefault="00FC1685">
      <w:pPr>
        <w:rPr>
          <w:rStyle w:val="fontstyle01"/>
          <w:b w:val="0"/>
        </w:rPr>
      </w:pPr>
      <w:r w:rsidRPr="00EC5E83">
        <w:rPr>
          <w:rStyle w:val="mord"/>
          <w:i/>
          <w:iCs/>
          <w:sz w:val="24"/>
          <w:szCs w:val="24"/>
        </w:rPr>
        <w:t>Sharpe Ratio</w:t>
      </w:r>
      <w:r w:rsidRPr="00EC5E83">
        <w:rPr>
          <w:rStyle w:val="mrel"/>
          <w:sz w:val="24"/>
          <w:szCs w:val="24"/>
        </w:rPr>
        <w:t>=</w:t>
      </w:r>
      <w:r w:rsidRPr="00EC5E83">
        <w:rPr>
          <w:rStyle w:val="vlist-s"/>
          <w:color w:val="111111"/>
          <w:sz w:val="24"/>
          <w:szCs w:val="24"/>
          <w:shd w:val="clear" w:color="auto" w:fill="FFFFFF"/>
        </w:rPr>
        <w:t xml:space="preserve"> ​</w:t>
      </w:r>
      <w:r w:rsidRPr="00EC5E83">
        <w:rPr>
          <w:rStyle w:val="mord"/>
          <w:rFonts w:ascii="KaTeX_Math" w:hAnsi="KaTeX_Math"/>
          <w:i/>
          <w:iCs/>
          <w:color w:val="111111"/>
          <w:sz w:val="24"/>
          <w:szCs w:val="24"/>
          <w:shd w:val="clear" w:color="auto" w:fill="FFFFFF"/>
        </w:rPr>
        <w:t>Rp</w:t>
      </w:r>
      <w:r w:rsidRPr="00EC5E83">
        <w:rPr>
          <w:rStyle w:val="vlist-s"/>
          <w:color w:val="111111"/>
          <w:sz w:val="24"/>
          <w:szCs w:val="24"/>
          <w:shd w:val="clear" w:color="auto" w:fill="FFFFFF"/>
        </w:rPr>
        <w:t>​</w:t>
      </w:r>
      <w:r w:rsidRPr="00EC5E83">
        <w:rPr>
          <w:rStyle w:val="mbin"/>
          <w:color w:val="111111"/>
          <w:sz w:val="24"/>
          <w:szCs w:val="24"/>
          <w:shd w:val="clear" w:color="auto" w:fill="FFFFFF"/>
        </w:rPr>
        <w:t>−</w:t>
      </w:r>
      <w:r w:rsidRPr="00EC5E83">
        <w:rPr>
          <w:rStyle w:val="mord"/>
          <w:rFonts w:ascii="KaTeX_Math" w:hAnsi="KaTeX_Math"/>
          <w:i/>
          <w:iCs/>
          <w:color w:val="111111"/>
          <w:sz w:val="24"/>
          <w:szCs w:val="24"/>
          <w:shd w:val="clear" w:color="auto" w:fill="FFFFFF"/>
        </w:rPr>
        <w:t>Rf</w:t>
      </w:r>
      <w:r w:rsidRPr="00EC5E83">
        <w:rPr>
          <w:rStyle w:val="vlist-s"/>
          <w:color w:val="111111"/>
          <w:sz w:val="24"/>
          <w:szCs w:val="24"/>
          <w:shd w:val="clear" w:color="auto" w:fill="FFFFFF"/>
        </w:rPr>
        <w:t>​​/</w:t>
      </w:r>
      <w:r w:rsidRPr="00EC5E83">
        <w:rPr>
          <w:rStyle w:val="mord"/>
          <w:rFonts w:ascii="KaTeX_Math" w:hAnsi="KaTeX_Math"/>
          <w:i/>
          <w:iCs/>
          <w:color w:val="111111"/>
          <w:sz w:val="24"/>
          <w:szCs w:val="24"/>
          <w:shd w:val="clear" w:color="auto" w:fill="FFFFFF"/>
        </w:rPr>
        <w:t>/σp</w:t>
      </w:r>
      <w:r w:rsidRPr="00EC5E83">
        <w:rPr>
          <w:color w:val="111111"/>
          <w:sz w:val="24"/>
          <w:szCs w:val="24"/>
          <w:shd w:val="clear" w:color="auto" w:fill="FFFFFF"/>
        </w:rPr>
        <w:br/>
      </w:r>
    </w:p>
    <w:p w:rsidR="00FC1685" w:rsidRPr="00EC5E83" w:rsidRDefault="00FC1685">
      <w:pPr>
        <w:rPr>
          <w:rStyle w:val="mord"/>
          <w:bCs/>
          <w:color w:val="111111"/>
          <w:sz w:val="24"/>
          <w:szCs w:val="24"/>
          <w:shd w:val="clear" w:color="auto" w:fill="FFFFFF"/>
        </w:rPr>
      </w:pPr>
      <w:r w:rsidRPr="00EC5E83">
        <w:rPr>
          <w:rStyle w:val="mord"/>
          <w:bCs/>
          <w:color w:val="111111"/>
          <w:sz w:val="24"/>
          <w:szCs w:val="24"/>
          <w:shd w:val="clear" w:color="auto" w:fill="FFFFFF"/>
        </w:rPr>
        <w:t>where:</w:t>
      </w:r>
    </w:p>
    <w:p w:rsidR="00FC1685" w:rsidRPr="00EC5E83" w:rsidRDefault="00FC1685">
      <w:pPr>
        <w:rPr>
          <w:rStyle w:val="mord"/>
          <w:color w:val="111111"/>
          <w:sz w:val="24"/>
          <w:szCs w:val="24"/>
          <w:shd w:val="clear" w:color="auto" w:fill="FFFFFF"/>
        </w:rPr>
      </w:pPr>
      <w:r w:rsidRPr="00EC5E83">
        <w:rPr>
          <w:rStyle w:val="mord"/>
          <w:rFonts w:ascii="KaTeX_Math" w:hAnsi="KaTeX_Math"/>
          <w:i/>
          <w:iCs/>
          <w:color w:val="111111"/>
          <w:sz w:val="24"/>
          <w:szCs w:val="24"/>
          <w:shd w:val="clear" w:color="auto" w:fill="FFFFFF"/>
        </w:rPr>
        <w:t>Rp</w:t>
      </w:r>
      <w:r w:rsidRPr="00EC5E83">
        <w:rPr>
          <w:rStyle w:val="vlist-s"/>
          <w:color w:val="111111"/>
          <w:sz w:val="24"/>
          <w:szCs w:val="24"/>
          <w:shd w:val="clear" w:color="auto" w:fill="FFFFFF"/>
        </w:rPr>
        <w:t>​</w:t>
      </w:r>
      <w:r w:rsidRPr="00EC5E83">
        <w:rPr>
          <w:rStyle w:val="mrel"/>
          <w:color w:val="111111"/>
          <w:sz w:val="24"/>
          <w:szCs w:val="24"/>
          <w:shd w:val="clear" w:color="auto" w:fill="FFFFFF"/>
        </w:rPr>
        <w:t>=</w:t>
      </w:r>
      <w:r w:rsidRPr="00EC5E83">
        <w:rPr>
          <w:rStyle w:val="mord"/>
          <w:color w:val="111111"/>
          <w:sz w:val="24"/>
          <w:szCs w:val="24"/>
          <w:shd w:val="clear" w:color="auto" w:fill="FFFFFF"/>
        </w:rPr>
        <w:t>return of portfolio</w:t>
      </w:r>
    </w:p>
    <w:p w:rsidR="00FC1685" w:rsidRPr="00EC5E83" w:rsidRDefault="00FC1685">
      <w:pPr>
        <w:rPr>
          <w:rStyle w:val="mord"/>
          <w:color w:val="111111"/>
          <w:sz w:val="24"/>
          <w:szCs w:val="24"/>
          <w:shd w:val="clear" w:color="auto" w:fill="FFFFFF"/>
        </w:rPr>
      </w:pPr>
      <w:r w:rsidRPr="00EC5E83">
        <w:rPr>
          <w:rStyle w:val="mord"/>
          <w:rFonts w:ascii="KaTeX_Math" w:hAnsi="KaTeX_Math"/>
          <w:i/>
          <w:iCs/>
          <w:color w:val="111111"/>
          <w:sz w:val="24"/>
          <w:szCs w:val="24"/>
          <w:shd w:val="clear" w:color="auto" w:fill="FFFFFF"/>
        </w:rPr>
        <w:t>Rf</w:t>
      </w:r>
      <w:r w:rsidRPr="00EC5E83">
        <w:rPr>
          <w:rStyle w:val="vlist-s"/>
          <w:color w:val="111111"/>
          <w:sz w:val="24"/>
          <w:szCs w:val="24"/>
          <w:shd w:val="clear" w:color="auto" w:fill="FFFFFF"/>
        </w:rPr>
        <w:t>​</w:t>
      </w:r>
      <w:r w:rsidRPr="00EC5E83">
        <w:rPr>
          <w:rStyle w:val="mrel"/>
          <w:color w:val="111111"/>
          <w:sz w:val="24"/>
          <w:szCs w:val="24"/>
          <w:shd w:val="clear" w:color="auto" w:fill="FFFFFF"/>
        </w:rPr>
        <w:t>=</w:t>
      </w:r>
      <w:r w:rsidRPr="00EC5E83">
        <w:rPr>
          <w:rStyle w:val="mord"/>
          <w:color w:val="111111"/>
          <w:sz w:val="24"/>
          <w:szCs w:val="24"/>
          <w:shd w:val="clear" w:color="auto" w:fill="FFFFFF"/>
        </w:rPr>
        <w:t>risk-free rate</w:t>
      </w:r>
    </w:p>
    <w:p w:rsidR="00FC1685" w:rsidRPr="00EC5E83" w:rsidRDefault="00FC1685">
      <w:pPr>
        <w:rPr>
          <w:rStyle w:val="fontstyle01"/>
          <w:b w:val="0"/>
        </w:rPr>
      </w:pPr>
      <w:r w:rsidRPr="00EC5E83">
        <w:rPr>
          <w:rStyle w:val="mord"/>
          <w:rFonts w:ascii="KaTeX_Math" w:hAnsi="KaTeX_Math"/>
          <w:i/>
          <w:iCs/>
          <w:color w:val="111111"/>
          <w:sz w:val="24"/>
          <w:szCs w:val="24"/>
          <w:shd w:val="clear" w:color="auto" w:fill="FFFFFF"/>
        </w:rPr>
        <w:lastRenderedPageBreak/>
        <w:t>σp</w:t>
      </w:r>
      <w:r w:rsidRPr="00EC5E83">
        <w:rPr>
          <w:rStyle w:val="vlist-s"/>
          <w:color w:val="111111"/>
          <w:sz w:val="24"/>
          <w:szCs w:val="24"/>
          <w:shd w:val="clear" w:color="auto" w:fill="FFFFFF"/>
        </w:rPr>
        <w:t>​</w:t>
      </w:r>
      <w:r w:rsidRPr="00EC5E83">
        <w:rPr>
          <w:rStyle w:val="mrel"/>
          <w:color w:val="111111"/>
          <w:sz w:val="24"/>
          <w:szCs w:val="24"/>
          <w:shd w:val="clear" w:color="auto" w:fill="FFFFFF"/>
        </w:rPr>
        <w:t>=</w:t>
      </w:r>
      <w:r w:rsidRPr="00EC5E83">
        <w:rPr>
          <w:rStyle w:val="mord"/>
          <w:color w:val="111111"/>
          <w:sz w:val="24"/>
          <w:szCs w:val="24"/>
          <w:shd w:val="clear" w:color="auto" w:fill="FFFFFF"/>
        </w:rPr>
        <w:t>standard deviation of the portfolio’s excess return</w:t>
      </w:r>
      <w:r w:rsidRPr="00EC5E83">
        <w:rPr>
          <w:rStyle w:val="vlist-s"/>
          <w:color w:val="111111"/>
          <w:sz w:val="24"/>
          <w:szCs w:val="24"/>
          <w:shd w:val="clear" w:color="auto" w:fill="FFFFFF"/>
        </w:rPr>
        <w:t>​</w:t>
      </w:r>
      <w:r w:rsidRPr="00EC5E83">
        <w:rPr>
          <w:color w:val="111111"/>
          <w:sz w:val="24"/>
          <w:szCs w:val="24"/>
          <w:shd w:val="clear" w:color="auto" w:fill="FFFFFF"/>
        </w:rPr>
        <w:br/>
      </w:r>
    </w:p>
    <w:p w:rsidR="00FC1685" w:rsidRPr="00EC5E83" w:rsidRDefault="00FC1685">
      <w:pPr>
        <w:rPr>
          <w:rStyle w:val="fontstyle01"/>
          <w:b w:val="0"/>
        </w:rPr>
      </w:pPr>
    </w:p>
    <w:p w:rsidR="00313159" w:rsidRPr="00EC5E83" w:rsidRDefault="00313159">
      <w:pPr>
        <w:rPr>
          <w:rStyle w:val="fontstyle01"/>
          <w:b w:val="0"/>
        </w:rPr>
      </w:pPr>
      <w:r w:rsidRPr="00EC5E83">
        <w:rPr>
          <w:rStyle w:val="fontstyle01"/>
          <w:b w:val="0"/>
        </w:rPr>
        <w:t>Max drawdown</w:t>
      </w:r>
    </w:p>
    <w:p w:rsidR="00313159" w:rsidRPr="00EC5E83" w:rsidRDefault="00FC1685">
      <w:pPr>
        <w:rPr>
          <w:rFonts w:ascii="Arial" w:hAnsi="Arial" w:cs="Arial"/>
          <w:color w:val="111111"/>
          <w:sz w:val="24"/>
          <w:szCs w:val="24"/>
          <w:shd w:val="clear" w:color="auto" w:fill="FFFFFF"/>
        </w:rPr>
      </w:pPr>
      <w:r w:rsidRPr="00EC5E83">
        <w:rPr>
          <w:rFonts w:ascii="Arial" w:hAnsi="Arial" w:cs="Arial"/>
          <w:color w:val="111111"/>
          <w:sz w:val="24"/>
          <w:szCs w:val="24"/>
          <w:shd w:val="clear" w:color="auto" w:fill="FFFFFF"/>
        </w:rPr>
        <w:t>A maximum drawdown (MDD) is the maximum observed loss from a peak to a trough of a portfolio, before a new peak is attained. Maximum drawdown is an indicator of downside risk over a specified time period.</w:t>
      </w:r>
    </w:p>
    <w:p w:rsidR="00FC1685" w:rsidRPr="00EC5E83" w:rsidRDefault="00FC1685">
      <w:pPr>
        <w:rPr>
          <w:rStyle w:val="fontstyle01"/>
          <w:b w:val="0"/>
        </w:rPr>
      </w:pPr>
    </w:p>
    <w:p w:rsidR="00313159" w:rsidRPr="00EC5E83" w:rsidRDefault="00313159">
      <w:pPr>
        <w:rPr>
          <w:rStyle w:val="fontstyle01"/>
          <w:b w:val="0"/>
        </w:rPr>
      </w:pPr>
      <w:r w:rsidRPr="00EC5E83">
        <w:rPr>
          <w:rStyle w:val="fontstyle01"/>
          <w:b w:val="0"/>
        </w:rPr>
        <w:t>information ratio</w:t>
      </w:r>
      <w:r w:rsidR="00FC1685" w:rsidRPr="00EC5E83">
        <w:rPr>
          <w:rStyle w:val="fontstyle01"/>
          <w:b w:val="0"/>
        </w:rPr>
        <w:t>:</w:t>
      </w:r>
    </w:p>
    <w:p w:rsidR="00FC1685" w:rsidRPr="00EC5E83" w:rsidRDefault="00FC1685">
      <w:pPr>
        <w:rPr>
          <w:rStyle w:val="fontstyle01"/>
          <w:b w:val="0"/>
        </w:rPr>
      </w:pPr>
      <w:r w:rsidRPr="00EC5E83">
        <w:rPr>
          <w:rFonts w:ascii="Arial" w:hAnsi="Arial" w:cs="Arial"/>
          <w:color w:val="111111"/>
          <w:sz w:val="24"/>
          <w:szCs w:val="24"/>
          <w:shd w:val="clear" w:color="auto" w:fill="FFFFFF"/>
        </w:rPr>
        <w:t>The information ratio (IR) is a measurement of portfolio returns beyond the returns of a benchmark, usually an index, compared to the volatility of those returns. The benchmark used is typically an index that represents the market or a particular sector or industry.</w:t>
      </w:r>
    </w:p>
    <w:p w:rsidR="00313159" w:rsidRPr="00EC5E83" w:rsidRDefault="00313159">
      <w:pPr>
        <w:rPr>
          <w:rStyle w:val="fontstyle01"/>
          <w:b w:val="0"/>
        </w:rPr>
      </w:pPr>
    </w:p>
    <w:p w:rsidR="00313159" w:rsidRPr="00EC5E83" w:rsidRDefault="00313159">
      <w:pPr>
        <w:rPr>
          <w:rStyle w:val="fontstyle01"/>
          <w:b w:val="0"/>
        </w:rPr>
      </w:pPr>
      <w:r w:rsidRPr="00EC5E83">
        <w:rPr>
          <w:rStyle w:val="fontstyle01"/>
          <w:b w:val="0"/>
        </w:rPr>
        <w:t>alpha (%)</w:t>
      </w:r>
    </w:p>
    <w:p w:rsidR="00FC1685" w:rsidRPr="00EC5E83" w:rsidRDefault="00FC1685">
      <w:pPr>
        <w:rPr>
          <w:rStyle w:val="fontstyle01"/>
          <w:b w:val="0"/>
        </w:rPr>
      </w:pPr>
      <w:r w:rsidRPr="00EC5E83">
        <w:rPr>
          <w:rStyle w:val="fontstyle01"/>
          <w:b w:val="0"/>
        </w:rPr>
        <w:t xml:space="preserve">It </w:t>
      </w:r>
      <w:r w:rsidRPr="00EC5E83">
        <w:rPr>
          <w:rFonts w:ascii="Arial" w:hAnsi="Arial" w:cs="Arial"/>
          <w:color w:val="111111"/>
          <w:sz w:val="24"/>
          <w:szCs w:val="24"/>
          <w:shd w:val="clear" w:color="auto" w:fill="FFFFFF"/>
        </w:rPr>
        <w:t>used in investing to describe a strategy's ability to beat the market, or it's "edge." Alpha is thus also often referred to as “</w:t>
      </w:r>
      <w:hyperlink r:id="rId6" w:history="1">
        <w:r w:rsidRPr="00EC5E83">
          <w:rPr>
            <w:rStyle w:val="Hyperlink"/>
            <w:rFonts w:ascii="Arial" w:hAnsi="Arial" w:cs="Arial"/>
            <w:color w:val="2C40D0"/>
            <w:sz w:val="24"/>
            <w:szCs w:val="24"/>
            <w:shd w:val="clear" w:color="auto" w:fill="FFFFFF"/>
          </w:rPr>
          <w:t>excess return</w:t>
        </w:r>
      </w:hyperlink>
      <w:r w:rsidRPr="00EC5E83">
        <w:rPr>
          <w:rFonts w:ascii="Arial" w:hAnsi="Arial" w:cs="Arial"/>
          <w:color w:val="111111"/>
          <w:sz w:val="24"/>
          <w:szCs w:val="24"/>
          <w:shd w:val="clear" w:color="auto" w:fill="FFFFFF"/>
        </w:rPr>
        <w:t>” or “</w:t>
      </w:r>
      <w:hyperlink r:id="rId7" w:history="1">
        <w:r w:rsidRPr="00EC5E83">
          <w:rPr>
            <w:rStyle w:val="Hyperlink"/>
            <w:rFonts w:ascii="Arial" w:hAnsi="Arial" w:cs="Arial"/>
            <w:color w:val="2C40D0"/>
            <w:sz w:val="24"/>
            <w:szCs w:val="24"/>
            <w:shd w:val="clear" w:color="auto" w:fill="FFFFFF"/>
          </w:rPr>
          <w:t>abnormal rate of return</w:t>
        </w:r>
      </w:hyperlink>
      <w:r w:rsidRPr="00EC5E83">
        <w:rPr>
          <w:rFonts w:ascii="Arial" w:hAnsi="Arial" w:cs="Arial"/>
          <w:color w:val="111111"/>
          <w:sz w:val="24"/>
          <w:szCs w:val="24"/>
          <w:shd w:val="clear" w:color="auto" w:fill="FFFFFF"/>
        </w:rPr>
        <w:t>,” which refers to the idea that markets are efficient, and so there is no way to systematically earn returns that exceed the broad market as a whole.</w:t>
      </w:r>
    </w:p>
    <w:p w:rsidR="00313159" w:rsidRPr="00EC5E83" w:rsidRDefault="00313159">
      <w:pPr>
        <w:rPr>
          <w:rStyle w:val="fontstyle01"/>
          <w:b w:val="0"/>
        </w:rPr>
      </w:pPr>
    </w:p>
    <w:p w:rsidR="00313159" w:rsidRPr="00EC5E83" w:rsidRDefault="00313159">
      <w:pPr>
        <w:rPr>
          <w:rStyle w:val="fontstyle01"/>
          <w:b w:val="0"/>
        </w:rPr>
      </w:pPr>
      <w:r w:rsidRPr="00EC5E83">
        <w:rPr>
          <w:rStyle w:val="fontstyle01"/>
          <w:b w:val="0"/>
        </w:rPr>
        <w:t>beta (%)</w:t>
      </w:r>
    </w:p>
    <w:p w:rsidR="00FC1685" w:rsidRPr="00EC5E83" w:rsidRDefault="00900B8C">
      <w:pPr>
        <w:rPr>
          <w:rStyle w:val="fontstyle01"/>
          <w:b w:val="0"/>
        </w:rPr>
      </w:pPr>
      <w:hyperlink r:id="rId8" w:history="1">
        <w:r w:rsidR="00FC1685" w:rsidRPr="00EC5E83">
          <w:rPr>
            <w:rStyle w:val="Hyperlink"/>
            <w:rFonts w:ascii="Arial" w:hAnsi="Arial" w:cs="Arial"/>
            <w:color w:val="2C40D0"/>
            <w:sz w:val="24"/>
            <w:szCs w:val="24"/>
            <w:shd w:val="clear" w:color="auto" w:fill="FFFFFF"/>
          </w:rPr>
          <w:t>Beta</w:t>
        </w:r>
      </w:hyperlink>
      <w:r w:rsidR="00FC1685" w:rsidRPr="00EC5E83">
        <w:rPr>
          <w:rFonts w:ascii="Arial" w:hAnsi="Arial" w:cs="Arial"/>
          <w:color w:val="111111"/>
          <w:sz w:val="24"/>
          <w:szCs w:val="24"/>
          <w:shd w:val="clear" w:color="auto" w:fill="FFFFFF"/>
        </w:rPr>
        <w:t> is a measure of a stock's </w:t>
      </w:r>
      <w:hyperlink r:id="rId9" w:history="1">
        <w:r w:rsidR="00FC1685" w:rsidRPr="00EC5E83">
          <w:rPr>
            <w:rStyle w:val="Hyperlink"/>
            <w:rFonts w:ascii="Arial" w:hAnsi="Arial" w:cs="Arial"/>
            <w:color w:val="2C40D0"/>
            <w:sz w:val="24"/>
            <w:szCs w:val="24"/>
            <w:shd w:val="clear" w:color="auto" w:fill="FFFFFF"/>
          </w:rPr>
          <w:t>volatility</w:t>
        </w:r>
      </w:hyperlink>
      <w:r w:rsidR="00FC1685" w:rsidRPr="00EC5E83">
        <w:rPr>
          <w:rFonts w:ascii="Arial" w:hAnsi="Arial" w:cs="Arial"/>
          <w:color w:val="111111"/>
          <w:sz w:val="24"/>
          <w:szCs w:val="24"/>
          <w:shd w:val="clear" w:color="auto" w:fill="FFFFFF"/>
        </w:rPr>
        <w:t> in relation to the market. By definition, the market has a beta of 1.0, and individual stocks are ranked according to how much they deviate from the market. A stock that swings more than the market over time has a beta above 1.0</w:t>
      </w:r>
    </w:p>
    <w:p w:rsidR="00313159" w:rsidRPr="00EC5E83" w:rsidRDefault="00313159">
      <w:pPr>
        <w:rPr>
          <w:rStyle w:val="fontstyle01"/>
          <w:b w:val="0"/>
        </w:rPr>
      </w:pPr>
    </w:p>
    <w:p w:rsidR="00313159" w:rsidRPr="00EC5E83" w:rsidRDefault="00313159">
      <w:pPr>
        <w:rPr>
          <w:rStyle w:val="fontstyle01"/>
          <w:b w:val="0"/>
        </w:rPr>
      </w:pPr>
    </w:p>
    <w:p w:rsidR="00FC1685" w:rsidRPr="00EC5E83" w:rsidRDefault="00313159">
      <w:pPr>
        <w:rPr>
          <w:rStyle w:val="fontstyle01"/>
          <w:b w:val="0"/>
        </w:rPr>
      </w:pPr>
      <w:r w:rsidRPr="00EC5E83">
        <w:rPr>
          <w:rStyle w:val="fontstyle01"/>
          <w:b w:val="0"/>
        </w:rPr>
        <w:t>Profit factor</w:t>
      </w:r>
      <w:r w:rsidR="00FC1685" w:rsidRPr="00EC5E83">
        <w:rPr>
          <w:rStyle w:val="fontstyle01"/>
          <w:b w:val="0"/>
        </w:rPr>
        <w:t>:</w:t>
      </w:r>
    </w:p>
    <w:p w:rsidR="00FC1685" w:rsidRPr="00EC5E83" w:rsidRDefault="00FC1685">
      <w:pPr>
        <w:rPr>
          <w:rStyle w:val="fontstyle01"/>
          <w:b w:val="0"/>
        </w:rPr>
      </w:pPr>
      <w:r w:rsidRPr="00EC5E83">
        <w:rPr>
          <w:rFonts w:ascii="Arial" w:hAnsi="Arial" w:cs="Arial"/>
          <w:color w:val="111111"/>
          <w:sz w:val="24"/>
          <w:szCs w:val="24"/>
          <w:shd w:val="clear" w:color="auto" w:fill="FFFFFF"/>
        </w:rPr>
        <w:t>The profit factor is defined as the gross profit divided by the gross loss (including commissions) for the entire trading period. This performance metric relates the amount of profit per unit of risk, with values greater than one indicating a profitable system.</w:t>
      </w:r>
    </w:p>
    <w:p w:rsidR="00313159" w:rsidRPr="00EC5E83" w:rsidRDefault="00313159">
      <w:pPr>
        <w:rPr>
          <w:rStyle w:val="fontstyle01"/>
          <w:b w:val="0"/>
        </w:rPr>
      </w:pPr>
    </w:p>
    <w:p w:rsidR="00900B8C" w:rsidRDefault="00900B8C">
      <w:pPr>
        <w:rPr>
          <w:sz w:val="24"/>
          <w:szCs w:val="24"/>
        </w:rPr>
      </w:pPr>
    </w:p>
    <w:p w:rsidR="00313159" w:rsidRPr="00EC5E83" w:rsidRDefault="00313159">
      <w:pPr>
        <w:rPr>
          <w:sz w:val="24"/>
          <w:szCs w:val="24"/>
        </w:rPr>
      </w:pPr>
      <w:bookmarkStart w:id="0" w:name="_GoBack"/>
      <w:bookmarkEnd w:id="0"/>
      <w:r w:rsidRPr="00EC5E83">
        <w:rPr>
          <w:sz w:val="24"/>
          <w:szCs w:val="24"/>
        </w:rPr>
        <w:lastRenderedPageBreak/>
        <w:t>Cumulative Returns</w:t>
      </w:r>
    </w:p>
    <w:p w:rsidR="00FC1685" w:rsidRPr="00EC5E83" w:rsidRDefault="00FC1685">
      <w:pPr>
        <w:rPr>
          <w:sz w:val="24"/>
          <w:szCs w:val="24"/>
        </w:rPr>
      </w:pPr>
      <w:r w:rsidRPr="00EC5E83">
        <w:rPr>
          <w:rFonts w:ascii="Arial" w:hAnsi="Arial" w:cs="Arial"/>
          <w:color w:val="111111"/>
          <w:sz w:val="24"/>
          <w:szCs w:val="24"/>
          <w:shd w:val="clear" w:color="auto" w:fill="FFFFFF"/>
        </w:rPr>
        <w:t>A cumulative return on an investment is the aggregate amount that the investment has gained or lost over time, independent of the period of time involved</w:t>
      </w:r>
    </w:p>
    <w:p w:rsidR="00313159" w:rsidRPr="00EC5E83" w:rsidRDefault="00313159">
      <w:pPr>
        <w:rPr>
          <w:sz w:val="24"/>
          <w:szCs w:val="24"/>
        </w:rPr>
      </w:pPr>
    </w:p>
    <w:sectPr w:rsidR="00313159" w:rsidRPr="00EC5E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Bold">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KaTeX_Math">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5700EA"/>
    <w:multiLevelType w:val="multilevel"/>
    <w:tmpl w:val="9864C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159"/>
    <w:rsid w:val="00313159"/>
    <w:rsid w:val="00900B8C"/>
    <w:rsid w:val="00E632A1"/>
    <w:rsid w:val="00EC5E83"/>
    <w:rsid w:val="00FC16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C67DF"/>
  <w15:chartTrackingRefBased/>
  <w15:docId w15:val="{F8269A7F-54FD-4122-B01B-C8E1534D3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13159"/>
    <w:rPr>
      <w:color w:val="0000FF"/>
      <w:u w:val="single"/>
    </w:rPr>
  </w:style>
  <w:style w:type="character" w:customStyle="1" w:styleId="fontstyle01">
    <w:name w:val="fontstyle01"/>
    <w:basedOn w:val="DefaultParagraphFont"/>
    <w:rsid w:val="00313159"/>
    <w:rPr>
      <w:rFonts w:ascii="Calibri-Bold" w:hAnsi="Calibri-Bold" w:hint="default"/>
      <w:b/>
      <w:bCs/>
      <w:i w:val="0"/>
      <w:iCs w:val="0"/>
      <w:color w:val="000000"/>
      <w:sz w:val="24"/>
      <w:szCs w:val="24"/>
    </w:rPr>
  </w:style>
  <w:style w:type="character" w:customStyle="1" w:styleId="mord">
    <w:name w:val="mord"/>
    <w:basedOn w:val="DefaultParagraphFont"/>
    <w:rsid w:val="00FC1685"/>
  </w:style>
  <w:style w:type="character" w:customStyle="1" w:styleId="mrel">
    <w:name w:val="mrel"/>
    <w:basedOn w:val="DefaultParagraphFont"/>
    <w:rsid w:val="00FC1685"/>
  </w:style>
  <w:style w:type="character" w:customStyle="1" w:styleId="vlist-s">
    <w:name w:val="vlist-s"/>
    <w:basedOn w:val="DefaultParagraphFont"/>
    <w:rsid w:val="00FC1685"/>
  </w:style>
  <w:style w:type="character" w:customStyle="1" w:styleId="mbin">
    <w:name w:val="mbin"/>
    <w:basedOn w:val="DefaultParagraphFont"/>
    <w:rsid w:val="00FC16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473668">
      <w:bodyDiv w:val="1"/>
      <w:marLeft w:val="0"/>
      <w:marRight w:val="0"/>
      <w:marTop w:val="0"/>
      <w:marBottom w:val="0"/>
      <w:divBdr>
        <w:top w:val="none" w:sz="0" w:space="0" w:color="auto"/>
        <w:left w:val="none" w:sz="0" w:space="0" w:color="auto"/>
        <w:bottom w:val="none" w:sz="0" w:space="0" w:color="auto"/>
        <w:right w:val="none" w:sz="0" w:space="0" w:color="auto"/>
      </w:divBdr>
    </w:div>
    <w:div w:id="797525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vestopedia.com/ask/answers/070615/what-formula-calculating-beta.asp" TargetMode="External"/><Relationship Id="rId3" Type="http://schemas.openxmlformats.org/officeDocument/2006/relationships/settings" Target="settings.xml"/><Relationship Id="rId7" Type="http://schemas.openxmlformats.org/officeDocument/2006/relationships/hyperlink" Target="https://www.investopedia.com/terms/a/abnormalreturn.a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vestopedia.com/terms/e/excessreturn.asp" TargetMode="External"/><Relationship Id="rId11" Type="http://schemas.openxmlformats.org/officeDocument/2006/relationships/theme" Target="theme/theme1.xml"/><Relationship Id="rId5" Type="http://schemas.openxmlformats.org/officeDocument/2006/relationships/hyperlink" Target="https://www.investopedia.com/terms/s/security.asp"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investopedia.com/terms/v/volatility.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495</Words>
  <Characters>2823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Globallogic</Company>
  <LinksUpToDate>false</LinksUpToDate>
  <CharactersWithSpaces>3312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sushil.dubey1</dc:creator>
  <cp:keywords/>
  <dc:description/>
  <cp:lastModifiedBy>sushil.dubey1</cp:lastModifiedBy>
  <cp:revision>3</cp:revision>
  <dcterms:created xsi:type="dcterms:W3CDTF">2019-11-04T05:27:00Z</dcterms:created>
  <dcterms:modified xsi:type="dcterms:W3CDTF">2019-11-04T08:03:00Z</dcterms:modified>
</cp:coreProperties>
</file>