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160"/>
      </w:pPr>
      <w:r>
        <w:rPr>
          <w:rFonts w:ascii="Arial" w:hAnsi="Arial"/>
          <w:b/>
          <w:i w:val="0"/>
          <w:color w:val="000000"/>
          <w:sz w:val="50"/>
        </w:rPr>
        <w:t>IP SAKTI USP and Strategy Guide</w:t>
      </w:r>
    </w:p>
    <w:p>
      <w:pPr>
        <w:spacing w:after="440"/>
      </w:pPr>
      <w:r>
        <w:rPr>
          <w:rFonts w:ascii="Arial" w:hAnsi="Arial"/>
          <w:b w:val="0"/>
          <w:i w:val="0"/>
          <w:color w:val="546E7A"/>
          <w:sz w:val="24"/>
        </w:rPr>
        <w:t>A structured guide for teachers, mentors, and team members</w:t>
      </w:r>
    </w:p>
    <w:p>
      <w:pPr>
        <w:keepNext/>
        <w:spacing w:before="120" w:after="40"/>
      </w:pPr>
      <w:r>
        <w:rPr>
          <w:rFonts w:ascii="Arial" w:hAnsi="Arial"/>
          <w:b/>
          <w:i w:val="0"/>
          <w:color w:val="0F766E"/>
          <w:sz w:val="16"/>
        </w:rPr>
        <w:t>PROJECT</w:t>
      </w:r>
    </w:p>
    <w:p>
      <w:pPr>
        <w:spacing w:after="240" w:line="259" w:lineRule="auto"/>
      </w:pPr>
      <w:r>
        <w:rPr>
          <w:rFonts w:ascii="Arial" w:hAnsi="Arial"/>
          <w:b w:val="0"/>
          <w:i w:val="0"/>
          <w:color w:val="263238"/>
          <w:sz w:val="21"/>
        </w:rPr>
        <w:t>IP-SAKTI Sahayak — a multilingual, source-cited guide for Ayurvedic intellectual property, regulation, and biodiversity questions.</w:t>
      </w:r>
    </w:p>
    <w:p>
      <w:pPr>
        <w:keepNext/>
        <w:spacing w:before="120" w:after="40"/>
      </w:pPr>
      <w:r>
        <w:rPr>
          <w:rFonts w:ascii="Arial" w:hAnsi="Arial"/>
          <w:b/>
          <w:i w:val="0"/>
          <w:color w:val="0F766E"/>
          <w:sz w:val="16"/>
        </w:rPr>
        <w:t>CORE MESSAGE</w:t>
      </w:r>
    </w:p>
    <w:p>
      <w:pPr>
        <w:spacing w:after="240" w:line="259" w:lineRule="auto"/>
      </w:pPr>
      <w:r>
        <w:rPr>
          <w:rFonts w:ascii="Arial" w:hAnsi="Arial"/>
          <w:b/>
          <w:i w:val="0"/>
          <w:color w:val="263238"/>
          <w:sz w:val="21"/>
        </w:rPr>
        <w:t>IP-SAKTI helps</w:t>
      </w:r>
      <w:r>
        <w:rPr>
          <w:rFonts w:ascii="Arial" w:hAnsi="Arial"/>
          <w:b w:val="0"/>
          <w:i w:val="0"/>
          <w:color w:val="263238"/>
          <w:sz w:val="21"/>
        </w:rPr>
        <w:t xml:space="preserve"> an Ayurveda innovator understand what they own, what they owe, and what the law says today.</w:t>
      </w:r>
    </w:p>
    <w:p>
      <w:pPr>
        <w:keepNext/>
        <w:spacing w:before="120" w:after="40"/>
      </w:pPr>
      <w:r>
        <w:rPr>
          <w:rFonts w:ascii="Arial" w:hAnsi="Arial"/>
          <w:b/>
          <w:i w:val="0"/>
          <w:color w:val="0F766E"/>
          <w:sz w:val="16"/>
        </w:rPr>
        <w:t>WHAT THIS GUIDE DOES</w:t>
      </w:r>
    </w:p>
    <w:p>
      <w:pPr>
        <w:spacing w:after="400" w:line="259" w:lineRule="auto"/>
      </w:pPr>
      <w:r>
        <w:rPr>
          <w:rFonts w:ascii="Arial" w:hAnsi="Arial"/>
          <w:b w:val="0"/>
          <w:i w:val="0"/>
          <w:color w:val="263238"/>
          <w:sz w:val="21"/>
        </w:rPr>
        <w:t>This document combines the one-page concept and the strategy note into one practical reference. It explains the problem, the solution, the real differentiators, the planned demo, and the work that should be prioritised.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96"/>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Problem</w:t>
            </w:r>
          </w:p>
        </w:tc>
        <w:tc>
          <w:tcPr>
            <w:tcW w:type="dxa" w:w="3096"/>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Solution</w:t>
            </w:r>
          </w:p>
        </w:tc>
        <w:tc>
          <w:tcPr>
            <w:tcW w:type="dxa" w:w="3096"/>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USP</w:t>
            </w:r>
          </w:p>
        </w:tc>
      </w:tr>
      <w:tr>
        <w:tc>
          <w:tcPr>
            <w:tcW w:type="dxa" w:w="309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Ayurveda products sit across several changing legal regimes, while information is fragmented and difficult to interpret.</w:t>
            </w:r>
          </w:p>
        </w:tc>
        <w:tc>
          <w:tcPr>
            <w:tcW w:type="dxa" w:w="309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 guided assistant classifies the product, retrieves dated sources, applies deterministic rules, and produces a one-page Protection Map.</w:t>
            </w:r>
          </w:p>
        </w:tc>
        <w:tc>
          <w:tcPr>
            <w:tcW w:type="dxa" w:w="309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Shastra-Anchor provides a lawful, explainable classical-formulation prior-art pointer; Kaal-Sakshi makes citations time-aware and verifiable.</w:t>
            </w:r>
          </w:p>
        </w:tc>
      </w:tr>
    </w:tbl>
    <w:p>
      <w:pPr>
        <w:spacing w:after="20"/>
      </w:pPr>
    </w:p>
    <w:p>
      <w:pPr>
        <w:spacing w:after="0" w:line="259" w:lineRule="auto"/>
      </w:pPr>
      <w:r>
        <w:rPr>
          <w:rFonts w:ascii="Arial" w:hAnsi="Arial"/>
          <w:b w:val="0"/>
          <w:i/>
          <w:color w:val="263238"/>
          <w:sz w:val="21"/>
        </w:rPr>
        <w:t>Audience: Teachers and mentors need the big picture and feasibility. Teammates need clear scope, ownership, and build priorities.</w:t>
      </w:r>
    </w:p>
    <w:p>
      <w:r>
        <w:br w:type="page"/>
      </w:r>
    </w:p>
    <w:p>
      <w:pPr>
        <w:pStyle w:val="Heading1"/>
        <w:keepNext/>
        <w:spacing w:before="240" w:after="100"/>
      </w:pPr>
      <w:r>
        <w:rPr>
          <w:rFonts w:ascii="Arial" w:hAnsi="Arial"/>
          <w:b/>
          <w:i w:val="0"/>
          <w:color w:val="000000"/>
          <w:sz w:val="30"/>
        </w:rPr>
        <w:t>1. The Problem We Are Solving</w:t>
      </w:r>
    </w:p>
    <w:p>
      <w:pPr>
        <w:spacing w:after="100" w:line="259" w:lineRule="auto"/>
      </w:pPr>
      <w:r>
        <w:rPr>
          <w:rFonts w:ascii="Arial" w:hAnsi="Arial"/>
          <w:b w:val="0"/>
          <w:i w:val="0"/>
          <w:color w:val="263238"/>
          <w:sz w:val="21"/>
        </w:rPr>
        <w:t>An Ayurvedic product can trigger several legal questions at the same time. The person creating it must understand medicine regulation, patents, traditional knowledge, biodiversity, branding, and advertising. These systems use different terminology, are spread across different authorities, and can change over time.</w:t>
      </w:r>
    </w:p>
    <w:p>
      <w:pPr>
        <w:pStyle w:val="Heading2"/>
        <w:keepNext/>
        <w:spacing w:before="160" w:after="60"/>
      </w:pPr>
      <w:r>
        <w:rPr>
          <w:rFonts w:ascii="Arial" w:hAnsi="Arial"/>
          <w:b/>
          <w:i w:val="0"/>
          <w:color w:val="000000"/>
          <w:sz w:val="23"/>
        </w:rPr>
        <w:t>The central user problem</w:t>
      </w:r>
    </w:p>
    <w:p>
      <w:pPr>
        <w:pStyle w:val="ListBullet"/>
        <w:spacing w:after="50" w:line="252" w:lineRule="auto"/>
        <w:ind w:left="360" w:hanging="202"/>
      </w:pPr>
      <w:r>
        <w:rPr>
          <w:rFonts w:ascii="Arial" w:hAnsi="Arial"/>
          <w:b w:val="0"/>
          <w:i w:val="0"/>
          <w:color w:val="263238"/>
          <w:sz w:val="20"/>
        </w:rPr>
        <w:t>Innovators do not know whether a formulation is classical, modified, or proprietary, and therefore do not know what protection is realistic.</w:t>
      </w:r>
    </w:p>
    <w:p>
      <w:pPr>
        <w:pStyle w:val="ListBullet"/>
        <w:spacing w:after="50" w:line="252" w:lineRule="auto"/>
        <w:ind w:left="360" w:hanging="202"/>
      </w:pPr>
      <w:r>
        <w:rPr>
          <w:rFonts w:ascii="Arial" w:hAnsi="Arial"/>
          <w:b w:val="0"/>
          <w:i w:val="0"/>
          <w:color w:val="263238"/>
          <w:sz w:val="20"/>
        </w:rPr>
        <w:t>Traditional knowledge can be exposed to misappropriation or wrongful patent claims when prior art is difficult to locate.</w:t>
      </w:r>
    </w:p>
    <w:p>
      <w:pPr>
        <w:pStyle w:val="ListBullet"/>
        <w:spacing w:after="50" w:line="252" w:lineRule="auto"/>
        <w:ind w:left="360" w:hanging="202"/>
      </w:pPr>
      <w:r>
        <w:rPr>
          <w:rFonts w:ascii="Arial" w:hAnsi="Arial"/>
          <w:b w:val="0"/>
          <w:i w:val="0"/>
          <w:color w:val="263238"/>
          <w:sz w:val="20"/>
        </w:rPr>
        <w:t>Startups confuse patent protection with licensing, trademarks, geographical indications, designs, and biodiversity permissions.</w:t>
      </w:r>
    </w:p>
    <w:p>
      <w:pPr>
        <w:pStyle w:val="ListBullet"/>
        <w:spacing w:after="50" w:line="252" w:lineRule="auto"/>
        <w:ind w:left="360" w:hanging="202"/>
      </w:pPr>
      <w:r>
        <w:rPr>
          <w:rFonts w:ascii="Arial" w:hAnsi="Arial"/>
          <w:b w:val="0"/>
          <w:i w:val="0"/>
          <w:color w:val="263238"/>
          <w:sz w:val="20"/>
        </w:rPr>
        <w:t>Researchers may publish before filing and lose novelty; cultivators and communities may not understand benefit-sharing obligations.</w:t>
      </w:r>
    </w:p>
    <w:p>
      <w:pPr>
        <w:pStyle w:val="ListBullet"/>
        <w:spacing w:after="50" w:line="252" w:lineRule="auto"/>
        <w:ind w:left="360" w:hanging="202"/>
      </w:pPr>
      <w:r>
        <w:rPr>
          <w:rFonts w:ascii="Arial" w:hAnsi="Arial"/>
          <w:b w:val="0"/>
          <w:i w:val="0"/>
          <w:color w:val="263238"/>
          <w:sz w:val="20"/>
        </w:rPr>
        <w:t>Most relevant information is complex, scattered, English-heavy, and difficult to verify without legal or regulatory expertise.</w:t>
      </w:r>
    </w:p>
    <w:p>
      <w:pPr>
        <w:pStyle w:val="ListBullet"/>
        <w:spacing w:after="50" w:line="252" w:lineRule="auto"/>
        <w:ind w:left="360" w:hanging="202"/>
      </w:pPr>
      <w:r>
        <w:rPr>
          <w:rFonts w:ascii="Arial" w:hAnsi="Arial"/>
          <w:b w:val="0"/>
          <w:i w:val="0"/>
          <w:color w:val="263238"/>
          <w:sz w:val="20"/>
        </w:rPr>
        <w:t>A confident but outdated answer is dangerous because rules, notifications, and treaty status can change.</w:t>
      </w:r>
    </w:p>
    <w:p>
      <w:pPr>
        <w:pStyle w:val="Heading2"/>
        <w:keepNext/>
        <w:spacing w:before="160" w:after="60"/>
      </w:pPr>
      <w:r>
        <w:rPr>
          <w:rFonts w:ascii="Arial" w:hAnsi="Arial"/>
          <w:b/>
          <w:i w:val="0"/>
          <w:color w:val="000000"/>
          <w:sz w:val="23"/>
        </w:rPr>
        <w:t>Who is affected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User group</w:t>
            </w:r>
          </w:p>
        </w:tc>
        <w:tc>
          <w:tcPr>
            <w:tcW w:type="dxa" w:w="640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Main need</w:t>
            </w:r>
          </w:p>
        </w:tc>
      </w:tr>
      <w:tr>
        <w:tc>
          <w:tcPr>
            <w:tcW w:type="dxa" w:w="28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AYUSH startups and MSMEs</w:t>
            </w:r>
          </w:p>
        </w:tc>
        <w:tc>
          <w:tcPr>
            <w:tcW w:type="dxa" w:w="640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 practical first view of licensing, IP protection, ABS, and advertising obligations.</w:t>
            </w:r>
          </w:p>
        </w:tc>
      </w:tr>
      <w:tr>
        <w:tc>
          <w:tcPr>
            <w:tcW w:type="dxa" w:w="28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Vaidyas and practitioners</w:t>
            </w:r>
          </w:p>
        </w:tc>
        <w:tc>
          <w:tcPr>
            <w:tcW w:type="dxa" w:w="640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Understand whether a formulation is classical or proprietary and what can be protected.</w:t>
            </w:r>
          </w:p>
        </w:tc>
      </w:tr>
      <w:tr>
        <w:tc>
          <w:tcPr>
            <w:tcW w:type="dxa" w:w="28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Researchers and universities</w:t>
            </w:r>
          </w:p>
        </w:tc>
        <w:tc>
          <w:tcPr>
            <w:tcW w:type="dxa" w:w="640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Check prior art, disclosure timing, biological-resource obligations, and filing readiness.</w:t>
            </w:r>
          </w:p>
        </w:tc>
      </w:tr>
      <w:tr>
        <w:tc>
          <w:tcPr>
            <w:tcW w:type="dxa" w:w="28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Cultivators and knowledge holders</w:t>
            </w:r>
          </w:p>
        </w:tc>
        <w:tc>
          <w:tcPr>
            <w:tcW w:type="dxa" w:w="640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Understand rights, benefit sharing, and the relevance of traditional knowledge.</w:t>
            </w:r>
          </w:p>
        </w:tc>
      </w:tr>
      <w:tr>
        <w:tc>
          <w:tcPr>
            <w:tcW w:type="dxa" w:w="28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IP facilitators and mentors</w:t>
            </w:r>
          </w:p>
        </w:tc>
        <w:tc>
          <w:tcPr>
            <w:tcW w:type="dxa" w:w="640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Quick, traceable cross-references for advising applicants.</w:t>
            </w:r>
          </w:p>
        </w:tc>
      </w:tr>
    </w:tbl>
    <w:p>
      <w:pPr>
        <w:spacing w:after="20"/>
      </w:pPr>
    </w:p>
    <w:p>
      <w:pPr>
        <w:pStyle w:val="Heading2"/>
        <w:keepNext/>
        <w:spacing w:before="160" w:after="60"/>
      </w:pPr>
      <w:r>
        <w:rPr>
          <w:rFonts w:ascii="Arial" w:hAnsi="Arial"/>
          <w:b/>
          <w:i w:val="0"/>
          <w:color w:val="000000"/>
          <w:sz w:val="23"/>
        </w:rPr>
        <w:t>Why current options are not enough</w:t>
      </w:r>
    </w:p>
    <w:p>
      <w:pPr>
        <w:pStyle w:val="ListBullet"/>
        <w:spacing w:after="50" w:line="252" w:lineRule="auto"/>
        <w:ind w:left="360" w:hanging="202"/>
      </w:pPr>
      <w:r>
        <w:rPr>
          <w:rFonts w:ascii="Arial" w:hAnsi="Arial"/>
          <w:b w:val="0"/>
          <w:i w:val="0"/>
          <w:color w:val="263238"/>
          <w:sz w:val="20"/>
        </w:rPr>
        <w:t>Official portals are valuable but fragmented and usually provide documents rather than a guided decision path.</w:t>
      </w:r>
    </w:p>
    <w:p>
      <w:pPr>
        <w:pStyle w:val="ListBullet"/>
        <w:spacing w:after="50" w:line="252" w:lineRule="auto"/>
        <w:ind w:left="360" w:hanging="202"/>
      </w:pPr>
      <w:r>
        <w:rPr>
          <w:rFonts w:ascii="Arial" w:hAnsi="Arial"/>
          <w:b w:val="0"/>
          <w:i w:val="0"/>
          <w:color w:val="263238"/>
          <w:sz w:val="20"/>
        </w:rPr>
        <w:t>TKDL is not a freely searchable public database; it cannot be presented as an open, integrated search feature without the correct access arrangement.</w:t>
      </w:r>
    </w:p>
    <w:p>
      <w:pPr>
        <w:pStyle w:val="ListBullet"/>
        <w:spacing w:after="50" w:line="252" w:lineRule="auto"/>
        <w:ind w:left="360" w:hanging="202"/>
      </w:pPr>
      <w:r>
        <w:rPr>
          <w:rFonts w:ascii="Arial" w:hAnsi="Arial"/>
          <w:b w:val="0"/>
          <w:i w:val="0"/>
          <w:color w:val="263238"/>
          <w:sz w:val="20"/>
        </w:rPr>
        <w:t>Generic legal chatbots are not Ayurveda-specific and may hallucinate citations or mix jurisdictions.</w:t>
      </w:r>
    </w:p>
    <w:p>
      <w:pPr>
        <w:pStyle w:val="ListBullet"/>
        <w:spacing w:after="50" w:line="252" w:lineRule="auto"/>
        <w:ind w:left="360" w:hanging="202"/>
      </w:pPr>
      <w:r>
        <w:rPr>
          <w:rFonts w:ascii="Arial" w:hAnsi="Arial"/>
          <w:b w:val="0"/>
          <w:i w:val="0"/>
          <w:color w:val="263238"/>
          <w:sz w:val="20"/>
        </w:rPr>
        <w:t>Human facilitation is important but can be slow, costly, and difficult to scale.</w:t>
      </w:r>
    </w:p>
    <w:p>
      <w:pPr>
        <w:pStyle w:val="Heading1"/>
        <w:keepNext/>
        <w:spacing w:before="240" w:after="100"/>
      </w:pPr>
      <w:r>
        <w:rPr>
          <w:rFonts w:ascii="Arial" w:hAnsi="Arial"/>
          <w:b/>
          <w:i w:val="0"/>
          <w:color w:val="000000"/>
          <w:sz w:val="30"/>
        </w:rPr>
        <w:t>2. Our Proposed Solution</w:t>
      </w:r>
    </w:p>
    <w:p>
      <w:pPr>
        <w:spacing w:after="100" w:line="259" w:lineRule="auto"/>
      </w:pPr>
      <w:r>
        <w:rPr>
          <w:rFonts w:ascii="Arial" w:hAnsi="Arial"/>
          <w:b w:val="0"/>
          <w:i w:val="0"/>
          <w:color w:val="263238"/>
          <w:sz w:val="21"/>
        </w:rPr>
        <w:t>IP-SAKTI Sahayak is a multilingual, source-cited guidance platform that turns a founder's or practitioner's description into a structured, auditable protection and compliance view. It is an information and triage tool, not a replacement for a qualified IP professional.</w:t>
      </w:r>
    </w:p>
    <w:p>
      <w:pPr>
        <w:pStyle w:val="Heading2"/>
        <w:keepNext/>
        <w:spacing w:before="160" w:after="60"/>
      </w:pPr>
      <w:r>
        <w:rPr>
          <w:rFonts w:ascii="Arial" w:hAnsi="Arial"/>
          <w:b/>
          <w:i w:val="0"/>
          <w:color w:val="000000"/>
          <w:sz w:val="23"/>
        </w:rPr>
        <w:t>How the user journey works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72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Step</w:t>
            </w:r>
          </w:p>
        </w:tc>
        <w:tc>
          <w:tcPr>
            <w:tcW w:type="dxa" w:w="7560"/>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What happens</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1. Describe</w:t>
            </w:r>
          </w:p>
        </w:tc>
        <w:tc>
          <w:tcPr>
            <w:tcW w:type="dxa" w:w="756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The user describes the ingredients, process, product type, intended claims, language, and relevant business context.</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2. Structure</w:t>
            </w:r>
          </w:p>
        </w:tc>
        <w:tc>
          <w:tcPr>
            <w:tcW w:type="dxa" w:w="756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The input is converted into a structured fact sheet; the user confirms important ingredients and assumptions.</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3. Classify</w:t>
            </w:r>
          </w:p>
        </w:tc>
        <w:tc>
          <w:tcPr>
            <w:tcW w:type="dxa" w:w="756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 deterministic rule path distinguishes classical, modified/proprietary, and food or nutraceutical possibilities.</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4. Retrieve</w:t>
            </w:r>
          </w:p>
        </w:tc>
        <w:tc>
          <w:tcPr>
            <w:tcW w:type="dxa" w:w="756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The system searches the relevant legal and classical-formulation sources using jurisdiction, date, and status filters.</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5. Check</w:t>
            </w:r>
          </w:p>
        </w:tc>
        <w:tc>
          <w:tcPr>
            <w:tcW w:type="dxa" w:w="756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 citation resolver, rule engine, and abstention layer prevent unsupported or out-of-date claims from being presented as facts.</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6. Explain</w:t>
            </w:r>
          </w:p>
        </w:tc>
        <w:tc>
          <w:tcPr>
            <w:tcW w:type="dxa" w:w="756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The user receives a one-page Protection Map, relevant formulation matches, source references, dates, and next steps.</w:t>
            </w:r>
          </w:p>
        </w:tc>
      </w:tr>
    </w:tbl>
    <w:p>
      <w:pPr>
        <w:spacing w:after="20"/>
      </w:pPr>
    </w:p>
    <w:p>
      <w:pPr>
        <w:pStyle w:val="Heading2"/>
        <w:keepNext/>
        <w:spacing w:before="160" w:after="60"/>
      </w:pPr>
      <w:r>
        <w:rPr>
          <w:rFonts w:ascii="Arial" w:hAnsi="Arial"/>
          <w:b/>
          <w:i w:val="0"/>
          <w:color w:val="000000"/>
          <w:sz w:val="23"/>
        </w:rPr>
        <w:t>What the output should answer</w:t>
      </w:r>
    </w:p>
    <w:p>
      <w:pPr>
        <w:pStyle w:val="ListBullet"/>
        <w:spacing w:after="50" w:line="252" w:lineRule="auto"/>
        <w:ind w:left="360" w:hanging="202"/>
      </w:pPr>
      <w:r>
        <w:rPr>
          <w:rFonts w:ascii="Arial" w:hAnsi="Arial"/>
          <w:b w:val="0"/>
          <w:i w:val="0"/>
          <w:color w:val="263238"/>
          <w:sz w:val="20"/>
        </w:rPr>
        <w:t>What is the likely product or formulation category?</w:t>
      </w:r>
    </w:p>
    <w:p>
      <w:pPr>
        <w:pStyle w:val="ListBullet"/>
        <w:spacing w:after="50" w:line="252" w:lineRule="auto"/>
        <w:ind w:left="360" w:hanging="202"/>
      </w:pPr>
      <w:r>
        <w:rPr>
          <w:rFonts w:ascii="Arial" w:hAnsi="Arial"/>
          <w:b w:val="0"/>
          <w:i w:val="0"/>
          <w:color w:val="263238"/>
          <w:sz w:val="20"/>
        </w:rPr>
        <w:t>What IP routes may be relevant: patent, trademark, GI, design, trade secret, or defensive traditional-knowledge protection?</w:t>
      </w:r>
    </w:p>
    <w:p>
      <w:pPr>
        <w:pStyle w:val="ListBullet"/>
        <w:spacing w:after="50" w:line="252" w:lineRule="auto"/>
        <w:ind w:left="360" w:hanging="202"/>
      </w:pPr>
      <w:r>
        <w:rPr>
          <w:rFonts w:ascii="Arial" w:hAnsi="Arial"/>
          <w:b w:val="0"/>
          <w:i w:val="0"/>
          <w:color w:val="263238"/>
          <w:sz w:val="20"/>
        </w:rPr>
        <w:t>What licensing, ABS, disclosure, labelling, or advertising questions should be checked?</w:t>
      </w:r>
    </w:p>
    <w:p>
      <w:pPr>
        <w:pStyle w:val="ListBullet"/>
        <w:spacing w:after="50" w:line="252" w:lineRule="auto"/>
        <w:ind w:left="360" w:hanging="202"/>
      </w:pPr>
      <w:r>
        <w:rPr>
          <w:rFonts w:ascii="Arial" w:hAnsi="Arial"/>
          <w:b w:val="0"/>
          <w:i w:val="0"/>
          <w:color w:val="263238"/>
          <w:sz w:val="20"/>
        </w:rPr>
        <w:t>Which source and effective date support each part of the answer?</w:t>
      </w:r>
    </w:p>
    <w:p>
      <w:pPr>
        <w:pStyle w:val="ListBullet"/>
        <w:spacing w:after="50" w:line="252" w:lineRule="auto"/>
        <w:ind w:left="360" w:hanging="202"/>
      </w:pPr>
      <w:r>
        <w:rPr>
          <w:rFonts w:ascii="Arial" w:hAnsi="Arial"/>
          <w:b w:val="0"/>
          <w:i w:val="0"/>
          <w:color w:val="263238"/>
          <w:sz w:val="20"/>
        </w:rPr>
        <w:t>What is missing, uncertain, or serious enough to escalate to a human expert?</w:t>
      </w:r>
    </w:p>
    <w:p>
      <w:pPr>
        <w:pStyle w:val="Heading1"/>
        <w:keepNext/>
        <w:spacing w:before="240" w:after="100"/>
      </w:pPr>
      <w:r>
        <w:rPr>
          <w:rFonts w:ascii="Arial" w:hAnsi="Arial"/>
          <w:b/>
          <w:i w:val="0"/>
          <w:color w:val="000000"/>
          <w:sz w:val="30"/>
        </w:rPr>
        <w:t>3. The Core USP</w:t>
      </w:r>
    </w:p>
    <w:p>
      <w:pPr>
        <w:pStyle w:val="Heading2"/>
        <w:keepNext/>
        <w:spacing w:before="160" w:after="60"/>
      </w:pPr>
      <w:r>
        <w:rPr>
          <w:rFonts w:ascii="Arial" w:hAnsi="Arial"/>
          <w:b/>
          <w:i w:val="0"/>
          <w:color w:val="000000"/>
          <w:sz w:val="23"/>
        </w:rPr>
        <w:t>Shastra-Anchor: the signature innovation</w:t>
      </w:r>
    </w:p>
    <w:p>
      <w:pPr>
        <w:spacing w:after="100" w:line="259" w:lineRule="auto"/>
      </w:pPr>
      <w:r>
        <w:rPr>
          <w:rFonts w:ascii="Arial" w:hAnsi="Arial"/>
          <w:b w:val="0"/>
          <w:i w:val="0"/>
          <w:color w:val="263238"/>
          <w:sz w:val="21"/>
        </w:rPr>
        <w:t>Shastra-Anchor is an explainable classical-formulation fingerprint index. It maps a formulation to canonical ingredients, plant parts, approximate ratios, and process class, then compares it with curated classical formulations from public-domain or appropriately sourced texts.</w:t>
      </w:r>
    </w:p>
    <w:p>
      <w:pPr>
        <w:pStyle w:val="ListBullet"/>
        <w:spacing w:after="50" w:line="252" w:lineRule="auto"/>
        <w:ind w:left="360" w:hanging="202"/>
      </w:pPr>
      <w:r>
        <w:rPr>
          <w:rFonts w:ascii="Arial" w:hAnsi="Arial"/>
          <w:b w:val="0"/>
          <w:i w:val="0"/>
          <w:color w:val="263238"/>
          <w:sz w:val="20"/>
        </w:rPr>
        <w:t>It addresses the real prior-art problem without claiming to provide unrestricted TKDL access.</w:t>
      </w:r>
    </w:p>
    <w:p>
      <w:pPr>
        <w:pStyle w:val="ListBullet"/>
        <w:spacing w:after="50" w:line="252" w:lineRule="auto"/>
        <w:ind w:left="360" w:hanging="202"/>
      </w:pPr>
      <w:r>
        <w:rPr>
          <w:rFonts w:ascii="Arial" w:hAnsi="Arial"/>
          <w:b w:val="0"/>
          <w:i w:val="0"/>
          <w:color w:val="263238"/>
          <w:sz w:val="20"/>
        </w:rPr>
        <w:t>It returns the nearest classical formulation, the source reference, the overlap or difference, and the possible legal consequence.</w:t>
      </w:r>
    </w:p>
    <w:p>
      <w:pPr>
        <w:pStyle w:val="ListBullet"/>
        <w:spacing w:after="50" w:line="252" w:lineRule="auto"/>
        <w:ind w:left="360" w:hanging="202"/>
      </w:pPr>
      <w:r>
        <w:rPr>
          <w:rFonts w:ascii="Arial" w:hAnsi="Arial"/>
          <w:b w:val="0"/>
          <w:i w:val="0"/>
          <w:color w:val="263238"/>
          <w:sz w:val="20"/>
        </w:rPr>
        <w:t>It is Ayurveda-specific because it uses dravya, yoga, kalpana, synonyms, parts, ratios, and process classes as data structures.</w:t>
      </w:r>
    </w:p>
    <w:p>
      <w:pPr>
        <w:pStyle w:val="ListBullet"/>
        <w:spacing w:after="50" w:line="252" w:lineRule="auto"/>
        <w:ind w:left="360" w:hanging="202"/>
      </w:pPr>
      <w:r>
        <w:rPr>
          <w:rFonts w:ascii="Arial" w:hAnsi="Arial"/>
          <w:b w:val="0"/>
          <w:i w:val="0"/>
          <w:color w:val="263238"/>
          <w:sz w:val="20"/>
        </w:rPr>
        <w:t>It is difficult to fake in a live demo because the judge can enter an unseen formulation and inspect the reasoning path.</w:t>
      </w:r>
    </w:p>
    <w:p>
      <w:pPr>
        <w:keepNext/>
        <w:spacing w:before="120" w:after="40"/>
      </w:pPr>
      <w:r>
        <w:rPr>
          <w:rFonts w:ascii="Arial" w:hAnsi="Arial"/>
          <w:b/>
          <w:i w:val="0"/>
          <w:color w:val="0F766E"/>
          <w:sz w:val="16"/>
        </w:rPr>
        <w:t>SIGNATURE PITCH</w:t>
      </w:r>
    </w:p>
    <w:p>
      <w:pPr>
        <w:spacing w:after="160" w:line="259" w:lineRule="auto"/>
      </w:pPr>
      <w:r>
        <w:rPr>
          <w:rFonts w:ascii="Arial" w:hAnsi="Arial"/>
          <w:b w:val="0"/>
          <w:i/>
          <w:color w:val="263238"/>
          <w:sz w:val="21"/>
        </w:rPr>
        <w:t>Every team can promise a traditional-knowledge search. We built a lawful, explainable classical-formulation anchor that shows where a formulation comes from and what that means for its patent, licence, and ABS position.</w:t>
      </w:r>
    </w:p>
    <w:p>
      <w:pPr>
        <w:pStyle w:val="Heading2"/>
        <w:keepNext/>
        <w:spacing w:before="160" w:after="60"/>
      </w:pPr>
      <w:r>
        <w:rPr>
          <w:rFonts w:ascii="Arial" w:hAnsi="Arial"/>
          <w:b/>
          <w:i w:val="0"/>
          <w:color w:val="000000"/>
          <w:sz w:val="23"/>
        </w:rPr>
        <w:t>Supporting USPs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USP</w:t>
            </w:r>
          </w:p>
        </w:tc>
        <w:tc>
          <w:tcPr>
            <w:tcW w:type="dxa" w:w="6840"/>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What it proves</w:t>
            </w:r>
          </w:p>
        </w:tc>
      </w:tr>
      <w:tr>
        <w:tc>
          <w:tcPr>
            <w:tcW w:type="dxa" w:w="244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Kaal-Sakshi</w:t>
            </w:r>
          </w:p>
        </w:tc>
        <w:tc>
          <w:tcPr>
            <w:tcW w:type="dxa" w:w="68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Citations are resolved to dated records with legal-status metadata; the answer changes when the applicable date changes.</w:t>
            </w:r>
          </w:p>
        </w:tc>
      </w:tr>
      <w:tr>
        <w:tc>
          <w:tcPr>
            <w:tcW w:type="dxa" w:w="244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Protection Map</w:t>
            </w:r>
          </w:p>
        </w:tc>
        <w:tc>
          <w:tcPr>
            <w:tcW w:type="dxa" w:w="68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One page combines the user's IP posture, regulatory route, ABS position, naming checks, and open questions.</w:t>
            </w:r>
          </w:p>
        </w:tc>
      </w:tr>
      <w:tr>
        <w:tc>
          <w:tcPr>
            <w:tcW w:type="dxa" w:w="244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Calibrated abstention</w:t>
            </w:r>
          </w:p>
        </w:tc>
        <w:tc>
          <w:tcPr>
            <w:tcW w:type="dxa" w:w="68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The system says it does not know when evidence is missing, stale, or unresolved instead of producing a confident guess.</w:t>
            </w:r>
          </w:p>
        </w:tc>
      </w:tr>
      <w:tr>
        <w:tc>
          <w:tcPr>
            <w:tcW w:type="dxa" w:w="244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Naam-Sanket</w:t>
            </w:r>
          </w:p>
        </w:tc>
        <w:tc>
          <w:tcPr>
            <w:tcW w:type="dxa" w:w="68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A focused pre-search for conflicts across trademarks, GIs, and classical or generic names.</w:t>
            </w:r>
          </w:p>
        </w:tc>
      </w:tr>
    </w:tbl>
    <w:p>
      <w:pPr>
        <w:spacing w:after="20"/>
      </w:pPr>
    </w:p>
    <w:p>
      <w:pPr>
        <w:pStyle w:val="Heading1"/>
        <w:keepNext/>
        <w:spacing w:before="240" w:after="100"/>
      </w:pPr>
      <w:r>
        <w:rPr>
          <w:rFonts w:ascii="Arial" w:hAnsi="Arial"/>
          <w:b/>
          <w:i w:val="0"/>
          <w:color w:val="000000"/>
          <w:sz w:val="30"/>
        </w:rPr>
        <w:t>4. What Is Common and What Is Differentiating</w:t>
      </w:r>
    </w:p>
    <w:p>
      <w:pPr>
        <w:spacing w:after="100" w:line="259" w:lineRule="auto"/>
      </w:pPr>
      <w:r>
        <w:rPr>
          <w:rFonts w:ascii="Arial" w:hAnsi="Arial"/>
          <w:b w:val="0"/>
          <w:i w:val="0"/>
          <w:color w:val="263238"/>
          <w:sz w:val="21"/>
        </w:rPr>
        <w:t>The basic chatbot, jurisdiction toggle, wizard, voice input, disclaimer, escalation form, and audit log are necessary product plumbing. They should be built, but they should not be presented as the main USP.</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Capability</w:t>
            </w:r>
          </w:p>
        </w:tc>
        <w:tc>
          <w:tcPr>
            <w:tcW w:type="dxa" w:w="4680"/>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Role in the product</w:t>
            </w:r>
          </w:p>
        </w:tc>
        <w:tc>
          <w:tcPr>
            <w:tcW w:type="dxa" w:w="208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Pitch position</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RAG Q&amp;A with citations</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Core infrastructure required by the problem statement.</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Do not lead with it.</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India and international toggle</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Prevents jurisdiction mixing; add legal-status metadata to make it stronger.</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Support feature.</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Classification wizard</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Collects the facts needed for deterministic rules.</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Delivery surface.</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Bhashini or voice</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Improves access for multilingual users.</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Build as plumbing.</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Protection Map</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Produces the practical output a founder can act on.</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Differentiate visibly.</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Time-aware citation gate</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Prevents stale or fabricated authority.</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Trust differentiator.</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Shastra-Anchor</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Provides the classical prior-art and classification anchor.</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Lead USP.</w:t>
            </w:r>
          </w:p>
        </w:tc>
      </w:tr>
      <w:tr>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Matchmaking, genome, AI timeline</w:t>
            </w:r>
          </w:p>
        </w:tc>
        <w:tc>
          <w:tcPr>
            <w:tcW w:type="dxa" w:w="468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Interesting visuals without a strong data advantage.</w:t>
            </w:r>
          </w:p>
        </w:tc>
        <w:tc>
          <w:tcPr>
            <w:tcW w:type="dxa" w:w="208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Drop for the prototype.</w:t>
            </w:r>
          </w:p>
        </w:tc>
      </w:tr>
    </w:tbl>
    <w:p>
      <w:pPr>
        <w:spacing w:after="20"/>
      </w:pPr>
    </w:p>
    <w:p>
      <w:pPr>
        <w:pStyle w:val="Heading1"/>
        <w:keepNext/>
        <w:spacing w:before="240" w:after="100"/>
      </w:pPr>
      <w:r>
        <w:rPr>
          <w:rFonts w:ascii="Arial" w:hAnsi="Arial"/>
          <w:b/>
          <w:i w:val="0"/>
          <w:color w:val="000000"/>
          <w:sz w:val="30"/>
        </w:rPr>
        <w:t>5. Product Modules to Prioritise</w:t>
      </w:r>
    </w:p>
    <w:p>
      <w:pPr>
        <w:pStyle w:val="Heading2"/>
        <w:keepNext/>
        <w:spacing w:before="160" w:after="60"/>
      </w:pPr>
      <w:r>
        <w:rPr>
          <w:rFonts w:ascii="Arial" w:hAnsi="Arial"/>
          <w:b/>
          <w:i w:val="0"/>
          <w:color w:val="000000"/>
          <w:sz w:val="23"/>
        </w:rPr>
        <w:t>Build now</w:t>
      </w:r>
    </w:p>
    <w:p>
      <w:pPr>
        <w:pStyle w:val="ListBullet"/>
        <w:spacing w:after="50" w:line="252" w:lineRule="auto"/>
        <w:ind w:left="360" w:hanging="202"/>
      </w:pPr>
      <w:r>
        <w:rPr>
          <w:rFonts w:ascii="Arial" w:hAnsi="Arial"/>
          <w:b w:val="0"/>
          <w:i w:val="0"/>
          <w:color w:val="263238"/>
          <w:sz w:val="20"/>
        </w:rPr>
        <w:t>Shastra-Anchor: begin with a small, transparent index of curated formulations and a clearly stated coverage number.</w:t>
      </w:r>
    </w:p>
    <w:p>
      <w:pPr>
        <w:pStyle w:val="ListBullet"/>
        <w:spacing w:after="50" w:line="252" w:lineRule="auto"/>
        <w:ind w:left="360" w:hanging="202"/>
      </w:pPr>
      <w:r>
        <w:rPr>
          <w:rFonts w:ascii="Arial" w:hAnsi="Arial"/>
          <w:b w:val="0"/>
          <w:i w:val="0"/>
          <w:color w:val="263238"/>
          <w:sz w:val="20"/>
        </w:rPr>
        <w:t>Kaal-Sakshi: version every legal record with effective-from, effective-to, status, source URL, and ingestion date.</w:t>
      </w:r>
    </w:p>
    <w:p>
      <w:pPr>
        <w:pStyle w:val="ListBullet"/>
        <w:spacing w:after="50" w:line="252" w:lineRule="auto"/>
        <w:ind w:left="360" w:hanging="202"/>
      </w:pPr>
      <w:r>
        <w:rPr>
          <w:rFonts w:ascii="Arial" w:hAnsi="Arial"/>
          <w:b w:val="0"/>
          <w:i w:val="0"/>
          <w:color w:val="263238"/>
          <w:sz w:val="20"/>
        </w:rPr>
        <w:t>Protection Map: show regulatory category, patent posture, naming posture, ABS posture, advertising posture, and next steps.</w:t>
      </w:r>
    </w:p>
    <w:p>
      <w:pPr>
        <w:pStyle w:val="ListBullet"/>
        <w:spacing w:after="50" w:line="252" w:lineRule="auto"/>
        <w:ind w:left="360" w:hanging="202"/>
      </w:pPr>
      <w:r>
        <w:rPr>
          <w:rFonts w:ascii="Arial" w:hAnsi="Arial"/>
          <w:b w:val="0"/>
          <w:i w:val="0"/>
          <w:color w:val="263238"/>
          <w:sz w:val="20"/>
        </w:rPr>
        <w:t>Abstention and evaluation: show Answer, Partial, or Abstain states and test citation validity, accuracy, and multilingual parity.</w:t>
      </w:r>
    </w:p>
    <w:p>
      <w:pPr>
        <w:pStyle w:val="ListBullet"/>
        <w:spacing w:after="50" w:line="252" w:lineRule="auto"/>
        <w:ind w:left="360" w:hanging="202"/>
      </w:pPr>
      <w:r>
        <w:rPr>
          <w:rFonts w:ascii="Arial" w:hAnsi="Arial"/>
          <w:b w:val="0"/>
          <w:i w:val="0"/>
          <w:color w:val="263238"/>
          <w:sz w:val="20"/>
        </w:rPr>
        <w:t>Naam-Sanket: provide a narrow, explainable name collision pre-search across relevant registers.</w:t>
      </w:r>
    </w:p>
    <w:p>
      <w:pPr>
        <w:pStyle w:val="Heading2"/>
        <w:keepNext/>
        <w:spacing w:before="160" w:after="60"/>
      </w:pPr>
      <w:r>
        <w:rPr>
          <w:rFonts w:ascii="Arial" w:hAnsi="Arial"/>
          <w:b/>
          <w:i w:val="0"/>
          <w:color w:val="000000"/>
          <w:sz w:val="23"/>
        </w:rPr>
        <w:t>Keep as supporting infrastructure</w:t>
      </w:r>
    </w:p>
    <w:p>
      <w:pPr>
        <w:pStyle w:val="ListBullet"/>
        <w:spacing w:after="50" w:line="252" w:lineRule="auto"/>
        <w:ind w:left="360" w:hanging="202"/>
      </w:pPr>
      <w:r>
        <w:rPr>
          <w:rFonts w:ascii="Arial" w:hAnsi="Arial"/>
          <w:b w:val="0"/>
          <w:i w:val="0"/>
          <w:color w:val="263238"/>
          <w:sz w:val="20"/>
        </w:rPr>
        <w:t>Guided formulation wizard, India/International toggle, language support, disclaimer, escalation workflow, PII minimisation, and audit log.</w:t>
      </w:r>
    </w:p>
    <w:p>
      <w:pPr>
        <w:pStyle w:val="Heading2"/>
        <w:keepNext/>
        <w:spacing w:before="160" w:after="60"/>
      </w:pPr>
      <w:r>
        <w:rPr>
          <w:rFonts w:ascii="Arial" w:hAnsi="Arial"/>
          <w:b/>
          <w:i w:val="0"/>
          <w:color w:val="000000"/>
          <w:sz w:val="23"/>
        </w:rPr>
        <w:t>Keep for future scope</w:t>
      </w:r>
    </w:p>
    <w:p>
      <w:pPr>
        <w:pStyle w:val="ListBullet"/>
        <w:spacing w:after="50" w:line="252" w:lineRule="auto"/>
        <w:ind w:left="360" w:hanging="202"/>
      </w:pPr>
      <w:r>
        <w:rPr>
          <w:rFonts w:ascii="Arial" w:hAnsi="Arial"/>
          <w:b w:val="0"/>
          <w:i w:val="0"/>
          <w:color w:val="263238"/>
          <w:sz w:val="20"/>
        </w:rPr>
        <w:t>Export-market readiness, paid source connectors, practitioner-researcher registry, community biodiversity links, and mobile/API deployment.</w:t>
      </w:r>
    </w:p>
    <w:p>
      <w:pPr>
        <w:pStyle w:val="Heading2"/>
        <w:keepNext/>
        <w:spacing w:before="160" w:after="60"/>
      </w:pPr>
      <w:r>
        <w:rPr>
          <w:rFonts w:ascii="Arial" w:hAnsi="Arial"/>
          <w:b/>
          <w:i w:val="0"/>
          <w:color w:val="000000"/>
          <w:sz w:val="23"/>
        </w:rPr>
        <w:t>Do not build for the first prototype</w:t>
      </w:r>
    </w:p>
    <w:p>
      <w:pPr>
        <w:pStyle w:val="ListBullet"/>
        <w:spacing w:after="50" w:line="252" w:lineRule="auto"/>
        <w:ind w:left="360" w:hanging="202"/>
      </w:pPr>
      <w:r>
        <w:rPr>
          <w:rFonts w:ascii="Arial" w:hAnsi="Arial"/>
          <w:b w:val="0"/>
          <w:i w:val="0"/>
          <w:color w:val="263238"/>
          <w:sz w:val="20"/>
        </w:rPr>
        <w:t>Researcher matchmaking, Innovation Genome, AI-generated timeline, knowledge-graph visualisation as a user feature, and a single-number IP Health Score.</w:t>
      </w:r>
    </w:p>
    <w:p>
      <w:pPr>
        <w:pStyle w:val="Heading1"/>
        <w:keepNext/>
        <w:spacing w:before="240" w:after="100"/>
      </w:pPr>
      <w:r>
        <w:rPr>
          <w:rFonts w:ascii="Arial" w:hAnsi="Arial"/>
          <w:b/>
          <w:i w:val="0"/>
          <w:color w:val="000000"/>
          <w:sz w:val="30"/>
        </w:rPr>
        <w:t>6. Technical and Safety Design</w:t>
      </w:r>
    </w:p>
    <w:p>
      <w:pPr>
        <w:pStyle w:val="Heading2"/>
        <w:keepNext/>
        <w:spacing w:before="160" w:after="60"/>
      </w:pPr>
      <w:r>
        <w:rPr>
          <w:rFonts w:ascii="Arial" w:hAnsi="Arial"/>
          <w:b/>
          <w:i w:val="0"/>
          <w:color w:val="000000"/>
          <w:sz w:val="23"/>
        </w:rPr>
        <w:t>Architecture in plain language</w:t>
      </w:r>
    </w:p>
    <w:p>
      <w:pPr>
        <w:pStyle w:val="ListBullet"/>
        <w:spacing w:after="50" w:line="252" w:lineRule="auto"/>
        <w:ind w:left="360" w:hanging="202"/>
      </w:pPr>
      <w:r>
        <w:rPr>
          <w:rFonts w:ascii="Arial" w:hAnsi="Arial"/>
          <w:b w:val="0"/>
          <w:i w:val="0"/>
          <w:color w:val="263238"/>
          <w:sz w:val="20"/>
        </w:rPr>
        <w:t>Input layer: web form or voice input in an Indian language; convert the response into structured facts after user confirmation.</w:t>
      </w:r>
    </w:p>
    <w:p>
      <w:pPr>
        <w:pStyle w:val="ListBullet"/>
        <w:spacing w:after="50" w:line="252" w:lineRule="auto"/>
        <w:ind w:left="360" w:hanging="202"/>
      </w:pPr>
      <w:r>
        <w:rPr>
          <w:rFonts w:ascii="Arial" w:hAnsi="Arial"/>
          <w:b w:val="0"/>
          <w:i w:val="0"/>
          <w:color w:val="263238"/>
          <w:sz w:val="20"/>
        </w:rPr>
        <w:t>Knowledge layer: classical formulation index, dravya synonym graph, versioned legal corpus, GI and trademark snapshots, and selected patent records.</w:t>
      </w:r>
    </w:p>
    <w:p>
      <w:pPr>
        <w:pStyle w:val="ListBullet"/>
        <w:spacing w:after="50" w:line="252" w:lineRule="auto"/>
        <w:ind w:left="360" w:hanging="202"/>
      </w:pPr>
      <w:r>
        <w:rPr>
          <w:rFonts w:ascii="Arial" w:hAnsi="Arial"/>
          <w:b w:val="0"/>
          <w:i w:val="0"/>
          <w:color w:val="263238"/>
          <w:sz w:val="20"/>
        </w:rPr>
        <w:t>Decision layer: deterministic rules decide classification branches, Section 3(p) exposure bands, ABS tier, naming checks, and missing inputs.</w:t>
      </w:r>
    </w:p>
    <w:p>
      <w:pPr>
        <w:pStyle w:val="ListBullet"/>
        <w:spacing w:after="50" w:line="252" w:lineRule="auto"/>
        <w:ind w:left="360" w:hanging="202"/>
      </w:pPr>
      <w:r>
        <w:rPr>
          <w:rFonts w:ascii="Arial" w:hAnsi="Arial"/>
          <w:b w:val="0"/>
          <w:i w:val="0"/>
          <w:color w:val="263238"/>
          <w:sz w:val="20"/>
        </w:rPr>
        <w:t>Validation layer: citation resolver checks that every cited record exists and is valid for the selected date and jurisdiction.</w:t>
      </w:r>
    </w:p>
    <w:p>
      <w:pPr>
        <w:pStyle w:val="ListBullet"/>
        <w:spacing w:after="50" w:line="252" w:lineRule="auto"/>
        <w:ind w:left="360" w:hanging="202"/>
      </w:pPr>
      <w:r>
        <w:rPr>
          <w:rFonts w:ascii="Arial" w:hAnsi="Arial"/>
          <w:b w:val="0"/>
          <w:i w:val="0"/>
          <w:color w:val="263238"/>
          <w:sz w:val="20"/>
        </w:rPr>
        <w:t>Explanation layer: the LLM explains rules already selected by the system; it does not decide classification or choose citations on its own.</w:t>
      </w:r>
    </w:p>
    <w:p>
      <w:pPr>
        <w:pStyle w:val="Heading2"/>
        <w:keepNext/>
        <w:spacing w:before="160" w:after="60"/>
      </w:pPr>
      <w:r>
        <w:rPr>
          <w:rFonts w:ascii="Arial" w:hAnsi="Arial"/>
          <w:b/>
          <w:i w:val="0"/>
          <w:color w:val="000000"/>
          <w:sz w:val="23"/>
        </w:rPr>
        <w:t>Safety principles</w:t>
      </w:r>
    </w:p>
    <w:p>
      <w:pPr>
        <w:pStyle w:val="ListBullet"/>
        <w:spacing w:after="50" w:line="252" w:lineRule="auto"/>
        <w:ind w:left="360" w:hanging="202"/>
      </w:pPr>
      <w:r>
        <w:rPr>
          <w:rFonts w:ascii="Arial" w:hAnsi="Arial"/>
          <w:b w:val="0"/>
          <w:i w:val="0"/>
          <w:color w:val="263238"/>
          <w:sz w:val="20"/>
        </w:rPr>
        <w:t>Information, not formal legal advice: display the disclaimer on every result.</w:t>
      </w:r>
    </w:p>
    <w:p>
      <w:pPr>
        <w:pStyle w:val="ListBullet"/>
        <w:spacing w:after="50" w:line="252" w:lineRule="auto"/>
        <w:ind w:left="360" w:hanging="202"/>
      </w:pPr>
      <w:r>
        <w:rPr>
          <w:rFonts w:ascii="Arial" w:hAnsi="Arial"/>
          <w:b w:val="0"/>
          <w:i w:val="0"/>
          <w:color w:val="263238"/>
          <w:sz w:val="20"/>
        </w:rPr>
        <w:t>No fabricated authority: unresolved citations are blocked.</w:t>
      </w:r>
    </w:p>
    <w:p>
      <w:pPr>
        <w:pStyle w:val="ListBullet"/>
        <w:spacing w:after="50" w:line="252" w:lineRule="auto"/>
        <w:ind w:left="360" w:hanging="202"/>
      </w:pPr>
      <w:r>
        <w:rPr>
          <w:rFonts w:ascii="Arial" w:hAnsi="Arial"/>
          <w:b w:val="0"/>
          <w:i w:val="0"/>
          <w:color w:val="263238"/>
          <w:sz w:val="20"/>
        </w:rPr>
        <w:t>No silent uncertainty: missing evidence, stale records, and incomplete inputs are visible to the user.</w:t>
      </w:r>
    </w:p>
    <w:p>
      <w:pPr>
        <w:pStyle w:val="ListBullet"/>
        <w:spacing w:after="50" w:line="252" w:lineRule="auto"/>
        <w:ind w:left="360" w:hanging="202"/>
      </w:pPr>
      <w:r>
        <w:rPr>
          <w:rFonts w:ascii="Arial" w:hAnsi="Arial"/>
          <w:b w:val="0"/>
          <w:i w:val="0"/>
          <w:color w:val="263238"/>
          <w:sz w:val="20"/>
        </w:rPr>
        <w:t>Protect trade secrets: keep formulation inputs ephemeral or client-side where possible; never use private recipes for model training without explicit consent.</w:t>
      </w:r>
    </w:p>
    <w:p>
      <w:pPr>
        <w:pStyle w:val="ListBullet"/>
        <w:spacing w:after="50" w:line="252" w:lineRule="auto"/>
        <w:ind w:left="360" w:hanging="202"/>
      </w:pPr>
      <w:r>
        <w:rPr>
          <w:rFonts w:ascii="Arial" w:hAnsi="Arial"/>
          <w:b w:val="0"/>
          <w:i w:val="0"/>
          <w:color w:val="263238"/>
          <w:sz w:val="20"/>
        </w:rPr>
        <w:t>Show coverage: display the number of indexed formulations and legal records so users do not mistake a prototype for a complete national database.</w:t>
      </w:r>
    </w:p>
    <w:p>
      <w:pPr>
        <w:pStyle w:val="Heading1"/>
        <w:keepNext/>
        <w:spacing w:before="240" w:after="100"/>
      </w:pPr>
      <w:r>
        <w:rPr>
          <w:rFonts w:ascii="Arial" w:hAnsi="Arial"/>
          <w:b/>
          <w:i w:val="0"/>
          <w:color w:val="000000"/>
          <w:sz w:val="30"/>
        </w:rPr>
        <w:t>7. Demo Story for Teachers and Judges</w:t>
      </w:r>
    </w:p>
    <w:p>
      <w:pPr>
        <w:spacing w:after="100" w:line="259" w:lineRule="auto"/>
      </w:pPr>
      <w:r>
        <w:rPr>
          <w:rFonts w:ascii="Arial" w:hAnsi="Arial"/>
          <w:b w:val="0"/>
          <w:i w:val="0"/>
          <w:color w:val="263238"/>
          <w:sz w:val="21"/>
        </w:rPr>
        <w:t>The demo should show the product's distinctive reasoning, not just a chatbot paragraph.</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Moment</w:t>
            </w:r>
          </w:p>
        </w:tc>
        <w:tc>
          <w:tcPr>
            <w:tcW w:type="dxa" w:w="5256"/>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What to demonstrate</w:t>
            </w:r>
          </w:p>
        </w:tc>
        <w:tc>
          <w:tcPr>
            <w:tcW w:type="dxa" w:w="2736"/>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Why it matters</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1. Unseen formulation</w:t>
            </w:r>
          </w:p>
        </w:tc>
        <w:tc>
          <w:tcPr>
            <w:tcW w:type="dxa" w:w="525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Enter a formulation with a changed ingredient or process; show the classical parent, ingredient differences, overlap band, and legal consequence.</w:t>
            </w:r>
          </w:p>
        </w:tc>
        <w:tc>
          <w:tcPr>
            <w:tcW w:type="dxa" w:w="273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Proves Shastra-Anchor is real and explainable.</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2. Date change</w:t>
            </w:r>
          </w:p>
        </w:tc>
        <w:tc>
          <w:tcPr>
            <w:tcW w:type="dxa" w:w="525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Move the date or status filter and show how the applicable rule or treaty status changes.</w:t>
            </w:r>
          </w:p>
        </w:tc>
        <w:tc>
          <w:tcPr>
            <w:tcW w:type="dxa" w:w="273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Proves Kaal-Sakshi is more than a static RAG corpus.</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3. Trick question</w:t>
            </w:r>
          </w:p>
        </w:tc>
        <w:tc>
          <w:tcPr>
            <w:tcW w:type="dxa" w:w="525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Ask a question outside the verified corpus or without enough facts; show a clean abstention and escalation path.</w:t>
            </w:r>
          </w:p>
        </w:tc>
        <w:tc>
          <w:tcPr>
            <w:tcW w:type="dxa" w:w="273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Proves that refusal is a safety feature, not a failure.</w:t>
            </w:r>
          </w:p>
        </w:tc>
      </w:tr>
      <w:tr>
        <w:tc>
          <w:tcPr>
            <w:tcW w:type="dxa" w:w="17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4. One-page output</w:t>
            </w:r>
          </w:p>
        </w:tc>
        <w:tc>
          <w:tcPr>
            <w:tcW w:type="dxa" w:w="525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Generate the Protection Map with every cell linked to a source and date.</w:t>
            </w:r>
          </w:p>
        </w:tc>
        <w:tc>
          <w:tcPr>
            <w:tcW w:type="dxa" w:w="2736"/>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Shows the practical government or MSME deliverable.</w:t>
            </w:r>
          </w:p>
        </w:tc>
      </w:tr>
    </w:tbl>
    <w:p>
      <w:pPr>
        <w:spacing w:after="20"/>
      </w:pPr>
    </w:p>
    <w:p>
      <w:pPr>
        <w:keepNext/>
        <w:spacing w:before="120" w:after="40"/>
      </w:pPr>
      <w:r>
        <w:rPr>
          <w:rFonts w:ascii="Arial" w:hAnsi="Arial"/>
          <w:b/>
          <w:i w:val="0"/>
          <w:color w:val="0F766E"/>
          <w:sz w:val="16"/>
        </w:rPr>
        <w:t>THIRTY-SECOND PITCH</w:t>
      </w:r>
    </w:p>
    <w:p>
      <w:pPr>
        <w:spacing w:after="100" w:line="259" w:lineRule="auto"/>
      </w:pPr>
      <w:r>
        <w:rPr>
          <w:rFonts w:ascii="Arial" w:hAnsi="Arial"/>
          <w:b w:val="0"/>
          <w:i/>
          <w:color w:val="263238"/>
          <w:sz w:val="21"/>
        </w:rPr>
        <w:t>IP-SAKTI Sahayak is a multilingual, source-cited guide for Ayurveda innovators. A user describes a formulation, and the system identifies its classical anchor, classifies the likely legal route, checks patent, licence, ABS, and naming questions, and produces a one-page Protection Map. Our signature is Shastra-Anchor: a lawful, explainable alternative to pretending that a closed traditional-knowledge database is openly searchable. Every citation is dated and verified, and the system refuses to answer when evidence is missing.</w:t>
      </w:r>
    </w:p>
    <w:p>
      <w:pPr>
        <w:pStyle w:val="Heading1"/>
        <w:keepNext/>
        <w:spacing w:before="240" w:after="100"/>
      </w:pPr>
      <w:r>
        <w:rPr>
          <w:rFonts w:ascii="Arial" w:hAnsi="Arial"/>
          <w:b/>
          <w:i w:val="0"/>
          <w:color w:val="000000"/>
          <w:sz w:val="30"/>
        </w:rPr>
        <w:t>8. Benefits and Expected Impact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Beneficiary</w:t>
            </w:r>
          </w:p>
        </w:tc>
        <w:tc>
          <w:tcPr>
            <w:tcW w:type="dxa" w:w="496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Expected benefit</w:t>
            </w:r>
          </w:p>
        </w:tc>
        <w:tc>
          <w:tcPr>
            <w:tcW w:type="dxa" w:w="2520"/>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Possible measure</w:t>
            </w:r>
          </w:p>
        </w:tc>
      </w:tr>
      <w:tr>
        <w:tc>
          <w:tcPr>
            <w:tcW w:type="dxa" w:w="223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AYUSH MSMEs</w:t>
            </w:r>
          </w:p>
        </w:tc>
        <w:tc>
          <w:tcPr>
            <w:tcW w:type="dxa" w:w="49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Faster first-level clarity before spending on filings, licences, or professional opinions.</w:t>
            </w:r>
          </w:p>
        </w:tc>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Maps generated; escalation rate; user completion rate.</w:t>
            </w:r>
          </w:p>
        </w:tc>
      </w:tr>
      <w:tr>
        <w:tc>
          <w:tcPr>
            <w:tcW w:type="dxa" w:w="223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Vaidyas</w:t>
            </w:r>
          </w:p>
        </w:tc>
        <w:tc>
          <w:tcPr>
            <w:tcW w:type="dxa" w:w="49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Better understanding of classical versus proprietary formulations and relevant protection routes.</w:t>
            </w:r>
          </w:p>
        </w:tc>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Formulations classified; human-review rate.</w:t>
            </w:r>
          </w:p>
        </w:tc>
      </w:tr>
      <w:tr>
        <w:tc>
          <w:tcPr>
            <w:tcW w:type="dxa" w:w="223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Researchers</w:t>
            </w:r>
          </w:p>
        </w:tc>
        <w:tc>
          <w:tcPr>
            <w:tcW w:type="dxa" w:w="49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 pre-publication novelty and compliance check before disclosure.</w:t>
            </w:r>
          </w:p>
        </w:tc>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Checks completed before publication or filing.</w:t>
            </w:r>
          </w:p>
        </w:tc>
      </w:tr>
      <w:tr>
        <w:tc>
          <w:tcPr>
            <w:tcW w:type="dxa" w:w="223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Knowledge holders and cultivators</w:t>
            </w:r>
          </w:p>
        </w:tc>
        <w:tc>
          <w:tcPr>
            <w:tcW w:type="dxa" w:w="49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More visible traditional-knowledge and benefit-sharing considerations.</w:t>
            </w:r>
          </w:p>
        </w:tc>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ABS questions identified and explained.</w:t>
            </w:r>
          </w:p>
        </w:tc>
      </w:tr>
      <w:tr>
        <w:tc>
          <w:tcPr>
            <w:tcW w:type="dxa" w:w="223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Government and institutions</w:t>
            </w:r>
          </w:p>
        </w:tc>
        <w:tc>
          <w:tcPr>
            <w:tcW w:type="dxa" w:w="49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An auditable, scalable assistant that does not fabricate authority.</w:t>
            </w:r>
          </w:p>
        </w:tc>
        <w:tc>
          <w:tcPr>
            <w:tcW w:type="dxa" w:w="252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Citation validity; abstention precision; multilingual accuracy.</w:t>
            </w:r>
          </w:p>
        </w:tc>
      </w:tr>
    </w:tbl>
    <w:p>
      <w:pPr>
        <w:spacing w:after="20"/>
      </w:pPr>
    </w:p>
    <w:p>
      <w:pPr>
        <w:pStyle w:val="Heading1"/>
        <w:keepNext/>
        <w:spacing w:before="240" w:after="100"/>
      </w:pPr>
      <w:r>
        <w:rPr>
          <w:rFonts w:ascii="Arial" w:hAnsi="Arial"/>
          <w:b/>
          <w:i w:val="0"/>
          <w:color w:val="000000"/>
          <w:sz w:val="30"/>
        </w:rPr>
        <w:t>9. Risks and How We Control Them</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Risk</w:t>
            </w:r>
          </w:p>
        </w:tc>
        <w:tc>
          <w:tcPr>
            <w:tcW w:type="dxa" w:w="6552"/>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Control</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Hallucinated legal authority</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Foreign-key citation resolver, constrained generation, and abstention.</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Wrong effective date</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Versioned records, visible dates, and two-person review for status changes.</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Wrong dravya synonym</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Provenance for each mapping, user confirmation, and ingredient-difference display.</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Stale corpus</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Change monitoring, source hashes, re-ingestion queue, and stale-record warnings.</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Implied legal advice</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Use the language of posture and information; keep an expert escalation path.</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Privacy of recipes</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Minimise retention, avoid training on private inputs, and log access to paid connectors.</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Overclaiming coverage</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Show exact coverage numbers and label the prototype scope.</w:t>
            </w:r>
          </w:p>
        </w:tc>
      </w:tr>
      <w:tr>
        <w:tc>
          <w:tcPr>
            <w:tcW w:type="dxa" w:w="316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Ayurvedic validity</w:t>
            </w:r>
          </w:p>
        </w:tc>
        <w:tc>
          <w:tcPr>
            <w:tcW w:type="dxa" w:w="65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Have an Ayurveda graduate review the index and provide a mapping-feedback mechanism.</w:t>
            </w:r>
          </w:p>
        </w:tc>
      </w:tr>
    </w:tbl>
    <w:p>
      <w:pPr>
        <w:spacing w:after="20"/>
      </w:pPr>
    </w:p>
    <w:p>
      <w:pPr>
        <w:pStyle w:val="Heading1"/>
        <w:keepNext/>
        <w:spacing w:before="240" w:after="100"/>
      </w:pPr>
      <w:r>
        <w:rPr>
          <w:rFonts w:ascii="Arial" w:hAnsi="Arial"/>
          <w:b/>
          <w:i w:val="0"/>
          <w:color w:val="000000"/>
          <w:sz w:val="30"/>
        </w:rPr>
        <w:t>10. Two Week Execution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Period</w:t>
            </w:r>
          </w:p>
        </w:tc>
        <w:tc>
          <w:tcPr>
            <w:tcW w:type="dxa" w:w="5328"/>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Priority work</w:t>
            </w:r>
          </w:p>
        </w:tc>
        <w:tc>
          <w:tcPr>
            <w:tcW w:type="dxa" w:w="2952"/>
            <w:vAlign w:val="center"/>
            <w:shd w:fill="0F766E"/>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100" w:type="dxa"/>
              <w:start w:w="120" w:type="dxa"/>
              <w:bottom w:w="100" w:type="dxa"/>
              <w:end w:w="120" w:type="dxa"/>
            </w:tcMar>
          </w:tcPr>
          <w:p>
            <w:pPr>
              <w:spacing w:after="0"/>
            </w:pPr>
            <w:r>
              <w:rPr>
                <w:rFonts w:ascii="Arial" w:hAnsi="Arial"/>
                <w:b/>
                <w:i w:val="0"/>
                <w:color w:val="FFFFFF"/>
                <w:sz w:val="18"/>
              </w:rPr>
              <w:t>Definition of done</w:t>
            </w:r>
          </w:p>
        </w:tc>
      </w:tr>
      <w:tr>
        <w:tc>
          <w:tcPr>
            <w:tcW w:type="dxa" w:w="14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Days 1–3</w:t>
            </w:r>
          </w:p>
        </w:tc>
        <w:tc>
          <w:tcPr>
            <w:tcW w:type="dxa" w:w="53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Freeze scope; assign one legal reviewer and one Ayurveda reviewer; define the formulation and rule schemas.</w:t>
            </w:r>
          </w:p>
        </w:tc>
        <w:tc>
          <w:tcPr>
            <w:tcW w:type="dxa" w:w="29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Accepted schemas, owners, and a coverage target.</w:t>
            </w:r>
          </w:p>
        </w:tc>
      </w:tr>
      <w:tr>
        <w:tc>
          <w:tcPr>
            <w:tcW w:type="dxa" w:w="14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Days 4–7</w:t>
            </w:r>
          </w:p>
        </w:tc>
        <w:tc>
          <w:tcPr>
            <w:tcW w:type="dxa" w:w="53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Curate the first formulation records, synonym mappings, and dated legal rules; implement the deterministic classification path.</w:t>
            </w:r>
          </w:p>
        </w:tc>
        <w:tc>
          <w:tcPr>
            <w:tcW w:type="dxa" w:w="29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Small but inspectable index and rulebook with provenance.</w:t>
            </w:r>
          </w:p>
        </w:tc>
      </w:tr>
      <w:tr>
        <w:tc>
          <w:tcPr>
            <w:tcW w:type="dxa" w:w="14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Days 8–10</w:t>
            </w:r>
          </w:p>
        </w:tc>
        <w:tc>
          <w:tcPr>
            <w:tcW w:type="dxa" w:w="53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Build Shastra-Anchor matching, Protection Map output, and citation/status validation.</w:t>
            </w:r>
          </w:p>
        </w:tc>
        <w:tc>
          <w:tcPr>
            <w:tcW w:type="dxa" w:w="29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End-to-end result for one formulation with source links and dates.</w:t>
            </w:r>
          </w:p>
        </w:tc>
      </w:tr>
      <w:tr>
        <w:tc>
          <w:tcPr>
            <w:tcW w:type="dxa" w:w="14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Days 11–12</w:t>
            </w:r>
          </w:p>
        </w:tc>
        <w:tc>
          <w:tcPr>
            <w:tcW w:type="dxa" w:w="53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Add abstention states, missing-input prompts, audit logging, and the evaluation question set.</w:t>
            </w:r>
          </w:p>
        </w:tc>
        <w:tc>
          <w:tcPr>
            <w:tcW w:type="dxa" w:w="29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shd w:fill="F5F7F8"/>
          </w:tcPr>
          <w:p>
            <w:pPr>
              <w:spacing w:after="0" w:line="245" w:lineRule="auto"/>
            </w:pPr>
            <w:r>
              <w:rPr>
                <w:rFonts w:ascii="Arial" w:hAnsi="Arial"/>
                <w:b w:val="0"/>
                <w:i w:val="0"/>
                <w:color w:val="263238"/>
                <w:sz w:val="18"/>
              </w:rPr>
              <w:t>The system refuses unsafe questions predictably.</w:t>
            </w:r>
          </w:p>
        </w:tc>
      </w:tr>
      <w:tr>
        <w:tc>
          <w:tcPr>
            <w:tcW w:type="dxa" w:w="1440"/>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Days 13–14</w:t>
            </w:r>
          </w:p>
        </w:tc>
        <w:tc>
          <w:tcPr>
            <w:tcW w:type="dxa" w:w="5328"/>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Rehearse the unseen-formulation, date-change, and trick-question demos; remove unsupported claims.</w:t>
            </w:r>
          </w:p>
        </w:tc>
        <w:tc>
          <w:tcPr>
            <w:tcW w:type="dxa" w:w="2952"/>
            <w:vAlign w:val="center"/>
            <w:tcBorders>
              <w:top w:val="single" w:sz="6" w:space="0" w:color="D9E1E5"/>
              <w:left w:val="single" w:sz="6" w:space="0" w:color="D9E1E5"/>
              <w:bottom w:val="single" w:sz="6" w:space="0" w:color="D9E1E5"/>
              <w:right w:val="single" w:sz="6" w:space="0" w:color="D9E1E5"/>
              <w:insideH w:val="single" w:sz="6" w:space="0" w:color="D9E1E5"/>
              <w:insideV w:val="single" w:sz="6" w:space="0" w:color="D9E1E5"/>
            </w:tcBorders>
            <w:tcMar>
              <w:top w:w="90" w:type="dxa"/>
              <w:start w:w="120" w:type="dxa"/>
              <w:bottom w:w="90" w:type="dxa"/>
              <w:end w:w="120" w:type="dxa"/>
            </w:tcMar>
          </w:tcPr>
          <w:p>
            <w:pPr>
              <w:spacing w:after="0" w:line="245" w:lineRule="auto"/>
            </w:pPr>
            <w:r>
              <w:rPr>
                <w:rFonts w:ascii="Arial" w:hAnsi="Arial"/>
                <w:b w:val="0"/>
                <w:i w:val="0"/>
                <w:color w:val="263238"/>
                <w:sz w:val="18"/>
              </w:rPr>
              <w:t>Stable demo, honest coverage statement, and clear pitch.</w:t>
            </w:r>
          </w:p>
        </w:tc>
      </w:tr>
    </w:tbl>
    <w:p>
      <w:pPr>
        <w:spacing w:after="20"/>
      </w:pPr>
    </w:p>
    <w:p>
      <w:pPr>
        <w:pStyle w:val="Heading1"/>
        <w:keepNext/>
        <w:spacing w:before="240" w:after="100"/>
      </w:pPr>
      <w:r>
        <w:rPr>
          <w:rFonts w:ascii="Arial" w:hAnsi="Arial"/>
          <w:b/>
          <w:i w:val="0"/>
          <w:color w:val="000000"/>
          <w:sz w:val="30"/>
        </w:rPr>
        <w:t>11. Claims to Verify Before Public Use</w:t>
      </w:r>
    </w:p>
    <w:p>
      <w:pPr>
        <w:spacing w:after="100" w:line="259" w:lineRule="auto"/>
      </w:pPr>
      <w:r>
        <w:rPr>
          <w:rFonts w:ascii="Arial" w:hAnsi="Arial"/>
          <w:b w:val="0"/>
          <w:i w:val="0"/>
          <w:color w:val="263238"/>
          <w:sz w:val="21"/>
        </w:rPr>
        <w:t>The strategy note contains several legal and source-access observations that should be confirmed against primary texts before they appear in the corpus, pitch, or user interface. Treat this list as a release gate.</w:t>
      </w:r>
    </w:p>
    <w:p>
      <w:pPr>
        <w:pStyle w:val="ListBullet"/>
        <w:spacing w:after="50" w:line="252" w:lineRule="auto"/>
        <w:ind w:left="360" w:hanging="202"/>
      </w:pPr>
      <w:r>
        <w:rPr>
          <w:rFonts w:ascii="Arial" w:hAnsi="Arial"/>
          <w:b w:val="0"/>
          <w:i w:val="0"/>
          <w:color w:val="263238"/>
          <w:sz w:val="20"/>
        </w:rPr>
        <w:t>Exact wording and application of Section 3(p) of the Patents Act and the relevant First Schedule entries.</w:t>
      </w:r>
    </w:p>
    <w:p>
      <w:pPr>
        <w:pStyle w:val="ListBullet"/>
        <w:spacing w:after="50" w:line="252" w:lineRule="auto"/>
        <w:ind w:left="360" w:hanging="202"/>
      </w:pPr>
      <w:r>
        <w:rPr>
          <w:rFonts w:ascii="Arial" w:hAnsi="Arial"/>
          <w:b w:val="0"/>
          <w:i w:val="0"/>
          <w:color w:val="263238"/>
          <w:sz w:val="20"/>
        </w:rPr>
        <w:t>Current status of Rule 170 and any related court order, notification, or later amendment.</w:t>
      </w:r>
    </w:p>
    <w:p>
      <w:pPr>
        <w:pStyle w:val="ListBullet"/>
        <w:spacing w:after="50" w:line="252" w:lineRule="auto"/>
        <w:ind w:left="360" w:hanging="202"/>
      </w:pPr>
      <w:r>
        <w:rPr>
          <w:rFonts w:ascii="Arial" w:hAnsi="Arial"/>
          <w:b w:val="0"/>
          <w:i w:val="0"/>
          <w:color w:val="263238"/>
          <w:sz w:val="20"/>
        </w:rPr>
        <w:t>Current status of the WIPO GRATK Treaty, including signature, ratification, and entry-into-force details.</w:t>
      </w:r>
    </w:p>
    <w:p>
      <w:pPr>
        <w:pStyle w:val="ListBullet"/>
        <w:spacing w:after="50" w:line="252" w:lineRule="auto"/>
        <w:ind w:left="360" w:hanging="202"/>
      </w:pPr>
      <w:r>
        <w:rPr>
          <w:rFonts w:ascii="Arial" w:hAnsi="Arial"/>
          <w:b w:val="0"/>
          <w:i w:val="0"/>
          <w:color w:val="263238"/>
          <w:sz w:val="20"/>
        </w:rPr>
        <w:t>Exact ABS turnover tiers, cultivated-plant exemption, species categories, and forms under the applicable 2025 regulations.</w:t>
      </w:r>
    </w:p>
    <w:p>
      <w:pPr>
        <w:pStyle w:val="ListBullet"/>
        <w:spacing w:after="50" w:line="252" w:lineRule="auto"/>
        <w:ind w:left="360" w:hanging="202"/>
      </w:pPr>
      <w:r>
        <w:rPr>
          <w:rFonts w:ascii="Arial" w:hAnsi="Arial"/>
          <w:b w:val="0"/>
          <w:i w:val="0"/>
          <w:color w:val="263238"/>
          <w:sz w:val="20"/>
        </w:rPr>
        <w:t>Current biological-material disclosure requirements and forms for patent applications.</w:t>
      </w:r>
    </w:p>
    <w:p>
      <w:pPr>
        <w:pStyle w:val="ListBullet"/>
        <w:spacing w:after="50" w:line="252" w:lineRule="auto"/>
        <w:ind w:left="360" w:hanging="202"/>
      </w:pPr>
      <w:r>
        <w:rPr>
          <w:rFonts w:ascii="Arial" w:hAnsi="Arial"/>
          <w:b w:val="0"/>
          <w:i w:val="0"/>
          <w:color w:val="263238"/>
          <w:sz w:val="20"/>
        </w:rPr>
        <w:t>Trade mark descriptive-name rules, advertising restrictions, and any claims about excise or product categories.</w:t>
      </w:r>
    </w:p>
    <w:p>
      <w:pPr>
        <w:pStyle w:val="ListBullet"/>
        <w:spacing w:after="50" w:line="252" w:lineRule="auto"/>
        <w:ind w:left="360" w:hanging="202"/>
      </w:pPr>
      <w:r>
        <w:rPr>
          <w:rFonts w:ascii="Arial" w:hAnsi="Arial"/>
          <w:b w:val="0"/>
          <w:i w:val="0"/>
          <w:color w:val="263238"/>
          <w:sz w:val="20"/>
        </w:rPr>
        <w:t>Whether each Ayurvedic Formulary or Pharmacopoeia source can legally and technically be ingested and redistributed in the intended corpus.</w:t>
      </w:r>
    </w:p>
    <w:p>
      <w:pPr>
        <w:pStyle w:val="ListBullet"/>
        <w:spacing w:after="50" w:line="252" w:lineRule="auto"/>
        <w:ind w:left="360" w:hanging="202"/>
      </w:pPr>
      <w:r>
        <w:rPr>
          <w:rFonts w:ascii="Arial" w:hAnsi="Arial"/>
          <w:b w:val="0"/>
          <w:i w:val="0"/>
          <w:color w:val="263238"/>
          <w:sz w:val="20"/>
        </w:rPr>
        <w:t>Any case-law or professional-conduct example before using it in a public pitch.</w:t>
      </w:r>
    </w:p>
    <w:p>
      <w:pPr>
        <w:pStyle w:val="Heading2"/>
        <w:keepNext/>
        <w:spacing w:before="160" w:after="60"/>
      </w:pPr>
      <w:r>
        <w:rPr>
          <w:rFonts w:ascii="Arial" w:hAnsi="Arial"/>
          <w:b/>
          <w:i w:val="0"/>
          <w:color w:val="000000"/>
          <w:sz w:val="23"/>
        </w:rPr>
        <w:t>Team review checklist</w:t>
      </w:r>
    </w:p>
    <w:p>
      <w:pPr>
        <w:pStyle w:val="ListBullet"/>
        <w:spacing w:after="50" w:line="252" w:lineRule="auto"/>
        <w:ind w:left="360" w:hanging="202"/>
      </w:pPr>
      <w:r>
        <w:rPr>
          <w:rFonts w:ascii="Arial" w:hAnsi="Arial"/>
          <w:b w:val="0"/>
          <w:i w:val="0"/>
          <w:color w:val="263238"/>
          <w:sz w:val="20"/>
        </w:rPr>
        <w:t>☐ Can a teacher understand the problem and USP in one minute?</w:t>
      </w:r>
    </w:p>
    <w:p>
      <w:pPr>
        <w:pStyle w:val="ListBullet"/>
        <w:spacing w:after="50" w:line="252" w:lineRule="auto"/>
        <w:ind w:left="360" w:hanging="202"/>
      </w:pPr>
      <w:r>
        <w:rPr>
          <w:rFonts w:ascii="Arial" w:hAnsi="Arial"/>
          <w:b w:val="0"/>
          <w:i w:val="0"/>
          <w:color w:val="263238"/>
          <w:sz w:val="20"/>
        </w:rPr>
        <w:t>☐ Can a teammate explain the difference between common plumbing and the real differentiators?</w:t>
      </w:r>
    </w:p>
    <w:p>
      <w:pPr>
        <w:pStyle w:val="ListBullet"/>
        <w:spacing w:after="50" w:line="252" w:lineRule="auto"/>
        <w:ind w:left="360" w:hanging="202"/>
      </w:pPr>
      <w:r>
        <w:rPr>
          <w:rFonts w:ascii="Arial" w:hAnsi="Arial"/>
          <w:b w:val="0"/>
          <w:i w:val="0"/>
          <w:color w:val="263238"/>
          <w:sz w:val="20"/>
        </w:rPr>
        <w:t>☐ Can the demo show one unseen formulation rather than only a generic question?</w:t>
      </w:r>
    </w:p>
    <w:p>
      <w:pPr>
        <w:pStyle w:val="ListBullet"/>
        <w:spacing w:after="50" w:line="252" w:lineRule="auto"/>
        <w:ind w:left="360" w:hanging="202"/>
      </w:pPr>
      <w:r>
        <w:rPr>
          <w:rFonts w:ascii="Arial" w:hAnsi="Arial"/>
          <w:b w:val="0"/>
          <w:i w:val="0"/>
          <w:color w:val="263238"/>
          <w:sz w:val="20"/>
        </w:rPr>
        <w:t>☐ Does every displayed legal claim resolve to a dated source record?</w:t>
      </w:r>
    </w:p>
    <w:p>
      <w:pPr>
        <w:pStyle w:val="ListBullet"/>
        <w:spacing w:after="50" w:line="252" w:lineRule="auto"/>
        <w:ind w:left="360" w:hanging="202"/>
      </w:pPr>
      <w:r>
        <w:rPr>
          <w:rFonts w:ascii="Arial" w:hAnsi="Arial"/>
          <w:b w:val="0"/>
          <w:i w:val="0"/>
          <w:color w:val="263238"/>
          <w:sz w:val="20"/>
        </w:rPr>
        <w:t>☐ Does the system visibly abstain when the corpus is silent or incomplete?</w:t>
      </w:r>
    </w:p>
    <w:p>
      <w:pPr>
        <w:pStyle w:val="ListBullet"/>
        <w:spacing w:after="50" w:line="252" w:lineRule="auto"/>
        <w:ind w:left="360" w:hanging="202"/>
      </w:pPr>
      <w:r>
        <w:rPr>
          <w:rFonts w:ascii="Arial" w:hAnsi="Arial"/>
          <w:b w:val="0"/>
          <w:i w:val="0"/>
          <w:color w:val="263238"/>
          <w:sz w:val="20"/>
        </w:rPr>
        <w:t>☐ Are the coverage numbers, limitations, and expert-review path visible?</w:t>
      </w:r>
    </w:p>
    <w:p>
      <w:pPr>
        <w:pStyle w:val="Heading1"/>
        <w:keepNext/>
        <w:spacing w:before="240" w:after="100"/>
      </w:pPr>
      <w:r>
        <w:rPr>
          <w:rFonts w:ascii="Arial" w:hAnsi="Arial"/>
          <w:b/>
          <w:i w:val="0"/>
          <w:color w:val="000000"/>
          <w:sz w:val="30"/>
        </w:rPr>
        <w:t>12. Final Recommendation</w:t>
      </w:r>
    </w:p>
    <w:p>
      <w:pPr>
        <w:spacing w:after="100" w:line="259" w:lineRule="auto"/>
      </w:pPr>
      <w:r>
        <w:rPr>
          <w:rFonts w:ascii="Arial" w:hAnsi="Arial"/>
          <w:b w:val="0"/>
          <w:i w:val="0"/>
          <w:color w:val="263238"/>
          <w:sz w:val="21"/>
        </w:rPr>
        <w:t>Build a small, honest, and technically defensible system around five ideas: Shastra-Anchor, the time-aware citation gate, the Protection Map with ABS logic, calibrated abstention with an evaluation scorecard, and the focused name pre-search. Keep the wizard, language support, jurisdiction toggle, disclaimer, escalation, and audit log as the supporting product layer. Drop features that need data or network effects the prototype does not have.</w:t>
      </w:r>
    </w:p>
    <w:p>
      <w:pPr>
        <w:spacing w:after="0" w:line="259" w:lineRule="auto"/>
      </w:pPr>
      <w:r>
        <w:rPr>
          <w:rFonts w:ascii="Arial" w:hAnsi="Arial"/>
          <w:b/>
          <w:i w:val="0"/>
          <w:color w:val="263238"/>
          <w:sz w:val="21"/>
        </w:rPr>
        <w:t>The strongest story is simple:</w:t>
      </w:r>
      <w:r>
        <w:rPr>
          <w:rFonts w:ascii="Arial" w:hAnsi="Arial"/>
          <w:b w:val="0"/>
          <w:i w:val="0"/>
          <w:color w:val="263238"/>
          <w:sz w:val="21"/>
        </w:rPr>
        <w:t xml:space="preserve"> IP-SAKTI does not merely generate an answer. It identifies the formulation's anchor, explains the relevant legal path, shows the source and date, and refuses to invent authority.</w:t>
      </w:r>
    </w:p>
    <w:sectPr w:rsidR="00FC693F" w:rsidRPr="0006063C" w:rsidSect="00034616">
      <w:footerReference w:type="default" r:id="rId9"/>
      <w:pgSz w:w="12240" w:h="15840"/>
      <w:pgMar w:top="936" w:right="1123" w:bottom="936" w:left="1123"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i w:val="0"/>
        <w:color w:val="546E7A"/>
        <w:sz w:val="16"/>
      </w:rPr>
      <w:t>IP-SAKTI Sahayak  |  USP and Strategy Guide</w:t>
    </w:r>
    <w:r>
      <w:rPr>
        <w:rFonts w:ascii="Arial" w:hAnsi="Arial"/>
        <w:b w:val="0"/>
        <w:i w:val="0"/>
        <w:color w:val="546E7A"/>
        <w:sz w:val="16"/>
      </w:rPr>
      <w:t xml:space="preserv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SAKTI USP and Strategy Guide</dc:title>
  <dc:subject>Structured USP, product strategy, and implementation guide for IP-SAKTI Sahayak</dc:subject>
  <dc:creator>IP-SAKTI Team</dc:creator>
  <cp:keywords>IP-SAKTI, Ayurveda, USP, strategy, Shastra-Anchor, Protection Map</cp:keywords>
  <dc:description>generated by python-docx</dc:description>
  <cp:lastModifiedBy/>
  <cp:revision>1</cp:revision>
  <dcterms:created xsi:type="dcterms:W3CDTF">2013-12-23T23:15:00Z</dcterms:created>
  <dcterms:modified xsi:type="dcterms:W3CDTF">2013-12-23T23:15:00Z</dcterms:modified>
  <cp:category/>
</cp:coreProperties>
</file>