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95"/>
        <w:gridCol w:w="1883"/>
        <w:gridCol w:w="2097"/>
        <w:gridCol w:w="3460"/>
      </w:tblGrid>
      <w:tr w:rsidR="00CB0AC0" w:rsidRPr="00CB0AC0" w14:paraId="609AFCC1" w14:textId="77777777" w:rsidTr="00F82BBB">
        <w:tc>
          <w:tcPr>
            <w:tcW w:w="0" w:type="auto"/>
            <w:hideMark/>
          </w:tcPr>
          <w:p w14:paraId="5862C779" w14:textId="77777777" w:rsidR="00CB0AC0" w:rsidRPr="00CB0AC0" w:rsidRDefault="00CB0AC0" w:rsidP="00CB0AC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608B4093" w14:textId="77777777" w:rsidR="00CB0AC0" w:rsidRPr="00CB0AC0" w:rsidRDefault="00CB0AC0" w:rsidP="00CB0AC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Director of Engineering (Big Tech L8)</w:t>
            </w:r>
          </w:p>
        </w:tc>
        <w:tc>
          <w:tcPr>
            <w:tcW w:w="0" w:type="auto"/>
            <w:hideMark/>
          </w:tcPr>
          <w:p w14:paraId="59393C84" w14:textId="77777777" w:rsidR="00CB0AC0" w:rsidRPr="00CB0AC0" w:rsidRDefault="00CB0AC0" w:rsidP="00CB0AC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Senior Director of Engineering (Big Tech L9)</w:t>
            </w:r>
          </w:p>
        </w:tc>
        <w:tc>
          <w:tcPr>
            <w:tcW w:w="3460" w:type="dxa"/>
            <w:hideMark/>
          </w:tcPr>
          <w:p w14:paraId="03D36A20" w14:textId="77777777" w:rsidR="00CB0AC0" w:rsidRPr="00CB0AC0" w:rsidRDefault="00CB0AC0" w:rsidP="00CB0AC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GLU Proposed Offer — Chief Technology Officer &amp; Co-Founder</w:t>
            </w:r>
          </w:p>
        </w:tc>
      </w:tr>
      <w:tr w:rsidR="00CB0AC0" w:rsidRPr="00CB0AC0" w14:paraId="142BE981" w14:textId="77777777" w:rsidTr="00F82BBB">
        <w:tc>
          <w:tcPr>
            <w:tcW w:w="0" w:type="auto"/>
            <w:hideMark/>
          </w:tcPr>
          <w:p w14:paraId="34DF5B9E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Level (internal)</w:t>
            </w:r>
          </w:p>
        </w:tc>
        <w:tc>
          <w:tcPr>
            <w:tcW w:w="0" w:type="auto"/>
            <w:hideMark/>
          </w:tcPr>
          <w:p w14:paraId="77CA9EA0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L8</w:t>
            </w:r>
          </w:p>
        </w:tc>
        <w:tc>
          <w:tcPr>
            <w:tcW w:w="0" w:type="auto"/>
            <w:hideMark/>
          </w:tcPr>
          <w:p w14:paraId="33346559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L9</w:t>
            </w:r>
          </w:p>
        </w:tc>
        <w:tc>
          <w:tcPr>
            <w:tcW w:w="3460" w:type="dxa"/>
            <w:hideMark/>
          </w:tcPr>
          <w:p w14:paraId="7C20DF85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Equivalent in scope to L9; C-suite and founder-level authority</w:t>
            </w:r>
          </w:p>
        </w:tc>
      </w:tr>
      <w:tr w:rsidR="00CB0AC0" w:rsidRPr="00CB0AC0" w14:paraId="7A104224" w14:textId="77777777" w:rsidTr="00F82BBB">
        <w:tc>
          <w:tcPr>
            <w:tcW w:w="0" w:type="auto"/>
            <w:hideMark/>
          </w:tcPr>
          <w:p w14:paraId="73A9BAD3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Salary (USD / year)</w:t>
            </w:r>
          </w:p>
        </w:tc>
        <w:tc>
          <w:tcPr>
            <w:tcW w:w="0" w:type="auto"/>
            <w:hideMark/>
          </w:tcPr>
          <w:p w14:paraId="51711CFF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$230K – $250K</w:t>
            </w:r>
          </w:p>
        </w:tc>
        <w:tc>
          <w:tcPr>
            <w:tcW w:w="0" w:type="auto"/>
            <w:hideMark/>
          </w:tcPr>
          <w:p w14:paraId="7B725580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$260K – $320K</w:t>
            </w:r>
          </w:p>
        </w:tc>
        <w:tc>
          <w:tcPr>
            <w:tcW w:w="3460" w:type="dxa"/>
            <w:hideMark/>
          </w:tcPr>
          <w:p w14:paraId="6C46FACC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Pre-financing:</w:t>
            </w: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$120K – $160K (modest cash, early-stage)   </w:t>
            </w: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Post-financing:</w:t>
            </w: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$200K – $250K</w:t>
            </w:r>
          </w:p>
        </w:tc>
      </w:tr>
      <w:tr w:rsidR="00CB0AC0" w:rsidRPr="00CB0AC0" w14:paraId="7A598D4D" w14:textId="77777777" w:rsidTr="00F82BBB">
        <w:tc>
          <w:tcPr>
            <w:tcW w:w="0" w:type="auto"/>
            <w:hideMark/>
          </w:tcPr>
          <w:p w14:paraId="5CC65DC8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Compensation (USD / year)</w:t>
            </w:r>
          </w:p>
        </w:tc>
        <w:tc>
          <w:tcPr>
            <w:tcW w:w="0" w:type="auto"/>
            <w:hideMark/>
          </w:tcPr>
          <w:p w14:paraId="4108A17D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$500K – $900K</w:t>
            </w:r>
          </w:p>
        </w:tc>
        <w:tc>
          <w:tcPr>
            <w:tcW w:w="0" w:type="auto"/>
            <w:hideMark/>
          </w:tcPr>
          <w:p w14:paraId="03281E77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$625K – $1.1M +</w:t>
            </w:r>
          </w:p>
        </w:tc>
        <w:tc>
          <w:tcPr>
            <w:tcW w:w="3460" w:type="dxa"/>
            <w:hideMark/>
          </w:tcPr>
          <w:p w14:paraId="35257DD8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Pre-financing:</w:t>
            </w: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≈ $150K cash + substantial founder equity   </w:t>
            </w: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Post-financing:</w:t>
            </w: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$300K – $500K blended (cash + equity growth)</w:t>
            </w:r>
          </w:p>
        </w:tc>
      </w:tr>
      <w:tr w:rsidR="00CB0AC0" w:rsidRPr="00CB0AC0" w14:paraId="17B8CD68" w14:textId="77777777" w:rsidTr="00F82BBB">
        <w:tc>
          <w:tcPr>
            <w:tcW w:w="0" w:type="auto"/>
            <w:hideMark/>
          </w:tcPr>
          <w:p w14:paraId="588EBEE7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Bonus / Performance Pay</w:t>
            </w:r>
          </w:p>
        </w:tc>
        <w:tc>
          <w:tcPr>
            <w:tcW w:w="0" w:type="auto"/>
            <w:hideMark/>
          </w:tcPr>
          <w:p w14:paraId="773E8E63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– 10 % of base</w:t>
            </w:r>
          </w:p>
        </w:tc>
        <w:tc>
          <w:tcPr>
            <w:tcW w:w="0" w:type="auto"/>
            <w:hideMark/>
          </w:tcPr>
          <w:p w14:paraId="35E97070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– 15 % of base</w:t>
            </w:r>
          </w:p>
        </w:tc>
        <w:tc>
          <w:tcPr>
            <w:tcW w:w="3460" w:type="dxa"/>
            <w:hideMark/>
          </w:tcPr>
          <w:p w14:paraId="578B57EC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Performance-based, milestone-driven (funding, product, growth targets)</w:t>
            </w:r>
          </w:p>
        </w:tc>
      </w:tr>
      <w:tr w:rsidR="00CB0AC0" w:rsidRPr="00CB0AC0" w14:paraId="7D74D28C" w14:textId="77777777" w:rsidTr="00F82BBB">
        <w:tc>
          <w:tcPr>
            <w:tcW w:w="0" w:type="auto"/>
            <w:hideMark/>
          </w:tcPr>
          <w:p w14:paraId="27ACCC00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Equity / RSUs (annualized)</w:t>
            </w:r>
          </w:p>
        </w:tc>
        <w:tc>
          <w:tcPr>
            <w:tcW w:w="0" w:type="auto"/>
            <w:hideMark/>
          </w:tcPr>
          <w:p w14:paraId="2B1ADED6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$200K – $500K</w:t>
            </w:r>
          </w:p>
        </w:tc>
        <w:tc>
          <w:tcPr>
            <w:tcW w:w="0" w:type="auto"/>
            <w:hideMark/>
          </w:tcPr>
          <w:p w14:paraId="40E3927B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$350K – $800K +</w:t>
            </w:r>
          </w:p>
        </w:tc>
        <w:tc>
          <w:tcPr>
            <w:tcW w:w="3460" w:type="dxa"/>
            <w:hideMark/>
          </w:tcPr>
          <w:p w14:paraId="7577513F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Founding-stage options with meaningful ownership; large long-term upside (“pot of gold”)</w:t>
            </w:r>
          </w:p>
        </w:tc>
      </w:tr>
      <w:tr w:rsidR="00CB0AC0" w:rsidRPr="00CB0AC0" w14:paraId="1CB15C48" w14:textId="77777777" w:rsidTr="00F82BBB">
        <w:tc>
          <w:tcPr>
            <w:tcW w:w="0" w:type="auto"/>
            <w:hideMark/>
          </w:tcPr>
          <w:p w14:paraId="05BE3E06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Stock Vesting</w:t>
            </w:r>
          </w:p>
        </w:tc>
        <w:tc>
          <w:tcPr>
            <w:tcW w:w="0" w:type="auto"/>
            <w:hideMark/>
          </w:tcPr>
          <w:p w14:paraId="6E5E14B7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yrs (5/15/40/40)</w:t>
            </w:r>
          </w:p>
        </w:tc>
        <w:tc>
          <w:tcPr>
            <w:tcW w:w="0" w:type="auto"/>
            <w:hideMark/>
          </w:tcPr>
          <w:p w14:paraId="2A4D9496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yrs (same)</w:t>
            </w:r>
          </w:p>
        </w:tc>
        <w:tc>
          <w:tcPr>
            <w:tcW w:w="3460" w:type="dxa"/>
            <w:hideMark/>
          </w:tcPr>
          <w:p w14:paraId="7D4A0BBD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yrs with 1-yr cliff; refresh on Series A or major milestone</w:t>
            </w:r>
          </w:p>
        </w:tc>
      </w:tr>
      <w:tr w:rsidR="00CB0AC0" w:rsidRPr="00CB0AC0" w14:paraId="365F5E99" w14:textId="77777777" w:rsidTr="00F82BBB">
        <w:tc>
          <w:tcPr>
            <w:tcW w:w="0" w:type="auto"/>
            <w:hideMark/>
          </w:tcPr>
          <w:p w14:paraId="5B2DEAFB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 of Role</w:t>
            </w:r>
          </w:p>
        </w:tc>
        <w:tc>
          <w:tcPr>
            <w:tcW w:w="0" w:type="auto"/>
            <w:hideMark/>
          </w:tcPr>
          <w:p w14:paraId="0B9C7B33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50–150 engineers</w:t>
            </w:r>
          </w:p>
        </w:tc>
        <w:tc>
          <w:tcPr>
            <w:tcW w:w="0" w:type="auto"/>
            <w:hideMark/>
          </w:tcPr>
          <w:p w14:paraId="0D2F091B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Oversees 200–500 + engineers</w:t>
            </w:r>
          </w:p>
        </w:tc>
        <w:tc>
          <w:tcPr>
            <w:tcW w:w="3460" w:type="dxa"/>
            <w:hideMark/>
          </w:tcPr>
          <w:p w14:paraId="607CFF6A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and scale GLU’s engineering; design architecture, AI systems and workflow foundation</w:t>
            </w:r>
          </w:p>
        </w:tc>
      </w:tr>
      <w:tr w:rsidR="00CB0AC0" w:rsidRPr="00CB0AC0" w14:paraId="512C1054" w14:textId="77777777" w:rsidTr="00F82BBB">
        <w:tc>
          <w:tcPr>
            <w:tcW w:w="0" w:type="auto"/>
            <w:hideMark/>
          </w:tcPr>
          <w:p w14:paraId="03BCEC4D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 Line</w:t>
            </w:r>
          </w:p>
        </w:tc>
        <w:tc>
          <w:tcPr>
            <w:tcW w:w="0" w:type="auto"/>
            <w:hideMark/>
          </w:tcPr>
          <w:p w14:paraId="01C1FBDA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VP or Sr. Director</w:t>
            </w:r>
          </w:p>
        </w:tc>
        <w:tc>
          <w:tcPr>
            <w:tcW w:w="0" w:type="auto"/>
            <w:hideMark/>
          </w:tcPr>
          <w:p w14:paraId="09E77E50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VP / SVP</w:t>
            </w:r>
          </w:p>
        </w:tc>
        <w:tc>
          <w:tcPr>
            <w:tcW w:w="3460" w:type="dxa"/>
            <w:hideMark/>
          </w:tcPr>
          <w:p w14:paraId="10E58BAC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 directly to CEO / Board; co-owns product strategy and technology roadmap</w:t>
            </w:r>
          </w:p>
        </w:tc>
      </w:tr>
      <w:tr w:rsidR="00CB0AC0" w:rsidRPr="00CB0AC0" w14:paraId="312BFE16" w14:textId="77777777" w:rsidTr="00F82BBB">
        <w:tc>
          <w:tcPr>
            <w:tcW w:w="0" w:type="auto"/>
            <w:hideMark/>
          </w:tcPr>
          <w:p w14:paraId="227B42B8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Decision-Making Impact</w:t>
            </w:r>
          </w:p>
        </w:tc>
        <w:tc>
          <w:tcPr>
            <w:tcW w:w="0" w:type="auto"/>
            <w:hideMark/>
          </w:tcPr>
          <w:p w14:paraId="6DBB40B1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Tactical / executional</w:t>
            </w:r>
          </w:p>
        </w:tc>
        <w:tc>
          <w:tcPr>
            <w:tcW w:w="0" w:type="auto"/>
            <w:hideMark/>
          </w:tcPr>
          <w:p w14:paraId="43ADBAD0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/ organizational</w:t>
            </w:r>
          </w:p>
        </w:tc>
        <w:tc>
          <w:tcPr>
            <w:tcW w:w="3460" w:type="dxa"/>
            <w:hideMark/>
          </w:tcPr>
          <w:p w14:paraId="7AE4A8C8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Foundational and strategic — sets technology direction, culture and standards</w:t>
            </w:r>
          </w:p>
        </w:tc>
      </w:tr>
      <w:tr w:rsidR="00CB0AC0" w:rsidRPr="00CB0AC0" w14:paraId="2E7D8503" w14:textId="77777777" w:rsidTr="00F82BBB">
        <w:tc>
          <w:tcPr>
            <w:tcW w:w="0" w:type="auto"/>
            <w:hideMark/>
          </w:tcPr>
          <w:p w14:paraId="7FBF6E60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Promotion Path</w:t>
            </w:r>
          </w:p>
        </w:tc>
        <w:tc>
          <w:tcPr>
            <w:tcW w:w="0" w:type="auto"/>
            <w:hideMark/>
          </w:tcPr>
          <w:p w14:paraId="6DFA57A7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Senior Director (L9)</w:t>
            </w:r>
          </w:p>
        </w:tc>
        <w:tc>
          <w:tcPr>
            <w:tcW w:w="0" w:type="auto"/>
            <w:hideMark/>
          </w:tcPr>
          <w:p w14:paraId="38018865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VP of Engineering (L10)</w:t>
            </w:r>
          </w:p>
        </w:tc>
        <w:tc>
          <w:tcPr>
            <w:tcW w:w="3460" w:type="dxa"/>
            <w:hideMark/>
          </w:tcPr>
          <w:p w14:paraId="2DDA65BB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Board Member / Company Founder / Venture Partner / Future Investor</w:t>
            </w:r>
          </w:p>
        </w:tc>
      </w:tr>
      <w:tr w:rsidR="00CB0AC0" w:rsidRPr="00CB0AC0" w14:paraId="63C95BFF" w14:textId="77777777" w:rsidTr="00F82BBB">
        <w:tc>
          <w:tcPr>
            <w:tcW w:w="0" w:type="auto"/>
            <w:hideMark/>
          </w:tcPr>
          <w:p w14:paraId="206481E8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Common Locations</w:t>
            </w:r>
          </w:p>
        </w:tc>
        <w:tc>
          <w:tcPr>
            <w:tcW w:w="0" w:type="auto"/>
            <w:hideMark/>
          </w:tcPr>
          <w:p w14:paraId="4AD87580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Seattle, NYC, Austin</w:t>
            </w:r>
          </w:p>
        </w:tc>
        <w:tc>
          <w:tcPr>
            <w:tcW w:w="0" w:type="auto"/>
            <w:hideMark/>
          </w:tcPr>
          <w:p w14:paraId="6D208FA1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Bay Area, Seattle HQ</w:t>
            </w:r>
          </w:p>
        </w:tc>
        <w:tc>
          <w:tcPr>
            <w:tcW w:w="3460" w:type="dxa"/>
            <w:hideMark/>
          </w:tcPr>
          <w:p w14:paraId="1533156B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 or remote; Bay Area / Seattle preferred; full founder flexibility</w:t>
            </w:r>
          </w:p>
        </w:tc>
      </w:tr>
      <w:tr w:rsidR="00CB0AC0" w:rsidRPr="00CB0AC0" w14:paraId="13A20829" w14:textId="77777777" w:rsidTr="00F82BBB">
        <w:tc>
          <w:tcPr>
            <w:tcW w:w="0" w:type="auto"/>
            <w:hideMark/>
          </w:tcPr>
          <w:p w14:paraId="3EDB3355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Annual Cash (Base + Bonus)</w:t>
            </w:r>
          </w:p>
        </w:tc>
        <w:tc>
          <w:tcPr>
            <w:tcW w:w="0" w:type="auto"/>
            <w:hideMark/>
          </w:tcPr>
          <w:p w14:paraId="7A4D1AB8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$250K – $275K</w:t>
            </w:r>
          </w:p>
        </w:tc>
        <w:tc>
          <w:tcPr>
            <w:tcW w:w="0" w:type="auto"/>
            <w:hideMark/>
          </w:tcPr>
          <w:p w14:paraId="7B06F2AF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$300K – $360K</w:t>
            </w:r>
          </w:p>
        </w:tc>
        <w:tc>
          <w:tcPr>
            <w:tcW w:w="3460" w:type="dxa"/>
            <w:hideMark/>
          </w:tcPr>
          <w:p w14:paraId="54992EB7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Pre-financing:</w:t>
            </w: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$130K – $170K   </w:t>
            </w: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Post-financing:</w:t>
            </w: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$200K – $260K + bonus potential</w:t>
            </w:r>
          </w:p>
        </w:tc>
      </w:tr>
      <w:tr w:rsidR="00CB0AC0" w:rsidRPr="00CB0AC0" w14:paraId="00781024" w14:textId="77777777" w:rsidTr="00F82BBB">
        <w:tc>
          <w:tcPr>
            <w:tcW w:w="0" w:type="auto"/>
            <w:hideMark/>
          </w:tcPr>
          <w:p w14:paraId="4A1FD307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Annual Equity Value</w:t>
            </w:r>
          </w:p>
        </w:tc>
        <w:tc>
          <w:tcPr>
            <w:tcW w:w="0" w:type="auto"/>
            <w:hideMark/>
          </w:tcPr>
          <w:p w14:paraId="41EF8DFB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$200K – $400K</w:t>
            </w:r>
          </w:p>
        </w:tc>
        <w:tc>
          <w:tcPr>
            <w:tcW w:w="0" w:type="auto"/>
            <w:hideMark/>
          </w:tcPr>
          <w:p w14:paraId="1E26B93E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$400K – $750K</w:t>
            </w:r>
          </w:p>
        </w:tc>
        <w:tc>
          <w:tcPr>
            <w:tcW w:w="3460" w:type="dxa"/>
            <w:hideMark/>
          </w:tcPr>
          <w:p w14:paraId="4E9D37F2" w14:textId="77777777" w:rsidR="00CB0AC0" w:rsidRPr="00CB0AC0" w:rsidRDefault="00CB0AC0" w:rsidP="00CB0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Pre-financing:</w:t>
            </w: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High-leverage founder options   </w:t>
            </w:r>
            <w:r w:rsidRPr="00CB0A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Post-financing:</w:t>
            </w:r>
            <w:r w:rsidRPr="00CB0A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Re-priced RSUs or equity at Series A valuation</w:t>
            </w:r>
          </w:p>
        </w:tc>
      </w:tr>
    </w:tbl>
    <w:p w14:paraId="051E6F7D" w14:textId="77777777" w:rsidR="0057720C" w:rsidRDefault="0057720C"/>
    <w:sectPr w:rsidR="0057720C" w:rsidSect="00B06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46"/>
    <w:rsid w:val="00070F55"/>
    <w:rsid w:val="0057720C"/>
    <w:rsid w:val="006D4A13"/>
    <w:rsid w:val="008323B0"/>
    <w:rsid w:val="00A67046"/>
    <w:rsid w:val="00B06FF6"/>
    <w:rsid w:val="00B910F7"/>
    <w:rsid w:val="00CB0AC0"/>
    <w:rsid w:val="00E83C7E"/>
    <w:rsid w:val="00F8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479500-F33D-CB4B-833A-4FE7409C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04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B0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B0AC0"/>
  </w:style>
  <w:style w:type="character" w:customStyle="1" w:styleId="apple-converted-space">
    <w:name w:val="apple-converted-space"/>
    <w:basedOn w:val="DefaultParagraphFont"/>
    <w:rsid w:val="00CB0AC0"/>
  </w:style>
  <w:style w:type="table" w:styleId="TableGrid">
    <w:name w:val="Table Grid"/>
    <w:basedOn w:val="TableNormal"/>
    <w:uiPriority w:val="39"/>
    <w:rsid w:val="00CB0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Forman</dc:creator>
  <cp:keywords/>
  <dc:description/>
  <cp:lastModifiedBy>Ed Forman</cp:lastModifiedBy>
  <cp:revision>3</cp:revision>
  <dcterms:created xsi:type="dcterms:W3CDTF">2025-10-24T21:12:00Z</dcterms:created>
  <dcterms:modified xsi:type="dcterms:W3CDTF">2025-10-24T21:15:00Z</dcterms:modified>
</cp:coreProperties>
</file>