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GLU Homepage Storyboard — “We Are the Answer”</w:t>
      </w:r>
    </w:p>
    <w:p>
      <w:pPr>
        <w:pStyle w:val="Subtitle"/>
        <w:jc w:val="center"/>
      </w:pPr>
      <w:r>
        <w:t>Merged 10-Panel Narrative + Motion Design Brief</w:t>
      </w:r>
    </w:p>
    <w:p>
      <w:pPr>
        <w:jc w:val="center"/>
      </w:pPr>
      <w:r>
        <w:t>October 2025</w:t>
      </w:r>
    </w:p>
    <w:p>
      <w:pPr>
        <w:jc w:val="center"/>
      </w:pPr>
      <w:r>
        <w:t>This version presents the fixed-grid layout of the GLU Homepage Storyboard, combining Shopify-style rhythm and motion context with clear, fixed-height screen panels. Each panel pairs the on-screen narrative with its design intent, representing a full-screen viewer experience.</w:t>
      </w:r>
    </w:p>
    <w:p>
      <w:r>
        <w:br w:type="page"/>
      </w:r>
    </w:p>
    <w:p>
      <w:pPr>
        <w:pStyle w:val="Heading2"/>
      </w:pPr>
      <w:r>
        <w:t>Panel 1: Hero — Be the Answer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00"/>
        <w:gridCol w:w="5200"/>
      </w:tblGrid>
      <w:tr>
        <w:tc>
          <w:tcPr>
            <w:tcW w:type="dxa" w:w="4320"/>
            <w:vAlign w:val="center"/>
          </w:tcPr>
          <w:p/>
          <w:p>
            <w:pPr>
              <w:jc w:val="center"/>
            </w:pPr>
            <w:r>
              <w:rPr>
                <w:sz w:val="24"/>
              </w:rPr>
              <w:t>When customers ask, AI decides.</w:t>
              <w:br/>
              <w:br/>
              <w:t>GLU makes sure AI’s answer is you.</w:t>
              <w:br/>
              <w:br/>
              <w:t>Pet food for my 2‑month‑old kitten?</w:t>
              <w:br/>
              <w:t>Best moisturizer for dry skin?</w:t>
              <w:br/>
              <w:t>Running shoes for flat feet?</w:t>
              <w:br/>
              <w:br/>
              <w:t>With GLU, you’re the Answer.</w:t>
              <w:br/>
              <w:br/>
              <w:t>[Join the GLU Beta →]</w:t>
            </w:r>
          </w:p>
        </w:tc>
        <w:tc>
          <w:tcPr>
            <w:tcW w:type="dxa" w:w="4320"/>
            <w:vAlign w:val="center"/>
          </w:tcPr>
          <w:p/>
          <w:p>
            <w:pPr>
              <w:jc w:val="center"/>
            </w:pPr>
            <w:r>
              <w:rPr>
                <w:sz w:val="22"/>
              </w:rPr>
              <w:t>Animated chat cycles through vertical questions → confident AI reply: “With GLU, you’re the Answer.” Dual‑energy reveal of GLU + merchant.</w:t>
            </w:r>
          </w:p>
        </w:tc>
      </w:tr>
    </w:tbl>
    <w:p/>
    <w:p>
      <w:r>
        <w:br w:type="page"/>
      </w:r>
    </w:p>
    <w:p>
      <w:pPr>
        <w:pStyle w:val="Heading2"/>
      </w:pPr>
      <w:r>
        <w:t>Panel 2: Welcome to the Age of Answers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00"/>
        <w:gridCol w:w="5200"/>
      </w:tblGrid>
      <w:tr>
        <w:tc>
          <w:tcPr>
            <w:tcW w:type="dxa" w:w="4320"/>
            <w:vAlign w:val="center"/>
          </w:tcPr>
          <w:p/>
          <w:p>
            <w:pPr>
              <w:jc w:val="center"/>
            </w:pPr>
            <w:r>
              <w:rPr>
                <w:sz w:val="24"/>
              </w:rPr>
              <w:t>Search was about options.</w:t>
              <w:br/>
              <w:t>AI is about answers.</w:t>
              <w:br/>
              <w:br/>
              <w:t>Customers don’t browse—they ask.</w:t>
              <w:br/>
              <w:t>AI doesn’t suggest—it decides.</w:t>
              <w:br/>
              <w:br/>
              <w:t>GLU structures your data.</w:t>
              <w:br/>
              <w:t>You shape your story.</w:t>
              <w:br/>
              <w:br/>
              <w:t>Together, we’re the Answer.</w:t>
            </w:r>
          </w:p>
        </w:tc>
        <w:tc>
          <w:tcPr>
            <w:tcW w:type="dxa" w:w="4320"/>
            <w:vAlign w:val="center"/>
          </w:tcPr>
          <w:p/>
          <w:p>
            <w:pPr>
              <w:jc w:val="center"/>
            </w:pPr>
            <w:r>
              <w:rPr>
                <w:sz w:val="22"/>
              </w:rPr>
              <w:t>Search box fades into chat window. Each phrase appears with fade and slight zoom. Final line glows with dual‑tone shimmer.</w:t>
            </w:r>
          </w:p>
        </w:tc>
      </w:tr>
    </w:tbl>
    <w:p/>
    <w:p>
      <w:r>
        <w:br w:type="page"/>
      </w:r>
    </w:p>
    <w:p>
      <w:pPr>
        <w:pStyle w:val="Heading2"/>
      </w:pPr>
      <w:r>
        <w:t>Panel 3: The New Economics of Discovery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00"/>
        <w:gridCol w:w="5200"/>
      </w:tblGrid>
      <w:tr>
        <w:tc>
          <w:tcPr>
            <w:tcW w:type="dxa" w:w="4320"/>
            <w:vAlign w:val="center"/>
          </w:tcPr>
          <w:p/>
          <w:p>
            <w:pPr>
              <w:jc w:val="center"/>
            </w:pPr>
            <w:r>
              <w:rPr>
                <w:sz w:val="24"/>
              </w:rPr>
              <w:t>Answer Share = Market Share.</w:t>
              <w:br/>
              <w:br/>
              <w:t>When AI gives one recommendation instead of ten links,</w:t>
              <w:br/>
              <w:t>being the answer means owning the sale.</w:t>
              <w:br/>
              <w:br/>
              <w:t>In the Age of Answers, visibility becomes currency.</w:t>
            </w:r>
          </w:p>
        </w:tc>
        <w:tc>
          <w:tcPr>
            <w:tcW w:type="dxa" w:w="4320"/>
            <w:vAlign w:val="center"/>
          </w:tcPr>
          <w:p/>
          <w:p>
            <w:pPr>
              <w:jc w:val="center"/>
            </w:pPr>
            <w:r>
              <w:rPr>
                <w:sz w:val="22"/>
              </w:rPr>
              <w:t>Flowing coins converge into a glowing 'Answer' emblem — subtle GLU logo integration.</w:t>
            </w:r>
          </w:p>
        </w:tc>
      </w:tr>
    </w:tbl>
    <w:p/>
    <w:p>
      <w:r>
        <w:br w:type="page"/>
      </w:r>
    </w:p>
    <w:p>
      <w:pPr>
        <w:pStyle w:val="Heading2"/>
      </w:pPr>
      <w:r>
        <w:t>Panel 4: Built for Shopify Merchants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00"/>
        <w:gridCol w:w="5200"/>
      </w:tblGrid>
      <w:tr>
        <w:tc>
          <w:tcPr>
            <w:tcW w:type="dxa" w:w="4320"/>
            <w:vAlign w:val="center"/>
          </w:tcPr>
          <w:p/>
          <w:p>
            <w:pPr>
              <w:jc w:val="center"/>
            </w:pPr>
            <w:r>
              <w:rPr>
                <w:sz w:val="24"/>
              </w:rPr>
              <w:t>GLU works where you already work.</w:t>
              <w:br/>
              <w:br/>
              <w:t>No spreadsheets.</w:t>
              <w:br/>
              <w:t>No dashboards.</w:t>
              <w:br/>
              <w:br/>
              <w:t>Schema updates happen automatically inside your Shopify admin.</w:t>
              <w:br/>
              <w:br/>
              <w:t>Set it once. Stay in sync.</w:t>
            </w:r>
          </w:p>
        </w:tc>
        <w:tc>
          <w:tcPr>
            <w:tcW w:type="dxa" w:w="4320"/>
            <w:vAlign w:val="center"/>
          </w:tcPr>
          <w:p/>
          <w:p>
            <w:pPr>
              <w:jc w:val="center"/>
            </w:pPr>
            <w:r>
              <w:rPr>
                <w:sz w:val="22"/>
              </w:rPr>
              <w:t>Shopify admin animates with 'GLU Active' badge; settings panel fills with synced data.</w:t>
            </w:r>
          </w:p>
        </w:tc>
      </w:tr>
    </w:tbl>
    <w:p/>
    <w:p>
      <w:r>
        <w:br w:type="page"/>
      </w:r>
    </w:p>
    <w:p>
      <w:pPr>
        <w:pStyle w:val="Heading2"/>
      </w:pPr>
      <w:r>
        <w:t>Panel 5: Before / After — AI Without GLU vs With GLU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00"/>
        <w:gridCol w:w="5200"/>
      </w:tblGrid>
      <w:tr>
        <w:tc>
          <w:tcPr>
            <w:tcW w:type="dxa" w:w="4320"/>
            <w:vAlign w:val="center"/>
          </w:tcPr>
          <w:p/>
          <w:p>
            <w:pPr>
              <w:jc w:val="center"/>
            </w:pPr>
            <w:r>
              <w:rPr>
                <w:sz w:val="24"/>
              </w:rPr>
              <w:t>Without GLU:</w:t>
              <w:br/>
              <w:t>AI guesses.</w:t>
              <w:br/>
              <w:br/>
              <w:t>With GLU:</w:t>
              <w:br/>
              <w:t>AI knows.</w:t>
              <w:br/>
              <w:br/>
              <w:t>GLU gives AI the clarity to recommend your products confidently.</w:t>
            </w:r>
          </w:p>
        </w:tc>
        <w:tc>
          <w:tcPr>
            <w:tcW w:type="dxa" w:w="4320"/>
            <w:vAlign w:val="center"/>
          </w:tcPr>
          <w:p/>
          <w:p>
            <w:pPr>
              <w:jc w:val="center"/>
            </w:pPr>
            <w:r>
              <w:rPr>
                <w:sz w:val="22"/>
              </w:rPr>
              <w:t>Split screen — left dull AI chat with uncertainty; right bright response card with your brand and price.</w:t>
            </w:r>
          </w:p>
        </w:tc>
      </w:tr>
    </w:tbl>
    <w:p/>
    <w:p>
      <w:r>
        <w:br w:type="page"/>
      </w:r>
    </w:p>
    <w:p>
      <w:pPr>
        <w:pStyle w:val="Heading2"/>
      </w:pPr>
      <w:r>
        <w:t>Panel 6: The Answer Engine — How GLU Works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00"/>
        <w:gridCol w:w="5200"/>
      </w:tblGrid>
      <w:tr>
        <w:tc>
          <w:tcPr>
            <w:tcW w:type="dxa" w:w="4320"/>
            <w:vAlign w:val="center"/>
          </w:tcPr>
          <w:p/>
          <w:p>
            <w:pPr>
              <w:jc w:val="center"/>
            </w:pPr>
            <w:r>
              <w:rPr>
                <w:sz w:val="24"/>
              </w:rPr>
              <w:t>1️⃣ Connect your store.</w:t>
              <w:br/>
              <w:t>2️⃣ We structure your data.</w:t>
              <w:br/>
              <w:t>3️⃣ You become the Answer.</w:t>
              <w:br/>
              <w:br/>
              <w:t>GLU translates your catalog into the language of AI.</w:t>
            </w:r>
          </w:p>
        </w:tc>
        <w:tc>
          <w:tcPr>
            <w:tcW w:type="dxa" w:w="4320"/>
            <w:vAlign w:val="center"/>
          </w:tcPr>
          <w:p/>
          <w:p>
            <w:pPr>
              <w:jc w:val="center"/>
            </w:pPr>
            <w:r>
              <w:rPr>
                <w:sz w:val="22"/>
              </w:rPr>
              <w:t>Flow animation: Shopify → GLU → AI → consumer query resolution ‘You’re the Answer’.</w:t>
            </w:r>
          </w:p>
        </w:tc>
      </w:tr>
    </w:tbl>
    <w:p/>
    <w:p>
      <w:r>
        <w:br w:type="page"/>
      </w:r>
    </w:p>
    <w:p>
      <w:pPr>
        <w:pStyle w:val="Heading2"/>
      </w:pPr>
      <w:r>
        <w:t>Panel 7: In 30 Days, AI Knows You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00"/>
        <w:gridCol w:w="5200"/>
      </w:tblGrid>
      <w:tr>
        <w:tc>
          <w:tcPr>
            <w:tcW w:type="dxa" w:w="4320"/>
            <w:vAlign w:val="center"/>
          </w:tcPr>
          <w:p/>
          <w:p>
            <w:pPr>
              <w:jc w:val="center"/>
            </w:pPr>
            <w:r>
              <w:rPr>
                <w:sz w:val="24"/>
              </w:rPr>
              <w:t>Day 1: Install GLU Beta → Auto audit.</w:t>
              <w:br/>
              <w:t>Day 7: Data refreshed.</w:t>
              <w:br/>
              <w:t>Day 14: Visibility report.</w:t>
              <w:br/>
              <w:t>Day 30: Your products appear in AI answers.</w:t>
              <w:br/>
              <w:br/>
              <w:t>Proof inside Shopify analytics.</w:t>
            </w:r>
          </w:p>
        </w:tc>
        <w:tc>
          <w:tcPr>
            <w:tcW w:type="dxa" w:w="4320"/>
            <w:vAlign w:val="center"/>
          </w:tcPr>
          <w:p/>
          <w:p>
            <w:pPr>
              <w:jc w:val="center"/>
            </w:pPr>
            <w:r>
              <w:rPr>
                <w:sz w:val="22"/>
              </w:rPr>
              <w:t>Timeline bar fills 0→30 days with milestone markers that highlight progress.</w:t>
            </w:r>
          </w:p>
        </w:tc>
      </w:tr>
    </w:tbl>
    <w:p/>
    <w:p>
      <w:r>
        <w:br w:type="page"/>
      </w:r>
    </w:p>
    <w:p>
      <w:pPr>
        <w:pStyle w:val="Heading2"/>
      </w:pPr>
      <w:r>
        <w:t>Panel 8: Human + AI — Partnership, Not Replacement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00"/>
        <w:gridCol w:w="5200"/>
      </w:tblGrid>
      <w:tr>
        <w:tc>
          <w:tcPr>
            <w:tcW w:type="dxa" w:w="4320"/>
            <w:vAlign w:val="center"/>
          </w:tcPr>
          <w:p/>
          <w:p>
            <w:pPr>
              <w:jc w:val="center"/>
            </w:pPr>
            <w:r>
              <w:rPr>
                <w:sz w:val="24"/>
              </w:rPr>
              <w:t>GLU automates what machines do best.</w:t>
              <w:br/>
              <w:br/>
              <w:t>You remain the storyteller behind your brand.</w:t>
              <w:br/>
              <w:br/>
              <w:t>Together, we’re the Answer.</w:t>
            </w:r>
          </w:p>
        </w:tc>
        <w:tc>
          <w:tcPr>
            <w:tcW w:type="dxa" w:w="4320"/>
            <w:vAlign w:val="center"/>
          </w:tcPr>
          <w:p/>
          <w:p>
            <w:pPr>
              <w:jc w:val="center"/>
            </w:pPr>
            <w:r>
              <w:rPr>
                <w:sz w:val="22"/>
              </w:rPr>
              <w:t>Two light streams merge into unified 'Answer' graphic; human silhouette overlays at merge point.</w:t>
            </w:r>
          </w:p>
        </w:tc>
      </w:tr>
    </w:tbl>
    <w:p/>
    <w:p>
      <w:r>
        <w:br w:type="page"/>
      </w:r>
    </w:p>
    <w:p>
      <w:pPr>
        <w:pStyle w:val="Heading2"/>
      </w:pPr>
      <w:r>
        <w:t>Panel 9: How GLU Stands Apart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00"/>
        <w:gridCol w:w="5200"/>
      </w:tblGrid>
      <w:tr>
        <w:tc>
          <w:tcPr>
            <w:tcW w:type="dxa" w:w="4320"/>
            <w:vAlign w:val="center"/>
          </w:tcPr>
          <w:p/>
          <w:p>
            <w:pPr>
              <w:jc w:val="center"/>
            </w:pPr>
            <w:r>
              <w:rPr>
                <w:sz w:val="24"/>
              </w:rPr>
              <w:t>Legacy SEO Tools | Agencies | GLU</w:t>
              <w:br/>
              <w:t>Manual markup | Outsourced effort | One‑click automation</w:t>
              <w:br/>
              <w:t>Search results | Reports | AI answers</w:t>
              <w:br/>
              <w:t>Slow updates | Billable hours | Automatic schema refresh</w:t>
              <w:br/>
              <w:br/>
              <w:t>GLU is built for the Age of Answers.</w:t>
            </w:r>
          </w:p>
        </w:tc>
        <w:tc>
          <w:tcPr>
            <w:tcW w:type="dxa" w:w="4320"/>
            <w:vAlign w:val="center"/>
          </w:tcPr>
          <w:p/>
          <w:p>
            <w:pPr>
              <w:jc w:val="center"/>
            </w:pPr>
            <w:r>
              <w:rPr>
                <w:sz w:val="22"/>
              </w:rPr>
              <w:t>Columns animate upward like bar chart; GLU column lights up with gentle pulse.</w:t>
            </w:r>
          </w:p>
        </w:tc>
      </w:tr>
    </w:tbl>
    <w:p/>
    <w:p>
      <w:r>
        <w:br w:type="page"/>
      </w:r>
    </w:p>
    <w:p>
      <w:pPr>
        <w:pStyle w:val="Heading2"/>
      </w:pPr>
      <w:r>
        <w:t>Panel 10: Beta Invitation — Be First. Be Found. Be the Answer.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00"/>
        <w:gridCol w:w="5200"/>
      </w:tblGrid>
      <w:tr>
        <w:tc>
          <w:tcPr>
            <w:tcW w:type="dxa" w:w="4320"/>
            <w:vAlign w:val="center"/>
          </w:tcPr>
          <w:p/>
          <w:p>
            <w:pPr>
              <w:jc w:val="center"/>
            </w:pPr>
            <w:r>
              <w:rPr>
                <w:sz w:val="24"/>
              </w:rPr>
              <w:t>Join merchants shaping the Age of Answers.</w:t>
              <w:br/>
              <w:t>White‑glove onboarding + early access.</w:t>
              <w:br/>
              <w:br/>
              <w:t>GLU + You = The Answer.</w:t>
              <w:br/>
              <w:br/>
              <w:t>[Join the GLU Beta →]</w:t>
            </w:r>
          </w:p>
        </w:tc>
        <w:tc>
          <w:tcPr>
            <w:tcW w:type="dxa" w:w="4320"/>
            <w:vAlign w:val="center"/>
          </w:tcPr>
          <w:p/>
          <w:p>
            <w:pPr>
              <w:jc w:val="center"/>
            </w:pPr>
            <w:r>
              <w:rPr>
                <w:sz w:val="22"/>
              </w:rPr>
              <w:t>CTA pulse effect with fade‑in testimonial quote snippet and soft blue background glow.</w:t>
            </w:r>
          </w:p>
        </w:tc>
      </w:tr>
    </w:tbl>
    <w:p/>
    <w:p>
      <w:r>
        <w:br w:type="page"/>
      </w:r>
    </w:p>
    <w:p>
      <w:pPr>
        <w:pStyle w:val="Heading1"/>
      </w:pPr>
      <w:r>
        <w:t>Design Implementation Summary</w:t>
      </w:r>
    </w:p>
    <w:p>
      <w:r>
        <w:t>• Responsive scroll layout: each panel full‑height, adaptive on desktop and mobile.</w:t>
        <w:br/>
        <w:t>• Centered typography in Shopify Sans Display for narrative voice.</w:t>
        <w:br/>
        <w:t>• Dual palette: GLU Blue (#0055FF) and Merchant Gold (#FFC700) for human‑AI dualism.</w:t>
        <w:br/>
        <w:t>• Smooth crossfade transitions between panels; rhythm syncs with scroll speed.</w:t>
        <w:br/>
        <w:t>• CTA hover micro‑animations and accessible contrast ratios.</w:t>
        <w:br/>
        <w:t>• All content vertically centered to mirror actual viewport balance.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