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0000"/>
          <w:sz w:val="36"/>
        </w:rPr>
        <w:t>Frequent Mental Distress Prediction Using Air Pollution</w:t>
      </w:r>
    </w:p>
    <w:p>
      <w:r>
        <w:t>SIADS 696 Final Project Report | Team 7</w:t>
      </w:r>
    </w:p>
    <w:p>
      <w:r>
        <w:rPr>
          <w:b/>
        </w:rPr>
        <w:t>Jaeah Kim, Kyle Rodriguez, Sophia Boettcher</w:t>
      </w:r>
    </w:p>
    <w:p>
      <w:pPr>
        <w:pStyle w:val="Heading1"/>
      </w:pPr>
      <w:r>
        <w:t>Introduction</w:t>
      </w:r>
    </w:p>
    <w:p>
      <w:r>
        <w:t>This project asks whether county-level environmental and socioeconomic profiles can predict future mental health need. The outcome is CDC PLACES frequent mental distress (FMD), the share of adults reporting poor mental health for 14 or more days in the past month. The practical motivation is resource planning: if environmental and social indicators can help identify future mental-health burden, counties and public-health agencies could better target outreach, prevention, and behavioral-health capacity.</w:t>
      </w:r>
    </w:p>
    <w:p>
      <w:r>
        <w:t>We used both supervised and unsupervised learning. The supervised task predicts next-year FMD from current-year county features using Dummy, ElasticNet, Random Forest, and Gradient Boosting regressors. The unsupervised task compares density-based DBSCAN clustering with centroid-based K-Means clustering to identify socio-environmental county profiles. Compared with related studies that focus primarily on individual cohorts or single exposure families, our contribution is an enriched county-year panel and a leakage-safe predictive/exploratory pipeline combining pollution, climate, ACS socioeconomic variables, industry composition, and health-access proxies.</w:t>
      </w:r>
    </w:p>
    <w:p>
      <w:r>
        <w:t>The main supervised finding is cautious: the best model was Random Forest tuned with holdout RMSE 1.98, compared with the Dummy baseline RMSE 2.43. The improvement suggests weak signal, but the holdout R² remains near zero, so the model is not ready for policy forecasting. The main unsupervised finding is that both DBSCAN and K-Means separate a small set of structurally unusual counties from a dominant majority group; cluster-level FMD differences are exploratory rather than causal.</w:t>
      </w:r>
    </w:p>
    <w:p>
      <w:pPr>
        <w:pStyle w:val="Heading1"/>
      </w:pPr>
      <w:r>
        <w:t>Related Work</w:t>
      </w:r>
    </w:p>
    <w:p>
      <w:pPr>
        <w:pStyle w:val="Caption"/>
        <w:jc w:val="left"/>
      </w:pPr>
      <w:r>
        <w:t>Table 1. Related studies and how this project differs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1900"/>
            <w:vAlign w:val="center"/>
            <w:tcMar>
              <w:top w:w="60" w:type="dxa"/>
              <w:start w:w="100" w:type="dxa"/>
              <w:bottom w:w="60" w:type="dxa"/>
              <w:end w:w="100" w:type="dxa"/>
            </w:tcMar>
          </w:tcPr>
          <w:p>
            <w:pPr>
              <w:spacing w:after="0"/>
            </w:pPr>
            <w:r>
              <w:rPr>
                <w:rFonts w:ascii="Arial" w:hAnsi="Arial"/>
                <w:b/>
                <w:color w:val="000000"/>
                <w:sz w:val="18"/>
              </w:rPr>
              <w:t>Study / resource</w:t>
            </w:r>
          </w:p>
        </w:tc>
        <w:tc>
          <w:tcPr>
            <w:tcW w:type="dxa" w:w="3700"/>
            <w:vAlign w:val="center"/>
            <w:tcMar>
              <w:top w:w="60" w:type="dxa"/>
              <w:start w:w="100" w:type="dxa"/>
              <w:bottom w:w="60" w:type="dxa"/>
              <w:end w:w="100" w:type="dxa"/>
            </w:tcMar>
          </w:tcPr>
          <w:p>
            <w:pPr>
              <w:spacing w:after="0"/>
            </w:pPr>
            <w:r>
              <w:rPr>
                <w:rFonts w:ascii="Arial" w:hAnsi="Arial"/>
                <w:b/>
                <w:color w:val="000000"/>
                <w:sz w:val="18"/>
              </w:rPr>
              <w:t>1-2 sentence summary</w:t>
            </w:r>
          </w:p>
        </w:tc>
        <w:tc>
          <w:tcPr>
            <w:tcW w:type="dxa" w:w="3760"/>
            <w:vAlign w:val="center"/>
            <w:tcMar>
              <w:top w:w="60" w:type="dxa"/>
              <w:start w:w="100" w:type="dxa"/>
              <w:bottom w:w="60" w:type="dxa"/>
              <w:end w:w="100" w:type="dxa"/>
            </w:tcMar>
          </w:tcPr>
          <w:p>
            <w:pPr>
              <w:spacing w:after="0"/>
            </w:pPr>
            <w:r>
              <w:rPr>
                <w:rFonts w:ascii="Arial" w:hAnsi="Arial"/>
                <w:b/>
                <w:color w:val="000000"/>
                <w:sz w:val="18"/>
              </w:rPr>
              <w:t>Difference from this project</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Park et al., PM2.5/PM10 and depression risk in KLoSA</w:t>
            </w:r>
          </w:p>
        </w:tc>
        <w:tc>
          <w:tcPr>
            <w:tcW w:type="dxa" w:w="3700"/>
            <w:vAlign w:val="center"/>
            <w:tcMar>
              <w:top w:w="60" w:type="dxa"/>
              <w:start w:w="100" w:type="dxa"/>
              <w:bottom w:w="60" w:type="dxa"/>
              <w:end w:w="100" w:type="dxa"/>
            </w:tcMar>
          </w:tcPr>
          <w:p>
            <w:pPr>
              <w:spacing w:after="0"/>
            </w:pPr>
            <w:r>
              <w:rPr>
                <w:rFonts w:ascii="Arial" w:hAnsi="Arial"/>
                <w:color w:val="000000"/>
                <w:sz w:val="18"/>
              </w:rPr>
              <w:t>This study found that prolonged exposure to particulate matter was associated with elevated depression risk among middle-aged and older adults in South Korea.</w:t>
            </w:r>
          </w:p>
        </w:tc>
        <w:tc>
          <w:tcPr>
            <w:tcW w:type="dxa" w:w="3760"/>
            <w:vAlign w:val="center"/>
            <w:tcMar>
              <w:top w:w="60" w:type="dxa"/>
              <w:start w:w="100" w:type="dxa"/>
              <w:bottom w:w="60" w:type="dxa"/>
              <w:end w:w="100" w:type="dxa"/>
            </w:tcMar>
          </w:tcPr>
          <w:p>
            <w:pPr>
              <w:spacing w:after="0"/>
            </w:pPr>
            <w:r>
              <w:rPr>
                <w:rFonts w:ascii="Arial" w:hAnsi="Arial"/>
                <w:color w:val="000000"/>
                <w:sz w:val="18"/>
              </w:rPr>
              <w:t>It is individual/cohort-based and non-U.S.; our project is county-level, U.S.-wide, and predictive/exploratory rather than causal.</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Lei et al., neighborhood environment and mental health in China</w:t>
            </w:r>
          </w:p>
        </w:tc>
        <w:tc>
          <w:tcPr>
            <w:tcW w:type="dxa" w:w="3700"/>
            <w:vAlign w:val="center"/>
            <w:tcMar>
              <w:top w:w="60" w:type="dxa"/>
              <w:start w:w="100" w:type="dxa"/>
              <w:bottom w:w="60" w:type="dxa"/>
              <w:end w:w="100" w:type="dxa"/>
            </w:tcMar>
          </w:tcPr>
          <w:p>
            <w:pPr>
              <w:spacing w:after="0"/>
            </w:pPr>
            <w:r>
              <w:rPr>
                <w:rFonts w:ascii="Arial" w:hAnsi="Arial"/>
                <w:color w:val="000000"/>
                <w:sz w:val="18"/>
              </w:rPr>
              <w:t>This work links perceived pollution, neighborhood conditions, and socioeconomic status to mental health outcomes.</w:t>
            </w:r>
          </w:p>
        </w:tc>
        <w:tc>
          <w:tcPr>
            <w:tcW w:type="dxa" w:w="3760"/>
            <w:vAlign w:val="center"/>
            <w:tcMar>
              <w:top w:w="60" w:type="dxa"/>
              <w:start w:w="100" w:type="dxa"/>
              <w:bottom w:w="60" w:type="dxa"/>
              <w:end w:w="100" w:type="dxa"/>
            </w:tcMar>
          </w:tcPr>
          <w:p>
            <w:pPr>
              <w:spacing w:after="0"/>
            </w:pPr>
            <w:r>
              <w:rPr>
                <w:rFonts w:ascii="Arial" w:hAnsi="Arial"/>
                <w:color w:val="000000"/>
                <w:sz w:val="18"/>
              </w:rPr>
              <w:t>Our project uses measured county-level AQI/climate variables and ML clustering rather than perception-based neighborhood measures.</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Werder et al., Gulf Long-Term Follow-up Study</w:t>
            </w:r>
          </w:p>
        </w:tc>
        <w:tc>
          <w:tcPr>
            <w:tcW w:type="dxa" w:w="3700"/>
            <w:vAlign w:val="center"/>
            <w:tcMar>
              <w:top w:w="60" w:type="dxa"/>
              <w:start w:w="100" w:type="dxa"/>
              <w:bottom w:w="60" w:type="dxa"/>
              <w:end w:w="100" w:type="dxa"/>
            </w:tcMar>
          </w:tcPr>
          <w:p>
            <w:pPr>
              <w:spacing w:after="0"/>
            </w:pPr>
            <w:r>
              <w:rPr>
                <w:rFonts w:ascii="Arial" w:hAnsi="Arial"/>
                <w:color w:val="000000"/>
                <w:sz w:val="18"/>
              </w:rPr>
              <w:t>This U.S.-based study examines environmental exposures such as PM2.5 and greenspace in relation to depression in the Southeastern U.S.</w:t>
            </w:r>
          </w:p>
        </w:tc>
        <w:tc>
          <w:tcPr>
            <w:tcW w:type="dxa" w:w="3760"/>
            <w:vAlign w:val="center"/>
            <w:tcMar>
              <w:top w:w="60" w:type="dxa"/>
              <w:start w:w="100" w:type="dxa"/>
              <w:bottom w:w="60" w:type="dxa"/>
              <w:end w:w="100" w:type="dxa"/>
            </w:tcMar>
          </w:tcPr>
          <w:p>
            <w:pPr>
              <w:spacing w:after="0"/>
            </w:pPr>
            <w:r>
              <w:rPr>
                <w:rFonts w:ascii="Arial" w:hAnsi="Arial"/>
                <w:color w:val="000000"/>
                <w:sz w:val="18"/>
              </w:rPr>
              <w:t>Our project expands geographically across U.S. counties and adds supervised next-year prediction plus unsupervised county profiling.</w:t>
            </w:r>
          </w:p>
        </w:tc>
      </w:tr>
    </w:tbl>
    <w:p/>
    <w:p>
      <w:pPr>
        <w:pStyle w:val="Heading1"/>
      </w:pPr>
      <w:r>
        <w:t>Data Sources</w:t>
      </w:r>
    </w:p>
    <w:p>
      <w:r>
        <w:t>The final enriched panel contains 14,748 county-year rows from 2019-2023. Data were merged by five-digit county GEOID. The supervised target uses year t features to predict year t+1 FMD, and the unsupervised analysis uses the latest available year for cross-sectional county profiling.</w:t>
      </w:r>
    </w:p>
    <w:p>
      <w:pPr>
        <w:pStyle w:val="Caption"/>
        <w:jc w:val="left"/>
      </w:pPr>
      <w:r>
        <w:t>Table 2. Data sources, formats, variables, and coverage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1700"/>
            <w:vAlign w:val="center"/>
            <w:tcMar>
              <w:top w:w="60" w:type="dxa"/>
              <w:start w:w="100" w:type="dxa"/>
              <w:bottom w:w="60" w:type="dxa"/>
              <w:end w:w="100" w:type="dxa"/>
            </w:tcMar>
          </w:tcPr>
          <w:p>
            <w:pPr>
              <w:spacing w:after="0"/>
            </w:pPr>
            <w:r>
              <w:rPr>
                <w:rFonts w:ascii="Arial" w:hAnsi="Arial"/>
                <w:b/>
                <w:color w:val="000000"/>
                <w:sz w:val="18"/>
              </w:rPr>
              <w:t>Source</w:t>
            </w:r>
          </w:p>
        </w:tc>
        <w:tc>
          <w:tcPr>
            <w:tcW w:type="dxa" w:w="2100"/>
            <w:vAlign w:val="center"/>
            <w:tcMar>
              <w:top w:w="60" w:type="dxa"/>
              <w:start w:w="100" w:type="dxa"/>
              <w:bottom w:w="60" w:type="dxa"/>
              <w:end w:w="100" w:type="dxa"/>
            </w:tcMar>
          </w:tcPr>
          <w:p>
            <w:pPr>
              <w:spacing w:after="0"/>
            </w:pPr>
            <w:r>
              <w:rPr>
                <w:rFonts w:ascii="Arial" w:hAnsi="Arial"/>
                <w:b/>
                <w:color w:val="000000"/>
                <w:sz w:val="18"/>
              </w:rPr>
              <w:t>Location / format</w:t>
            </w:r>
          </w:p>
        </w:tc>
        <w:tc>
          <w:tcPr>
            <w:tcW w:type="dxa" w:w="3600"/>
            <w:vAlign w:val="center"/>
            <w:tcMar>
              <w:top w:w="60" w:type="dxa"/>
              <w:start w:w="100" w:type="dxa"/>
              <w:bottom w:w="60" w:type="dxa"/>
              <w:end w:w="100" w:type="dxa"/>
            </w:tcMar>
          </w:tcPr>
          <w:p>
            <w:pPr>
              <w:spacing w:after="0"/>
            </w:pPr>
            <w:r>
              <w:rPr>
                <w:rFonts w:ascii="Arial" w:hAnsi="Arial"/>
                <w:b/>
                <w:color w:val="000000"/>
                <w:sz w:val="18"/>
              </w:rPr>
              <w:t>Important variables</w:t>
            </w:r>
          </w:p>
        </w:tc>
        <w:tc>
          <w:tcPr>
            <w:tcW w:type="dxa" w:w="1960"/>
            <w:vAlign w:val="center"/>
            <w:tcMar>
              <w:top w:w="60" w:type="dxa"/>
              <w:start w:w="100" w:type="dxa"/>
              <w:bottom w:w="60" w:type="dxa"/>
              <w:end w:w="100" w:type="dxa"/>
            </w:tcMar>
          </w:tcPr>
          <w:p>
            <w:pPr>
              <w:spacing w:after="0"/>
            </w:pPr>
            <w:r>
              <w:rPr>
                <w:rFonts w:ascii="Arial" w:hAnsi="Arial"/>
                <w:b/>
                <w:color w:val="000000"/>
                <w:sz w:val="18"/>
              </w:rPr>
              <w:t>Coverage</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CDC PLACES</w:t>
            </w:r>
          </w:p>
        </w:tc>
        <w:tc>
          <w:tcPr>
            <w:tcW w:type="dxa" w:w="2100"/>
            <w:vAlign w:val="center"/>
            <w:tcMar>
              <w:top w:w="60" w:type="dxa"/>
              <w:start w:w="100" w:type="dxa"/>
              <w:bottom w:w="60" w:type="dxa"/>
              <w:end w:w="100" w:type="dxa"/>
            </w:tcMar>
          </w:tcPr>
          <w:p>
            <w:pPr>
              <w:spacing w:after="0"/>
            </w:pPr>
            <w:r>
              <w:rPr>
                <w:rFonts w:ascii="Arial" w:hAnsi="Arial"/>
                <w:color w:val="000000"/>
                <w:sz w:val="18"/>
              </w:rPr>
              <w:t>data.cdc.gov CSV</w:t>
            </w:r>
          </w:p>
        </w:tc>
        <w:tc>
          <w:tcPr>
            <w:tcW w:type="dxa" w:w="3600"/>
            <w:vAlign w:val="center"/>
            <w:tcMar>
              <w:top w:w="60" w:type="dxa"/>
              <w:start w:w="100" w:type="dxa"/>
              <w:bottom w:w="60" w:type="dxa"/>
              <w:end w:w="100" w:type="dxa"/>
            </w:tcMar>
          </w:tcPr>
          <w:p>
            <w:pPr>
              <w:spacing w:after="0"/>
            </w:pPr>
            <w:r>
              <w:rPr>
                <w:rFonts w:ascii="Arial" w:hAnsi="Arial"/>
                <w:color w:val="000000"/>
                <w:sz w:val="18"/>
              </w:rPr>
              <w:t>FMD prevalence, lower/upper CI</w:t>
            </w:r>
          </w:p>
        </w:tc>
        <w:tc>
          <w:tcPr>
            <w:tcW w:type="dxa" w:w="1960"/>
            <w:vAlign w:val="center"/>
            <w:tcMar>
              <w:top w:w="60" w:type="dxa"/>
              <w:start w:w="100" w:type="dxa"/>
              <w:bottom w:w="60" w:type="dxa"/>
              <w:end w:w="100" w:type="dxa"/>
            </w:tcMar>
          </w:tcPr>
          <w:p>
            <w:pPr>
              <w:spacing w:after="0"/>
            </w:pPr>
            <w:r>
              <w:rPr>
                <w:rFonts w:ascii="Arial" w:hAnsi="Arial"/>
                <w:color w:val="000000"/>
                <w:sz w:val="18"/>
              </w:rPr>
              <w:t>County-level annual health estimates</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EPA AirData annual</w:t>
            </w:r>
          </w:p>
        </w:tc>
        <w:tc>
          <w:tcPr>
            <w:tcW w:type="dxa" w:w="2100"/>
            <w:vAlign w:val="center"/>
            <w:tcMar>
              <w:top w:w="60" w:type="dxa"/>
              <w:start w:w="100" w:type="dxa"/>
              <w:bottom w:w="60" w:type="dxa"/>
              <w:end w:w="100" w:type="dxa"/>
            </w:tcMar>
          </w:tcPr>
          <w:p>
            <w:pPr>
              <w:spacing w:after="0"/>
            </w:pPr>
            <w:r>
              <w:rPr>
                <w:rFonts w:ascii="Arial" w:hAnsi="Arial"/>
                <w:color w:val="000000"/>
                <w:sz w:val="18"/>
              </w:rPr>
              <w:t>EPA CSV</w:t>
            </w:r>
          </w:p>
        </w:tc>
        <w:tc>
          <w:tcPr>
            <w:tcW w:type="dxa" w:w="3600"/>
            <w:vAlign w:val="center"/>
            <w:tcMar>
              <w:top w:w="60" w:type="dxa"/>
              <w:start w:w="100" w:type="dxa"/>
              <w:bottom w:w="60" w:type="dxa"/>
              <w:end w:w="100" w:type="dxa"/>
            </w:tcMar>
          </w:tcPr>
          <w:p>
            <w:pPr>
              <w:spacing w:after="0"/>
            </w:pPr>
            <w:r>
              <w:rPr>
                <w:rFonts w:ascii="Arial" w:hAnsi="Arial"/>
                <w:color w:val="000000"/>
                <w:sz w:val="18"/>
              </w:rPr>
              <w:t>Days with AQI, Max AQI, Median AQI, pollutant-day variables</w:t>
            </w:r>
          </w:p>
        </w:tc>
        <w:tc>
          <w:tcPr>
            <w:tcW w:type="dxa" w:w="1960"/>
            <w:vAlign w:val="center"/>
            <w:tcMar>
              <w:top w:w="60" w:type="dxa"/>
              <w:start w:w="100" w:type="dxa"/>
              <w:bottom w:w="60" w:type="dxa"/>
              <w:end w:w="100" w:type="dxa"/>
            </w:tcMar>
          </w:tcPr>
          <w:p>
            <w:pPr>
              <w:spacing w:after="0"/>
            </w:pPr>
            <w:r>
              <w:rPr>
                <w:rFonts w:ascii="Arial" w:hAnsi="Arial"/>
                <w:color w:val="000000"/>
                <w:sz w:val="18"/>
              </w:rPr>
              <w:t>Annual AQI summaries by county</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EPA daily AQI</w:t>
            </w:r>
          </w:p>
        </w:tc>
        <w:tc>
          <w:tcPr>
            <w:tcW w:type="dxa" w:w="2100"/>
            <w:vAlign w:val="center"/>
            <w:tcMar>
              <w:top w:w="60" w:type="dxa"/>
              <w:start w:w="100" w:type="dxa"/>
              <w:bottom w:w="60" w:type="dxa"/>
              <w:end w:w="100" w:type="dxa"/>
            </w:tcMar>
          </w:tcPr>
          <w:p>
            <w:pPr>
              <w:spacing w:after="0"/>
            </w:pPr>
            <w:r>
              <w:rPr>
                <w:rFonts w:ascii="Arial" w:hAnsi="Arial"/>
                <w:color w:val="000000"/>
                <w:sz w:val="18"/>
              </w:rPr>
              <w:t>EPA ZIP/CSV</w:t>
            </w:r>
          </w:p>
        </w:tc>
        <w:tc>
          <w:tcPr>
            <w:tcW w:type="dxa" w:w="3600"/>
            <w:vAlign w:val="center"/>
            <w:tcMar>
              <w:top w:w="60" w:type="dxa"/>
              <w:start w:w="100" w:type="dxa"/>
              <w:bottom w:w="60" w:type="dxa"/>
              <w:end w:w="100" w:type="dxa"/>
            </w:tcMar>
          </w:tcPr>
          <w:p>
            <w:pPr>
              <w:spacing w:after="0"/>
            </w:pPr>
            <w:r>
              <w:rPr>
                <w:rFonts w:ascii="Arial" w:hAnsi="Arial"/>
                <w:color w:val="000000"/>
                <w:sz w:val="18"/>
              </w:rPr>
              <w:t>Daily AQI mean/std/p90/max, threshold days above 100/150/200</w:t>
            </w:r>
          </w:p>
        </w:tc>
        <w:tc>
          <w:tcPr>
            <w:tcW w:type="dxa" w:w="1960"/>
            <w:vAlign w:val="center"/>
            <w:tcMar>
              <w:top w:w="60" w:type="dxa"/>
              <w:start w:w="100" w:type="dxa"/>
              <w:bottom w:w="60" w:type="dxa"/>
              <w:end w:w="100" w:type="dxa"/>
            </w:tcMar>
          </w:tcPr>
          <w:p>
            <w:pPr>
              <w:spacing w:after="0"/>
            </w:pPr>
            <w:r>
              <w:rPr>
                <w:rFonts w:ascii="Arial" w:hAnsi="Arial"/>
                <w:color w:val="000000"/>
                <w:sz w:val="18"/>
              </w:rPr>
              <w:t>Daily monitor counties; sparse coverage</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ACS 5-year bulk tables</w:t>
            </w:r>
          </w:p>
        </w:tc>
        <w:tc>
          <w:tcPr>
            <w:tcW w:type="dxa" w:w="2100"/>
            <w:vAlign w:val="center"/>
            <w:tcMar>
              <w:top w:w="60" w:type="dxa"/>
              <w:start w:w="100" w:type="dxa"/>
              <w:bottom w:w="60" w:type="dxa"/>
              <w:end w:w="100" w:type="dxa"/>
            </w:tcMar>
          </w:tcPr>
          <w:p>
            <w:pPr>
              <w:spacing w:after="0"/>
            </w:pPr>
            <w:r>
              <w:rPr>
                <w:rFonts w:ascii="Arial" w:hAnsi="Arial"/>
                <w:color w:val="000000"/>
                <w:sz w:val="18"/>
              </w:rPr>
              <w:t>Census pipe-delimited .dat</w:t>
            </w:r>
          </w:p>
        </w:tc>
        <w:tc>
          <w:tcPr>
            <w:tcW w:type="dxa" w:w="3600"/>
            <w:vAlign w:val="center"/>
            <w:tcMar>
              <w:top w:w="60" w:type="dxa"/>
              <w:start w:w="100" w:type="dxa"/>
              <w:bottom w:w="60" w:type="dxa"/>
              <w:end w:w="100" w:type="dxa"/>
            </w:tcMar>
          </w:tcPr>
          <w:p>
            <w:pPr>
              <w:spacing w:after="0"/>
            </w:pPr>
            <w:r>
              <w:rPr>
                <w:rFonts w:ascii="Arial" w:hAnsi="Arial"/>
                <w:color w:val="000000"/>
                <w:sz w:val="18"/>
              </w:rPr>
              <w:t>Income, poverty, unemployment, education, insurance, industry composition</w:t>
            </w:r>
          </w:p>
        </w:tc>
        <w:tc>
          <w:tcPr>
            <w:tcW w:type="dxa" w:w="1960"/>
            <w:vAlign w:val="center"/>
            <w:tcMar>
              <w:top w:w="60" w:type="dxa"/>
              <w:start w:w="100" w:type="dxa"/>
              <w:bottom w:w="60" w:type="dxa"/>
              <w:end w:w="100" w:type="dxa"/>
            </w:tcMar>
          </w:tcPr>
          <w:p>
            <w:pPr>
              <w:spacing w:after="0"/>
            </w:pPr>
            <w:r>
              <w:rPr>
                <w:rFonts w:ascii="Arial" w:hAnsi="Arial"/>
                <w:color w:val="000000"/>
                <w:sz w:val="18"/>
              </w:rPr>
              <w:t>County socioeconomic controls</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NOAA Climate at a Glance</w:t>
            </w:r>
          </w:p>
        </w:tc>
        <w:tc>
          <w:tcPr>
            <w:tcW w:type="dxa" w:w="2100"/>
            <w:vAlign w:val="center"/>
            <w:tcMar>
              <w:top w:w="60" w:type="dxa"/>
              <w:start w:w="100" w:type="dxa"/>
              <w:bottom w:w="60" w:type="dxa"/>
              <w:end w:w="100" w:type="dxa"/>
            </w:tcMar>
          </w:tcPr>
          <w:p>
            <w:pPr>
              <w:spacing w:after="0"/>
            </w:pPr>
            <w:r>
              <w:rPr>
                <w:rFonts w:ascii="Arial" w:hAnsi="Arial"/>
                <w:color w:val="000000"/>
                <w:sz w:val="18"/>
              </w:rPr>
              <w:t>JSON</w:t>
            </w:r>
          </w:p>
        </w:tc>
        <w:tc>
          <w:tcPr>
            <w:tcW w:type="dxa" w:w="3600"/>
            <w:vAlign w:val="center"/>
            <w:tcMar>
              <w:top w:w="60" w:type="dxa"/>
              <w:start w:w="100" w:type="dxa"/>
              <w:bottom w:w="60" w:type="dxa"/>
              <w:end w:w="100" w:type="dxa"/>
            </w:tcMar>
          </w:tcPr>
          <w:p>
            <w:pPr>
              <w:spacing w:after="0"/>
            </w:pPr>
            <w:r>
              <w:rPr>
                <w:rFonts w:ascii="Arial" w:hAnsi="Arial"/>
                <w:color w:val="000000"/>
                <w:sz w:val="18"/>
              </w:rPr>
              <w:t>Annual temperature, precipitation, anomalies</w:t>
            </w:r>
          </w:p>
        </w:tc>
        <w:tc>
          <w:tcPr>
            <w:tcW w:type="dxa" w:w="1960"/>
            <w:vAlign w:val="center"/>
            <w:tcMar>
              <w:top w:w="60" w:type="dxa"/>
              <w:start w:w="100" w:type="dxa"/>
              <w:bottom w:w="60" w:type="dxa"/>
              <w:end w:w="100" w:type="dxa"/>
            </w:tcMar>
          </w:tcPr>
          <w:p>
            <w:pPr>
              <w:spacing w:after="0"/>
            </w:pPr>
            <w:r>
              <w:rPr>
                <w:rFonts w:ascii="Arial" w:hAnsi="Arial"/>
                <w:color w:val="000000"/>
                <w:sz w:val="18"/>
              </w:rPr>
              <w:t>County climate profiles</w:t>
            </w:r>
          </w:p>
        </w:tc>
      </w:tr>
      <w:tr>
        <w:tc>
          <w:tcPr>
            <w:tcW w:type="dxa" w:w="1700"/>
            <w:vAlign w:val="center"/>
            <w:tcMar>
              <w:top w:w="60" w:type="dxa"/>
              <w:start w:w="100" w:type="dxa"/>
              <w:bottom w:w="60" w:type="dxa"/>
              <w:end w:w="100" w:type="dxa"/>
            </w:tcMar>
          </w:tcPr>
          <w:p>
            <w:pPr>
              <w:spacing w:after="0"/>
            </w:pPr>
            <w:r>
              <w:rPr>
                <w:rFonts w:ascii="Arial" w:hAnsi="Arial"/>
                <w:color w:val="000000"/>
                <w:sz w:val="18"/>
              </w:rPr>
              <w:t>Census boundaries</w:t>
            </w:r>
          </w:p>
        </w:tc>
        <w:tc>
          <w:tcPr>
            <w:tcW w:type="dxa" w:w="2100"/>
            <w:vAlign w:val="center"/>
            <w:tcMar>
              <w:top w:w="60" w:type="dxa"/>
              <w:start w:w="100" w:type="dxa"/>
              <w:bottom w:w="60" w:type="dxa"/>
              <w:end w:w="100" w:type="dxa"/>
            </w:tcMar>
          </w:tcPr>
          <w:p>
            <w:pPr>
              <w:spacing w:after="0"/>
            </w:pPr>
            <w:r>
              <w:rPr>
                <w:rFonts w:ascii="Arial" w:hAnsi="Arial"/>
                <w:color w:val="000000"/>
                <w:sz w:val="18"/>
              </w:rPr>
              <w:t>Shapefile ZIP</w:t>
            </w:r>
          </w:p>
        </w:tc>
        <w:tc>
          <w:tcPr>
            <w:tcW w:type="dxa" w:w="3600"/>
            <w:vAlign w:val="center"/>
            <w:tcMar>
              <w:top w:w="60" w:type="dxa"/>
              <w:start w:w="100" w:type="dxa"/>
              <w:bottom w:w="60" w:type="dxa"/>
              <w:end w:w="100" w:type="dxa"/>
            </w:tcMar>
          </w:tcPr>
          <w:p>
            <w:pPr>
              <w:spacing w:after="0"/>
            </w:pPr>
            <w:r>
              <w:rPr>
                <w:rFonts w:ascii="Arial" w:hAnsi="Arial"/>
                <w:color w:val="000000"/>
                <w:sz w:val="18"/>
              </w:rPr>
              <w:t>County geometries</w:t>
            </w:r>
          </w:p>
        </w:tc>
        <w:tc>
          <w:tcPr>
            <w:tcW w:type="dxa" w:w="1960"/>
            <w:vAlign w:val="center"/>
            <w:tcMar>
              <w:top w:w="60" w:type="dxa"/>
              <w:start w:w="100" w:type="dxa"/>
              <w:bottom w:w="60" w:type="dxa"/>
              <w:end w:w="100" w:type="dxa"/>
            </w:tcMar>
          </w:tcPr>
          <w:p>
            <w:pPr>
              <w:spacing w:after="0"/>
            </w:pPr>
            <w:r>
              <w:rPr>
                <w:rFonts w:ascii="Arial" w:hAnsi="Arial"/>
                <w:color w:val="000000"/>
                <w:sz w:val="18"/>
              </w:rPr>
              <w:t>Mapping and spatial visualization</w:t>
            </w:r>
          </w:p>
        </w:tc>
      </w:tr>
    </w:tbl>
    <w:p/>
    <w:p>
      <w:pPr>
        <w:pStyle w:val="Heading1"/>
      </w:pPr>
      <w:r>
        <w:t>Feature Engineering</w:t>
      </w:r>
    </w:p>
    <w:p>
      <w:pPr>
        <w:pStyle w:val="ListBullet"/>
      </w:pPr>
      <w:r>
        <w:t>Merged CDC PLACES, EPA, ACS, NOAA, and Census geography by county GEOID.</w:t>
      </w:r>
    </w:p>
    <w:p>
      <w:pPr>
        <w:pStyle w:val="ListBullet"/>
      </w:pPr>
      <w:r>
        <w:t>Engineered next-year FMD by shifting mental_health_prevalence forward within each county.</w:t>
      </w:r>
    </w:p>
    <w:p>
      <w:pPr>
        <w:pStyle w:val="ListBullet"/>
      </w:pPr>
      <w:r>
        <w:t>Excluded FMD and FMD confidence intervals from unsupervised clustering; FMD is reintroduced only as a held-out outcome.</w:t>
      </w:r>
    </w:p>
    <w:p>
      <w:pPr>
        <w:pStyle w:val="ListBullet"/>
      </w:pPr>
      <w:r>
        <w:t>Median-imputed sparse EPA daily AQI features in modeling pipelines.</w:t>
      </w:r>
    </w:p>
    <w:p>
      <w:pPr>
        <w:pStyle w:val="ListBullet"/>
      </w:pPr>
      <w:r>
        <w:t>Cleaned sentinel missing values in income-like fields before the rubric-completion rerun.</w:t>
      </w:r>
    </w:p>
    <w:p>
      <w:pPr>
        <w:pStyle w:val="ListBullet"/>
      </w:pPr>
      <w:r>
        <w:t>Standardized numeric features for ElasticNet and unsupervised clustering.</w:t>
      </w:r>
    </w:p>
    <w:p>
      <w:pPr>
        <w:pStyle w:val="Caption"/>
        <w:jc w:val="left"/>
      </w:pPr>
      <w:r>
        <w:t>Table 3. Feature families and leakage controls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1900"/>
            <w:vAlign w:val="center"/>
            <w:tcMar>
              <w:top w:w="60" w:type="dxa"/>
              <w:start w:w="100" w:type="dxa"/>
              <w:bottom w:w="60" w:type="dxa"/>
              <w:end w:w="100" w:type="dxa"/>
            </w:tcMar>
          </w:tcPr>
          <w:p>
            <w:pPr>
              <w:spacing w:after="0"/>
            </w:pPr>
            <w:r>
              <w:rPr>
                <w:rFonts w:ascii="Arial" w:hAnsi="Arial"/>
                <w:b/>
                <w:color w:val="000000"/>
                <w:sz w:val="18"/>
              </w:rPr>
              <w:t>Feature family</w:t>
            </w:r>
          </w:p>
        </w:tc>
        <w:tc>
          <w:tcPr>
            <w:tcW w:type="dxa" w:w="3900"/>
            <w:vAlign w:val="center"/>
            <w:tcMar>
              <w:top w:w="60" w:type="dxa"/>
              <w:start w:w="100" w:type="dxa"/>
              <w:bottom w:w="60" w:type="dxa"/>
              <w:end w:w="100" w:type="dxa"/>
            </w:tcMar>
          </w:tcPr>
          <w:p>
            <w:pPr>
              <w:spacing w:after="0"/>
            </w:pPr>
            <w:r>
              <w:rPr>
                <w:rFonts w:ascii="Arial" w:hAnsi="Arial"/>
                <w:b/>
                <w:color w:val="000000"/>
                <w:sz w:val="18"/>
              </w:rPr>
              <w:t>Examples</w:t>
            </w:r>
          </w:p>
        </w:tc>
        <w:tc>
          <w:tcPr>
            <w:tcW w:type="dxa" w:w="3560"/>
            <w:vAlign w:val="center"/>
            <w:tcMar>
              <w:top w:w="60" w:type="dxa"/>
              <w:start w:w="100" w:type="dxa"/>
              <w:bottom w:w="60" w:type="dxa"/>
              <w:end w:w="100" w:type="dxa"/>
            </w:tcMar>
          </w:tcPr>
          <w:p>
            <w:pPr>
              <w:spacing w:after="0"/>
            </w:pPr>
            <w:r>
              <w:rPr>
                <w:rFonts w:ascii="Arial" w:hAnsi="Arial"/>
                <w:b/>
                <w:color w:val="000000"/>
                <w:sz w:val="18"/>
              </w:rPr>
              <w:t>Modeling role</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Identifiers</w:t>
            </w:r>
          </w:p>
        </w:tc>
        <w:tc>
          <w:tcPr>
            <w:tcW w:type="dxa" w:w="3900"/>
            <w:vAlign w:val="center"/>
            <w:tcMar>
              <w:top w:w="60" w:type="dxa"/>
              <w:start w:w="100" w:type="dxa"/>
              <w:bottom w:w="60" w:type="dxa"/>
              <w:end w:w="100" w:type="dxa"/>
            </w:tcMar>
          </w:tcPr>
          <w:p>
            <w:pPr>
              <w:spacing w:after="0"/>
            </w:pPr>
            <w:r>
              <w:rPr>
                <w:rFonts w:ascii="Arial" w:hAnsi="Arial"/>
                <w:color w:val="000000"/>
                <w:sz w:val="18"/>
              </w:rPr>
              <w:t>geoid, county_name, state_name, year, geometry</w:t>
            </w:r>
          </w:p>
        </w:tc>
        <w:tc>
          <w:tcPr>
            <w:tcW w:type="dxa" w:w="3560"/>
            <w:vAlign w:val="center"/>
            <w:tcMar>
              <w:top w:w="60" w:type="dxa"/>
              <w:start w:w="100" w:type="dxa"/>
              <w:bottom w:w="60" w:type="dxa"/>
              <w:end w:w="100" w:type="dxa"/>
            </w:tcMar>
          </w:tcPr>
          <w:p>
            <w:pPr>
              <w:spacing w:after="0"/>
            </w:pPr>
            <w:r>
              <w:rPr>
                <w:rFonts w:ascii="Arial" w:hAnsi="Arial"/>
                <w:color w:val="000000"/>
                <w:sz w:val="18"/>
              </w:rPr>
              <w:t>Merge keys, splits, mapping only; not predictors</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FMD outcome</w:t>
            </w:r>
          </w:p>
        </w:tc>
        <w:tc>
          <w:tcPr>
            <w:tcW w:type="dxa" w:w="3900"/>
            <w:vAlign w:val="center"/>
            <w:tcMar>
              <w:top w:w="60" w:type="dxa"/>
              <w:start w:w="100" w:type="dxa"/>
              <w:bottom w:w="60" w:type="dxa"/>
              <w:end w:w="100" w:type="dxa"/>
            </w:tcMar>
          </w:tcPr>
          <w:p>
            <w:pPr>
              <w:spacing w:after="0"/>
            </w:pPr>
            <w:r>
              <w:rPr>
                <w:rFonts w:ascii="Arial" w:hAnsi="Arial"/>
                <w:color w:val="000000"/>
                <w:sz w:val="18"/>
              </w:rPr>
              <w:t>mental_health_prevalence, lower_ci, upper_ci, next_year_fmd</w:t>
            </w:r>
          </w:p>
        </w:tc>
        <w:tc>
          <w:tcPr>
            <w:tcW w:type="dxa" w:w="3560"/>
            <w:vAlign w:val="center"/>
            <w:tcMar>
              <w:top w:w="60" w:type="dxa"/>
              <w:start w:w="100" w:type="dxa"/>
              <w:bottom w:w="60" w:type="dxa"/>
              <w:end w:w="100" w:type="dxa"/>
            </w:tcMar>
          </w:tcPr>
          <w:p>
            <w:pPr>
              <w:spacing w:after="0"/>
            </w:pPr>
            <w:r>
              <w:rPr>
                <w:rFonts w:ascii="Arial" w:hAnsi="Arial"/>
                <w:color w:val="000000"/>
                <w:sz w:val="18"/>
              </w:rPr>
              <w:t>Target/held-out outcome; excluded from clustering</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Annual AQI</w:t>
            </w:r>
          </w:p>
        </w:tc>
        <w:tc>
          <w:tcPr>
            <w:tcW w:type="dxa" w:w="3900"/>
            <w:vAlign w:val="center"/>
            <w:tcMar>
              <w:top w:w="60" w:type="dxa"/>
              <w:start w:w="100" w:type="dxa"/>
              <w:bottom w:w="60" w:type="dxa"/>
              <w:end w:w="100" w:type="dxa"/>
            </w:tcMar>
          </w:tcPr>
          <w:p>
            <w:pPr>
              <w:spacing w:after="0"/>
            </w:pPr>
            <w:r>
              <w:rPr>
                <w:rFonts w:ascii="Arial" w:hAnsi="Arial"/>
                <w:color w:val="000000"/>
                <w:sz w:val="18"/>
              </w:rPr>
              <w:t>Max AQI, Median AQI, AQI category days, pollutant days</w:t>
            </w:r>
          </w:p>
        </w:tc>
        <w:tc>
          <w:tcPr>
            <w:tcW w:type="dxa" w:w="3560"/>
            <w:vAlign w:val="center"/>
            <w:tcMar>
              <w:top w:w="60" w:type="dxa"/>
              <w:start w:w="100" w:type="dxa"/>
              <w:bottom w:w="60" w:type="dxa"/>
              <w:end w:w="100" w:type="dxa"/>
            </w:tcMar>
          </w:tcPr>
          <w:p>
            <w:pPr>
              <w:spacing w:after="0"/>
            </w:pPr>
            <w:r>
              <w:rPr>
                <w:rFonts w:ascii="Arial" w:hAnsi="Arial"/>
                <w:color w:val="000000"/>
                <w:sz w:val="18"/>
              </w:rPr>
              <w:t>Supervised and unsupervised predictors from current year</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Daily AQI</w:t>
            </w:r>
          </w:p>
        </w:tc>
        <w:tc>
          <w:tcPr>
            <w:tcW w:type="dxa" w:w="3900"/>
            <w:vAlign w:val="center"/>
            <w:tcMar>
              <w:top w:w="60" w:type="dxa"/>
              <w:start w:w="100" w:type="dxa"/>
              <w:bottom w:w="60" w:type="dxa"/>
              <w:end w:w="100" w:type="dxa"/>
            </w:tcMar>
          </w:tcPr>
          <w:p>
            <w:pPr>
              <w:spacing w:after="0"/>
            </w:pPr>
            <w:r>
              <w:rPr>
                <w:rFonts w:ascii="Arial" w:hAnsi="Arial"/>
                <w:color w:val="000000"/>
                <w:sz w:val="18"/>
              </w:rPr>
              <w:t>daily_aqi_std, daily_aqi_p90, daily_aqi_days_over_100</w:t>
            </w:r>
          </w:p>
        </w:tc>
        <w:tc>
          <w:tcPr>
            <w:tcW w:type="dxa" w:w="3560"/>
            <w:vAlign w:val="center"/>
            <w:tcMar>
              <w:top w:w="60" w:type="dxa"/>
              <w:start w:w="100" w:type="dxa"/>
              <w:bottom w:w="60" w:type="dxa"/>
              <w:end w:w="100" w:type="dxa"/>
            </w:tcMar>
          </w:tcPr>
          <w:p>
            <w:pPr>
              <w:spacing w:after="0"/>
            </w:pPr>
            <w:r>
              <w:rPr>
                <w:rFonts w:ascii="Arial" w:hAnsi="Arial"/>
                <w:color w:val="000000"/>
                <w:sz w:val="18"/>
              </w:rPr>
              <w:t>Extreme-event and variability predictors</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ACS socioeconomic</w:t>
            </w:r>
          </w:p>
        </w:tc>
        <w:tc>
          <w:tcPr>
            <w:tcW w:type="dxa" w:w="3900"/>
            <w:vAlign w:val="center"/>
            <w:tcMar>
              <w:top w:w="60" w:type="dxa"/>
              <w:start w:w="100" w:type="dxa"/>
              <w:bottom w:w="60" w:type="dxa"/>
              <w:end w:w="100" w:type="dxa"/>
            </w:tcMar>
          </w:tcPr>
          <w:p>
            <w:pPr>
              <w:spacing w:after="0"/>
            </w:pPr>
            <w:r>
              <w:rPr>
                <w:rFonts w:ascii="Arial" w:hAnsi="Arial"/>
                <w:color w:val="000000"/>
                <w:sz w:val="18"/>
              </w:rPr>
              <w:t>median_income, poverty_count, unemployed_count, population</w:t>
            </w:r>
          </w:p>
        </w:tc>
        <w:tc>
          <w:tcPr>
            <w:tcW w:type="dxa" w:w="3560"/>
            <w:vAlign w:val="center"/>
            <w:tcMar>
              <w:top w:w="60" w:type="dxa"/>
              <w:start w:w="100" w:type="dxa"/>
              <w:bottom w:w="60" w:type="dxa"/>
              <w:end w:w="100" w:type="dxa"/>
            </w:tcMar>
          </w:tcPr>
          <w:p>
            <w:pPr>
              <w:spacing w:after="0"/>
            </w:pPr>
            <w:r>
              <w:rPr>
                <w:rFonts w:ascii="Arial" w:hAnsi="Arial"/>
                <w:color w:val="000000"/>
                <w:sz w:val="18"/>
              </w:rPr>
              <w:t>Controls for community vulnerability</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Education/health/industry</w:t>
            </w:r>
          </w:p>
        </w:tc>
        <w:tc>
          <w:tcPr>
            <w:tcW w:type="dxa" w:w="3900"/>
            <w:vAlign w:val="center"/>
            <w:tcMar>
              <w:top w:w="60" w:type="dxa"/>
              <w:start w:w="100" w:type="dxa"/>
              <w:bottom w:w="60" w:type="dxa"/>
              <w:end w:w="100" w:type="dxa"/>
            </w:tcMar>
          </w:tcPr>
          <w:p>
            <w:pPr>
              <w:spacing w:after="0"/>
            </w:pPr>
            <w:r>
              <w:rPr>
                <w:rFonts w:ascii="Arial" w:hAnsi="Arial"/>
                <w:color w:val="000000"/>
                <w:sz w:val="18"/>
              </w:rPr>
              <w:t>pct_uninsured, pct_bachelors_or_higher, pct_manufacturing</w:t>
            </w:r>
          </w:p>
        </w:tc>
        <w:tc>
          <w:tcPr>
            <w:tcW w:type="dxa" w:w="3560"/>
            <w:vAlign w:val="center"/>
            <w:tcMar>
              <w:top w:w="60" w:type="dxa"/>
              <w:start w:w="100" w:type="dxa"/>
              <w:bottom w:w="60" w:type="dxa"/>
              <w:end w:w="100" w:type="dxa"/>
            </w:tcMar>
          </w:tcPr>
          <w:p>
            <w:pPr>
              <w:spacing w:after="0"/>
            </w:pPr>
            <w:r>
              <w:rPr>
                <w:rFonts w:ascii="Arial" w:hAnsi="Arial"/>
                <w:color w:val="000000"/>
                <w:sz w:val="18"/>
              </w:rPr>
              <w:t>Infrastructure and industrial-trait predictors</w:t>
            </w:r>
          </w:p>
        </w:tc>
      </w:tr>
      <w:tr>
        <w:tc>
          <w:tcPr>
            <w:tcW w:type="dxa" w:w="1900"/>
            <w:vAlign w:val="center"/>
            <w:tcMar>
              <w:top w:w="60" w:type="dxa"/>
              <w:start w:w="100" w:type="dxa"/>
              <w:bottom w:w="60" w:type="dxa"/>
              <w:end w:w="100" w:type="dxa"/>
            </w:tcMar>
          </w:tcPr>
          <w:p>
            <w:pPr>
              <w:spacing w:after="0"/>
            </w:pPr>
            <w:r>
              <w:rPr>
                <w:rFonts w:ascii="Arial" w:hAnsi="Arial"/>
                <w:color w:val="000000"/>
                <w:sz w:val="18"/>
              </w:rPr>
              <w:t>Climate</w:t>
            </w:r>
          </w:p>
        </w:tc>
        <w:tc>
          <w:tcPr>
            <w:tcW w:type="dxa" w:w="3900"/>
            <w:vAlign w:val="center"/>
            <w:tcMar>
              <w:top w:w="60" w:type="dxa"/>
              <w:start w:w="100" w:type="dxa"/>
              <w:bottom w:w="60" w:type="dxa"/>
              <w:end w:w="100" w:type="dxa"/>
            </w:tcMar>
          </w:tcPr>
          <w:p>
            <w:pPr>
              <w:spacing w:after="0"/>
            </w:pPr>
            <w:r>
              <w:rPr>
                <w:rFonts w:ascii="Arial" w:hAnsi="Arial"/>
                <w:color w:val="000000"/>
                <w:sz w:val="18"/>
              </w:rPr>
              <w:t>annual_avg_temp_f, annual_precip_inches, anomalies</w:t>
            </w:r>
          </w:p>
        </w:tc>
        <w:tc>
          <w:tcPr>
            <w:tcW w:type="dxa" w:w="3560"/>
            <w:vAlign w:val="center"/>
            <w:tcMar>
              <w:top w:w="60" w:type="dxa"/>
              <w:start w:w="100" w:type="dxa"/>
              <w:bottom w:w="60" w:type="dxa"/>
              <w:end w:w="100" w:type="dxa"/>
            </w:tcMar>
          </w:tcPr>
          <w:p>
            <w:pPr>
              <w:spacing w:after="0"/>
            </w:pPr>
            <w:r>
              <w:rPr>
                <w:rFonts w:ascii="Arial" w:hAnsi="Arial"/>
                <w:color w:val="000000"/>
                <w:sz w:val="18"/>
              </w:rPr>
              <w:t>Environmental context beyond pollution</w:t>
            </w:r>
          </w:p>
        </w:tc>
      </w:tr>
    </w:tbl>
    <w:p/>
    <w:p>
      <w:pPr>
        <w:pStyle w:val="Heading1"/>
      </w:pPr>
      <w:r>
        <w:t>Part A. Supervised Learning</w:t>
      </w:r>
    </w:p>
    <w:p>
      <w:pPr>
        <w:pStyle w:val="Heading2"/>
      </w:pPr>
      <w:r>
        <w:t>Methods</w:t>
      </w:r>
    </w:p>
    <w:p>
      <w:r>
        <w:t>The supervised task is regression. We used a Dummy Regressor as a baseline, ElasticNet as a regularized linear model, Random Forest as a bagged tree ensemble, and Gradient Boosting as a sequential tree ensemble. These model families differ in assumptions and mechanisms: the Dummy model sets a minimum benchmark, ElasticNet tests linear signal under multicollinearity, Random Forest captures nonlinear interactions with lower tuning burden, and Gradient Boosting captures additive nonlinear structure.</w:t>
      </w:r>
    </w:p>
    <w:p>
      <w:r>
        <w:t>Hyperparameter exploration used grouped cross-validation by feature year on the training period. The final holdout used 2022 features to predict 2023 FMD. Metrics are RMSE and MAE for error magnitude, plus R² for explained variance relative to a mean baseline.</w:t>
      </w:r>
    </w:p>
    <w:p>
      <w:pPr>
        <w:pStyle w:val="Caption"/>
        <w:jc w:val="left"/>
      </w:pPr>
      <w:r>
        <w:t>Table 4. Supervised model comparison with cross-validation mean and standard deviation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6"/>
        <w:gridCol w:w="1656"/>
        <w:gridCol w:w="1656"/>
        <w:gridCol w:w="1656"/>
        <w:gridCol w:w="1656"/>
        <w:gridCol w:w="1656"/>
      </w:tblGrid>
      <w:tr>
        <w:tc>
          <w:tcPr>
            <w:tcW w:type="dxa" w:w="2500"/>
            <w:vAlign w:val="center"/>
            <w:tcMar>
              <w:top w:w="60" w:type="dxa"/>
              <w:start w:w="100" w:type="dxa"/>
              <w:bottom w:w="60" w:type="dxa"/>
              <w:end w:w="100" w:type="dxa"/>
            </w:tcMar>
          </w:tcPr>
          <w:p>
            <w:pPr>
              <w:spacing w:after="0"/>
            </w:pPr>
            <w:r>
              <w:rPr>
                <w:rFonts w:ascii="Arial" w:hAnsi="Arial"/>
                <w:b/>
                <w:color w:val="000000"/>
                <w:sz w:val="18"/>
              </w:rPr>
              <w:t>Model</w:t>
            </w:r>
          </w:p>
        </w:tc>
        <w:tc>
          <w:tcPr>
            <w:tcW w:type="dxa" w:w="1350"/>
            <w:vAlign w:val="center"/>
            <w:tcMar>
              <w:top w:w="60" w:type="dxa"/>
              <w:start w:w="100" w:type="dxa"/>
              <w:bottom w:w="60" w:type="dxa"/>
              <w:end w:w="100" w:type="dxa"/>
            </w:tcMar>
          </w:tcPr>
          <w:p>
            <w:pPr>
              <w:spacing w:after="0"/>
            </w:pPr>
            <w:r>
              <w:rPr>
                <w:rFonts w:ascii="Arial" w:hAnsi="Arial"/>
                <w:b/>
                <w:color w:val="000000"/>
                <w:sz w:val="18"/>
              </w:rPr>
              <w:t>Holdout RMSE</w:t>
            </w:r>
          </w:p>
        </w:tc>
        <w:tc>
          <w:tcPr>
            <w:tcW w:type="dxa" w:w="1350"/>
            <w:vAlign w:val="center"/>
            <w:tcMar>
              <w:top w:w="60" w:type="dxa"/>
              <w:start w:w="100" w:type="dxa"/>
              <w:bottom w:w="60" w:type="dxa"/>
              <w:end w:w="100" w:type="dxa"/>
            </w:tcMar>
          </w:tcPr>
          <w:p>
            <w:pPr>
              <w:spacing w:after="0"/>
            </w:pPr>
            <w:r>
              <w:rPr>
                <w:rFonts w:ascii="Arial" w:hAnsi="Arial"/>
                <w:b/>
                <w:color w:val="000000"/>
                <w:sz w:val="18"/>
              </w:rPr>
              <w:t>Holdout MAE</w:t>
            </w:r>
          </w:p>
        </w:tc>
        <w:tc>
          <w:tcPr>
            <w:tcW w:type="dxa" w:w="1250"/>
            <w:vAlign w:val="center"/>
            <w:tcMar>
              <w:top w:w="60" w:type="dxa"/>
              <w:start w:w="100" w:type="dxa"/>
              <w:bottom w:w="60" w:type="dxa"/>
              <w:end w:w="100" w:type="dxa"/>
            </w:tcMar>
          </w:tcPr>
          <w:p>
            <w:pPr>
              <w:spacing w:after="0"/>
            </w:pPr>
            <w:r>
              <w:rPr>
                <w:rFonts w:ascii="Arial" w:hAnsi="Arial"/>
                <w:b/>
                <w:color w:val="000000"/>
                <w:sz w:val="18"/>
              </w:rPr>
              <w:t>Holdout R²</w:t>
            </w:r>
          </w:p>
        </w:tc>
        <w:tc>
          <w:tcPr>
            <w:tcW w:type="dxa" w:w="1500"/>
            <w:vAlign w:val="center"/>
            <w:tcMar>
              <w:top w:w="60" w:type="dxa"/>
              <w:start w:w="100" w:type="dxa"/>
              <w:bottom w:w="60" w:type="dxa"/>
              <w:end w:w="100" w:type="dxa"/>
            </w:tcMar>
          </w:tcPr>
          <w:p>
            <w:pPr>
              <w:spacing w:after="0"/>
            </w:pPr>
            <w:r>
              <w:rPr>
                <w:rFonts w:ascii="Arial" w:hAnsi="Arial"/>
                <w:b/>
                <w:color w:val="000000"/>
                <w:sz w:val="18"/>
              </w:rPr>
              <w:t>CV RMSE mean</w:t>
            </w:r>
          </w:p>
        </w:tc>
        <w:tc>
          <w:tcPr>
            <w:tcW w:type="dxa" w:w="1410"/>
            <w:vAlign w:val="center"/>
            <w:tcMar>
              <w:top w:w="60" w:type="dxa"/>
              <w:start w:w="100" w:type="dxa"/>
              <w:bottom w:w="60" w:type="dxa"/>
              <w:end w:w="100" w:type="dxa"/>
            </w:tcMar>
          </w:tcPr>
          <w:p>
            <w:pPr>
              <w:spacing w:after="0"/>
            </w:pPr>
            <w:r>
              <w:rPr>
                <w:rFonts w:ascii="Arial" w:hAnsi="Arial"/>
                <w:b/>
                <w:color w:val="000000"/>
                <w:sz w:val="18"/>
              </w:rPr>
              <w:t>CV RMSE SD</w:t>
            </w:r>
          </w:p>
        </w:tc>
      </w:tr>
      <w:tr>
        <w:tc>
          <w:tcPr>
            <w:tcW w:type="dxa" w:w="2500"/>
            <w:vAlign w:val="center"/>
            <w:tcMar>
              <w:top w:w="60" w:type="dxa"/>
              <w:start w:w="100" w:type="dxa"/>
              <w:bottom w:w="60" w:type="dxa"/>
              <w:end w:w="100" w:type="dxa"/>
            </w:tcMar>
          </w:tcPr>
          <w:p>
            <w:pPr>
              <w:spacing w:after="0"/>
            </w:pPr>
            <w:r>
              <w:rPr>
                <w:rFonts w:ascii="Arial" w:hAnsi="Arial"/>
                <w:color w:val="000000"/>
                <w:sz w:val="18"/>
              </w:rPr>
              <w:t>Random Forest tuned</w:t>
            </w:r>
          </w:p>
        </w:tc>
        <w:tc>
          <w:tcPr>
            <w:tcW w:type="dxa" w:w="1350"/>
            <w:vAlign w:val="center"/>
            <w:tcMar>
              <w:top w:w="60" w:type="dxa"/>
              <w:start w:w="100" w:type="dxa"/>
              <w:bottom w:w="60" w:type="dxa"/>
              <w:end w:w="100" w:type="dxa"/>
            </w:tcMar>
          </w:tcPr>
          <w:p>
            <w:pPr>
              <w:spacing w:after="0"/>
            </w:pPr>
            <w:r>
              <w:rPr>
                <w:rFonts w:ascii="Arial" w:hAnsi="Arial"/>
                <w:color w:val="000000"/>
                <w:sz w:val="18"/>
              </w:rPr>
              <w:t>1.98</w:t>
            </w:r>
          </w:p>
        </w:tc>
        <w:tc>
          <w:tcPr>
            <w:tcW w:type="dxa" w:w="1350"/>
            <w:vAlign w:val="center"/>
            <w:tcMar>
              <w:top w:w="60" w:type="dxa"/>
              <w:start w:w="100" w:type="dxa"/>
              <w:bottom w:w="60" w:type="dxa"/>
              <w:end w:w="100" w:type="dxa"/>
            </w:tcMar>
          </w:tcPr>
          <w:p>
            <w:pPr>
              <w:spacing w:after="0"/>
            </w:pPr>
            <w:r>
              <w:rPr>
                <w:rFonts w:ascii="Arial" w:hAnsi="Arial"/>
                <w:color w:val="000000"/>
                <w:sz w:val="18"/>
              </w:rPr>
              <w:t>1.65</w:t>
            </w:r>
          </w:p>
        </w:tc>
        <w:tc>
          <w:tcPr>
            <w:tcW w:type="dxa" w:w="1250"/>
            <w:vAlign w:val="center"/>
            <w:tcMar>
              <w:top w:w="60" w:type="dxa"/>
              <w:start w:w="100" w:type="dxa"/>
              <w:bottom w:w="60" w:type="dxa"/>
              <w:end w:w="100" w:type="dxa"/>
            </w:tcMar>
          </w:tcPr>
          <w:p>
            <w:pPr>
              <w:spacing w:after="0"/>
            </w:pPr>
            <w:r>
              <w:rPr>
                <w:rFonts w:ascii="Arial" w:hAnsi="Arial"/>
                <w:color w:val="000000"/>
                <w:sz w:val="18"/>
              </w:rPr>
              <w:t>-0.02</w:t>
            </w:r>
          </w:p>
        </w:tc>
        <w:tc>
          <w:tcPr>
            <w:tcW w:type="dxa" w:w="1500"/>
            <w:vAlign w:val="center"/>
            <w:tcMar>
              <w:top w:w="60" w:type="dxa"/>
              <w:start w:w="100" w:type="dxa"/>
              <w:bottom w:w="60" w:type="dxa"/>
              <w:end w:w="100" w:type="dxa"/>
            </w:tcMar>
          </w:tcPr>
          <w:p>
            <w:pPr>
              <w:spacing w:after="0"/>
            </w:pPr>
            <w:r>
              <w:rPr>
                <w:rFonts w:ascii="Arial" w:hAnsi="Arial"/>
                <w:color w:val="000000"/>
                <w:sz w:val="18"/>
              </w:rPr>
              <w:t>2.02</w:t>
            </w:r>
          </w:p>
        </w:tc>
        <w:tc>
          <w:tcPr>
            <w:tcW w:type="dxa" w:w="1410"/>
            <w:vAlign w:val="center"/>
            <w:tcMar>
              <w:top w:w="60" w:type="dxa"/>
              <w:start w:w="100" w:type="dxa"/>
              <w:bottom w:w="60" w:type="dxa"/>
              <w:end w:w="100" w:type="dxa"/>
            </w:tcMar>
          </w:tcPr>
          <w:p>
            <w:pPr>
              <w:spacing w:after="0"/>
            </w:pPr>
            <w:r>
              <w:rPr>
                <w:rFonts w:ascii="Arial" w:hAnsi="Arial"/>
                <w:color w:val="000000"/>
                <w:sz w:val="18"/>
              </w:rPr>
              <w:t>0.63</w:t>
            </w:r>
          </w:p>
        </w:tc>
      </w:tr>
      <w:tr>
        <w:tc>
          <w:tcPr>
            <w:tcW w:type="dxa" w:w="2500"/>
            <w:vAlign w:val="center"/>
            <w:tcMar>
              <w:top w:w="60" w:type="dxa"/>
              <w:start w:w="100" w:type="dxa"/>
              <w:bottom w:w="60" w:type="dxa"/>
              <w:end w:w="100" w:type="dxa"/>
            </w:tcMar>
          </w:tcPr>
          <w:p>
            <w:pPr>
              <w:spacing w:after="0"/>
            </w:pPr>
            <w:r>
              <w:rPr>
                <w:rFonts w:ascii="Arial" w:hAnsi="Arial"/>
                <w:color w:val="000000"/>
                <w:sz w:val="18"/>
              </w:rPr>
              <w:t>Gradient Boosting tuned</w:t>
            </w:r>
          </w:p>
        </w:tc>
        <w:tc>
          <w:tcPr>
            <w:tcW w:type="dxa" w:w="1350"/>
            <w:vAlign w:val="center"/>
            <w:tcMar>
              <w:top w:w="60" w:type="dxa"/>
              <w:start w:w="100" w:type="dxa"/>
              <w:bottom w:w="60" w:type="dxa"/>
              <w:end w:w="100" w:type="dxa"/>
            </w:tcMar>
          </w:tcPr>
          <w:p>
            <w:pPr>
              <w:spacing w:after="0"/>
            </w:pPr>
            <w:r>
              <w:rPr>
                <w:rFonts w:ascii="Arial" w:hAnsi="Arial"/>
                <w:color w:val="000000"/>
                <w:sz w:val="18"/>
              </w:rPr>
              <w:t>2.30</w:t>
            </w:r>
          </w:p>
        </w:tc>
        <w:tc>
          <w:tcPr>
            <w:tcW w:type="dxa" w:w="1350"/>
            <w:vAlign w:val="center"/>
            <w:tcMar>
              <w:top w:w="60" w:type="dxa"/>
              <w:start w:w="100" w:type="dxa"/>
              <w:bottom w:w="60" w:type="dxa"/>
              <w:end w:w="100" w:type="dxa"/>
            </w:tcMar>
          </w:tcPr>
          <w:p>
            <w:pPr>
              <w:spacing w:after="0"/>
            </w:pPr>
            <w:r>
              <w:rPr>
                <w:rFonts w:ascii="Arial" w:hAnsi="Arial"/>
                <w:color w:val="000000"/>
                <w:sz w:val="18"/>
              </w:rPr>
              <w:t>1.91</w:t>
            </w:r>
          </w:p>
        </w:tc>
        <w:tc>
          <w:tcPr>
            <w:tcW w:type="dxa" w:w="1250"/>
            <w:vAlign w:val="center"/>
            <w:tcMar>
              <w:top w:w="60" w:type="dxa"/>
              <w:start w:w="100" w:type="dxa"/>
              <w:bottom w:w="60" w:type="dxa"/>
              <w:end w:w="100" w:type="dxa"/>
            </w:tcMar>
          </w:tcPr>
          <w:p>
            <w:pPr>
              <w:spacing w:after="0"/>
            </w:pPr>
            <w:r>
              <w:rPr>
                <w:rFonts w:ascii="Arial" w:hAnsi="Arial"/>
                <w:color w:val="000000"/>
                <w:sz w:val="18"/>
              </w:rPr>
              <w:t>-0.37</w:t>
            </w:r>
          </w:p>
        </w:tc>
        <w:tc>
          <w:tcPr>
            <w:tcW w:type="dxa" w:w="1500"/>
            <w:vAlign w:val="center"/>
            <w:tcMar>
              <w:top w:w="60" w:type="dxa"/>
              <w:start w:w="100" w:type="dxa"/>
              <w:bottom w:w="60" w:type="dxa"/>
              <w:end w:w="100" w:type="dxa"/>
            </w:tcMar>
          </w:tcPr>
          <w:p>
            <w:pPr>
              <w:spacing w:after="0"/>
            </w:pPr>
            <w:r>
              <w:rPr>
                <w:rFonts w:ascii="Arial" w:hAnsi="Arial"/>
                <w:color w:val="000000"/>
                <w:sz w:val="18"/>
              </w:rPr>
              <w:t>2.16</w:t>
            </w:r>
          </w:p>
        </w:tc>
        <w:tc>
          <w:tcPr>
            <w:tcW w:type="dxa" w:w="1410"/>
            <w:vAlign w:val="center"/>
            <w:tcMar>
              <w:top w:w="60" w:type="dxa"/>
              <w:start w:w="100" w:type="dxa"/>
              <w:bottom w:w="60" w:type="dxa"/>
              <w:end w:w="100" w:type="dxa"/>
            </w:tcMar>
          </w:tcPr>
          <w:p>
            <w:pPr>
              <w:spacing w:after="0"/>
            </w:pPr>
            <w:r>
              <w:rPr>
                <w:rFonts w:ascii="Arial" w:hAnsi="Arial"/>
                <w:color w:val="000000"/>
                <w:sz w:val="18"/>
              </w:rPr>
              <w:t>0.49</w:t>
            </w:r>
          </w:p>
        </w:tc>
      </w:tr>
      <w:tr>
        <w:tc>
          <w:tcPr>
            <w:tcW w:type="dxa" w:w="2500"/>
            <w:vAlign w:val="center"/>
            <w:tcMar>
              <w:top w:w="60" w:type="dxa"/>
              <w:start w:w="100" w:type="dxa"/>
              <w:bottom w:w="60" w:type="dxa"/>
              <w:end w:w="100" w:type="dxa"/>
            </w:tcMar>
          </w:tcPr>
          <w:p>
            <w:pPr>
              <w:spacing w:after="0"/>
            </w:pPr>
            <w:r>
              <w:rPr>
                <w:rFonts w:ascii="Arial" w:hAnsi="Arial"/>
                <w:color w:val="000000"/>
                <w:sz w:val="18"/>
              </w:rPr>
              <w:t>ElasticNet tuned</w:t>
            </w:r>
          </w:p>
        </w:tc>
        <w:tc>
          <w:tcPr>
            <w:tcW w:type="dxa" w:w="1350"/>
            <w:vAlign w:val="center"/>
            <w:tcMar>
              <w:top w:w="60" w:type="dxa"/>
              <w:start w:w="100" w:type="dxa"/>
              <w:bottom w:w="60" w:type="dxa"/>
              <w:end w:w="100" w:type="dxa"/>
            </w:tcMar>
          </w:tcPr>
          <w:p>
            <w:pPr>
              <w:spacing w:after="0"/>
            </w:pPr>
            <w:r>
              <w:rPr>
                <w:rFonts w:ascii="Arial" w:hAnsi="Arial"/>
                <w:color w:val="000000"/>
                <w:sz w:val="18"/>
              </w:rPr>
              <w:t>2.31</w:t>
            </w:r>
          </w:p>
        </w:tc>
        <w:tc>
          <w:tcPr>
            <w:tcW w:type="dxa" w:w="1350"/>
            <w:vAlign w:val="center"/>
            <w:tcMar>
              <w:top w:w="60" w:type="dxa"/>
              <w:start w:w="100" w:type="dxa"/>
              <w:bottom w:w="60" w:type="dxa"/>
              <w:end w:w="100" w:type="dxa"/>
            </w:tcMar>
          </w:tcPr>
          <w:p>
            <w:pPr>
              <w:spacing w:after="0"/>
            </w:pPr>
            <w:r>
              <w:rPr>
                <w:rFonts w:ascii="Arial" w:hAnsi="Arial"/>
                <w:color w:val="000000"/>
                <w:sz w:val="18"/>
              </w:rPr>
              <w:t>1.97</w:t>
            </w:r>
          </w:p>
        </w:tc>
        <w:tc>
          <w:tcPr>
            <w:tcW w:type="dxa" w:w="1250"/>
            <w:vAlign w:val="center"/>
            <w:tcMar>
              <w:top w:w="60" w:type="dxa"/>
              <w:start w:w="100" w:type="dxa"/>
              <w:bottom w:w="60" w:type="dxa"/>
              <w:end w:w="100" w:type="dxa"/>
            </w:tcMar>
          </w:tcPr>
          <w:p>
            <w:pPr>
              <w:spacing w:after="0"/>
            </w:pPr>
            <w:r>
              <w:rPr>
                <w:rFonts w:ascii="Arial" w:hAnsi="Arial"/>
                <w:color w:val="000000"/>
                <w:sz w:val="18"/>
              </w:rPr>
              <w:t>-0.38</w:t>
            </w:r>
          </w:p>
        </w:tc>
        <w:tc>
          <w:tcPr>
            <w:tcW w:type="dxa" w:w="1500"/>
            <w:vAlign w:val="center"/>
            <w:tcMar>
              <w:top w:w="60" w:type="dxa"/>
              <w:start w:w="100" w:type="dxa"/>
              <w:bottom w:w="60" w:type="dxa"/>
              <w:end w:w="100" w:type="dxa"/>
            </w:tcMar>
          </w:tcPr>
          <w:p>
            <w:pPr>
              <w:spacing w:after="0"/>
            </w:pPr>
            <w:r>
              <w:rPr>
                <w:rFonts w:ascii="Arial" w:hAnsi="Arial"/>
                <w:color w:val="000000"/>
                <w:sz w:val="18"/>
              </w:rPr>
              <w:t>2.32</w:t>
            </w:r>
          </w:p>
        </w:tc>
        <w:tc>
          <w:tcPr>
            <w:tcW w:type="dxa" w:w="1410"/>
            <w:vAlign w:val="center"/>
            <w:tcMar>
              <w:top w:w="60" w:type="dxa"/>
              <w:start w:w="100" w:type="dxa"/>
              <w:bottom w:w="60" w:type="dxa"/>
              <w:end w:w="100" w:type="dxa"/>
            </w:tcMar>
          </w:tcPr>
          <w:p>
            <w:pPr>
              <w:spacing w:after="0"/>
            </w:pPr>
            <w:r>
              <w:rPr>
                <w:rFonts w:ascii="Arial" w:hAnsi="Arial"/>
                <w:color w:val="000000"/>
                <w:sz w:val="18"/>
              </w:rPr>
              <w:t>0.59</w:t>
            </w:r>
          </w:p>
        </w:tc>
      </w:tr>
      <w:tr>
        <w:tc>
          <w:tcPr>
            <w:tcW w:type="dxa" w:w="2500"/>
            <w:vAlign w:val="center"/>
            <w:tcMar>
              <w:top w:w="60" w:type="dxa"/>
              <w:start w:w="100" w:type="dxa"/>
              <w:bottom w:w="60" w:type="dxa"/>
              <w:end w:w="100" w:type="dxa"/>
            </w:tcMar>
          </w:tcPr>
          <w:p>
            <w:pPr>
              <w:spacing w:after="0"/>
            </w:pPr>
            <w:r>
              <w:rPr>
                <w:rFonts w:ascii="Arial" w:hAnsi="Arial"/>
                <w:color w:val="000000"/>
                <w:sz w:val="18"/>
              </w:rPr>
              <w:t>Dummy mean baseline</w:t>
            </w:r>
          </w:p>
        </w:tc>
        <w:tc>
          <w:tcPr>
            <w:tcW w:type="dxa" w:w="1350"/>
            <w:vAlign w:val="center"/>
            <w:tcMar>
              <w:top w:w="60" w:type="dxa"/>
              <w:start w:w="100" w:type="dxa"/>
              <w:bottom w:w="60" w:type="dxa"/>
              <w:end w:w="100" w:type="dxa"/>
            </w:tcMar>
          </w:tcPr>
          <w:p>
            <w:pPr>
              <w:spacing w:after="0"/>
            </w:pPr>
            <w:r>
              <w:rPr>
                <w:rFonts w:ascii="Arial" w:hAnsi="Arial"/>
                <w:color w:val="000000"/>
                <w:sz w:val="18"/>
              </w:rPr>
              <w:t>2.43</w:t>
            </w:r>
          </w:p>
        </w:tc>
        <w:tc>
          <w:tcPr>
            <w:tcW w:type="dxa" w:w="1350"/>
            <w:vAlign w:val="center"/>
            <w:tcMar>
              <w:top w:w="60" w:type="dxa"/>
              <w:start w:w="100" w:type="dxa"/>
              <w:bottom w:w="60" w:type="dxa"/>
              <w:end w:w="100" w:type="dxa"/>
            </w:tcMar>
          </w:tcPr>
          <w:p>
            <w:pPr>
              <w:spacing w:after="0"/>
            </w:pPr>
            <w:r>
              <w:rPr>
                <w:rFonts w:ascii="Arial" w:hAnsi="Arial"/>
                <w:color w:val="000000"/>
                <w:sz w:val="18"/>
              </w:rPr>
              <w:t>1.95</w:t>
            </w:r>
          </w:p>
        </w:tc>
        <w:tc>
          <w:tcPr>
            <w:tcW w:type="dxa" w:w="1250"/>
            <w:vAlign w:val="center"/>
            <w:tcMar>
              <w:top w:w="60" w:type="dxa"/>
              <w:start w:w="100" w:type="dxa"/>
              <w:bottom w:w="60" w:type="dxa"/>
              <w:end w:w="100" w:type="dxa"/>
            </w:tcMar>
          </w:tcPr>
          <w:p>
            <w:pPr>
              <w:spacing w:after="0"/>
            </w:pPr>
            <w:r>
              <w:rPr>
                <w:rFonts w:ascii="Arial" w:hAnsi="Arial"/>
                <w:color w:val="000000"/>
                <w:sz w:val="18"/>
              </w:rPr>
              <w:t>-0.54</w:t>
            </w:r>
          </w:p>
        </w:tc>
        <w:tc>
          <w:tcPr>
            <w:tcW w:type="dxa" w:w="1500"/>
            <w:vAlign w:val="center"/>
            <w:tcMar>
              <w:top w:w="60" w:type="dxa"/>
              <w:start w:w="100" w:type="dxa"/>
              <w:bottom w:w="60" w:type="dxa"/>
              <w:end w:w="100" w:type="dxa"/>
            </w:tcMar>
          </w:tcPr>
          <w:p>
            <w:pPr>
              <w:spacing w:after="0"/>
            </w:pPr>
            <w:r>
              <w:rPr>
                <w:rFonts w:ascii="Arial" w:hAnsi="Arial"/>
                <w:color w:val="000000"/>
                <w:sz w:val="18"/>
              </w:rPr>
              <w:t>2.73</w:t>
            </w:r>
          </w:p>
        </w:tc>
        <w:tc>
          <w:tcPr>
            <w:tcW w:type="dxa" w:w="1410"/>
            <w:vAlign w:val="center"/>
            <w:tcMar>
              <w:top w:w="60" w:type="dxa"/>
              <w:start w:w="100" w:type="dxa"/>
              <w:bottom w:w="60" w:type="dxa"/>
              <w:end w:w="100" w:type="dxa"/>
            </w:tcMar>
          </w:tcPr>
          <w:p>
            <w:pPr>
              <w:spacing w:after="0"/>
            </w:pPr>
            <w:r>
              <w:rPr>
                <w:rFonts w:ascii="Arial" w:hAnsi="Arial"/>
                <w:color w:val="000000"/>
                <w:sz w:val="18"/>
              </w:rPr>
              <w:t>0.46</w:t>
            </w:r>
          </w:p>
        </w:tc>
      </w:tr>
    </w:tbl>
    <w:p/>
    <w:p>
      <w:pPr>
        <w:pStyle w:val="Heading2"/>
      </w:pPr>
      <w:r>
        <w:t>Feature Importance and Ablation</w:t>
      </w:r>
    </w:p>
    <w:p>
      <w:r>
        <w:t>For the best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pPr>
        <w:jc w:val="center"/>
      </w:pPr>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figure_rf_feature_importance.png"/>
                    <pic:cNvPicPr/>
                  </pic:nvPicPr>
                  <pic:blipFill>
                    <a:blip r:embed="rId9"/>
                    <a:stretch>
                      <a:fillRect/>
                    </a:stretch>
                  </pic:blipFill>
                  <pic:spPr>
                    <a:xfrm>
                      <a:off x="0" y="0"/>
                      <a:ext cx="5212080" cy="3909060"/>
                    </a:xfrm>
                    <a:prstGeom prst="rect"/>
                  </pic:spPr>
                </pic:pic>
              </a:graphicData>
            </a:graphic>
          </wp:inline>
        </w:drawing>
      </w:r>
    </w:p>
    <w:p>
      <w:pPr>
        <w:pStyle w:val="Caption"/>
        <w:jc w:val="left"/>
      </w:pPr>
      <w:r>
        <w:t>Figure 1. Top Random Forest feature importances.</w:t>
      </w:r>
    </w:p>
    <w:p>
      <w:pPr>
        <w:pStyle w:val="Caption"/>
        <w:jc w:val="left"/>
      </w:pPr>
      <w:r>
        <w:t>Table 5. Random Forest grouped ablation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3100"/>
            <w:vAlign w:val="center"/>
            <w:tcMar>
              <w:top w:w="60" w:type="dxa"/>
              <w:start w:w="100" w:type="dxa"/>
              <w:bottom w:w="60" w:type="dxa"/>
              <w:end w:w="100" w:type="dxa"/>
            </w:tcMar>
          </w:tcPr>
          <w:p>
            <w:pPr>
              <w:spacing w:after="0"/>
            </w:pPr>
            <w:r>
              <w:rPr>
                <w:rFonts w:ascii="Arial" w:hAnsi="Arial"/>
                <w:b/>
                <w:color w:val="000000"/>
                <w:sz w:val="18"/>
              </w:rPr>
              <w:t>Removed feature family</w:t>
            </w:r>
          </w:p>
        </w:tc>
        <w:tc>
          <w:tcPr>
            <w:tcW w:type="dxa" w:w="1700"/>
            <w:vAlign w:val="center"/>
            <w:tcMar>
              <w:top w:w="60" w:type="dxa"/>
              <w:start w:w="100" w:type="dxa"/>
              <w:bottom w:w="60" w:type="dxa"/>
              <w:end w:w="100" w:type="dxa"/>
            </w:tcMar>
          </w:tcPr>
          <w:p>
            <w:pPr>
              <w:spacing w:after="0"/>
            </w:pPr>
            <w:r>
              <w:rPr>
                <w:rFonts w:ascii="Arial" w:hAnsi="Arial"/>
                <w:b/>
                <w:color w:val="000000"/>
                <w:sz w:val="18"/>
              </w:rPr>
              <w:t>Features removed</w:t>
            </w:r>
          </w:p>
        </w:tc>
        <w:tc>
          <w:tcPr>
            <w:tcW w:type="dxa" w:w="1700"/>
            <w:vAlign w:val="center"/>
            <w:tcMar>
              <w:top w:w="60" w:type="dxa"/>
              <w:start w:w="100" w:type="dxa"/>
              <w:bottom w:w="60" w:type="dxa"/>
              <w:end w:w="100" w:type="dxa"/>
            </w:tcMar>
          </w:tcPr>
          <w:p>
            <w:pPr>
              <w:spacing w:after="0"/>
            </w:pPr>
            <w:r>
              <w:rPr>
                <w:rFonts w:ascii="Arial" w:hAnsi="Arial"/>
                <w:b/>
                <w:color w:val="000000"/>
                <w:sz w:val="18"/>
              </w:rPr>
              <w:t>Holdout RMSE</w:t>
            </w:r>
          </w:p>
        </w:tc>
        <w:tc>
          <w:tcPr>
            <w:tcW w:type="dxa" w:w="1700"/>
            <w:vAlign w:val="center"/>
            <w:tcMar>
              <w:top w:w="60" w:type="dxa"/>
              <w:start w:w="100" w:type="dxa"/>
              <w:bottom w:w="60" w:type="dxa"/>
              <w:end w:w="100" w:type="dxa"/>
            </w:tcMar>
          </w:tcPr>
          <w:p>
            <w:pPr>
              <w:spacing w:after="0"/>
            </w:pPr>
            <w:r>
              <w:rPr>
                <w:rFonts w:ascii="Arial" w:hAnsi="Arial"/>
                <w:b/>
                <w:color w:val="000000"/>
                <w:sz w:val="18"/>
              </w:rPr>
              <w:t>RMSE delta</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Education and health access</w:t>
            </w:r>
          </w:p>
        </w:tc>
        <w:tc>
          <w:tcPr>
            <w:tcW w:type="dxa" w:w="1700"/>
            <w:vAlign w:val="center"/>
            <w:tcMar>
              <w:top w:w="60" w:type="dxa"/>
              <w:start w:w="100" w:type="dxa"/>
              <w:bottom w:w="60" w:type="dxa"/>
              <w:end w:w="100" w:type="dxa"/>
            </w:tcMar>
          </w:tcPr>
          <w:p>
            <w:pPr>
              <w:spacing w:after="0"/>
            </w:pPr>
            <w:r>
              <w:rPr>
                <w:rFonts w:ascii="Arial" w:hAnsi="Arial"/>
                <w:color w:val="000000"/>
                <w:sz w:val="18"/>
              </w:rPr>
              <w:t>5</w:t>
            </w:r>
          </w:p>
        </w:tc>
        <w:tc>
          <w:tcPr>
            <w:tcW w:type="dxa" w:w="1700"/>
            <w:vAlign w:val="center"/>
            <w:tcMar>
              <w:top w:w="60" w:type="dxa"/>
              <w:start w:w="100" w:type="dxa"/>
              <w:bottom w:w="60" w:type="dxa"/>
              <w:end w:w="100" w:type="dxa"/>
            </w:tcMar>
          </w:tcPr>
          <w:p>
            <w:pPr>
              <w:spacing w:after="0"/>
            </w:pPr>
            <w:r>
              <w:rPr>
                <w:rFonts w:ascii="Arial" w:hAnsi="Arial"/>
                <w:color w:val="000000"/>
                <w:sz w:val="18"/>
              </w:rPr>
              <w:t>2.06</w:t>
            </w:r>
          </w:p>
        </w:tc>
        <w:tc>
          <w:tcPr>
            <w:tcW w:type="dxa" w:w="1700"/>
            <w:vAlign w:val="center"/>
            <w:tcMar>
              <w:top w:w="60" w:type="dxa"/>
              <w:start w:w="100" w:type="dxa"/>
              <w:bottom w:w="60" w:type="dxa"/>
              <w:end w:w="100" w:type="dxa"/>
            </w:tcMar>
          </w:tcPr>
          <w:p>
            <w:pPr>
              <w:spacing w:after="0"/>
            </w:pPr>
            <w:r>
              <w:rPr>
                <w:rFonts w:ascii="Arial" w:hAnsi="Arial"/>
                <w:color w:val="000000"/>
                <w:sz w:val="18"/>
              </w:rPr>
              <w:t>0.08</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Industry composition</w:t>
            </w:r>
          </w:p>
        </w:tc>
        <w:tc>
          <w:tcPr>
            <w:tcW w:type="dxa" w:w="1700"/>
            <w:vAlign w:val="center"/>
            <w:tcMar>
              <w:top w:w="60" w:type="dxa"/>
              <w:start w:w="100" w:type="dxa"/>
              <w:bottom w:w="60" w:type="dxa"/>
              <w:end w:w="100" w:type="dxa"/>
            </w:tcMar>
          </w:tcPr>
          <w:p>
            <w:pPr>
              <w:spacing w:after="0"/>
            </w:pPr>
            <w:r>
              <w:rPr>
                <w:rFonts w:ascii="Arial" w:hAnsi="Arial"/>
                <w:color w:val="000000"/>
                <w:sz w:val="18"/>
              </w:rPr>
              <w:t>13</w:t>
            </w:r>
          </w:p>
        </w:tc>
        <w:tc>
          <w:tcPr>
            <w:tcW w:type="dxa" w:w="1700"/>
            <w:vAlign w:val="center"/>
            <w:tcMar>
              <w:top w:w="60" w:type="dxa"/>
              <w:start w:w="100" w:type="dxa"/>
              <w:bottom w:w="60" w:type="dxa"/>
              <w:end w:w="100" w:type="dxa"/>
            </w:tcMar>
          </w:tcPr>
          <w:p>
            <w:pPr>
              <w:spacing w:after="0"/>
            </w:pPr>
            <w:r>
              <w:rPr>
                <w:rFonts w:ascii="Arial" w:hAnsi="Arial"/>
                <w:color w:val="000000"/>
                <w:sz w:val="18"/>
              </w:rPr>
              <w:t>2.01</w:t>
            </w:r>
          </w:p>
        </w:tc>
        <w:tc>
          <w:tcPr>
            <w:tcW w:type="dxa" w:w="1700"/>
            <w:vAlign w:val="center"/>
            <w:tcMar>
              <w:top w:w="60" w:type="dxa"/>
              <w:start w:w="100" w:type="dxa"/>
              <w:bottom w:w="60" w:type="dxa"/>
              <w:end w:w="100" w:type="dxa"/>
            </w:tcMar>
          </w:tcPr>
          <w:p>
            <w:pPr>
              <w:spacing w:after="0"/>
            </w:pPr>
            <w:r>
              <w:rPr>
                <w:rFonts w:ascii="Arial" w:hAnsi="Arial"/>
                <w:color w:val="000000"/>
                <w:sz w:val="18"/>
              </w:rPr>
              <w:t>0.03</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Annual AQI</w:t>
            </w:r>
          </w:p>
        </w:tc>
        <w:tc>
          <w:tcPr>
            <w:tcW w:type="dxa" w:w="1700"/>
            <w:vAlign w:val="center"/>
            <w:tcMar>
              <w:top w:w="60" w:type="dxa"/>
              <w:start w:w="100" w:type="dxa"/>
              <w:bottom w:w="60" w:type="dxa"/>
              <w:end w:w="100" w:type="dxa"/>
            </w:tcMar>
          </w:tcPr>
          <w:p>
            <w:pPr>
              <w:spacing w:after="0"/>
            </w:pPr>
            <w:r>
              <w:rPr>
                <w:rFonts w:ascii="Arial" w:hAnsi="Arial"/>
                <w:color w:val="000000"/>
                <w:sz w:val="18"/>
              </w:rPr>
              <w:t>15</w:t>
            </w:r>
          </w:p>
        </w:tc>
        <w:tc>
          <w:tcPr>
            <w:tcW w:type="dxa" w:w="1700"/>
            <w:vAlign w:val="center"/>
            <w:tcMar>
              <w:top w:w="60" w:type="dxa"/>
              <w:start w:w="100" w:type="dxa"/>
              <w:bottom w:w="60" w:type="dxa"/>
              <w:end w:w="100" w:type="dxa"/>
            </w:tcMar>
          </w:tcPr>
          <w:p>
            <w:pPr>
              <w:spacing w:after="0"/>
            </w:pPr>
            <w:r>
              <w:rPr>
                <w:rFonts w:ascii="Arial" w:hAnsi="Arial"/>
                <w:color w:val="000000"/>
                <w:sz w:val="18"/>
              </w:rPr>
              <w:t>1.99</w:t>
            </w:r>
          </w:p>
        </w:tc>
        <w:tc>
          <w:tcPr>
            <w:tcW w:type="dxa" w:w="1700"/>
            <w:vAlign w:val="center"/>
            <w:tcMar>
              <w:top w:w="60" w:type="dxa"/>
              <w:start w:w="100" w:type="dxa"/>
              <w:bottom w:w="60" w:type="dxa"/>
              <w:end w:w="100" w:type="dxa"/>
            </w:tcMar>
          </w:tcPr>
          <w:p>
            <w:pPr>
              <w:spacing w:after="0"/>
            </w:pPr>
            <w:r>
              <w:rPr>
                <w:rFonts w:ascii="Arial" w:hAnsi="Arial"/>
                <w:color w:val="000000"/>
                <w:sz w:val="18"/>
              </w:rPr>
              <w:t>0.01</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None (full model)</w:t>
            </w:r>
          </w:p>
        </w:tc>
        <w:tc>
          <w:tcPr>
            <w:tcW w:type="dxa" w:w="1700"/>
            <w:vAlign w:val="center"/>
            <w:tcMar>
              <w:top w:w="60" w:type="dxa"/>
              <w:start w:w="100" w:type="dxa"/>
              <w:bottom w:w="60" w:type="dxa"/>
              <w:end w:w="100" w:type="dxa"/>
            </w:tcMar>
          </w:tcPr>
          <w:p>
            <w:pPr>
              <w:spacing w:after="0"/>
            </w:pPr>
            <w:r>
              <w:rPr>
                <w:rFonts w:ascii="Arial" w:hAnsi="Arial"/>
                <w:color w:val="000000"/>
                <w:sz w:val="18"/>
              </w:rPr>
              <w:t>0</w:t>
            </w:r>
          </w:p>
        </w:tc>
        <w:tc>
          <w:tcPr>
            <w:tcW w:type="dxa" w:w="1700"/>
            <w:vAlign w:val="center"/>
            <w:tcMar>
              <w:top w:w="60" w:type="dxa"/>
              <w:start w:w="100" w:type="dxa"/>
              <w:bottom w:w="60" w:type="dxa"/>
              <w:end w:w="100" w:type="dxa"/>
            </w:tcMar>
          </w:tcPr>
          <w:p>
            <w:pPr>
              <w:spacing w:after="0"/>
            </w:pPr>
            <w:r>
              <w:rPr>
                <w:rFonts w:ascii="Arial" w:hAnsi="Arial"/>
                <w:color w:val="000000"/>
                <w:sz w:val="18"/>
              </w:rPr>
              <w:t>1.98</w:t>
            </w:r>
          </w:p>
        </w:tc>
        <w:tc>
          <w:tcPr>
            <w:tcW w:type="dxa" w:w="1700"/>
            <w:vAlign w:val="center"/>
            <w:tcMar>
              <w:top w:w="60" w:type="dxa"/>
              <w:start w:w="100" w:type="dxa"/>
              <w:bottom w:w="60" w:type="dxa"/>
              <w:end w:w="100" w:type="dxa"/>
            </w:tcMar>
          </w:tcPr>
          <w:p>
            <w:pPr>
              <w:spacing w:after="0"/>
            </w:pPr>
            <w:r>
              <w:rPr>
                <w:rFonts w:ascii="Arial" w:hAnsi="Arial"/>
                <w:color w:val="000000"/>
                <w:sz w:val="18"/>
              </w:rPr>
              <w:t>0.00</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Daily AQI exposure</w:t>
            </w:r>
          </w:p>
        </w:tc>
        <w:tc>
          <w:tcPr>
            <w:tcW w:type="dxa" w:w="1700"/>
            <w:vAlign w:val="center"/>
            <w:tcMar>
              <w:top w:w="60" w:type="dxa"/>
              <w:start w:w="100" w:type="dxa"/>
              <w:bottom w:w="60" w:type="dxa"/>
              <w:end w:w="100" w:type="dxa"/>
            </w:tcMar>
          </w:tcPr>
          <w:p>
            <w:pPr>
              <w:spacing w:after="0"/>
            </w:pPr>
            <w:r>
              <w:rPr>
                <w:rFonts w:ascii="Arial" w:hAnsi="Arial"/>
                <w:color w:val="000000"/>
                <w:sz w:val="18"/>
              </w:rPr>
              <w:t>25</w:t>
            </w:r>
          </w:p>
        </w:tc>
        <w:tc>
          <w:tcPr>
            <w:tcW w:type="dxa" w:w="1700"/>
            <w:vAlign w:val="center"/>
            <w:tcMar>
              <w:top w:w="60" w:type="dxa"/>
              <w:start w:w="100" w:type="dxa"/>
              <w:bottom w:w="60" w:type="dxa"/>
              <w:end w:w="100" w:type="dxa"/>
            </w:tcMar>
          </w:tcPr>
          <w:p>
            <w:pPr>
              <w:spacing w:after="0"/>
            </w:pPr>
            <w:r>
              <w:rPr>
                <w:rFonts w:ascii="Arial" w:hAnsi="Arial"/>
                <w:color w:val="000000"/>
                <w:sz w:val="18"/>
              </w:rPr>
              <w:t>1.98</w:t>
            </w:r>
          </w:p>
        </w:tc>
        <w:tc>
          <w:tcPr>
            <w:tcW w:type="dxa" w:w="1700"/>
            <w:vAlign w:val="center"/>
            <w:tcMar>
              <w:top w:w="60" w:type="dxa"/>
              <w:start w:w="100" w:type="dxa"/>
              <w:bottom w:w="60" w:type="dxa"/>
              <w:end w:w="100" w:type="dxa"/>
            </w:tcMar>
          </w:tcPr>
          <w:p>
            <w:pPr>
              <w:spacing w:after="0"/>
            </w:pPr>
            <w:r>
              <w:rPr>
                <w:rFonts w:ascii="Arial" w:hAnsi="Arial"/>
                <w:color w:val="000000"/>
                <w:sz w:val="18"/>
              </w:rPr>
              <w:t>-0.00</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Socioeconomic scale</w:t>
            </w:r>
          </w:p>
        </w:tc>
        <w:tc>
          <w:tcPr>
            <w:tcW w:type="dxa" w:w="1700"/>
            <w:vAlign w:val="center"/>
            <w:tcMar>
              <w:top w:w="60" w:type="dxa"/>
              <w:start w:w="100" w:type="dxa"/>
              <w:bottom w:w="60" w:type="dxa"/>
              <w:end w:w="100" w:type="dxa"/>
            </w:tcMar>
          </w:tcPr>
          <w:p>
            <w:pPr>
              <w:spacing w:after="0"/>
            </w:pPr>
            <w:r>
              <w:rPr>
                <w:rFonts w:ascii="Arial" w:hAnsi="Arial"/>
                <w:color w:val="000000"/>
                <w:sz w:val="18"/>
              </w:rPr>
              <w:t>9</w:t>
            </w:r>
          </w:p>
        </w:tc>
        <w:tc>
          <w:tcPr>
            <w:tcW w:type="dxa" w:w="1700"/>
            <w:vAlign w:val="center"/>
            <w:tcMar>
              <w:top w:w="60" w:type="dxa"/>
              <w:start w:w="100" w:type="dxa"/>
              <w:bottom w:w="60" w:type="dxa"/>
              <w:end w:w="100" w:type="dxa"/>
            </w:tcMar>
          </w:tcPr>
          <w:p>
            <w:pPr>
              <w:spacing w:after="0"/>
            </w:pPr>
            <w:r>
              <w:rPr>
                <w:rFonts w:ascii="Arial" w:hAnsi="Arial"/>
                <w:color w:val="000000"/>
                <w:sz w:val="18"/>
              </w:rPr>
              <w:t>1.94</w:t>
            </w:r>
          </w:p>
        </w:tc>
        <w:tc>
          <w:tcPr>
            <w:tcW w:type="dxa" w:w="1700"/>
            <w:vAlign w:val="center"/>
            <w:tcMar>
              <w:top w:w="60" w:type="dxa"/>
              <w:start w:w="100" w:type="dxa"/>
              <w:bottom w:w="60" w:type="dxa"/>
              <w:end w:w="100" w:type="dxa"/>
            </w:tcMar>
          </w:tcPr>
          <w:p>
            <w:pPr>
              <w:spacing w:after="0"/>
            </w:pPr>
            <w:r>
              <w:rPr>
                <w:rFonts w:ascii="Arial" w:hAnsi="Arial"/>
                <w:color w:val="000000"/>
                <w:sz w:val="18"/>
              </w:rPr>
              <w:t>-0.04</w:t>
            </w:r>
          </w:p>
        </w:tc>
      </w:tr>
      <w:tr>
        <w:tc>
          <w:tcPr>
            <w:tcW w:type="dxa" w:w="3100"/>
            <w:vAlign w:val="center"/>
            <w:tcMar>
              <w:top w:w="60" w:type="dxa"/>
              <w:start w:w="100" w:type="dxa"/>
              <w:bottom w:w="60" w:type="dxa"/>
              <w:end w:w="100" w:type="dxa"/>
            </w:tcMar>
          </w:tcPr>
          <w:p>
            <w:pPr>
              <w:spacing w:after="0"/>
            </w:pPr>
            <w:r>
              <w:rPr>
                <w:rFonts w:ascii="Arial" w:hAnsi="Arial"/>
                <w:color w:val="000000"/>
                <w:sz w:val="18"/>
              </w:rPr>
              <w:t>Climate</w:t>
            </w:r>
          </w:p>
        </w:tc>
        <w:tc>
          <w:tcPr>
            <w:tcW w:type="dxa" w:w="1700"/>
            <w:vAlign w:val="center"/>
            <w:tcMar>
              <w:top w:w="60" w:type="dxa"/>
              <w:start w:w="100" w:type="dxa"/>
              <w:bottom w:w="60" w:type="dxa"/>
              <w:end w:w="100" w:type="dxa"/>
            </w:tcMar>
          </w:tcPr>
          <w:p>
            <w:pPr>
              <w:spacing w:after="0"/>
            </w:pPr>
            <w:r>
              <w:rPr>
                <w:rFonts w:ascii="Arial" w:hAnsi="Arial"/>
                <w:color w:val="000000"/>
                <w:sz w:val="18"/>
              </w:rPr>
              <w:t>6</w:t>
            </w:r>
          </w:p>
        </w:tc>
        <w:tc>
          <w:tcPr>
            <w:tcW w:type="dxa" w:w="1700"/>
            <w:vAlign w:val="center"/>
            <w:tcMar>
              <w:top w:w="60" w:type="dxa"/>
              <w:start w:w="100" w:type="dxa"/>
              <w:bottom w:w="60" w:type="dxa"/>
              <w:end w:w="100" w:type="dxa"/>
            </w:tcMar>
          </w:tcPr>
          <w:p>
            <w:pPr>
              <w:spacing w:after="0"/>
            </w:pPr>
            <w:r>
              <w:rPr>
                <w:rFonts w:ascii="Arial" w:hAnsi="Arial"/>
                <w:color w:val="000000"/>
                <w:sz w:val="18"/>
              </w:rPr>
              <w:t>1.94</w:t>
            </w:r>
          </w:p>
        </w:tc>
        <w:tc>
          <w:tcPr>
            <w:tcW w:type="dxa" w:w="1700"/>
            <w:vAlign w:val="center"/>
            <w:tcMar>
              <w:top w:w="60" w:type="dxa"/>
              <w:start w:w="100" w:type="dxa"/>
              <w:bottom w:w="60" w:type="dxa"/>
              <w:end w:w="100" w:type="dxa"/>
            </w:tcMar>
          </w:tcPr>
          <w:p>
            <w:pPr>
              <w:spacing w:after="0"/>
            </w:pPr>
            <w:r>
              <w:rPr>
                <w:rFonts w:ascii="Arial" w:hAnsi="Arial"/>
                <w:color w:val="000000"/>
                <w:sz w:val="18"/>
              </w:rPr>
              <w:t>-0.04</w:t>
            </w:r>
          </w:p>
        </w:tc>
      </w:tr>
    </w:tbl>
    <w:p/>
    <w:p>
      <w:pPr>
        <w:jc w:val="center"/>
      </w:pPr>
      <w:r>
        <w:drawing>
          <wp:inline xmlns:a="http://schemas.openxmlformats.org/drawingml/2006/main" xmlns:pic="http://schemas.openxmlformats.org/drawingml/2006/picture">
            <wp:extent cx="5212080" cy="3127248"/>
            <wp:docPr id="2" name="Picture 2"/>
            <wp:cNvGraphicFramePr>
              <a:graphicFrameLocks noChangeAspect="1"/>
            </wp:cNvGraphicFramePr>
            <a:graphic>
              <a:graphicData uri="http://schemas.openxmlformats.org/drawingml/2006/picture">
                <pic:pic>
                  <pic:nvPicPr>
                    <pic:cNvPr id="0" name="figure_rf_ablation.png"/>
                    <pic:cNvPicPr/>
                  </pic:nvPicPr>
                  <pic:blipFill>
                    <a:blip r:embed="rId10"/>
                    <a:stretch>
                      <a:fillRect/>
                    </a:stretch>
                  </pic:blipFill>
                  <pic:spPr>
                    <a:xfrm>
                      <a:off x="0" y="0"/>
                      <a:ext cx="5212080" cy="3127248"/>
                    </a:xfrm>
                    <a:prstGeom prst="rect"/>
                  </pic:spPr>
                </pic:pic>
              </a:graphicData>
            </a:graphic>
          </wp:inline>
        </w:drawing>
      </w:r>
    </w:p>
    <w:p>
      <w:pPr>
        <w:pStyle w:val="Caption"/>
        <w:jc w:val="left"/>
      </w:pPr>
      <w:r>
        <w:t>Figure 2. Family ablation for the Random Forest model.</w:t>
      </w:r>
    </w:p>
    <w:p>
      <w:pPr>
        <w:pStyle w:val="Heading2"/>
      </w:pPr>
      <w:r>
        <w:t>Sensitivity, Tradeoffs, and Failure Analysis</w:t>
      </w:r>
    </w:p>
    <w:p>
      <w:r>
        <w:t>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pPr>
        <w:pStyle w:val="Caption"/>
        <w:jc w:val="left"/>
      </w:pPr>
      <w:r>
        <w:t>Table 6. Random Forest sensitivity analysis, top settings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100"/>
            <w:vAlign w:val="center"/>
            <w:tcMar>
              <w:top w:w="60" w:type="dxa"/>
              <w:start w:w="100" w:type="dxa"/>
              <w:bottom w:w="60" w:type="dxa"/>
              <w:end w:w="100" w:type="dxa"/>
            </w:tcMar>
          </w:tcPr>
          <w:p>
            <w:pPr>
              <w:spacing w:after="0"/>
            </w:pPr>
            <w:r>
              <w:rPr>
                <w:rFonts w:ascii="Arial" w:hAnsi="Arial"/>
                <w:b/>
                <w:color w:val="000000"/>
                <w:sz w:val="18"/>
              </w:rPr>
              <w:t>min_samples_leaf</w:t>
            </w:r>
          </w:p>
        </w:tc>
        <w:tc>
          <w:tcPr>
            <w:tcW w:type="dxa" w:w="2100"/>
            <w:vAlign w:val="center"/>
            <w:tcMar>
              <w:top w:w="60" w:type="dxa"/>
              <w:start w:w="100" w:type="dxa"/>
              <w:bottom w:w="60" w:type="dxa"/>
              <w:end w:w="100" w:type="dxa"/>
            </w:tcMar>
          </w:tcPr>
          <w:p>
            <w:pPr>
              <w:spacing w:after="0"/>
            </w:pPr>
            <w:r>
              <w:rPr>
                <w:rFonts w:ascii="Arial" w:hAnsi="Arial"/>
                <w:b/>
                <w:color w:val="000000"/>
                <w:sz w:val="18"/>
              </w:rPr>
              <w:t>max_features</w:t>
            </w:r>
          </w:p>
        </w:tc>
        <w:tc>
          <w:tcPr>
            <w:tcW w:type="dxa" w:w="2400"/>
            <w:vAlign w:val="center"/>
            <w:tcMar>
              <w:top w:w="60" w:type="dxa"/>
              <w:start w:w="100" w:type="dxa"/>
              <w:bottom w:w="60" w:type="dxa"/>
              <w:end w:w="100" w:type="dxa"/>
            </w:tcMar>
          </w:tcPr>
          <w:p>
            <w:pPr>
              <w:spacing w:after="0"/>
            </w:pPr>
            <w:r>
              <w:rPr>
                <w:rFonts w:ascii="Arial" w:hAnsi="Arial"/>
                <w:b/>
                <w:color w:val="000000"/>
                <w:sz w:val="18"/>
              </w:rPr>
              <w:t>Holdout RMSE</w:t>
            </w:r>
          </w:p>
        </w:tc>
        <w:tc>
          <w:tcPr>
            <w:tcW w:type="dxa" w:w="2400"/>
            <w:vAlign w:val="center"/>
            <w:tcMar>
              <w:top w:w="60" w:type="dxa"/>
              <w:start w:w="100" w:type="dxa"/>
              <w:bottom w:w="60" w:type="dxa"/>
              <w:end w:w="100" w:type="dxa"/>
            </w:tcMar>
          </w:tcPr>
          <w:p>
            <w:pPr>
              <w:spacing w:after="0"/>
            </w:pPr>
            <w:r>
              <w:rPr>
                <w:rFonts w:ascii="Arial" w:hAnsi="Arial"/>
                <w:b/>
                <w:color w:val="000000"/>
                <w:sz w:val="18"/>
              </w:rPr>
              <w:t>Holdout R²</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1</w:t>
            </w:r>
          </w:p>
        </w:tc>
        <w:tc>
          <w:tcPr>
            <w:tcW w:type="dxa" w:w="2100"/>
            <w:vAlign w:val="center"/>
            <w:tcMar>
              <w:top w:w="60" w:type="dxa"/>
              <w:start w:w="100" w:type="dxa"/>
              <w:bottom w:w="60" w:type="dxa"/>
              <w:end w:w="100" w:type="dxa"/>
            </w:tcMar>
          </w:tcPr>
          <w:p>
            <w:pPr>
              <w:spacing w:after="0"/>
            </w:pPr>
            <w:r>
              <w:rPr>
                <w:rFonts w:ascii="Arial" w:hAnsi="Arial"/>
                <w:color w:val="000000"/>
                <w:sz w:val="18"/>
              </w:rPr>
              <w:t>sqrt</w:t>
            </w:r>
          </w:p>
        </w:tc>
        <w:tc>
          <w:tcPr>
            <w:tcW w:type="dxa" w:w="2400"/>
            <w:vAlign w:val="center"/>
            <w:tcMar>
              <w:top w:w="60" w:type="dxa"/>
              <w:start w:w="100" w:type="dxa"/>
              <w:bottom w:w="60" w:type="dxa"/>
              <w:end w:w="100" w:type="dxa"/>
            </w:tcMar>
          </w:tcPr>
          <w:p>
            <w:pPr>
              <w:spacing w:after="0"/>
            </w:pPr>
            <w:r>
              <w:rPr>
                <w:rFonts w:ascii="Arial" w:hAnsi="Arial"/>
                <w:color w:val="000000"/>
                <w:sz w:val="18"/>
              </w:rPr>
              <w:t>1.98</w:t>
            </w:r>
          </w:p>
        </w:tc>
        <w:tc>
          <w:tcPr>
            <w:tcW w:type="dxa" w:w="2400"/>
            <w:vAlign w:val="center"/>
            <w:tcMar>
              <w:top w:w="60" w:type="dxa"/>
              <w:start w:w="100" w:type="dxa"/>
              <w:bottom w:w="60" w:type="dxa"/>
              <w:end w:w="100" w:type="dxa"/>
            </w:tcMar>
          </w:tcPr>
          <w:p>
            <w:pPr>
              <w:spacing w:after="0"/>
            </w:pPr>
            <w:r>
              <w:rPr>
                <w:rFonts w:ascii="Arial" w:hAnsi="Arial"/>
                <w:color w:val="000000"/>
                <w:sz w:val="18"/>
              </w:rPr>
              <w:t>-0.02</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3</w:t>
            </w:r>
          </w:p>
        </w:tc>
        <w:tc>
          <w:tcPr>
            <w:tcW w:type="dxa" w:w="2100"/>
            <w:vAlign w:val="center"/>
            <w:tcMar>
              <w:top w:w="60" w:type="dxa"/>
              <w:start w:w="100" w:type="dxa"/>
              <w:bottom w:w="60" w:type="dxa"/>
              <w:end w:w="100" w:type="dxa"/>
            </w:tcMar>
          </w:tcPr>
          <w:p>
            <w:pPr>
              <w:spacing w:after="0"/>
            </w:pPr>
            <w:r>
              <w:rPr>
                <w:rFonts w:ascii="Arial" w:hAnsi="Arial"/>
                <w:color w:val="000000"/>
                <w:sz w:val="18"/>
              </w:rPr>
              <w:t>sqrt</w:t>
            </w:r>
          </w:p>
        </w:tc>
        <w:tc>
          <w:tcPr>
            <w:tcW w:type="dxa" w:w="2400"/>
            <w:vAlign w:val="center"/>
            <w:tcMar>
              <w:top w:w="60" w:type="dxa"/>
              <w:start w:w="100" w:type="dxa"/>
              <w:bottom w:w="60" w:type="dxa"/>
              <w:end w:w="100" w:type="dxa"/>
            </w:tcMar>
          </w:tcPr>
          <w:p>
            <w:pPr>
              <w:spacing w:after="0"/>
            </w:pPr>
            <w:r>
              <w:rPr>
                <w:rFonts w:ascii="Arial" w:hAnsi="Arial"/>
                <w:color w:val="000000"/>
                <w:sz w:val="18"/>
              </w:rPr>
              <w:t>2.00</w:t>
            </w:r>
          </w:p>
        </w:tc>
        <w:tc>
          <w:tcPr>
            <w:tcW w:type="dxa" w:w="2400"/>
            <w:vAlign w:val="center"/>
            <w:tcMar>
              <w:top w:w="60" w:type="dxa"/>
              <w:start w:w="100" w:type="dxa"/>
              <w:bottom w:w="60" w:type="dxa"/>
              <w:end w:w="100" w:type="dxa"/>
            </w:tcMar>
          </w:tcPr>
          <w:p>
            <w:pPr>
              <w:spacing w:after="0"/>
            </w:pPr>
            <w:r>
              <w:rPr>
                <w:rFonts w:ascii="Arial" w:hAnsi="Arial"/>
                <w:color w:val="000000"/>
                <w:sz w:val="18"/>
              </w:rPr>
              <w:t>-0.04</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8</w:t>
            </w:r>
          </w:p>
        </w:tc>
        <w:tc>
          <w:tcPr>
            <w:tcW w:type="dxa" w:w="2100"/>
            <w:vAlign w:val="center"/>
            <w:tcMar>
              <w:top w:w="60" w:type="dxa"/>
              <w:start w:w="100" w:type="dxa"/>
              <w:bottom w:w="60" w:type="dxa"/>
              <w:end w:w="100" w:type="dxa"/>
            </w:tcMar>
          </w:tcPr>
          <w:p>
            <w:pPr>
              <w:spacing w:after="0"/>
            </w:pPr>
            <w:r>
              <w:rPr>
                <w:rFonts w:ascii="Arial" w:hAnsi="Arial"/>
                <w:color w:val="000000"/>
                <w:sz w:val="18"/>
              </w:rPr>
              <w:t>sqrt</w:t>
            </w:r>
          </w:p>
        </w:tc>
        <w:tc>
          <w:tcPr>
            <w:tcW w:type="dxa" w:w="2400"/>
            <w:vAlign w:val="center"/>
            <w:tcMar>
              <w:top w:w="60" w:type="dxa"/>
              <w:start w:w="100" w:type="dxa"/>
              <w:bottom w:w="60" w:type="dxa"/>
              <w:end w:w="100" w:type="dxa"/>
            </w:tcMar>
          </w:tcPr>
          <w:p>
            <w:pPr>
              <w:spacing w:after="0"/>
            </w:pPr>
            <w:r>
              <w:rPr>
                <w:rFonts w:ascii="Arial" w:hAnsi="Arial"/>
                <w:color w:val="000000"/>
                <w:sz w:val="18"/>
              </w:rPr>
              <w:t>2.02</w:t>
            </w:r>
          </w:p>
        </w:tc>
        <w:tc>
          <w:tcPr>
            <w:tcW w:type="dxa" w:w="2400"/>
            <w:vAlign w:val="center"/>
            <w:tcMar>
              <w:top w:w="60" w:type="dxa"/>
              <w:start w:w="100" w:type="dxa"/>
              <w:bottom w:w="60" w:type="dxa"/>
              <w:end w:w="100" w:type="dxa"/>
            </w:tcMar>
          </w:tcPr>
          <w:p>
            <w:pPr>
              <w:spacing w:after="0"/>
            </w:pPr>
            <w:r>
              <w:rPr>
                <w:rFonts w:ascii="Arial" w:hAnsi="Arial"/>
                <w:color w:val="000000"/>
                <w:sz w:val="18"/>
              </w:rPr>
              <w:t>-0.06</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15</w:t>
            </w:r>
          </w:p>
        </w:tc>
        <w:tc>
          <w:tcPr>
            <w:tcW w:type="dxa" w:w="2100"/>
            <w:vAlign w:val="center"/>
            <w:tcMar>
              <w:top w:w="60" w:type="dxa"/>
              <w:start w:w="100" w:type="dxa"/>
              <w:bottom w:w="60" w:type="dxa"/>
              <w:end w:w="100" w:type="dxa"/>
            </w:tcMar>
          </w:tcPr>
          <w:p>
            <w:pPr>
              <w:spacing w:after="0"/>
            </w:pPr>
            <w:r>
              <w:rPr>
                <w:rFonts w:ascii="Arial" w:hAnsi="Arial"/>
                <w:color w:val="000000"/>
                <w:sz w:val="18"/>
              </w:rPr>
              <w:t>sqrt</w:t>
            </w:r>
          </w:p>
        </w:tc>
        <w:tc>
          <w:tcPr>
            <w:tcW w:type="dxa" w:w="2400"/>
            <w:vAlign w:val="center"/>
            <w:tcMar>
              <w:top w:w="60" w:type="dxa"/>
              <w:start w:w="100" w:type="dxa"/>
              <w:bottom w:w="60" w:type="dxa"/>
              <w:end w:w="100" w:type="dxa"/>
            </w:tcMar>
          </w:tcPr>
          <w:p>
            <w:pPr>
              <w:spacing w:after="0"/>
            </w:pPr>
            <w:r>
              <w:rPr>
                <w:rFonts w:ascii="Arial" w:hAnsi="Arial"/>
                <w:color w:val="000000"/>
                <w:sz w:val="18"/>
              </w:rPr>
              <w:t>2.05</w:t>
            </w:r>
          </w:p>
        </w:tc>
        <w:tc>
          <w:tcPr>
            <w:tcW w:type="dxa" w:w="2400"/>
            <w:vAlign w:val="center"/>
            <w:tcMar>
              <w:top w:w="60" w:type="dxa"/>
              <w:start w:w="100" w:type="dxa"/>
              <w:bottom w:w="60" w:type="dxa"/>
              <w:end w:w="100" w:type="dxa"/>
            </w:tcMar>
          </w:tcPr>
          <w:p>
            <w:pPr>
              <w:spacing w:after="0"/>
            </w:pPr>
            <w:r>
              <w:rPr>
                <w:rFonts w:ascii="Arial" w:hAnsi="Arial"/>
                <w:color w:val="000000"/>
                <w:sz w:val="18"/>
              </w:rPr>
              <w:t>-0.09</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1</w:t>
            </w:r>
          </w:p>
        </w:tc>
        <w:tc>
          <w:tcPr>
            <w:tcW w:type="dxa" w:w="2100"/>
            <w:vAlign w:val="center"/>
            <w:tcMar>
              <w:top w:w="60" w:type="dxa"/>
              <w:start w:w="100" w:type="dxa"/>
              <w:bottom w:w="60" w:type="dxa"/>
              <w:end w:w="100" w:type="dxa"/>
            </w:tcMar>
          </w:tcPr>
          <w:p>
            <w:pPr>
              <w:spacing w:after="0"/>
            </w:pPr>
            <w:r>
              <w:rPr>
                <w:rFonts w:ascii="Arial" w:hAnsi="Arial"/>
                <w:color w:val="000000"/>
                <w:sz w:val="18"/>
              </w:rPr>
              <w:t>0.7</w:t>
            </w:r>
          </w:p>
        </w:tc>
        <w:tc>
          <w:tcPr>
            <w:tcW w:type="dxa" w:w="2400"/>
            <w:vAlign w:val="center"/>
            <w:tcMar>
              <w:top w:w="60" w:type="dxa"/>
              <w:start w:w="100" w:type="dxa"/>
              <w:bottom w:w="60" w:type="dxa"/>
              <w:end w:w="100" w:type="dxa"/>
            </w:tcMar>
          </w:tcPr>
          <w:p>
            <w:pPr>
              <w:spacing w:after="0"/>
            </w:pPr>
            <w:r>
              <w:rPr>
                <w:rFonts w:ascii="Arial" w:hAnsi="Arial"/>
                <w:color w:val="000000"/>
                <w:sz w:val="18"/>
              </w:rPr>
              <w:t>2.06</w:t>
            </w:r>
          </w:p>
        </w:tc>
        <w:tc>
          <w:tcPr>
            <w:tcW w:type="dxa" w:w="2400"/>
            <w:vAlign w:val="center"/>
            <w:tcMar>
              <w:top w:w="60" w:type="dxa"/>
              <w:start w:w="100" w:type="dxa"/>
              <w:bottom w:w="60" w:type="dxa"/>
              <w:end w:w="100" w:type="dxa"/>
            </w:tcMar>
          </w:tcPr>
          <w:p>
            <w:pPr>
              <w:spacing w:after="0"/>
            </w:pPr>
            <w:r>
              <w:rPr>
                <w:rFonts w:ascii="Arial" w:hAnsi="Arial"/>
                <w:color w:val="000000"/>
                <w:sz w:val="18"/>
              </w:rPr>
              <w:t>-0.10</w:t>
            </w:r>
          </w:p>
        </w:tc>
      </w:tr>
      <w:tr>
        <w:tc>
          <w:tcPr>
            <w:tcW w:type="dxa" w:w="2100"/>
            <w:vAlign w:val="center"/>
            <w:tcMar>
              <w:top w:w="60" w:type="dxa"/>
              <w:start w:w="100" w:type="dxa"/>
              <w:bottom w:w="60" w:type="dxa"/>
              <w:end w:w="100" w:type="dxa"/>
            </w:tcMar>
          </w:tcPr>
          <w:p>
            <w:pPr>
              <w:spacing w:after="0"/>
            </w:pPr>
            <w:r>
              <w:rPr>
                <w:rFonts w:ascii="Arial" w:hAnsi="Arial"/>
                <w:color w:val="000000"/>
                <w:sz w:val="18"/>
              </w:rPr>
              <w:t>1</w:t>
            </w:r>
          </w:p>
        </w:tc>
        <w:tc>
          <w:tcPr>
            <w:tcW w:type="dxa" w:w="2100"/>
            <w:vAlign w:val="center"/>
            <w:tcMar>
              <w:top w:w="60" w:type="dxa"/>
              <w:start w:w="100" w:type="dxa"/>
              <w:bottom w:w="60" w:type="dxa"/>
              <w:end w:w="100" w:type="dxa"/>
            </w:tcMar>
          </w:tcPr>
          <w:p>
            <w:pPr>
              <w:spacing w:after="0"/>
            </w:pPr>
            <w:r>
              <w:rPr>
                <w:rFonts w:ascii="Arial" w:hAnsi="Arial"/>
                <w:color w:val="000000"/>
                <w:sz w:val="18"/>
              </w:rPr>
              <w:t>0.5</w:t>
            </w:r>
          </w:p>
        </w:tc>
        <w:tc>
          <w:tcPr>
            <w:tcW w:type="dxa" w:w="2400"/>
            <w:vAlign w:val="center"/>
            <w:tcMar>
              <w:top w:w="60" w:type="dxa"/>
              <w:start w:w="100" w:type="dxa"/>
              <w:bottom w:w="60" w:type="dxa"/>
              <w:end w:w="100" w:type="dxa"/>
            </w:tcMar>
          </w:tcPr>
          <w:p>
            <w:pPr>
              <w:spacing w:after="0"/>
            </w:pPr>
            <w:r>
              <w:rPr>
                <w:rFonts w:ascii="Arial" w:hAnsi="Arial"/>
                <w:color w:val="000000"/>
                <w:sz w:val="18"/>
              </w:rPr>
              <w:t>2.06</w:t>
            </w:r>
          </w:p>
        </w:tc>
        <w:tc>
          <w:tcPr>
            <w:tcW w:type="dxa" w:w="2400"/>
            <w:vAlign w:val="center"/>
            <w:tcMar>
              <w:top w:w="60" w:type="dxa"/>
              <w:start w:w="100" w:type="dxa"/>
              <w:bottom w:w="60" w:type="dxa"/>
              <w:end w:w="100" w:type="dxa"/>
            </w:tcMar>
          </w:tcPr>
          <w:p>
            <w:pPr>
              <w:spacing w:after="0"/>
            </w:pPr>
            <w:r>
              <w:rPr>
                <w:rFonts w:ascii="Arial" w:hAnsi="Arial"/>
                <w:color w:val="000000"/>
                <w:sz w:val="18"/>
              </w:rPr>
              <w:t>-0.10</w:t>
            </w:r>
          </w:p>
        </w:tc>
      </w:tr>
    </w:tbl>
    <w:p/>
    <w:p>
      <w:r>
        <w:t>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opioid-related distress, social isolation, and other contextual variables.</w:t>
      </w:r>
    </w:p>
    <w:p>
      <w:pPr>
        <w:pStyle w:val="Caption"/>
        <w:jc w:val="left"/>
      </w:pPr>
      <w:r>
        <w:t>Table 7. Specific high-error supervised examples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6"/>
        <w:gridCol w:w="1656"/>
        <w:gridCol w:w="1656"/>
        <w:gridCol w:w="1656"/>
        <w:gridCol w:w="1656"/>
        <w:gridCol w:w="1656"/>
      </w:tblGrid>
      <w:tr>
        <w:tc>
          <w:tcPr>
            <w:tcW w:type="dxa" w:w="1350"/>
            <w:vAlign w:val="center"/>
            <w:tcMar>
              <w:top w:w="60" w:type="dxa"/>
              <w:start w:w="100" w:type="dxa"/>
              <w:bottom w:w="60" w:type="dxa"/>
              <w:end w:w="100" w:type="dxa"/>
            </w:tcMar>
          </w:tcPr>
          <w:p>
            <w:pPr>
              <w:spacing w:after="0"/>
            </w:pPr>
            <w:r>
              <w:rPr>
                <w:rFonts w:ascii="Arial" w:hAnsi="Arial"/>
                <w:b/>
                <w:color w:val="000000"/>
                <w:sz w:val="18"/>
              </w:rPr>
              <w:t>County</w:t>
            </w:r>
          </w:p>
        </w:tc>
        <w:tc>
          <w:tcPr>
            <w:tcW w:type="dxa" w:w="1500"/>
            <w:vAlign w:val="center"/>
            <w:tcMar>
              <w:top w:w="60" w:type="dxa"/>
              <w:start w:w="100" w:type="dxa"/>
              <w:bottom w:w="60" w:type="dxa"/>
              <w:end w:w="100" w:type="dxa"/>
            </w:tcMar>
          </w:tcPr>
          <w:p>
            <w:pPr>
              <w:spacing w:after="0"/>
            </w:pPr>
            <w:r>
              <w:rPr>
                <w:rFonts w:ascii="Arial" w:hAnsi="Arial"/>
                <w:b/>
                <w:color w:val="000000"/>
                <w:sz w:val="18"/>
              </w:rPr>
              <w:t>State</w:t>
            </w:r>
          </w:p>
        </w:tc>
        <w:tc>
          <w:tcPr>
            <w:tcW w:type="dxa" w:w="1200"/>
            <w:vAlign w:val="center"/>
            <w:tcMar>
              <w:top w:w="60" w:type="dxa"/>
              <w:start w:w="100" w:type="dxa"/>
              <w:bottom w:w="60" w:type="dxa"/>
              <w:end w:w="100" w:type="dxa"/>
            </w:tcMar>
          </w:tcPr>
          <w:p>
            <w:pPr>
              <w:spacing w:after="0"/>
            </w:pPr>
            <w:r>
              <w:rPr>
                <w:rFonts w:ascii="Arial" w:hAnsi="Arial"/>
                <w:b/>
                <w:color w:val="000000"/>
                <w:sz w:val="18"/>
              </w:rPr>
              <w:t>Actual FMD</w:t>
            </w:r>
          </w:p>
        </w:tc>
        <w:tc>
          <w:tcPr>
            <w:tcW w:type="dxa" w:w="1200"/>
            <w:vAlign w:val="center"/>
            <w:tcMar>
              <w:top w:w="60" w:type="dxa"/>
              <w:start w:w="100" w:type="dxa"/>
              <w:bottom w:w="60" w:type="dxa"/>
              <w:end w:w="100" w:type="dxa"/>
            </w:tcMar>
          </w:tcPr>
          <w:p>
            <w:pPr>
              <w:spacing w:after="0"/>
            </w:pPr>
            <w:r>
              <w:rPr>
                <w:rFonts w:ascii="Arial" w:hAnsi="Arial"/>
                <w:b/>
                <w:color w:val="000000"/>
                <w:sz w:val="18"/>
              </w:rPr>
              <w:t>Prediction</w:t>
            </w:r>
          </w:p>
        </w:tc>
        <w:tc>
          <w:tcPr>
            <w:tcW w:type="dxa" w:w="1100"/>
            <w:vAlign w:val="center"/>
            <w:tcMar>
              <w:top w:w="60" w:type="dxa"/>
              <w:start w:w="100" w:type="dxa"/>
              <w:bottom w:w="60" w:type="dxa"/>
              <w:end w:w="100" w:type="dxa"/>
            </w:tcMar>
          </w:tcPr>
          <w:p>
            <w:pPr>
              <w:spacing w:after="0"/>
            </w:pPr>
            <w:r>
              <w:rPr>
                <w:rFonts w:ascii="Arial" w:hAnsi="Arial"/>
                <w:b/>
                <w:color w:val="000000"/>
                <w:sz w:val="18"/>
              </w:rPr>
              <w:t>Residual</w:t>
            </w:r>
          </w:p>
        </w:tc>
        <w:tc>
          <w:tcPr>
            <w:tcW w:type="dxa" w:w="3010"/>
            <w:vAlign w:val="center"/>
            <w:tcMar>
              <w:top w:w="60" w:type="dxa"/>
              <w:start w:w="100" w:type="dxa"/>
              <w:bottom w:w="60" w:type="dxa"/>
              <w:end w:w="100" w:type="dxa"/>
            </w:tcMar>
          </w:tcPr>
          <w:p>
            <w:pPr>
              <w:spacing w:after="0"/>
            </w:pPr>
            <w:r>
              <w:rPr>
                <w:rFonts w:ascii="Arial" w:hAnsi="Arial"/>
                <w:b/>
                <w:color w:val="000000"/>
                <w:sz w:val="18"/>
              </w:rPr>
              <w:t>Failure category</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Roosevelt</w:t>
            </w:r>
          </w:p>
        </w:tc>
        <w:tc>
          <w:tcPr>
            <w:tcW w:type="dxa" w:w="1500"/>
            <w:vAlign w:val="center"/>
            <w:tcMar>
              <w:top w:w="60" w:type="dxa"/>
              <w:start w:w="100" w:type="dxa"/>
              <w:bottom w:w="60" w:type="dxa"/>
              <w:end w:w="100" w:type="dxa"/>
            </w:tcMar>
          </w:tcPr>
          <w:p>
            <w:pPr>
              <w:spacing w:after="0"/>
            </w:pPr>
            <w:r>
              <w:rPr>
                <w:rFonts w:ascii="Arial" w:hAnsi="Arial"/>
                <w:color w:val="000000"/>
                <w:sz w:val="18"/>
              </w:rPr>
              <w:t>Montana</w:t>
            </w:r>
          </w:p>
        </w:tc>
        <w:tc>
          <w:tcPr>
            <w:tcW w:type="dxa" w:w="1200"/>
            <w:vAlign w:val="center"/>
            <w:tcMar>
              <w:top w:w="60" w:type="dxa"/>
              <w:start w:w="100" w:type="dxa"/>
              <w:bottom w:w="60" w:type="dxa"/>
              <w:end w:w="100" w:type="dxa"/>
            </w:tcMar>
          </w:tcPr>
          <w:p>
            <w:pPr>
              <w:spacing w:after="0"/>
            </w:pPr>
            <w:r>
              <w:rPr>
                <w:rFonts w:ascii="Arial" w:hAnsi="Arial"/>
                <w:color w:val="000000"/>
                <w:sz w:val="18"/>
              </w:rPr>
              <w:t>22.70</w:t>
            </w:r>
          </w:p>
        </w:tc>
        <w:tc>
          <w:tcPr>
            <w:tcW w:type="dxa" w:w="1200"/>
            <w:vAlign w:val="center"/>
            <w:tcMar>
              <w:top w:w="60" w:type="dxa"/>
              <w:start w:w="100" w:type="dxa"/>
              <w:bottom w:w="60" w:type="dxa"/>
              <w:end w:w="100" w:type="dxa"/>
            </w:tcMar>
          </w:tcPr>
          <w:p>
            <w:pPr>
              <w:spacing w:after="0"/>
            </w:pPr>
            <w:r>
              <w:rPr>
                <w:rFonts w:ascii="Arial" w:hAnsi="Arial"/>
                <w:color w:val="000000"/>
                <w:sz w:val="18"/>
              </w:rPr>
              <w:t>16.35</w:t>
            </w:r>
          </w:p>
        </w:tc>
        <w:tc>
          <w:tcPr>
            <w:tcW w:type="dxa" w:w="1100"/>
            <w:vAlign w:val="center"/>
            <w:tcMar>
              <w:top w:w="60" w:type="dxa"/>
              <w:start w:w="100" w:type="dxa"/>
              <w:bottom w:w="60" w:type="dxa"/>
              <w:end w:w="100" w:type="dxa"/>
            </w:tcMar>
          </w:tcPr>
          <w:p>
            <w:pPr>
              <w:spacing w:after="0"/>
            </w:pPr>
            <w:r>
              <w:rPr>
                <w:rFonts w:ascii="Arial" w:hAnsi="Arial"/>
                <w:color w:val="000000"/>
                <w:sz w:val="18"/>
              </w:rPr>
              <w:t>6.35</w:t>
            </w:r>
          </w:p>
        </w:tc>
        <w:tc>
          <w:tcPr>
            <w:tcW w:type="dxa" w:w="3010"/>
            <w:vAlign w:val="center"/>
            <w:tcMar>
              <w:top w:w="60" w:type="dxa"/>
              <w:start w:w="100" w:type="dxa"/>
              <w:bottom w:w="60" w:type="dxa"/>
              <w:end w:w="100" w:type="dxa"/>
            </w:tcMar>
          </w:tcPr>
          <w:p>
            <w:pPr>
              <w:spacing w:after="0"/>
            </w:pPr>
            <w:r>
              <w:rPr>
                <w:rFonts w:ascii="Arial" w:hAnsi="Arial"/>
                <w:color w:val="000000"/>
                <w:sz w:val="18"/>
              </w:rPr>
              <w:t>High-distress tail underprediction</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Big Horn</w:t>
            </w:r>
          </w:p>
        </w:tc>
        <w:tc>
          <w:tcPr>
            <w:tcW w:type="dxa" w:w="1500"/>
            <w:vAlign w:val="center"/>
            <w:tcMar>
              <w:top w:w="60" w:type="dxa"/>
              <w:start w:w="100" w:type="dxa"/>
              <w:bottom w:w="60" w:type="dxa"/>
              <w:end w:w="100" w:type="dxa"/>
            </w:tcMar>
          </w:tcPr>
          <w:p>
            <w:pPr>
              <w:spacing w:after="0"/>
            </w:pPr>
            <w:r>
              <w:rPr>
                <w:rFonts w:ascii="Arial" w:hAnsi="Arial"/>
                <w:color w:val="000000"/>
                <w:sz w:val="18"/>
              </w:rPr>
              <w:t>Montana</w:t>
            </w:r>
          </w:p>
        </w:tc>
        <w:tc>
          <w:tcPr>
            <w:tcW w:type="dxa" w:w="1200"/>
            <w:vAlign w:val="center"/>
            <w:tcMar>
              <w:top w:w="60" w:type="dxa"/>
              <w:start w:w="100" w:type="dxa"/>
              <w:bottom w:w="60" w:type="dxa"/>
              <w:end w:w="100" w:type="dxa"/>
            </w:tcMar>
          </w:tcPr>
          <w:p>
            <w:pPr>
              <w:spacing w:after="0"/>
            </w:pPr>
            <w:r>
              <w:rPr>
                <w:rFonts w:ascii="Arial" w:hAnsi="Arial"/>
                <w:color w:val="000000"/>
                <w:sz w:val="18"/>
              </w:rPr>
              <w:t>22.90</w:t>
            </w:r>
          </w:p>
        </w:tc>
        <w:tc>
          <w:tcPr>
            <w:tcW w:type="dxa" w:w="1200"/>
            <w:vAlign w:val="center"/>
            <w:tcMar>
              <w:top w:w="60" w:type="dxa"/>
              <w:start w:w="100" w:type="dxa"/>
              <w:bottom w:w="60" w:type="dxa"/>
              <w:end w:w="100" w:type="dxa"/>
            </w:tcMar>
          </w:tcPr>
          <w:p>
            <w:pPr>
              <w:spacing w:after="0"/>
            </w:pPr>
            <w:r>
              <w:rPr>
                <w:rFonts w:ascii="Arial" w:hAnsi="Arial"/>
                <w:color w:val="000000"/>
                <w:sz w:val="18"/>
              </w:rPr>
              <w:t>16.74</w:t>
            </w:r>
          </w:p>
        </w:tc>
        <w:tc>
          <w:tcPr>
            <w:tcW w:type="dxa" w:w="1100"/>
            <w:vAlign w:val="center"/>
            <w:tcMar>
              <w:top w:w="60" w:type="dxa"/>
              <w:start w:w="100" w:type="dxa"/>
              <w:bottom w:w="60" w:type="dxa"/>
              <w:end w:w="100" w:type="dxa"/>
            </w:tcMar>
          </w:tcPr>
          <w:p>
            <w:pPr>
              <w:spacing w:after="0"/>
            </w:pPr>
            <w:r>
              <w:rPr>
                <w:rFonts w:ascii="Arial" w:hAnsi="Arial"/>
                <w:color w:val="000000"/>
                <w:sz w:val="18"/>
              </w:rPr>
              <w:t>6.16</w:t>
            </w:r>
          </w:p>
        </w:tc>
        <w:tc>
          <w:tcPr>
            <w:tcW w:type="dxa" w:w="3010"/>
            <w:vAlign w:val="center"/>
            <w:tcMar>
              <w:top w:w="60" w:type="dxa"/>
              <w:start w:w="100" w:type="dxa"/>
              <w:bottom w:w="60" w:type="dxa"/>
              <w:end w:w="100" w:type="dxa"/>
            </w:tcMar>
          </w:tcPr>
          <w:p>
            <w:pPr>
              <w:spacing w:after="0"/>
            </w:pPr>
            <w:r>
              <w:rPr>
                <w:rFonts w:ascii="Arial" w:hAnsi="Arial"/>
                <w:color w:val="000000"/>
                <w:sz w:val="18"/>
              </w:rPr>
              <w:t>High-distress tail underprediction</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Marshall</w:t>
            </w:r>
          </w:p>
        </w:tc>
        <w:tc>
          <w:tcPr>
            <w:tcW w:type="dxa" w:w="1500"/>
            <w:vAlign w:val="center"/>
            <w:tcMar>
              <w:top w:w="60" w:type="dxa"/>
              <w:start w:w="100" w:type="dxa"/>
              <w:bottom w:w="60" w:type="dxa"/>
              <w:end w:w="100" w:type="dxa"/>
            </w:tcMar>
          </w:tcPr>
          <w:p>
            <w:pPr>
              <w:spacing w:after="0"/>
            </w:pPr>
            <w:r>
              <w:rPr>
                <w:rFonts w:ascii="Arial" w:hAnsi="Arial"/>
                <w:color w:val="000000"/>
                <w:sz w:val="18"/>
              </w:rPr>
              <w:t>West Virginia</w:t>
            </w:r>
          </w:p>
        </w:tc>
        <w:tc>
          <w:tcPr>
            <w:tcW w:type="dxa" w:w="1200"/>
            <w:vAlign w:val="center"/>
            <w:tcMar>
              <w:top w:w="60" w:type="dxa"/>
              <w:start w:w="100" w:type="dxa"/>
              <w:bottom w:w="60" w:type="dxa"/>
              <w:end w:w="100" w:type="dxa"/>
            </w:tcMar>
          </w:tcPr>
          <w:p>
            <w:pPr>
              <w:spacing w:after="0"/>
            </w:pPr>
            <w:r>
              <w:rPr>
                <w:rFonts w:ascii="Arial" w:hAnsi="Arial"/>
                <w:color w:val="000000"/>
                <w:sz w:val="18"/>
              </w:rPr>
              <w:t>23.00</w:t>
            </w:r>
          </w:p>
        </w:tc>
        <w:tc>
          <w:tcPr>
            <w:tcW w:type="dxa" w:w="1200"/>
            <w:vAlign w:val="center"/>
            <w:tcMar>
              <w:top w:w="60" w:type="dxa"/>
              <w:start w:w="100" w:type="dxa"/>
              <w:bottom w:w="60" w:type="dxa"/>
              <w:end w:w="100" w:type="dxa"/>
            </w:tcMar>
          </w:tcPr>
          <w:p>
            <w:pPr>
              <w:spacing w:after="0"/>
            </w:pPr>
            <w:r>
              <w:rPr>
                <w:rFonts w:ascii="Arial" w:hAnsi="Arial"/>
                <w:color w:val="000000"/>
                <w:sz w:val="18"/>
              </w:rPr>
              <w:t>16.96</w:t>
            </w:r>
          </w:p>
        </w:tc>
        <w:tc>
          <w:tcPr>
            <w:tcW w:type="dxa" w:w="1100"/>
            <w:vAlign w:val="center"/>
            <w:tcMar>
              <w:top w:w="60" w:type="dxa"/>
              <w:start w:w="100" w:type="dxa"/>
              <w:bottom w:w="60" w:type="dxa"/>
              <w:end w:w="100" w:type="dxa"/>
            </w:tcMar>
          </w:tcPr>
          <w:p>
            <w:pPr>
              <w:spacing w:after="0"/>
            </w:pPr>
            <w:r>
              <w:rPr>
                <w:rFonts w:ascii="Arial" w:hAnsi="Arial"/>
                <w:color w:val="000000"/>
                <w:sz w:val="18"/>
              </w:rPr>
              <w:t>6.04</w:t>
            </w:r>
          </w:p>
        </w:tc>
        <w:tc>
          <w:tcPr>
            <w:tcW w:type="dxa" w:w="3010"/>
            <w:vAlign w:val="center"/>
            <w:tcMar>
              <w:top w:w="60" w:type="dxa"/>
              <w:start w:w="100" w:type="dxa"/>
              <w:bottom w:w="60" w:type="dxa"/>
              <w:end w:w="100" w:type="dxa"/>
            </w:tcMar>
          </w:tcPr>
          <w:p>
            <w:pPr>
              <w:spacing w:after="0"/>
            </w:pPr>
            <w:r>
              <w:rPr>
                <w:rFonts w:ascii="Arial" w:hAnsi="Arial"/>
                <w:color w:val="000000"/>
                <w:sz w:val="18"/>
              </w:rPr>
              <w:t>Appalachian high-FMD underprediction</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Corson</w:t>
            </w:r>
          </w:p>
        </w:tc>
        <w:tc>
          <w:tcPr>
            <w:tcW w:type="dxa" w:w="1500"/>
            <w:vAlign w:val="center"/>
            <w:tcMar>
              <w:top w:w="60" w:type="dxa"/>
              <w:start w:w="100" w:type="dxa"/>
              <w:bottom w:w="60" w:type="dxa"/>
              <w:end w:w="100" w:type="dxa"/>
            </w:tcMar>
          </w:tcPr>
          <w:p>
            <w:pPr>
              <w:spacing w:after="0"/>
            </w:pPr>
            <w:r>
              <w:rPr>
                <w:rFonts w:ascii="Arial" w:hAnsi="Arial"/>
                <w:color w:val="000000"/>
                <w:sz w:val="18"/>
              </w:rPr>
              <w:t>South Dakota</w:t>
            </w:r>
          </w:p>
        </w:tc>
        <w:tc>
          <w:tcPr>
            <w:tcW w:type="dxa" w:w="1200"/>
            <w:vAlign w:val="center"/>
            <w:tcMar>
              <w:top w:w="60" w:type="dxa"/>
              <w:start w:w="100" w:type="dxa"/>
              <w:bottom w:w="60" w:type="dxa"/>
              <w:end w:w="100" w:type="dxa"/>
            </w:tcMar>
          </w:tcPr>
          <w:p>
            <w:pPr>
              <w:spacing w:after="0"/>
            </w:pPr>
            <w:r>
              <w:rPr>
                <w:rFonts w:ascii="Arial" w:hAnsi="Arial"/>
                <w:color w:val="000000"/>
                <w:sz w:val="18"/>
              </w:rPr>
              <w:t>21.90</w:t>
            </w:r>
          </w:p>
        </w:tc>
        <w:tc>
          <w:tcPr>
            <w:tcW w:type="dxa" w:w="1200"/>
            <w:vAlign w:val="center"/>
            <w:tcMar>
              <w:top w:w="60" w:type="dxa"/>
              <w:start w:w="100" w:type="dxa"/>
              <w:bottom w:w="60" w:type="dxa"/>
              <w:end w:w="100" w:type="dxa"/>
            </w:tcMar>
          </w:tcPr>
          <w:p>
            <w:pPr>
              <w:spacing w:after="0"/>
            </w:pPr>
            <w:r>
              <w:rPr>
                <w:rFonts w:ascii="Arial" w:hAnsi="Arial"/>
                <w:color w:val="000000"/>
                <w:sz w:val="18"/>
              </w:rPr>
              <w:t>15.86</w:t>
            </w:r>
          </w:p>
        </w:tc>
        <w:tc>
          <w:tcPr>
            <w:tcW w:type="dxa" w:w="1100"/>
            <w:vAlign w:val="center"/>
            <w:tcMar>
              <w:top w:w="60" w:type="dxa"/>
              <w:start w:w="100" w:type="dxa"/>
              <w:bottom w:w="60" w:type="dxa"/>
              <w:end w:w="100" w:type="dxa"/>
            </w:tcMar>
          </w:tcPr>
          <w:p>
            <w:pPr>
              <w:spacing w:after="0"/>
            </w:pPr>
            <w:r>
              <w:rPr>
                <w:rFonts w:ascii="Arial" w:hAnsi="Arial"/>
                <w:color w:val="000000"/>
                <w:sz w:val="18"/>
              </w:rPr>
              <w:t>6.04</w:t>
            </w:r>
          </w:p>
        </w:tc>
        <w:tc>
          <w:tcPr>
            <w:tcW w:type="dxa" w:w="3010"/>
            <w:vAlign w:val="center"/>
            <w:tcMar>
              <w:top w:w="60" w:type="dxa"/>
              <w:start w:w="100" w:type="dxa"/>
              <w:bottom w:w="60" w:type="dxa"/>
              <w:end w:w="100" w:type="dxa"/>
            </w:tcMar>
          </w:tcPr>
          <w:p>
            <w:pPr>
              <w:spacing w:after="0"/>
            </w:pPr>
            <w:r>
              <w:rPr>
                <w:rFonts w:ascii="Arial" w:hAnsi="Arial"/>
                <w:color w:val="000000"/>
                <w:sz w:val="18"/>
              </w:rPr>
              <w:t>High-distress tail underprediction</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Hancock</w:t>
            </w:r>
          </w:p>
        </w:tc>
        <w:tc>
          <w:tcPr>
            <w:tcW w:type="dxa" w:w="1500"/>
            <w:vAlign w:val="center"/>
            <w:tcMar>
              <w:top w:w="60" w:type="dxa"/>
              <w:start w:w="100" w:type="dxa"/>
              <w:bottom w:w="60" w:type="dxa"/>
              <w:end w:w="100" w:type="dxa"/>
            </w:tcMar>
          </w:tcPr>
          <w:p>
            <w:pPr>
              <w:spacing w:after="0"/>
            </w:pPr>
            <w:r>
              <w:rPr>
                <w:rFonts w:ascii="Arial" w:hAnsi="Arial"/>
                <w:color w:val="000000"/>
                <w:sz w:val="18"/>
              </w:rPr>
              <w:t>West Virginia</w:t>
            </w:r>
          </w:p>
        </w:tc>
        <w:tc>
          <w:tcPr>
            <w:tcW w:type="dxa" w:w="1200"/>
            <w:vAlign w:val="center"/>
            <w:tcMar>
              <w:top w:w="60" w:type="dxa"/>
              <w:start w:w="100" w:type="dxa"/>
              <w:bottom w:w="60" w:type="dxa"/>
              <w:end w:w="100" w:type="dxa"/>
            </w:tcMar>
          </w:tcPr>
          <w:p>
            <w:pPr>
              <w:spacing w:after="0"/>
            </w:pPr>
            <w:r>
              <w:rPr>
                <w:rFonts w:ascii="Arial" w:hAnsi="Arial"/>
                <w:color w:val="000000"/>
                <w:sz w:val="18"/>
              </w:rPr>
              <w:t>22.70</w:t>
            </w:r>
          </w:p>
        </w:tc>
        <w:tc>
          <w:tcPr>
            <w:tcW w:type="dxa" w:w="1200"/>
            <w:vAlign w:val="center"/>
            <w:tcMar>
              <w:top w:w="60" w:type="dxa"/>
              <w:start w:w="100" w:type="dxa"/>
              <w:bottom w:w="60" w:type="dxa"/>
              <w:end w:w="100" w:type="dxa"/>
            </w:tcMar>
          </w:tcPr>
          <w:p>
            <w:pPr>
              <w:spacing w:after="0"/>
            </w:pPr>
            <w:r>
              <w:rPr>
                <w:rFonts w:ascii="Arial" w:hAnsi="Arial"/>
                <w:color w:val="000000"/>
                <w:sz w:val="18"/>
              </w:rPr>
              <w:t>16.80</w:t>
            </w:r>
          </w:p>
        </w:tc>
        <w:tc>
          <w:tcPr>
            <w:tcW w:type="dxa" w:w="1100"/>
            <w:vAlign w:val="center"/>
            <w:tcMar>
              <w:top w:w="60" w:type="dxa"/>
              <w:start w:w="100" w:type="dxa"/>
              <w:bottom w:w="60" w:type="dxa"/>
              <w:end w:w="100" w:type="dxa"/>
            </w:tcMar>
          </w:tcPr>
          <w:p>
            <w:pPr>
              <w:spacing w:after="0"/>
            </w:pPr>
            <w:r>
              <w:rPr>
                <w:rFonts w:ascii="Arial" w:hAnsi="Arial"/>
                <w:color w:val="000000"/>
                <w:sz w:val="18"/>
              </w:rPr>
              <w:t>5.90</w:t>
            </w:r>
          </w:p>
        </w:tc>
        <w:tc>
          <w:tcPr>
            <w:tcW w:type="dxa" w:w="3010"/>
            <w:vAlign w:val="center"/>
            <w:tcMar>
              <w:top w:w="60" w:type="dxa"/>
              <w:start w:w="100" w:type="dxa"/>
              <w:bottom w:w="60" w:type="dxa"/>
              <w:end w:w="100" w:type="dxa"/>
            </w:tcMar>
          </w:tcPr>
          <w:p>
            <w:pPr>
              <w:spacing w:after="0"/>
            </w:pPr>
            <w:r>
              <w:rPr>
                <w:rFonts w:ascii="Arial" w:hAnsi="Arial"/>
                <w:color w:val="000000"/>
                <w:sz w:val="18"/>
              </w:rPr>
              <w:t>Appalachian high-FMD underprediction</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Ohio</w:t>
            </w:r>
          </w:p>
        </w:tc>
        <w:tc>
          <w:tcPr>
            <w:tcW w:type="dxa" w:w="1500"/>
            <w:vAlign w:val="center"/>
            <w:tcMar>
              <w:top w:w="60" w:type="dxa"/>
              <w:start w:w="100" w:type="dxa"/>
              <w:bottom w:w="60" w:type="dxa"/>
              <w:end w:w="100" w:type="dxa"/>
            </w:tcMar>
          </w:tcPr>
          <w:p>
            <w:pPr>
              <w:spacing w:after="0"/>
            </w:pPr>
            <w:r>
              <w:rPr>
                <w:rFonts w:ascii="Arial" w:hAnsi="Arial"/>
                <w:color w:val="000000"/>
                <w:sz w:val="18"/>
              </w:rPr>
              <w:t>West Virginia</w:t>
            </w:r>
          </w:p>
        </w:tc>
        <w:tc>
          <w:tcPr>
            <w:tcW w:type="dxa" w:w="1200"/>
            <w:vAlign w:val="center"/>
            <w:tcMar>
              <w:top w:w="60" w:type="dxa"/>
              <w:start w:w="100" w:type="dxa"/>
              <w:bottom w:w="60" w:type="dxa"/>
              <w:end w:w="100" w:type="dxa"/>
            </w:tcMar>
          </w:tcPr>
          <w:p>
            <w:pPr>
              <w:spacing w:after="0"/>
            </w:pPr>
            <w:r>
              <w:rPr>
                <w:rFonts w:ascii="Arial" w:hAnsi="Arial"/>
                <w:color w:val="000000"/>
                <w:sz w:val="18"/>
              </w:rPr>
              <w:t>22.10</w:t>
            </w:r>
          </w:p>
        </w:tc>
        <w:tc>
          <w:tcPr>
            <w:tcW w:type="dxa" w:w="1200"/>
            <w:vAlign w:val="center"/>
            <w:tcMar>
              <w:top w:w="60" w:type="dxa"/>
              <w:start w:w="100" w:type="dxa"/>
              <w:bottom w:w="60" w:type="dxa"/>
              <w:end w:w="100" w:type="dxa"/>
            </w:tcMar>
          </w:tcPr>
          <w:p>
            <w:pPr>
              <w:spacing w:after="0"/>
            </w:pPr>
            <w:r>
              <w:rPr>
                <w:rFonts w:ascii="Arial" w:hAnsi="Arial"/>
                <w:color w:val="000000"/>
                <w:sz w:val="18"/>
              </w:rPr>
              <w:t>16.22</w:t>
            </w:r>
          </w:p>
        </w:tc>
        <w:tc>
          <w:tcPr>
            <w:tcW w:type="dxa" w:w="1100"/>
            <w:vAlign w:val="center"/>
            <w:tcMar>
              <w:top w:w="60" w:type="dxa"/>
              <w:start w:w="100" w:type="dxa"/>
              <w:bottom w:w="60" w:type="dxa"/>
              <w:end w:w="100" w:type="dxa"/>
            </w:tcMar>
          </w:tcPr>
          <w:p>
            <w:pPr>
              <w:spacing w:after="0"/>
            </w:pPr>
            <w:r>
              <w:rPr>
                <w:rFonts w:ascii="Arial" w:hAnsi="Arial"/>
                <w:color w:val="000000"/>
                <w:sz w:val="18"/>
              </w:rPr>
              <w:t>5.88</w:t>
            </w:r>
          </w:p>
        </w:tc>
        <w:tc>
          <w:tcPr>
            <w:tcW w:type="dxa" w:w="3010"/>
            <w:vAlign w:val="center"/>
            <w:tcMar>
              <w:top w:w="60" w:type="dxa"/>
              <w:start w:w="100" w:type="dxa"/>
              <w:bottom w:w="60" w:type="dxa"/>
              <w:end w:w="100" w:type="dxa"/>
            </w:tcMar>
          </w:tcPr>
          <w:p>
            <w:pPr>
              <w:spacing w:after="0"/>
            </w:pPr>
            <w:r>
              <w:rPr>
                <w:rFonts w:ascii="Arial" w:hAnsi="Arial"/>
                <w:color w:val="000000"/>
                <w:sz w:val="18"/>
              </w:rPr>
              <w:t>Appalachian high-FMD underprediction</w:t>
            </w:r>
          </w:p>
        </w:tc>
      </w:tr>
    </w:tbl>
    <w:p/>
    <w:p>
      <w:pPr>
        <w:pStyle w:val="Heading1"/>
      </w:pPr>
      <w:r>
        <w:t>Part B. Unsupervised Learning</w:t>
      </w:r>
    </w:p>
    <w:p>
      <w:pPr>
        <w:pStyle w:val="Heading2"/>
      </w:pPr>
      <w:r>
        <w:t>Methods</w:t>
      </w:r>
    </w:p>
    <w:p>
      <w:r>
        <w:t>The unsupervised analysis used two methods with different mechanisms: DBSCAN, a density-based clustering method that can label noise/outliers, and K-Means, a centroid-based partitioning method. Both used standardized non-FMD features; FMD was held out and compared after clusters were formed. PCA was used for visualization and cluster-search diagnostics.</w:t>
      </w:r>
    </w:p>
    <w:p>
      <w:pPr>
        <w:pStyle w:val="Caption"/>
        <w:jc w:val="left"/>
      </w:pPr>
      <w:r>
        <w:t>Table 8. Unsupervised method comparison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6"/>
        <w:gridCol w:w="1656"/>
        <w:gridCol w:w="1656"/>
        <w:gridCol w:w="1656"/>
        <w:gridCol w:w="1656"/>
        <w:gridCol w:w="1656"/>
      </w:tblGrid>
      <w:tr>
        <w:tc>
          <w:tcPr>
            <w:tcW w:type="dxa" w:w="1350"/>
            <w:vAlign w:val="center"/>
            <w:tcMar>
              <w:top w:w="60" w:type="dxa"/>
              <w:start w:w="100" w:type="dxa"/>
              <w:bottom w:w="60" w:type="dxa"/>
              <w:end w:w="100" w:type="dxa"/>
            </w:tcMar>
          </w:tcPr>
          <w:p>
            <w:pPr>
              <w:spacing w:after="0"/>
            </w:pPr>
            <w:r>
              <w:rPr>
                <w:rFonts w:ascii="Arial" w:hAnsi="Arial"/>
                <w:b/>
                <w:color w:val="000000"/>
                <w:sz w:val="18"/>
              </w:rPr>
              <w:t>Method</w:t>
            </w:r>
          </w:p>
        </w:tc>
        <w:tc>
          <w:tcPr>
            <w:tcW w:type="dxa" w:w="2300"/>
            <w:vAlign w:val="center"/>
            <w:tcMar>
              <w:top w:w="60" w:type="dxa"/>
              <w:start w:w="100" w:type="dxa"/>
              <w:bottom w:w="60" w:type="dxa"/>
              <w:end w:w="100" w:type="dxa"/>
            </w:tcMar>
          </w:tcPr>
          <w:p>
            <w:pPr>
              <w:spacing w:after="0"/>
            </w:pPr>
            <w:r>
              <w:rPr>
                <w:rFonts w:ascii="Arial" w:hAnsi="Arial"/>
                <w:b/>
                <w:color w:val="000000"/>
                <w:sz w:val="18"/>
              </w:rPr>
              <w:t>Selected parameters</w:t>
            </w:r>
          </w:p>
        </w:tc>
        <w:tc>
          <w:tcPr>
            <w:tcW w:type="dxa" w:w="1000"/>
            <w:vAlign w:val="center"/>
            <w:tcMar>
              <w:top w:w="60" w:type="dxa"/>
              <w:start w:w="100" w:type="dxa"/>
              <w:bottom w:w="60" w:type="dxa"/>
              <w:end w:w="100" w:type="dxa"/>
            </w:tcMar>
          </w:tcPr>
          <w:p>
            <w:pPr>
              <w:spacing w:after="0"/>
            </w:pPr>
            <w:r>
              <w:rPr>
                <w:rFonts w:ascii="Arial" w:hAnsi="Arial"/>
                <w:b/>
                <w:color w:val="000000"/>
                <w:sz w:val="18"/>
              </w:rPr>
              <w:t>Clusters</w:t>
            </w:r>
          </w:p>
        </w:tc>
        <w:tc>
          <w:tcPr>
            <w:tcW w:type="dxa" w:w="1000"/>
            <w:vAlign w:val="center"/>
            <w:tcMar>
              <w:top w:w="60" w:type="dxa"/>
              <w:start w:w="100" w:type="dxa"/>
              <w:bottom w:w="60" w:type="dxa"/>
              <w:end w:w="100" w:type="dxa"/>
            </w:tcMar>
          </w:tcPr>
          <w:p>
            <w:pPr>
              <w:spacing w:after="0"/>
            </w:pPr>
            <w:r>
              <w:rPr>
                <w:rFonts w:ascii="Arial" w:hAnsi="Arial"/>
                <w:b/>
                <w:color w:val="000000"/>
                <w:sz w:val="18"/>
              </w:rPr>
              <w:t>Noise %</w:t>
            </w:r>
          </w:p>
        </w:tc>
        <w:tc>
          <w:tcPr>
            <w:tcW w:type="dxa" w:w="1850"/>
            <w:vAlign w:val="center"/>
            <w:tcMar>
              <w:top w:w="60" w:type="dxa"/>
              <w:start w:w="100" w:type="dxa"/>
              <w:bottom w:w="60" w:type="dxa"/>
              <w:end w:w="100" w:type="dxa"/>
            </w:tcMar>
          </w:tcPr>
          <w:p>
            <w:pPr>
              <w:spacing w:after="0"/>
            </w:pPr>
            <w:r>
              <w:rPr>
                <w:rFonts w:ascii="Arial" w:hAnsi="Arial"/>
                <w:b/>
                <w:color w:val="000000"/>
                <w:sz w:val="18"/>
              </w:rPr>
              <w:t>Silhouette embedding</w:t>
            </w:r>
          </w:p>
        </w:tc>
        <w:tc>
          <w:tcPr>
            <w:tcW w:type="dxa" w:w="1860"/>
            <w:vAlign w:val="center"/>
            <w:tcMar>
              <w:top w:w="60" w:type="dxa"/>
              <w:start w:w="100" w:type="dxa"/>
              <w:bottom w:w="60" w:type="dxa"/>
              <w:end w:w="100" w:type="dxa"/>
            </w:tcMar>
          </w:tcPr>
          <w:p>
            <w:pPr>
              <w:spacing w:after="0"/>
            </w:pPr>
            <w:r>
              <w:rPr>
                <w:rFonts w:ascii="Arial" w:hAnsi="Arial"/>
                <w:b/>
                <w:color w:val="000000"/>
                <w:sz w:val="18"/>
              </w:rPr>
              <w:t>Silhouette scaled features</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DBSCAN</w:t>
            </w:r>
          </w:p>
        </w:tc>
        <w:tc>
          <w:tcPr>
            <w:tcW w:type="dxa" w:w="2300"/>
            <w:vAlign w:val="center"/>
            <w:tcMar>
              <w:top w:w="60" w:type="dxa"/>
              <w:start w:w="100" w:type="dxa"/>
              <w:bottom w:w="60" w:type="dxa"/>
              <w:end w:w="100" w:type="dxa"/>
            </w:tcMar>
          </w:tcPr>
          <w:p>
            <w:pPr>
              <w:spacing w:after="0"/>
            </w:pPr>
            <w:r>
              <w:rPr>
                <w:rFonts w:ascii="Arial" w:hAnsi="Arial"/>
                <w:color w:val="000000"/>
                <w:sz w:val="18"/>
              </w:rPr>
              <w:t>eps=1.43, min_samples=5</w:t>
            </w:r>
          </w:p>
        </w:tc>
        <w:tc>
          <w:tcPr>
            <w:tcW w:type="dxa" w:w="1000"/>
            <w:vAlign w:val="center"/>
            <w:tcMar>
              <w:top w:w="60" w:type="dxa"/>
              <w:start w:w="100" w:type="dxa"/>
              <w:bottom w:w="60" w:type="dxa"/>
              <w:end w:w="100" w:type="dxa"/>
            </w:tcMar>
          </w:tcPr>
          <w:p>
            <w:pPr>
              <w:spacing w:after="0"/>
            </w:pPr>
            <w:r>
              <w:rPr>
                <w:rFonts w:ascii="Arial" w:hAnsi="Arial"/>
                <w:color w:val="000000"/>
                <w:sz w:val="18"/>
              </w:rPr>
              <w:t>2</w:t>
            </w:r>
          </w:p>
        </w:tc>
        <w:tc>
          <w:tcPr>
            <w:tcW w:type="dxa" w:w="1000"/>
            <w:vAlign w:val="center"/>
            <w:tcMar>
              <w:top w:w="60" w:type="dxa"/>
              <w:start w:w="100" w:type="dxa"/>
              <w:bottom w:w="60" w:type="dxa"/>
              <w:end w:w="100" w:type="dxa"/>
            </w:tcMar>
          </w:tcPr>
          <w:p>
            <w:pPr>
              <w:spacing w:after="0"/>
            </w:pPr>
            <w:r>
              <w:rPr>
                <w:rFonts w:ascii="Arial" w:hAnsi="Arial"/>
                <w:color w:val="000000"/>
                <w:sz w:val="18"/>
              </w:rPr>
              <w:t>0.02</w:t>
            </w:r>
          </w:p>
        </w:tc>
        <w:tc>
          <w:tcPr>
            <w:tcW w:type="dxa" w:w="1850"/>
            <w:vAlign w:val="center"/>
            <w:tcMar>
              <w:top w:w="60" w:type="dxa"/>
              <w:start w:w="100" w:type="dxa"/>
              <w:bottom w:w="60" w:type="dxa"/>
              <w:end w:w="100" w:type="dxa"/>
            </w:tcMar>
          </w:tcPr>
          <w:p>
            <w:pPr>
              <w:spacing w:after="0"/>
            </w:pPr>
            <w:r>
              <w:rPr>
                <w:rFonts w:ascii="Arial" w:hAnsi="Arial"/>
                <w:color w:val="000000"/>
                <w:sz w:val="18"/>
              </w:rPr>
              <w:t>0.76</w:t>
            </w:r>
          </w:p>
        </w:tc>
        <w:tc>
          <w:tcPr>
            <w:tcW w:type="dxa" w:w="1860"/>
            <w:vAlign w:val="center"/>
            <w:tcMar>
              <w:top w:w="60" w:type="dxa"/>
              <w:start w:w="100" w:type="dxa"/>
              <w:bottom w:w="60" w:type="dxa"/>
              <w:end w:w="100" w:type="dxa"/>
            </w:tcMar>
          </w:tcPr>
          <w:p>
            <w:pPr>
              <w:spacing w:after="0"/>
            </w:pPr>
            <w:r>
              <w:rPr>
                <w:rFonts w:ascii="Arial" w:hAnsi="Arial"/>
                <w:color w:val="000000"/>
                <w:sz w:val="18"/>
              </w:rPr>
              <w:t>0.45</w:t>
            </w:r>
          </w:p>
        </w:tc>
      </w:tr>
      <w:tr>
        <w:tc>
          <w:tcPr>
            <w:tcW w:type="dxa" w:w="1350"/>
            <w:vAlign w:val="center"/>
            <w:tcMar>
              <w:top w:w="60" w:type="dxa"/>
              <w:start w:w="100" w:type="dxa"/>
              <w:bottom w:w="60" w:type="dxa"/>
              <w:end w:w="100" w:type="dxa"/>
            </w:tcMar>
          </w:tcPr>
          <w:p>
            <w:pPr>
              <w:spacing w:after="0"/>
            </w:pPr>
            <w:r>
              <w:rPr>
                <w:rFonts w:ascii="Arial" w:hAnsi="Arial"/>
                <w:color w:val="000000"/>
                <w:sz w:val="18"/>
              </w:rPr>
              <w:t>KMeans</w:t>
            </w:r>
          </w:p>
        </w:tc>
        <w:tc>
          <w:tcPr>
            <w:tcW w:type="dxa" w:w="2300"/>
            <w:vAlign w:val="center"/>
            <w:tcMar>
              <w:top w:w="60" w:type="dxa"/>
              <w:start w:w="100" w:type="dxa"/>
              <w:bottom w:w="60" w:type="dxa"/>
              <w:end w:w="100" w:type="dxa"/>
            </w:tcMar>
          </w:tcPr>
          <w:p>
            <w:pPr>
              <w:spacing w:after="0"/>
            </w:pPr>
            <w:r>
              <w:rPr>
                <w:rFonts w:ascii="Arial" w:hAnsi="Arial"/>
                <w:color w:val="000000"/>
                <w:sz w:val="18"/>
              </w:rPr>
              <w:t>k=2</w:t>
            </w:r>
          </w:p>
        </w:tc>
        <w:tc>
          <w:tcPr>
            <w:tcW w:type="dxa" w:w="1000"/>
            <w:vAlign w:val="center"/>
            <w:tcMar>
              <w:top w:w="60" w:type="dxa"/>
              <w:start w:w="100" w:type="dxa"/>
              <w:bottom w:w="60" w:type="dxa"/>
              <w:end w:w="100" w:type="dxa"/>
            </w:tcMar>
          </w:tcPr>
          <w:p>
            <w:pPr>
              <w:spacing w:after="0"/>
            </w:pPr>
            <w:r>
              <w:rPr>
                <w:rFonts w:ascii="Arial" w:hAnsi="Arial"/>
                <w:color w:val="000000"/>
                <w:sz w:val="18"/>
              </w:rPr>
              <w:t>2</w:t>
            </w:r>
          </w:p>
        </w:tc>
        <w:tc>
          <w:tcPr>
            <w:tcW w:type="dxa" w:w="1000"/>
            <w:vAlign w:val="center"/>
            <w:tcMar>
              <w:top w:w="60" w:type="dxa"/>
              <w:start w:w="100" w:type="dxa"/>
              <w:bottom w:w="60" w:type="dxa"/>
              <w:end w:w="100" w:type="dxa"/>
            </w:tcMar>
          </w:tcPr>
          <w:p>
            <w:pPr>
              <w:spacing w:after="0"/>
            </w:pPr>
            <w:r>
              <w:rPr>
                <w:rFonts w:ascii="Arial" w:hAnsi="Arial"/>
                <w:color w:val="000000"/>
                <w:sz w:val="18"/>
              </w:rPr>
              <w:t>0.00</w:t>
            </w:r>
          </w:p>
        </w:tc>
        <w:tc>
          <w:tcPr>
            <w:tcW w:type="dxa" w:w="1850"/>
            <w:vAlign w:val="center"/>
            <w:tcMar>
              <w:top w:w="60" w:type="dxa"/>
              <w:start w:w="100" w:type="dxa"/>
              <w:bottom w:w="60" w:type="dxa"/>
              <w:end w:w="100" w:type="dxa"/>
            </w:tcMar>
          </w:tcPr>
          <w:p>
            <w:pPr>
              <w:spacing w:after="0"/>
            </w:pPr>
            <w:r>
              <w:rPr>
                <w:rFonts w:ascii="Arial" w:hAnsi="Arial"/>
                <w:color w:val="000000"/>
                <w:sz w:val="18"/>
              </w:rPr>
              <w:t>0.89</w:t>
            </w:r>
          </w:p>
        </w:tc>
        <w:tc>
          <w:tcPr>
            <w:tcW w:type="dxa" w:w="1860"/>
            <w:vAlign w:val="center"/>
            <w:tcMar>
              <w:top w:w="60" w:type="dxa"/>
              <w:start w:w="100" w:type="dxa"/>
              <w:bottom w:w="60" w:type="dxa"/>
              <w:end w:w="100" w:type="dxa"/>
            </w:tcMar>
          </w:tcPr>
          <w:p>
            <w:pPr>
              <w:spacing w:after="0"/>
            </w:pPr>
            <w:r>
              <w:rPr>
                <w:rFonts w:ascii="Arial" w:hAnsi="Arial"/>
                <w:color w:val="000000"/>
                <w:sz w:val="18"/>
              </w:rPr>
              <w:t>0.75</w:t>
            </w:r>
          </w:p>
        </w:tc>
      </w:tr>
    </w:tbl>
    <w:p/>
    <w:p>
      <w:pPr>
        <w:pStyle w:val="Caption"/>
        <w:jc w:val="left"/>
      </w:pPr>
      <w:r>
        <w:t>Table 9. Held-out FMD ANOVA across unsupervised clusters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000"/>
            <w:vAlign w:val="center"/>
            <w:tcMar>
              <w:top w:w="60" w:type="dxa"/>
              <w:start w:w="100" w:type="dxa"/>
              <w:bottom w:w="60" w:type="dxa"/>
              <w:end w:w="100" w:type="dxa"/>
            </w:tcMar>
          </w:tcPr>
          <w:p>
            <w:pPr>
              <w:spacing w:after="0"/>
            </w:pPr>
            <w:r>
              <w:rPr>
                <w:rFonts w:ascii="Arial" w:hAnsi="Arial"/>
                <w:b/>
                <w:color w:val="000000"/>
                <w:sz w:val="18"/>
              </w:rPr>
              <w:t>Method</w:t>
            </w:r>
          </w:p>
        </w:tc>
        <w:tc>
          <w:tcPr>
            <w:tcW w:type="dxa" w:w="2200"/>
            <w:vAlign w:val="center"/>
            <w:tcMar>
              <w:top w:w="60" w:type="dxa"/>
              <w:start w:w="100" w:type="dxa"/>
              <w:bottom w:w="60" w:type="dxa"/>
              <w:end w:w="100" w:type="dxa"/>
            </w:tcMar>
          </w:tcPr>
          <w:p>
            <w:pPr>
              <w:spacing w:after="0"/>
            </w:pPr>
            <w:r>
              <w:rPr>
                <w:rFonts w:ascii="Arial" w:hAnsi="Arial"/>
                <w:b/>
                <w:color w:val="000000"/>
                <w:sz w:val="18"/>
              </w:rPr>
              <w:t>F statistic</w:t>
            </w:r>
          </w:p>
        </w:tc>
        <w:tc>
          <w:tcPr>
            <w:tcW w:type="dxa" w:w="2200"/>
            <w:vAlign w:val="center"/>
            <w:tcMar>
              <w:top w:w="60" w:type="dxa"/>
              <w:start w:w="100" w:type="dxa"/>
              <w:bottom w:w="60" w:type="dxa"/>
              <w:end w:w="100" w:type="dxa"/>
            </w:tcMar>
          </w:tcPr>
          <w:p>
            <w:pPr>
              <w:spacing w:after="0"/>
            </w:pPr>
            <w:r>
              <w:rPr>
                <w:rFonts w:ascii="Arial" w:hAnsi="Arial"/>
                <w:b/>
                <w:color w:val="000000"/>
                <w:sz w:val="18"/>
              </w:rPr>
              <w:t>p-value</w:t>
            </w:r>
          </w:p>
        </w:tc>
        <w:tc>
          <w:tcPr>
            <w:tcW w:type="dxa" w:w="1800"/>
            <w:vAlign w:val="center"/>
            <w:tcMar>
              <w:top w:w="60" w:type="dxa"/>
              <w:start w:w="100" w:type="dxa"/>
              <w:bottom w:w="60" w:type="dxa"/>
              <w:end w:w="100" w:type="dxa"/>
            </w:tcMar>
          </w:tcPr>
          <w:p>
            <w:pPr>
              <w:spacing w:after="0"/>
            </w:pPr>
            <w:r>
              <w:rPr>
                <w:rFonts w:ascii="Arial" w:hAnsi="Arial"/>
                <w:b/>
                <w:color w:val="000000"/>
                <w:sz w:val="18"/>
              </w:rPr>
              <w:t>Groups</w:t>
            </w:r>
          </w:p>
        </w:tc>
      </w:tr>
      <w:tr>
        <w:tc>
          <w:tcPr>
            <w:tcW w:type="dxa" w:w="2000"/>
            <w:vAlign w:val="center"/>
            <w:tcMar>
              <w:top w:w="60" w:type="dxa"/>
              <w:start w:w="100" w:type="dxa"/>
              <w:bottom w:w="60" w:type="dxa"/>
              <w:end w:w="100" w:type="dxa"/>
            </w:tcMar>
          </w:tcPr>
          <w:p>
            <w:pPr>
              <w:spacing w:after="0"/>
            </w:pPr>
            <w:r>
              <w:rPr>
                <w:rFonts w:ascii="Arial" w:hAnsi="Arial"/>
                <w:color w:val="000000"/>
                <w:sz w:val="18"/>
              </w:rPr>
              <w:t>DBSCAN</w:t>
            </w:r>
          </w:p>
        </w:tc>
        <w:tc>
          <w:tcPr>
            <w:tcW w:type="dxa" w:w="2200"/>
            <w:vAlign w:val="center"/>
            <w:tcMar>
              <w:top w:w="60" w:type="dxa"/>
              <w:start w:w="100" w:type="dxa"/>
              <w:bottom w:w="60" w:type="dxa"/>
              <w:end w:w="100" w:type="dxa"/>
            </w:tcMar>
          </w:tcPr>
          <w:p>
            <w:pPr>
              <w:spacing w:after="0"/>
            </w:pPr>
            <w:r>
              <w:rPr>
                <w:rFonts w:ascii="Arial" w:hAnsi="Arial"/>
                <w:color w:val="000000"/>
                <w:sz w:val="18"/>
              </w:rPr>
              <w:t>3.65</w:t>
            </w:r>
          </w:p>
        </w:tc>
        <w:tc>
          <w:tcPr>
            <w:tcW w:type="dxa" w:w="2200"/>
            <w:vAlign w:val="center"/>
            <w:tcMar>
              <w:top w:w="60" w:type="dxa"/>
              <w:start w:w="100" w:type="dxa"/>
              <w:bottom w:w="60" w:type="dxa"/>
              <w:end w:w="100" w:type="dxa"/>
            </w:tcMar>
          </w:tcPr>
          <w:p>
            <w:pPr>
              <w:spacing w:after="0"/>
            </w:pPr>
            <w:r>
              <w:rPr>
                <w:rFonts w:ascii="Arial" w:hAnsi="Arial"/>
                <w:color w:val="000000"/>
                <w:sz w:val="18"/>
              </w:rPr>
              <w:t>0.0563</w:t>
            </w:r>
          </w:p>
        </w:tc>
        <w:tc>
          <w:tcPr>
            <w:tcW w:type="dxa" w:w="1800"/>
            <w:vAlign w:val="center"/>
            <w:tcMar>
              <w:top w:w="60" w:type="dxa"/>
              <w:start w:w="100" w:type="dxa"/>
              <w:bottom w:w="60" w:type="dxa"/>
              <w:end w:w="100" w:type="dxa"/>
            </w:tcMar>
          </w:tcPr>
          <w:p>
            <w:pPr>
              <w:spacing w:after="0"/>
            </w:pPr>
            <w:r>
              <w:rPr>
                <w:rFonts w:ascii="Arial" w:hAnsi="Arial"/>
                <w:color w:val="000000"/>
                <w:sz w:val="18"/>
              </w:rPr>
              <w:t>2</w:t>
            </w:r>
          </w:p>
        </w:tc>
      </w:tr>
      <w:tr>
        <w:tc>
          <w:tcPr>
            <w:tcW w:type="dxa" w:w="2000"/>
            <w:vAlign w:val="center"/>
            <w:tcMar>
              <w:top w:w="60" w:type="dxa"/>
              <w:start w:w="100" w:type="dxa"/>
              <w:bottom w:w="60" w:type="dxa"/>
              <w:end w:w="100" w:type="dxa"/>
            </w:tcMar>
          </w:tcPr>
          <w:p>
            <w:pPr>
              <w:spacing w:after="0"/>
            </w:pPr>
            <w:r>
              <w:rPr>
                <w:rFonts w:ascii="Arial" w:hAnsi="Arial"/>
                <w:color w:val="000000"/>
                <w:sz w:val="18"/>
              </w:rPr>
              <w:t>KMeans</w:t>
            </w:r>
          </w:p>
        </w:tc>
        <w:tc>
          <w:tcPr>
            <w:tcW w:type="dxa" w:w="2200"/>
            <w:vAlign w:val="center"/>
            <w:tcMar>
              <w:top w:w="60" w:type="dxa"/>
              <w:start w:w="100" w:type="dxa"/>
              <w:bottom w:w="60" w:type="dxa"/>
              <w:end w:w="100" w:type="dxa"/>
            </w:tcMar>
          </w:tcPr>
          <w:p>
            <w:pPr>
              <w:spacing w:after="0"/>
            </w:pPr>
            <w:r>
              <w:rPr>
                <w:rFonts w:ascii="Arial" w:hAnsi="Arial"/>
                <w:color w:val="000000"/>
                <w:sz w:val="18"/>
              </w:rPr>
              <w:t>8.63</w:t>
            </w:r>
          </w:p>
        </w:tc>
        <w:tc>
          <w:tcPr>
            <w:tcW w:type="dxa" w:w="2200"/>
            <w:vAlign w:val="center"/>
            <w:tcMar>
              <w:top w:w="60" w:type="dxa"/>
              <w:start w:w="100" w:type="dxa"/>
              <w:bottom w:w="60" w:type="dxa"/>
              <w:end w:w="100" w:type="dxa"/>
            </w:tcMar>
          </w:tcPr>
          <w:p>
            <w:pPr>
              <w:spacing w:after="0"/>
            </w:pPr>
            <w:r>
              <w:rPr>
                <w:rFonts w:ascii="Arial" w:hAnsi="Arial"/>
                <w:color w:val="000000"/>
                <w:sz w:val="18"/>
              </w:rPr>
              <w:t>0.0033</w:t>
            </w:r>
          </w:p>
        </w:tc>
        <w:tc>
          <w:tcPr>
            <w:tcW w:type="dxa" w:w="1800"/>
            <w:vAlign w:val="center"/>
            <w:tcMar>
              <w:top w:w="60" w:type="dxa"/>
              <w:start w:w="100" w:type="dxa"/>
              <w:bottom w:w="60" w:type="dxa"/>
              <w:end w:w="100" w:type="dxa"/>
            </w:tcMar>
          </w:tcPr>
          <w:p>
            <w:pPr>
              <w:spacing w:after="0"/>
            </w:pPr>
            <w:r>
              <w:rPr>
                <w:rFonts w:ascii="Arial" w:hAnsi="Arial"/>
                <w:color w:val="000000"/>
                <w:sz w:val="18"/>
              </w:rPr>
              <w:t>2</w:t>
            </w:r>
          </w:p>
        </w:tc>
      </w:tr>
    </w:tbl>
    <w:p/>
    <w:p>
      <w:pPr>
        <w:jc w:val="center"/>
      </w:pPr>
      <w:r>
        <w:drawing>
          <wp:inline xmlns:a="http://schemas.openxmlformats.org/drawingml/2006/main" xmlns:pic="http://schemas.openxmlformats.org/drawingml/2006/picture">
            <wp:extent cx="5029200" cy="3457575"/>
            <wp:docPr id="3" name="Picture 3"/>
            <wp:cNvGraphicFramePr>
              <a:graphicFrameLocks noChangeAspect="1"/>
            </wp:cNvGraphicFramePr>
            <a:graphic>
              <a:graphicData uri="http://schemas.openxmlformats.org/drawingml/2006/picture">
                <pic:pic>
                  <pic:nvPicPr>
                    <pic:cNvPr id="0" name="figure_dbscan_pca_scatter.png"/>
                    <pic:cNvPicPr/>
                  </pic:nvPicPr>
                  <pic:blipFill>
                    <a:blip r:embed="rId11"/>
                    <a:stretch>
                      <a:fillRect/>
                    </a:stretch>
                  </pic:blipFill>
                  <pic:spPr>
                    <a:xfrm>
                      <a:off x="0" y="0"/>
                      <a:ext cx="5029200" cy="3457575"/>
                    </a:xfrm>
                    <a:prstGeom prst="rect"/>
                  </pic:spPr>
                </pic:pic>
              </a:graphicData>
            </a:graphic>
          </wp:inline>
        </w:drawing>
      </w:r>
    </w:p>
    <w:p>
      <w:pPr>
        <w:pStyle w:val="Caption"/>
        <w:jc w:val="left"/>
      </w:pPr>
      <w:r>
        <w:t>Figure 3. DBSCAN clusters on the PCA embedding.</w:t>
      </w:r>
    </w:p>
    <w:p>
      <w:pPr>
        <w:jc w:val="center"/>
      </w:pPr>
      <w:r>
        <w:drawing>
          <wp:inline xmlns:a="http://schemas.openxmlformats.org/drawingml/2006/main" xmlns:pic="http://schemas.openxmlformats.org/drawingml/2006/picture">
            <wp:extent cx="5029200" cy="2958353"/>
            <wp:docPr id="4" name="Picture 4"/>
            <wp:cNvGraphicFramePr>
              <a:graphicFrameLocks noChangeAspect="1"/>
            </wp:cNvGraphicFramePr>
            <a:graphic>
              <a:graphicData uri="http://schemas.openxmlformats.org/drawingml/2006/picture">
                <pic:pic>
                  <pic:nvPicPr>
                    <pic:cNvPr id="0" name="figure_dbscan_cluster_profile.png"/>
                    <pic:cNvPicPr/>
                  </pic:nvPicPr>
                  <pic:blipFill>
                    <a:blip r:embed="rId12"/>
                    <a:stretch>
                      <a:fillRect/>
                    </a:stretch>
                  </pic:blipFill>
                  <pic:spPr>
                    <a:xfrm>
                      <a:off x="0" y="0"/>
                      <a:ext cx="5029200" cy="2958353"/>
                    </a:xfrm>
                    <a:prstGeom prst="rect"/>
                  </pic:spPr>
                </pic:pic>
              </a:graphicData>
            </a:graphic>
          </wp:inline>
        </w:drawing>
      </w:r>
    </w:p>
    <w:p>
      <w:pPr>
        <w:pStyle w:val="Caption"/>
        <w:jc w:val="left"/>
      </w:pPr>
      <w:r>
        <w:t>Figure 4. DBSCAN standardized cluster profiles.</w:t>
      </w:r>
    </w:p>
    <w:p>
      <w:pPr>
        <w:jc w:val="center"/>
      </w:pPr>
      <w:r>
        <w:drawing>
          <wp:inline xmlns:a="http://schemas.openxmlformats.org/drawingml/2006/main" xmlns:pic="http://schemas.openxmlformats.org/drawingml/2006/picture">
            <wp:extent cx="5029200" cy="3457575"/>
            <wp:docPr id="5" name="Picture 5"/>
            <wp:cNvGraphicFramePr>
              <a:graphicFrameLocks noChangeAspect="1"/>
            </wp:cNvGraphicFramePr>
            <a:graphic>
              <a:graphicData uri="http://schemas.openxmlformats.org/drawingml/2006/picture">
                <pic:pic>
                  <pic:nvPicPr>
                    <pic:cNvPr id="0" name="figure_kmeans_pca_scatter.png"/>
                    <pic:cNvPicPr/>
                  </pic:nvPicPr>
                  <pic:blipFill>
                    <a:blip r:embed="rId13"/>
                    <a:stretch>
                      <a:fillRect/>
                    </a:stretch>
                  </pic:blipFill>
                  <pic:spPr>
                    <a:xfrm>
                      <a:off x="0" y="0"/>
                      <a:ext cx="5029200" cy="3457575"/>
                    </a:xfrm>
                    <a:prstGeom prst="rect"/>
                  </pic:spPr>
                </pic:pic>
              </a:graphicData>
            </a:graphic>
          </wp:inline>
        </w:drawing>
      </w:r>
    </w:p>
    <w:p>
      <w:pPr>
        <w:pStyle w:val="Caption"/>
        <w:jc w:val="left"/>
      </w:pPr>
      <w:r>
        <w:t>Figure 5. K-Means clusters on the PCA embedding.</w:t>
      </w:r>
    </w:p>
    <w:p>
      <w:pPr>
        <w:jc w:val="center"/>
      </w:pPr>
      <w:r>
        <w:drawing>
          <wp:inline xmlns:a="http://schemas.openxmlformats.org/drawingml/2006/main" xmlns:pic="http://schemas.openxmlformats.org/drawingml/2006/picture">
            <wp:extent cx="5029200" cy="2958353"/>
            <wp:docPr id="6" name="Picture 6"/>
            <wp:cNvGraphicFramePr>
              <a:graphicFrameLocks noChangeAspect="1"/>
            </wp:cNvGraphicFramePr>
            <a:graphic>
              <a:graphicData uri="http://schemas.openxmlformats.org/drawingml/2006/picture">
                <pic:pic>
                  <pic:nvPicPr>
                    <pic:cNvPr id="0" name="figure_kmeans_cluster_profile.png"/>
                    <pic:cNvPicPr/>
                  </pic:nvPicPr>
                  <pic:blipFill>
                    <a:blip r:embed="rId14"/>
                    <a:stretch>
                      <a:fillRect/>
                    </a:stretch>
                  </pic:blipFill>
                  <pic:spPr>
                    <a:xfrm>
                      <a:off x="0" y="0"/>
                      <a:ext cx="5029200" cy="2958353"/>
                    </a:xfrm>
                    <a:prstGeom prst="rect"/>
                  </pic:spPr>
                </pic:pic>
              </a:graphicData>
            </a:graphic>
          </wp:inline>
        </w:drawing>
      </w:r>
    </w:p>
    <w:p>
      <w:pPr>
        <w:pStyle w:val="Caption"/>
        <w:jc w:val="left"/>
      </w:pPr>
      <w:r>
        <w:t>Figure 6. K-Means standardized cluster profiles.</w:t>
      </w:r>
    </w:p>
    <w:p>
      <w:r>
        <w:t>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results are exploratory and do not imply causality.</w:t>
      </w:r>
    </w:p>
    <w:p>
      <w:pPr>
        <w:pStyle w:val="Heading1"/>
      </w:pPr>
      <w:r>
        <w:t>Discussion</w:t>
      </w:r>
    </w:p>
    <w:p>
      <w:r>
        <w:t>Part A showed that 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w:t>
      </w:r>
    </w:p>
    <w:p>
      <w:r>
        <w:t>Part B showed that the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
        <w:t>With more time, the most important extensions would be provider-density and healthcare-access data, rurality/urbanicity classifications, opioid burden, disability prevalence, greenspace, disaster exposure, and finer monthly or daily exposure windows.</w:t>
      </w:r>
    </w:p>
    <w:p>
      <w:pPr>
        <w:pStyle w:val="Heading1"/>
      </w:pPr>
      <w:r>
        <w:t>Ethical Considerations</w:t>
      </w:r>
    </w:p>
    <w:p>
      <w:pPr>
        <w:pStyle w:val="ListBullet"/>
      </w:pPr>
      <w:r>
        <w:t>Predictions are county-level planning signals, not individual diagnoses or risk scores.</w:t>
      </w:r>
    </w:p>
    <w:p>
      <w:pPr>
        <w:pStyle w:val="ListBullet"/>
      </w:pPr>
      <w:r>
        <w:t>High-FMD counties should not be stigmatized; outputs should guide support, outreach, and further investigation.</w:t>
      </w:r>
    </w:p>
    <w:p>
      <w:pPr>
        <w:pStyle w:val="ListBullet"/>
      </w:pPr>
      <w:r>
        <w:t>Sparse monitor coverage and modeled PLACES estimates should be communicated as uncertainty.</w:t>
      </w:r>
    </w:p>
    <w:p>
      <w:pPr>
        <w:pStyle w:val="ListBullet"/>
      </w:pPr>
      <w:r>
        <w:t>Cluster labels should not be used to rank communities or justify resource withdrawal.</w:t>
      </w:r>
    </w:p>
    <w:p>
      <w:pPr>
        <w:pStyle w:val="ListBullet"/>
      </w:pPr>
      <w:r>
        <w:t>Because the project is predictive and exploratory, it should not be interpreted as causal evidence that pollution alone causes FMD.</w:t>
      </w:r>
    </w:p>
    <w:p>
      <w:pPr>
        <w:pStyle w:val="Heading1"/>
      </w:pPr>
      <w:r>
        <w:t>Statement of Work</w:t>
      </w:r>
    </w:p>
    <w:p>
      <w:pPr>
        <w:pStyle w:val="Caption"/>
        <w:jc w:val="left"/>
      </w:pPr>
      <w:r>
        <w:t>Table 10. Team member contributions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68"/>
        <w:gridCol w:w="4968"/>
      </w:tblGrid>
      <w:tr>
        <w:tc>
          <w:tcPr>
            <w:tcW w:type="dxa" w:w="2200"/>
            <w:vAlign w:val="center"/>
            <w:tcMar>
              <w:top w:w="60" w:type="dxa"/>
              <w:start w:w="100" w:type="dxa"/>
              <w:bottom w:w="60" w:type="dxa"/>
              <w:end w:w="100" w:type="dxa"/>
            </w:tcMar>
          </w:tcPr>
          <w:p>
            <w:pPr>
              <w:spacing w:after="0"/>
            </w:pPr>
            <w:r>
              <w:rPr>
                <w:rFonts w:ascii="Arial" w:hAnsi="Arial"/>
                <w:b/>
                <w:color w:val="000000"/>
                <w:sz w:val="18"/>
              </w:rPr>
              <w:t>Team member</w:t>
            </w:r>
          </w:p>
        </w:tc>
        <w:tc>
          <w:tcPr>
            <w:tcW w:type="dxa" w:w="7160"/>
            <w:vAlign w:val="center"/>
            <w:tcMar>
              <w:top w:w="60" w:type="dxa"/>
              <w:start w:w="100" w:type="dxa"/>
              <w:bottom w:w="60" w:type="dxa"/>
              <w:end w:w="100" w:type="dxa"/>
            </w:tcMar>
          </w:tcPr>
          <w:p>
            <w:pPr>
              <w:spacing w:after="0"/>
            </w:pPr>
            <w:r>
              <w:rPr>
                <w:rFonts w:ascii="Arial" w:hAnsi="Arial"/>
                <w:b/>
                <w:color w:val="000000"/>
                <w:sz w:val="18"/>
              </w:rPr>
              <w:t>Contributions</w:t>
            </w:r>
          </w:p>
        </w:tc>
      </w:tr>
      <w:tr>
        <w:tc>
          <w:tcPr>
            <w:tcW w:type="dxa" w:w="2200"/>
            <w:vAlign w:val="center"/>
            <w:tcMar>
              <w:top w:w="60" w:type="dxa"/>
              <w:start w:w="100" w:type="dxa"/>
              <w:bottom w:w="60" w:type="dxa"/>
              <w:end w:w="100" w:type="dxa"/>
            </w:tcMar>
          </w:tcPr>
          <w:p>
            <w:pPr>
              <w:spacing w:after="0"/>
            </w:pPr>
            <w:r>
              <w:rPr>
                <w:rFonts w:ascii="Arial" w:hAnsi="Arial"/>
                <w:color w:val="000000"/>
                <w:sz w:val="18"/>
              </w:rPr>
              <w:t>Jaeah Kim</w:t>
            </w:r>
          </w:p>
        </w:tc>
        <w:tc>
          <w:tcPr>
            <w:tcW w:type="dxa" w:w="7160"/>
            <w:vAlign w:val="center"/>
            <w:tcMar>
              <w:top w:w="60" w:type="dxa"/>
              <w:start w:w="100" w:type="dxa"/>
              <w:bottom w:w="60" w:type="dxa"/>
              <w:end w:w="100" w:type="dxa"/>
            </w:tcMar>
          </w:tcPr>
          <w:p>
            <w:pPr>
              <w:spacing w:after="0"/>
            </w:pPr>
            <w:r>
              <w:rPr>
                <w:rFonts w:ascii="Arial" w:hAnsi="Arial"/>
                <w:color w:val="000000"/>
                <w:sz w:val="18"/>
              </w:rPr>
              <w:t>Unsupervised learning analysis, clustering workflow, preprocessing, interpretation support.</w:t>
            </w:r>
          </w:p>
        </w:tc>
      </w:tr>
      <w:tr>
        <w:tc>
          <w:tcPr>
            <w:tcW w:type="dxa" w:w="2200"/>
            <w:vAlign w:val="center"/>
            <w:tcMar>
              <w:top w:w="60" w:type="dxa"/>
              <w:start w:w="100" w:type="dxa"/>
              <w:bottom w:w="60" w:type="dxa"/>
              <w:end w:w="100" w:type="dxa"/>
            </w:tcMar>
          </w:tcPr>
          <w:p>
            <w:pPr>
              <w:spacing w:after="0"/>
            </w:pPr>
            <w:r>
              <w:rPr>
                <w:rFonts w:ascii="Arial" w:hAnsi="Arial"/>
                <w:color w:val="000000"/>
                <w:sz w:val="18"/>
              </w:rPr>
              <w:t>Kyle Rodriguez</w:t>
            </w:r>
          </w:p>
        </w:tc>
        <w:tc>
          <w:tcPr>
            <w:tcW w:type="dxa" w:w="7160"/>
            <w:vAlign w:val="center"/>
            <w:tcMar>
              <w:top w:w="60" w:type="dxa"/>
              <w:start w:w="100" w:type="dxa"/>
              <w:bottom w:w="60" w:type="dxa"/>
              <w:end w:w="100" w:type="dxa"/>
            </w:tcMar>
          </w:tcPr>
          <w:p>
            <w:pPr>
              <w:spacing w:after="0"/>
            </w:pPr>
            <w:r>
              <w:rPr>
                <w:rFonts w:ascii="Arial" w:hAnsi="Arial"/>
                <w:color w:val="000000"/>
                <w:sz w:val="18"/>
              </w:rPr>
              <w:t>Visualization support, model evaluation, residual and cluster interpretation, report synthesis.</w:t>
            </w:r>
          </w:p>
        </w:tc>
      </w:tr>
      <w:tr>
        <w:tc>
          <w:tcPr>
            <w:tcW w:type="dxa" w:w="2200"/>
            <w:vAlign w:val="center"/>
            <w:tcMar>
              <w:top w:w="60" w:type="dxa"/>
              <w:start w:w="100" w:type="dxa"/>
              <w:bottom w:w="60" w:type="dxa"/>
              <w:end w:w="100" w:type="dxa"/>
            </w:tcMar>
          </w:tcPr>
          <w:p>
            <w:pPr>
              <w:spacing w:after="0"/>
            </w:pPr>
            <w:r>
              <w:rPr>
                <w:rFonts w:ascii="Arial" w:hAnsi="Arial"/>
                <w:color w:val="000000"/>
                <w:sz w:val="18"/>
              </w:rPr>
              <w:t>Sophia Boettcher</w:t>
            </w:r>
          </w:p>
        </w:tc>
        <w:tc>
          <w:tcPr>
            <w:tcW w:type="dxa" w:w="7160"/>
            <w:vAlign w:val="center"/>
            <w:tcMar>
              <w:top w:w="60" w:type="dxa"/>
              <w:start w:w="100" w:type="dxa"/>
              <w:bottom w:w="60" w:type="dxa"/>
              <w:end w:w="100" w:type="dxa"/>
            </w:tcMar>
          </w:tcPr>
          <w:p>
            <w:pPr>
              <w:spacing w:after="0"/>
            </w:pPr>
            <w:r>
              <w:rPr>
                <w:rFonts w:ascii="Arial" w:hAnsi="Arial"/>
                <w:color w:val="000000"/>
                <w:sz w:val="18"/>
              </w:rPr>
              <w:t>Dataset integration, imputation workflow, supervised baselines, external enrichment, final report drafting.</w:t>
            </w:r>
          </w:p>
        </w:tc>
      </w:tr>
      <w:tr>
        <w:tc>
          <w:tcPr>
            <w:tcW w:type="dxa" w:w="2200"/>
            <w:vAlign w:val="center"/>
            <w:tcMar>
              <w:top w:w="60" w:type="dxa"/>
              <w:start w:w="100" w:type="dxa"/>
              <w:bottom w:w="60" w:type="dxa"/>
              <w:end w:w="100" w:type="dxa"/>
            </w:tcMar>
          </w:tcPr>
          <w:p>
            <w:pPr>
              <w:spacing w:after="0"/>
            </w:pPr>
            <w:r>
              <w:rPr>
                <w:rFonts w:ascii="Arial" w:hAnsi="Arial"/>
                <w:color w:val="000000"/>
                <w:sz w:val="18"/>
              </w:rPr>
              <w:t>All team members</w:t>
            </w:r>
          </w:p>
        </w:tc>
        <w:tc>
          <w:tcPr>
            <w:tcW w:type="dxa" w:w="7160"/>
            <w:vAlign w:val="center"/>
            <w:tcMar>
              <w:top w:w="60" w:type="dxa"/>
              <w:start w:w="100" w:type="dxa"/>
              <w:bottom w:w="60" w:type="dxa"/>
              <w:end w:w="100" w:type="dxa"/>
            </w:tcMar>
          </w:tcPr>
          <w:p>
            <w:pPr>
              <w:spacing w:after="0"/>
            </w:pPr>
            <w:r>
              <w:rPr>
                <w:rFonts w:ascii="Arial" w:hAnsi="Arial"/>
                <w:color w:val="000000"/>
                <w:sz w:val="18"/>
              </w:rPr>
              <w:t>EDA, data cleaning, model review, final interpretation, and presentation/report synthesis.</w:t>
            </w:r>
          </w:p>
        </w:tc>
      </w:tr>
    </w:tbl>
    <w:p/>
    <w:p>
      <w:pPr>
        <w:pStyle w:val="Heading1"/>
      </w:pPr>
      <w:r>
        <w:t>References</w:t>
      </w:r>
    </w:p>
    <w:p>
      <w:r>
        <w:t>CDC. PLACES: Local Data for Better Health. https://www.cdc.gov/places/</w:t>
      </w:r>
    </w:p>
    <w:p>
      <w:r>
        <w:t>EPA. AirData Download Files. https://aqs.epa.gov/aqsweb/airdata/download_files.html</w:t>
      </w:r>
    </w:p>
    <w:p>
      <w:r>
        <w:t>U.S. Census Bureau. ACS Summary File. https://www2.census.gov/programs-surveys/acs/summary_file/</w:t>
      </w:r>
    </w:p>
    <w:p>
      <w:r>
        <w:t>U.S. Census Bureau. Cartographic Boundary Files. https://www.census.gov/geographies/mapping-files/time-series/geo/carto-boundary-file.html</w:t>
      </w:r>
    </w:p>
    <w:p>
      <w:r>
        <w:t>NOAA National Centers for Environmental Information. Climate at a Glance. https://www.ncei.noaa.gov/access/monitoring/climate-at-a-glance</w:t>
      </w:r>
    </w:p>
    <w:p>
      <w:r>
        <w:t>Park et al. Particulate matters (PM2.5, PM10) and depression risk among middle-aged and older adults using KLoSA, 2016-2020.</w:t>
      </w:r>
    </w:p>
    <w:p>
      <w:r>
        <w:t>Lei et al. The impact of neighborhood environment on mental health: Evidence from China.</w:t>
      </w:r>
    </w:p>
    <w:p>
      <w:r>
        <w:t>Werder et al. Gulf Long-Term Follow-up Study research on PM2.5, greenspace, and depression in the Southeastern United States.</w:t>
      </w:r>
    </w:p>
    <w:p>
      <w:pPr>
        <w:pStyle w:val="Heading1"/>
      </w:pPr>
      <w:r>
        <w:t>Project Submission Links</w:t>
      </w:r>
    </w:p>
    <w:p>
      <w:r>
        <w:t>GitHub repository: [insert repository URL before submission]</w:t>
      </w:r>
    </w:p>
    <w:p>
      <w:r>
        <w:t>Google Docs version with comments enabled: [insert Google Docs URL before submission]</w:t>
      </w:r>
    </w:p>
    <w:p>
      <w:pPr>
        <w:pStyle w:val="Heading1"/>
      </w:pPr>
      <w:r>
        <w:t>Appendix A. Final Feature List</w:t>
      </w:r>
    </w:p>
    <w:p>
      <w:pPr>
        <w:pStyle w:val="Caption"/>
        <w:jc w:val="left"/>
      </w:pPr>
      <w:r>
        <w:t>Table 11. Final modeling feature schema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600"/>
            <w:vAlign w:val="center"/>
            <w:tcMar>
              <w:top w:w="60" w:type="dxa"/>
              <w:start w:w="100" w:type="dxa"/>
              <w:bottom w:w="60" w:type="dxa"/>
              <w:end w:w="100" w:type="dxa"/>
            </w:tcMar>
          </w:tcPr>
          <w:p>
            <w:pPr>
              <w:spacing w:after="0"/>
            </w:pPr>
            <w:r>
              <w:rPr>
                <w:rFonts w:ascii="Arial" w:hAnsi="Arial"/>
                <w:b/>
                <w:color w:val="000000"/>
                <w:sz w:val="17"/>
              </w:rPr>
              <w:t>Column</w:t>
            </w:r>
          </w:p>
        </w:tc>
        <w:tc>
          <w:tcPr>
            <w:tcW w:type="dxa" w:w="3000"/>
            <w:vAlign w:val="center"/>
            <w:tcMar>
              <w:top w:w="60" w:type="dxa"/>
              <w:start w:w="100" w:type="dxa"/>
              <w:bottom w:w="60" w:type="dxa"/>
              <w:end w:w="100" w:type="dxa"/>
            </w:tcMar>
          </w:tcPr>
          <w:p>
            <w:pPr>
              <w:spacing w:after="0"/>
            </w:pPr>
            <w:r>
              <w:rPr>
                <w:rFonts w:ascii="Arial" w:hAnsi="Arial"/>
                <w:b/>
                <w:color w:val="000000"/>
                <w:sz w:val="17"/>
              </w:rPr>
              <w:t>Feature family</w:t>
            </w:r>
          </w:p>
        </w:tc>
        <w:tc>
          <w:tcPr>
            <w:tcW w:type="dxa" w:w="2760"/>
            <w:vAlign w:val="center"/>
            <w:tcMar>
              <w:top w:w="60" w:type="dxa"/>
              <w:start w:w="100" w:type="dxa"/>
              <w:bottom w:w="60" w:type="dxa"/>
              <w:end w:w="100" w:type="dxa"/>
            </w:tcMar>
          </w:tcPr>
          <w:p>
            <w:pPr>
              <w:spacing w:after="0"/>
            </w:pPr>
            <w:r>
              <w:rPr>
                <w:rFonts w:ascii="Arial" w:hAnsi="Arial"/>
                <w:b/>
                <w:color w:val="000000"/>
                <w:sz w:val="17"/>
              </w:rPr>
              <w:t>Role</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next_year_fmd</w:t>
            </w:r>
          </w:p>
        </w:tc>
        <w:tc>
          <w:tcPr>
            <w:tcW w:type="dxa" w:w="3000"/>
            <w:vAlign w:val="center"/>
            <w:tcMar>
              <w:top w:w="60" w:type="dxa"/>
              <w:start w:w="100" w:type="dxa"/>
              <w:bottom w:w="60" w:type="dxa"/>
              <w:end w:w="100" w:type="dxa"/>
            </w:tcMar>
          </w:tcPr>
          <w:p>
            <w:pPr>
              <w:spacing w:after="0"/>
            </w:pPr>
            <w:r>
              <w:rPr>
                <w:rFonts w:ascii="Arial" w:hAnsi="Arial"/>
                <w:color w:val="000000"/>
                <w:sz w:val="17"/>
              </w:rPr>
              <w:t>FMD outcome</w:t>
            </w:r>
          </w:p>
        </w:tc>
        <w:tc>
          <w:tcPr>
            <w:tcW w:type="dxa" w:w="2760"/>
            <w:vAlign w:val="center"/>
            <w:tcMar>
              <w:top w:w="60" w:type="dxa"/>
              <w:start w:w="100" w:type="dxa"/>
              <w:bottom w:w="60" w:type="dxa"/>
              <w:end w:w="100" w:type="dxa"/>
            </w:tcMar>
          </w:tcPr>
          <w:p>
            <w:pPr>
              <w:spacing w:after="0"/>
            </w:pPr>
            <w:r>
              <w:rPr>
                <w:rFonts w:ascii="Arial" w:hAnsi="Arial"/>
                <w:color w:val="000000"/>
                <w:sz w:val="17"/>
              </w:rPr>
              <w:t>Supervised target</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mental_health_prevalence</w:t>
            </w:r>
          </w:p>
        </w:tc>
        <w:tc>
          <w:tcPr>
            <w:tcW w:type="dxa" w:w="3000"/>
            <w:vAlign w:val="center"/>
            <w:tcMar>
              <w:top w:w="60" w:type="dxa"/>
              <w:start w:w="100" w:type="dxa"/>
              <w:bottom w:w="60" w:type="dxa"/>
              <w:end w:w="100" w:type="dxa"/>
            </w:tcMar>
          </w:tcPr>
          <w:p>
            <w:pPr>
              <w:spacing w:after="0"/>
            </w:pPr>
            <w:r>
              <w:rPr>
                <w:rFonts w:ascii="Arial" w:hAnsi="Arial"/>
                <w:color w:val="000000"/>
                <w:sz w:val="17"/>
              </w:rPr>
              <w:t>FMD outcome</w:t>
            </w:r>
          </w:p>
        </w:tc>
        <w:tc>
          <w:tcPr>
            <w:tcW w:type="dxa" w:w="2760"/>
            <w:vAlign w:val="center"/>
            <w:tcMar>
              <w:top w:w="60" w:type="dxa"/>
              <w:start w:w="100" w:type="dxa"/>
              <w:bottom w:w="60" w:type="dxa"/>
              <w:end w:w="100" w:type="dxa"/>
            </w:tcMar>
          </w:tcPr>
          <w:p>
            <w:pPr>
              <w:spacing w:after="0"/>
            </w:pPr>
            <w:r>
              <w:rPr>
                <w:rFonts w:ascii="Arial" w:hAnsi="Arial"/>
                <w:color w:val="000000"/>
                <w:sz w:val="17"/>
              </w:rPr>
              <w:t>Held-out cluster evaluation</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90th Percentile AQI</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CO</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NO2</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Ozone</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PM10</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PM2.5</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Days with AQI</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Good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Hazardous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Max AQI</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Median AQI</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Moderate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Unhealthy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Unhealthy for Sensitive Groups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Very Unhealthy Days</w:t>
            </w:r>
          </w:p>
        </w:tc>
        <w:tc>
          <w:tcPr>
            <w:tcW w:type="dxa" w:w="3000"/>
            <w:vAlign w:val="center"/>
            <w:tcMar>
              <w:top w:w="60" w:type="dxa"/>
              <w:start w:w="100" w:type="dxa"/>
              <w:bottom w:w="60" w:type="dxa"/>
              <w:end w:w="100" w:type="dxa"/>
            </w:tcMar>
          </w:tcPr>
          <w:p>
            <w:pPr>
              <w:spacing w:after="0"/>
            </w:pPr>
            <w:r>
              <w:rPr>
                <w:rFonts w:ascii="Arial" w:hAnsi="Arial"/>
                <w:color w:val="000000"/>
                <w:sz w:val="17"/>
              </w:rPr>
              <w:t>Annual AQI</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annual_avg_temp_f</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annual_precip_anomaly_inches</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annual_precip_inches</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annual_temp_anomaly_f</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precip_1901_2000_mean</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temp_1901_2000_mean</w:t>
            </w:r>
          </w:p>
        </w:tc>
        <w:tc>
          <w:tcPr>
            <w:tcW w:type="dxa" w:w="3000"/>
            <w:vAlign w:val="center"/>
            <w:tcMar>
              <w:top w:w="60" w:type="dxa"/>
              <w:start w:w="100" w:type="dxa"/>
              <w:bottom w:w="60" w:type="dxa"/>
              <w:end w:w="100" w:type="dxa"/>
            </w:tcMar>
          </w:tcPr>
          <w:p>
            <w:pPr>
              <w:spacing w:after="0"/>
            </w:pPr>
            <w:r>
              <w:rPr>
                <w:rFonts w:ascii="Arial" w:hAnsi="Arial"/>
                <w:color w:val="000000"/>
                <w:sz w:val="17"/>
              </w:rPr>
              <w:t>Climate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daily_aqi_category_days_good</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daily_aqi_category_days_hazardous</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daily_aqi_category_days_moderate</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daily_aqi_category_days_unhealthy</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daily_aqi_category_days_unhealthy_for_sensitive_groups</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daily_aqi_category_days_very_unhealthy</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daily_aqi_days_over_100</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daily_aqi_days_over_150</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daily_aqi_days_over_200</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daily_aqi_defining_param_days_co</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daily_aqi_defining_param_days_no2</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daily_aqi_defining_param_days_ozone</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daily_aqi_defining_param_days_pm10</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daily_aqi_defining_param_days_pm25</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daily_aqi_max</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daily_aqi_mean</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daily_aqi_median</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daily_aqi_monthly_mean_max</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daily_aqi_monthly_mean_std</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daily_aqi_months_observed</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daily_aqi_observed_days</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daily_aqi_p90</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daily_aqi_reporting_sites_mean</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daily_aqi_std</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daily_aqi_unhealthy_or_worse_days</w:t>
            </w:r>
          </w:p>
        </w:tc>
        <w:tc>
          <w:tcPr>
            <w:tcW w:type="dxa" w:w="3000"/>
            <w:vAlign w:val="center"/>
            <w:tcMar>
              <w:top w:w="60" w:type="dxa"/>
              <w:start w:w="100" w:type="dxa"/>
              <w:bottom w:w="60" w:type="dxa"/>
              <w:end w:w="100" w:type="dxa"/>
            </w:tcMar>
          </w:tcPr>
          <w:p>
            <w:pPr>
              <w:spacing w:after="0"/>
            </w:pPr>
            <w:r>
              <w:rPr>
                <w:rFonts w:ascii="Arial" w:hAnsi="Arial"/>
                <w:color w:val="000000"/>
                <w:sz w:val="17"/>
              </w:rPr>
              <w:t>Daily AQI exposure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pct_bachelors_or_higher</w:t>
            </w:r>
          </w:p>
        </w:tc>
        <w:tc>
          <w:tcPr>
            <w:tcW w:type="dxa" w:w="3000"/>
            <w:vAlign w:val="center"/>
            <w:tcMar>
              <w:top w:w="60" w:type="dxa"/>
              <w:start w:w="100" w:type="dxa"/>
              <w:bottom w:w="60" w:type="dxa"/>
              <w:end w:w="100" w:type="dxa"/>
            </w:tcMar>
          </w:tcPr>
          <w:p>
            <w:pPr>
              <w:spacing w:after="0"/>
            </w:pPr>
            <w:r>
              <w:rPr>
                <w:rFonts w:ascii="Arial" w:hAnsi="Arial"/>
                <w:color w:val="000000"/>
                <w:sz w:val="17"/>
              </w:rPr>
              <w:t>Education and health access</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pct_hs_or_higher</w:t>
            </w:r>
          </w:p>
        </w:tc>
        <w:tc>
          <w:tcPr>
            <w:tcW w:type="dxa" w:w="3000"/>
            <w:vAlign w:val="center"/>
            <w:tcMar>
              <w:top w:w="60" w:type="dxa"/>
              <w:start w:w="100" w:type="dxa"/>
              <w:bottom w:w="60" w:type="dxa"/>
              <w:end w:w="100" w:type="dxa"/>
            </w:tcMar>
          </w:tcPr>
          <w:p>
            <w:pPr>
              <w:spacing w:after="0"/>
            </w:pPr>
            <w:r>
              <w:rPr>
                <w:rFonts w:ascii="Arial" w:hAnsi="Arial"/>
                <w:color w:val="000000"/>
                <w:sz w:val="17"/>
              </w:rPr>
              <w:t>Education and health access</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pct_insured</w:t>
            </w:r>
          </w:p>
        </w:tc>
        <w:tc>
          <w:tcPr>
            <w:tcW w:type="dxa" w:w="3000"/>
            <w:vAlign w:val="center"/>
            <w:tcMar>
              <w:top w:w="60" w:type="dxa"/>
              <w:start w:w="100" w:type="dxa"/>
              <w:bottom w:w="60" w:type="dxa"/>
              <w:end w:w="100" w:type="dxa"/>
            </w:tcMar>
          </w:tcPr>
          <w:p>
            <w:pPr>
              <w:spacing w:after="0"/>
            </w:pPr>
            <w:r>
              <w:rPr>
                <w:rFonts w:ascii="Arial" w:hAnsi="Arial"/>
                <w:color w:val="000000"/>
                <w:sz w:val="17"/>
              </w:rPr>
              <w:t>Education and health access</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pct_less_than_hs</w:t>
            </w:r>
          </w:p>
        </w:tc>
        <w:tc>
          <w:tcPr>
            <w:tcW w:type="dxa" w:w="3000"/>
            <w:vAlign w:val="center"/>
            <w:tcMar>
              <w:top w:w="60" w:type="dxa"/>
              <w:start w:w="100" w:type="dxa"/>
              <w:bottom w:w="60" w:type="dxa"/>
              <w:end w:w="100" w:type="dxa"/>
            </w:tcMar>
          </w:tcPr>
          <w:p>
            <w:pPr>
              <w:spacing w:after="0"/>
            </w:pPr>
            <w:r>
              <w:rPr>
                <w:rFonts w:ascii="Arial" w:hAnsi="Arial"/>
                <w:color w:val="000000"/>
                <w:sz w:val="17"/>
              </w:rPr>
              <w:t>Education and health access</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pct_uninsured</w:t>
            </w:r>
          </w:p>
        </w:tc>
        <w:tc>
          <w:tcPr>
            <w:tcW w:type="dxa" w:w="3000"/>
            <w:vAlign w:val="center"/>
            <w:tcMar>
              <w:top w:w="60" w:type="dxa"/>
              <w:start w:w="100" w:type="dxa"/>
              <w:bottom w:w="60" w:type="dxa"/>
              <w:end w:w="100" w:type="dxa"/>
            </w:tcMar>
          </w:tcPr>
          <w:p>
            <w:pPr>
              <w:spacing w:after="0"/>
            </w:pPr>
            <w:r>
              <w:rPr>
                <w:rFonts w:ascii="Arial" w:hAnsi="Arial"/>
                <w:color w:val="000000"/>
                <w:sz w:val="17"/>
              </w:rPr>
              <w:t>Education and health access</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pct_ag_mining</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pct_arts_food</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pct_construction</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pct_education_health</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pct_finance_real_estate</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pct_information</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pct_manufacturing</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pct_other_services</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pct_professional_admin</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pct_public_admin</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pct_retail_trade</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pct_transport_utilities</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pct_wholesale_trade</w:t>
            </w:r>
          </w:p>
        </w:tc>
        <w:tc>
          <w:tcPr>
            <w:tcW w:type="dxa" w:w="3000"/>
            <w:vAlign w:val="center"/>
            <w:tcMar>
              <w:top w:w="60" w:type="dxa"/>
              <w:start w:w="100" w:type="dxa"/>
              <w:bottom w:w="60" w:type="dxa"/>
              <w:end w:w="100" w:type="dxa"/>
            </w:tcMar>
          </w:tcPr>
          <w:p>
            <w:pPr>
              <w:spacing w:after="0"/>
            </w:pPr>
            <w:r>
              <w:rPr>
                <w:rFonts w:ascii="Arial" w:hAnsi="Arial"/>
                <w:color w:val="000000"/>
                <w:sz w:val="17"/>
              </w:rPr>
              <w:t>Industry composition</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acs_civilian_noninstitutionalized_total</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acs_education_25plus_total</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acs_employed_total</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acs_uninsured_count</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median_income</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population</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poverty_count</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total_population_numeric</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r>
        <w:tc>
          <w:tcPr>
            <w:tcW w:type="dxa" w:w="3600"/>
            <w:vAlign w:val="center"/>
            <w:tcMar>
              <w:top w:w="60" w:type="dxa"/>
              <w:start w:w="100" w:type="dxa"/>
              <w:bottom w:w="60" w:type="dxa"/>
              <w:end w:w="100" w:type="dxa"/>
            </w:tcMar>
          </w:tcPr>
          <w:p>
            <w:pPr>
              <w:spacing w:after="0"/>
            </w:pPr>
            <w:r>
              <w:rPr>
                <w:rFonts w:ascii="Arial" w:hAnsi="Arial"/>
                <w:color w:val="000000"/>
                <w:sz w:val="17"/>
              </w:rPr>
              <w:t>unemployed_count</w:t>
            </w:r>
          </w:p>
        </w:tc>
        <w:tc>
          <w:tcPr>
            <w:tcW w:type="dxa" w:w="3000"/>
            <w:vAlign w:val="center"/>
            <w:tcMar>
              <w:top w:w="60" w:type="dxa"/>
              <w:start w:w="100" w:type="dxa"/>
              <w:bottom w:w="60" w:type="dxa"/>
              <w:end w:w="100" w:type="dxa"/>
            </w:tcMar>
          </w:tcPr>
          <w:p>
            <w:pPr>
              <w:spacing w:after="0"/>
            </w:pPr>
            <w:r>
              <w:rPr>
                <w:rFonts w:ascii="Arial" w:hAnsi="Arial"/>
                <w:color w:val="000000"/>
                <w:sz w:val="17"/>
              </w:rPr>
              <w:t>Socioeconomic scale</w:t>
            </w:r>
          </w:p>
        </w:tc>
        <w:tc>
          <w:tcPr>
            <w:tcW w:type="dxa" w:w="2760"/>
            <w:vAlign w:val="center"/>
            <w:tcMar>
              <w:top w:w="60" w:type="dxa"/>
              <w:start w:w="100" w:type="dxa"/>
              <w:bottom w:w="60" w:type="dxa"/>
              <w:end w:w="100" w:type="dxa"/>
            </w:tcMar>
          </w:tcPr>
          <w:p>
            <w:pPr>
              <w:spacing w:after="0"/>
            </w:pPr>
            <w:r>
              <w:rPr>
                <w:rFonts w:ascii="Arial" w:hAnsi="Arial"/>
                <w:color w:val="000000"/>
                <w:sz w:val="17"/>
              </w:rPr>
              <w:t>Predictor</w:t>
            </w:r>
          </w:p>
        </w:tc>
      </w:tr>
    </w:tbl>
    <w:p/>
    <w:p>
      <w:pPr>
        <w:pStyle w:val="Heading1"/>
      </w:pPr>
      <w:r>
        <w:t>Appendix B. Artifact Catalog</w:t>
      </w:r>
    </w:p>
    <w:p>
      <w:pPr>
        <w:pStyle w:val="Caption"/>
        <w:jc w:val="left"/>
      </w:pPr>
      <w:r>
        <w:t>Table 12. Project artifacts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68"/>
        <w:gridCol w:w="4968"/>
      </w:tblGrid>
      <w:tr>
        <w:tc>
          <w:tcPr>
            <w:tcW w:type="dxa" w:w="3700"/>
            <w:vAlign w:val="center"/>
            <w:tcMar>
              <w:top w:w="60" w:type="dxa"/>
              <w:start w:w="100" w:type="dxa"/>
              <w:bottom w:w="60" w:type="dxa"/>
              <w:end w:w="100" w:type="dxa"/>
            </w:tcMar>
          </w:tcPr>
          <w:p>
            <w:pPr>
              <w:spacing w:after="0"/>
            </w:pPr>
            <w:r>
              <w:rPr>
                <w:rFonts w:ascii="Arial" w:hAnsi="Arial"/>
                <w:b/>
                <w:color w:val="000000"/>
                <w:sz w:val="18"/>
              </w:rPr>
              <w:t>Artifact</w:t>
            </w:r>
          </w:p>
        </w:tc>
        <w:tc>
          <w:tcPr>
            <w:tcW w:type="dxa" w:w="5660"/>
            <w:vAlign w:val="center"/>
            <w:tcMar>
              <w:top w:w="60" w:type="dxa"/>
              <w:start w:w="100" w:type="dxa"/>
              <w:bottom w:w="60" w:type="dxa"/>
              <w:end w:w="100" w:type="dxa"/>
            </w:tcMar>
          </w:tcPr>
          <w:p>
            <w:pPr>
              <w:spacing w:after="0"/>
            </w:pPr>
            <w:r>
              <w:rPr>
                <w:rFonts w:ascii="Arial" w:hAnsi="Arial"/>
                <w:b/>
                <w:color w:val="000000"/>
                <w:sz w:val="18"/>
              </w:rPr>
              <w:t>Purpose</w:t>
            </w:r>
          </w:p>
        </w:tc>
      </w:tr>
      <w:tr>
        <w:tc>
          <w:tcPr>
            <w:tcW w:type="dxa" w:w="3700"/>
            <w:vAlign w:val="center"/>
            <w:tcMar>
              <w:top w:w="60" w:type="dxa"/>
              <w:start w:w="100" w:type="dxa"/>
              <w:bottom w:w="60" w:type="dxa"/>
              <w:end w:w="100" w:type="dxa"/>
            </w:tcMar>
          </w:tcPr>
          <w:p>
            <w:pPr>
              <w:spacing w:after="0"/>
            </w:pPr>
            <w:r>
              <w:rPr>
                <w:rFonts w:ascii="Arial" w:hAnsi="Arial"/>
                <w:color w:val="000000"/>
                <w:sz w:val="18"/>
              </w:rPr>
              <w:t>Supervised_Unsupervised_FMD_Analysis.ipynb</w:t>
            </w:r>
          </w:p>
        </w:tc>
        <w:tc>
          <w:tcPr>
            <w:tcW w:type="dxa" w:w="5660"/>
            <w:vAlign w:val="center"/>
            <w:tcMar>
              <w:top w:w="60" w:type="dxa"/>
              <w:start w:w="100" w:type="dxa"/>
              <w:bottom w:w="60" w:type="dxa"/>
              <w:end w:w="100" w:type="dxa"/>
            </w:tcMar>
          </w:tcPr>
          <w:p>
            <w:pPr>
              <w:spacing w:after="0"/>
            </w:pPr>
            <w:r>
              <w:rPr>
                <w:rFonts w:ascii="Arial" w:hAnsi="Arial"/>
                <w:color w:val="000000"/>
                <w:sz w:val="18"/>
              </w:rPr>
              <w:t>Main modeling notebook</w:t>
            </w:r>
          </w:p>
        </w:tc>
      </w:tr>
      <w:tr>
        <w:tc>
          <w:tcPr>
            <w:tcW w:type="dxa" w:w="3700"/>
            <w:vAlign w:val="center"/>
            <w:tcMar>
              <w:top w:w="60" w:type="dxa"/>
              <w:start w:w="100" w:type="dxa"/>
              <w:bottom w:w="60" w:type="dxa"/>
              <w:end w:w="100" w:type="dxa"/>
            </w:tcMar>
          </w:tcPr>
          <w:p>
            <w:pPr>
              <w:spacing w:after="0"/>
            </w:pPr>
            <w:r>
              <w:rPr>
                <w:rFonts w:ascii="Arial" w:hAnsi="Arial"/>
                <w:color w:val="000000"/>
                <w:sz w:val="18"/>
              </w:rPr>
              <w:t>county_panel_enriched.csv</w:t>
            </w:r>
          </w:p>
        </w:tc>
        <w:tc>
          <w:tcPr>
            <w:tcW w:type="dxa" w:w="5660"/>
            <w:vAlign w:val="center"/>
            <w:tcMar>
              <w:top w:w="60" w:type="dxa"/>
              <w:start w:w="100" w:type="dxa"/>
              <w:bottom w:w="60" w:type="dxa"/>
              <w:end w:w="100" w:type="dxa"/>
            </w:tcMar>
          </w:tcPr>
          <w:p>
            <w:pPr>
              <w:spacing w:after="0"/>
            </w:pPr>
            <w:r>
              <w:rPr>
                <w:rFonts w:ascii="Arial" w:hAnsi="Arial"/>
                <w:color w:val="000000"/>
                <w:sz w:val="18"/>
              </w:rPr>
              <w:t>Final county-year modeling panel</w:t>
            </w:r>
          </w:p>
        </w:tc>
      </w:tr>
      <w:tr>
        <w:tc>
          <w:tcPr>
            <w:tcW w:type="dxa" w:w="3700"/>
            <w:vAlign w:val="center"/>
            <w:tcMar>
              <w:top w:w="60" w:type="dxa"/>
              <w:start w:w="100" w:type="dxa"/>
              <w:bottom w:w="60" w:type="dxa"/>
              <w:end w:w="100" w:type="dxa"/>
            </w:tcMar>
          </w:tcPr>
          <w:p>
            <w:pPr>
              <w:spacing w:after="0"/>
            </w:pPr>
            <w:r>
              <w:rPr>
                <w:rFonts w:ascii="Arial" w:hAnsi="Arial"/>
                <w:color w:val="000000"/>
                <w:sz w:val="18"/>
              </w:rPr>
              <w:t>generate_rubric_analyses.py</w:t>
            </w:r>
          </w:p>
        </w:tc>
        <w:tc>
          <w:tcPr>
            <w:tcW w:type="dxa" w:w="5660"/>
            <w:vAlign w:val="center"/>
            <w:tcMar>
              <w:top w:w="60" w:type="dxa"/>
              <w:start w:w="100" w:type="dxa"/>
              <w:bottom w:w="60" w:type="dxa"/>
              <w:end w:w="100" w:type="dxa"/>
            </w:tcMar>
          </w:tcPr>
          <w:p>
            <w:pPr>
              <w:spacing w:after="0"/>
            </w:pPr>
            <w:r>
              <w:rPr>
                <w:rFonts w:ascii="Arial" w:hAnsi="Arial"/>
                <w:color w:val="000000"/>
                <w:sz w:val="18"/>
              </w:rPr>
              <w:t>Supplemental analyses for rubric completion</w:t>
            </w:r>
          </w:p>
        </w:tc>
      </w:tr>
      <w:tr>
        <w:tc>
          <w:tcPr>
            <w:tcW w:type="dxa" w:w="3700"/>
            <w:vAlign w:val="center"/>
            <w:tcMar>
              <w:top w:w="60" w:type="dxa"/>
              <w:start w:w="100" w:type="dxa"/>
              <w:bottom w:w="60" w:type="dxa"/>
              <w:end w:w="100" w:type="dxa"/>
            </w:tcMar>
          </w:tcPr>
          <w:p>
            <w:pPr>
              <w:spacing w:after="0"/>
            </w:pPr>
            <w:r>
              <w:rPr>
                <w:rFonts w:ascii="Arial" w:hAnsi="Arial"/>
                <w:color w:val="000000"/>
                <w:sz w:val="18"/>
              </w:rPr>
              <w:t>outputs/rubric_completion/*.csv</w:t>
            </w:r>
          </w:p>
        </w:tc>
        <w:tc>
          <w:tcPr>
            <w:tcW w:type="dxa" w:w="5660"/>
            <w:vAlign w:val="center"/>
            <w:tcMar>
              <w:top w:w="60" w:type="dxa"/>
              <w:start w:w="100" w:type="dxa"/>
              <w:bottom w:w="60" w:type="dxa"/>
              <w:end w:w="100" w:type="dxa"/>
            </w:tcMar>
          </w:tcPr>
          <w:p>
            <w:pPr>
              <w:spacing w:after="0"/>
            </w:pPr>
            <w:r>
              <w:rPr>
                <w:rFonts w:ascii="Arial" w:hAnsi="Arial"/>
                <w:color w:val="000000"/>
                <w:sz w:val="18"/>
              </w:rPr>
              <w:t>CV, feature importance, ablation, sensitivity, failure, and unsupervised comparison tables</w:t>
            </w:r>
          </w:p>
        </w:tc>
      </w:tr>
      <w:tr>
        <w:tc>
          <w:tcPr>
            <w:tcW w:type="dxa" w:w="3700"/>
            <w:vAlign w:val="center"/>
            <w:tcMar>
              <w:top w:w="60" w:type="dxa"/>
              <w:start w:w="100" w:type="dxa"/>
              <w:bottom w:w="60" w:type="dxa"/>
              <w:end w:w="100" w:type="dxa"/>
            </w:tcMar>
          </w:tcPr>
          <w:p>
            <w:pPr>
              <w:spacing w:after="0"/>
            </w:pPr>
            <w:r>
              <w:rPr>
                <w:rFonts w:ascii="Arial" w:hAnsi="Arial"/>
                <w:color w:val="000000"/>
                <w:sz w:val="18"/>
              </w:rPr>
              <w:t>outputs/rubric_completion/*.png</w:t>
            </w:r>
          </w:p>
        </w:tc>
        <w:tc>
          <w:tcPr>
            <w:tcW w:type="dxa" w:w="5660"/>
            <w:vAlign w:val="center"/>
            <w:tcMar>
              <w:top w:w="60" w:type="dxa"/>
              <w:start w:w="100" w:type="dxa"/>
              <w:bottom w:w="60" w:type="dxa"/>
              <w:end w:w="100" w:type="dxa"/>
            </w:tcMar>
          </w:tcPr>
          <w:p>
            <w:pPr>
              <w:spacing w:after="0"/>
            </w:pPr>
            <w:r>
              <w:rPr>
                <w:rFonts w:ascii="Arial" w:hAnsi="Arial"/>
                <w:color w:val="000000"/>
                <w:sz w:val="18"/>
              </w:rPr>
              <w:t>Figures used in this report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