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6"/>
          <w:szCs w:val="26"/>
        </w:rPr>
      </w:pPr>
      <w:r w:rsidDel="00000000" w:rsidR="00000000" w:rsidRPr="00000000">
        <w:rPr>
          <w:b w:val="1"/>
          <w:bCs w:val="1"/>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b w:val="1"/>
          <w:bCs w:val="1"/>
          <w:sz w:val="30"/>
          <w:szCs w:val="30"/>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rtl w:val="0"/>
        </w:rPr>
        <w:t xml:space="preserve">Jaeah Kim (</w:t>
      </w:r>
      <w:hyperlink r:id="rId7">
        <w:r w:rsidDel="00000000" w:rsidR="00000000" w:rsidRPr="00000000">
          <w:rPr>
            <w:color w:val="1155cc"/>
            <w:u w:val="single"/>
            <w:rtl w:val="0"/>
          </w:rPr>
          <w:t xml:space="preserve">jaeah@umich.edu</w:t>
        </w:r>
      </w:hyperlink>
      <w:r w:rsidDel="00000000" w:rsidR="00000000" w:rsidRPr="00000000">
        <w:rPr>
          <w:rtl w:val="0"/>
        </w:rPr>
        <w:t xml:space="preserve">), Kyle Rodriguez (</w:t>
      </w:r>
      <w:hyperlink r:id="rId8">
        <w:r w:rsidDel="00000000" w:rsidR="00000000" w:rsidRPr="00000000">
          <w:rPr>
            <w:color w:val="1155cc"/>
            <w:u w:val="single"/>
            <w:rtl w:val="0"/>
          </w:rPr>
          <w:t xml:space="preserve">kylerod@umich.edu</w:t>
        </w:r>
      </w:hyperlink>
      <w:r w:rsidDel="00000000" w:rsidR="00000000" w:rsidRPr="00000000">
        <w:rPr>
          <w:rtl w:val="0"/>
        </w:rPr>
        <w:t xml:space="preserve">), Sophia Boettcher (</w:t>
      </w:r>
      <w:hyperlink r:id="rId9">
        <w:r w:rsidDel="00000000" w:rsidR="00000000" w:rsidRPr="00000000">
          <w:rPr>
            <w:color w:val="1155cc"/>
            <w:u w:val="single"/>
            <w:rtl w:val="0"/>
          </w:rPr>
          <w:t xml:space="preserve">sboettch@umich.edu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motivation behind this </w:t>
      </w:r>
      <w:r w:rsidDel="00000000" w:rsidR="00000000" w:rsidRPr="00000000">
        <w:rPr>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34"/>
          <w:szCs w:val="34"/>
        </w:rPr>
      </w:pPr>
      <w:r w:rsidDel="00000000" w:rsidR="00000000" w:rsidRPr="00000000">
        <w:rPr>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4"/>
          <w:szCs w:val="24"/>
        </w:rPr>
      </w:pPr>
      <w:bookmarkStart w:colFirst="0" w:colLast="0" w:name="_kqb4g2mvkl4h" w:id="1"/>
      <w:bookmarkEnd w:id="1"/>
      <w:r w:rsidDel="00000000" w:rsidR="00000000" w:rsidRPr="00000000">
        <w:rPr>
          <w:b w:val="1"/>
          <w:bCs w:val="1"/>
          <w:i w:val="1"/>
          <w:iCs w:val="1"/>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It’s well-known beyond anecdote that health</w:t>
      </w:r>
      <w:r w:rsidDel="00000000" w:rsidR="00000000" w:rsidRPr="00000000">
        <w:rPr>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rtl w:val="0"/>
        </w:rPr>
        <w:t xml:space="preserve">Frequent Mental Distress (FMD)</w:t>
      </w:r>
      <w:r w:rsidDel="00000000" w:rsidR="00000000" w:rsidRPr="00000000">
        <w:rPr>
          <w:rtl w:val="0"/>
        </w:rPr>
        <w:t xml:space="preserve">, defined by the </w:t>
      </w:r>
      <w:r w:rsidDel="00000000" w:rsidR="00000000" w:rsidRPr="00000000">
        <w:rPr>
          <w:b w:val="1"/>
          <w:bCs w:val="1"/>
          <w:rtl w:val="0"/>
        </w:rPr>
        <w:t xml:space="preserve">CDC PLACES</w:t>
      </w:r>
      <w:r w:rsidDel="00000000" w:rsidR="00000000" w:rsidRPr="00000000">
        <w:rPr>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u24g2qnxwgp" w:id="2"/>
      <w:bookmarkEnd w:id="2"/>
      <w:r w:rsidDel="00000000" w:rsidR="00000000" w:rsidRPr="00000000">
        <w:rPr>
          <w:b w:val="1"/>
          <w:bCs w:val="1"/>
          <w:i w:val="1"/>
          <w:iCs w:val="1"/>
          <w:color w:val="434343"/>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69d9i8v6g136" w:id="3"/>
      <w:bookmarkEnd w:id="3"/>
      <w:r w:rsidDel="00000000" w:rsidR="00000000" w:rsidRPr="00000000">
        <w:rPr>
          <w:b w:val="1"/>
          <w:bCs w:val="1"/>
          <w:i w:val="1"/>
          <w:iCs w:val="1"/>
          <w:color w:val="434343"/>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4"/>
          <w:szCs w:val="24"/>
        </w:rPr>
      </w:pPr>
      <w:bookmarkStart w:colFirst="0" w:colLast="0" w:name="_6t4ggrf5yi05" w:id="4"/>
      <w:bookmarkEnd w:id="4"/>
      <w:r w:rsidDel="00000000" w:rsidR="00000000" w:rsidRPr="00000000">
        <w:rPr>
          <w:b w:val="1"/>
          <w:bCs w:val="1"/>
          <w:i w:val="1"/>
          <w:iCs w:val="1"/>
          <w:color w:val="434343"/>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rtl w:val="0"/>
        </w:rPr>
        <w:t xml:space="preserve">Next-Year Frequent Mental Distress (FMD)</w:t>
      </w:r>
      <w:r w:rsidDel="00000000" w:rsidR="00000000" w:rsidRPr="00000000">
        <w:rPr>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We constructed an enriched county-year panel containing </w:t>
      </w:r>
      <w:r w:rsidDel="00000000" w:rsidR="00000000" w:rsidRPr="00000000">
        <w:rPr>
          <w:b w:val="1"/>
          <w:bCs w:val="1"/>
          <w:rtl w:val="0"/>
        </w:rPr>
        <w:t xml:space="preserve">14,748 observations across 3,008 U.S. counties and county-equivalents from 2019–2023</w:t>
      </w:r>
      <w:r w:rsidDel="00000000" w:rsidR="00000000" w:rsidRPr="00000000">
        <w:rPr>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rtl w:val="0"/>
        </w:rPr>
        <w:t xml:space="preserve">t</w:t>
      </w:r>
      <w:r w:rsidDel="00000000" w:rsidR="00000000" w:rsidRPr="00000000">
        <w:rPr>
          <w:rtl w:val="0"/>
        </w:rPr>
        <w:t xml:space="preserve"> were used to predict FMD in year </w:t>
      </w:r>
      <w:r w:rsidDel="00000000" w:rsidR="00000000" w:rsidRPr="00000000">
        <w:rPr>
          <w:i w:val="1"/>
          <w:iCs w:val="1"/>
          <w:rtl w:val="0"/>
        </w:rPr>
        <w:t xml:space="preserve">t + 1</w:t>
      </w:r>
      <w:r w:rsidDel="00000000" w:rsidR="00000000" w:rsidRPr="00000000">
        <w:rPr>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t>For the unsupervised learning component, we standardized all non-FMD variables and compared two clustering approaches: DBSCAN, which is useful for identifying dense groups and outliers, and K-Means, which partitions every county into a centroid-based profile. FMD was intentionally excluded during clustering and reintroduced afterward to compare mental health outcomes across the discovered clusters. This design lets FMD function as an external validation outcome rather than a clustering variable.</w:t>
      </w:r>
    </w:p>
    <w:p>
      <w:r>
        <w:rPr>
          <w:b/>
        </w:rPr>
        <w:t>Table 1. Research questions and modeling approach.</w:t>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e8r8ivaqclnx" w:id="5"/>
      <w:bookmarkEnd w:id="5"/>
      <w:r w:rsidDel="00000000" w:rsidR="00000000" w:rsidRPr="00000000">
        <w:rPr>
          <w:b w:val="1"/>
          <w:bCs w:val="1"/>
          <w:i w:val="1"/>
          <w:iCs w:val="1"/>
          <w:color w:val="434343"/>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the best supervised model was a tuned Random Forest, with holdout RMSE 1.98 and MAE 1.65, compared with the Dummy Regressor baseline RMSE of 2.43. Holdout R² remained near zero and slightly negative, however. This indicates that county-level environmental, climate, and socioeconomic variables contain some predictive signal, but not enough to reliably forecast next-year FMD. The result is useful as a weak-signal finding and as evidence about what the current annual county-level panel cannot yet 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DBSCAN and K-Means both found a dominant county profile plus a smaller comparison group, but K-Means produced cleaner silhouette scores while DBSCAN was more useful for highlighting unusual counties. Because FMD was excluded from clustering and examined only afterward, differences in FMD across clusters can be interpreted as held-out outcome comparisons. These clusters should be treated as exploratory county profiles, not causal categories or definitive rankings.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200" w:before="200" w:line="398.4" w:lineRule="auto"/>
        <w:rPr/>
      </w:pPr>
      <w:r w:rsidDel="00000000" w:rsidR="00000000" w:rsidRPr="00000000">
        <w:rPr>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u w:val="single"/>
            <w:rtl w:val="0"/>
          </w:rPr>
          <w:t xml:space="preserve">Park, et al.</w:t>
        </w:r>
      </w:hyperlink>
      <w:r w:rsidDel="00000000" w:rsidR="00000000" w:rsidRPr="00000000">
        <w:rPr>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u w:val="single"/>
            <w:rtl w:val="0"/>
          </w:rPr>
          <w:t xml:space="preserve">Lei, et al.</w:t>
        </w:r>
      </w:hyperlink>
      <w:r w:rsidDel="00000000" w:rsidR="00000000" w:rsidRPr="00000000">
        <w:rPr>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u w:val="single"/>
            <w:rtl w:val="0"/>
          </w:rPr>
          <w:t xml:space="preserve">Werder et al., 2024</w:t>
        </w:r>
      </w:hyperlink>
      <w:r w:rsidDel="00000000" w:rsidR="00000000" w:rsidRPr="00000000">
        <w:rPr>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This project uses CDC PLACES CSV files from data.cdc.gov, EPA AirData annual and daily AQI files from the AQS AirData download portal, American Community Survey county enrichment files from Census ACS tables/API outputs, NOAA Climate at a Glance county climate records, and Census county boundary shapefiles. The final modeling panel is county-year and uses five-digit county GEOID as the primary merge key. The usable enriched panel contains 14,748 county-year rows, 83 columns, and 3,008 county/county-equivalent GEOIDs from 2019-2023. These source locations, formats, important variables, and roles are summarized below.</w:t>
      </w:r>
    </w:p>
    <w:p>
      <w:r>
        <w:rPr>
          <w:b/>
        </w:rPr>
        <w:t>Table 2. Data sources, formats, variables, and project roles.</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before="200" w:line="397.44" w:lineRule="auto"/>
        <w:ind w:firstLine="720"/>
        <w:rPr/>
      </w:pPr>
      <w:r w:rsidDel="00000000" w:rsidR="00000000" w:rsidRPr="00000000">
        <w:rPr>
          <w:rtl w:val="0"/>
        </w:rPr>
        <w:t xml:space="preserve">Our</w:t>
      </w:r>
      <w:r w:rsidDel="00000000" w:rsidR="00000000" w:rsidRPr="00000000">
        <w:rPr>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t>Merge CDC PLACES, EPA AirData, ACS, NOAA, and Census geography using county GEOID where available, with county/state names used only for validation and reporting.</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Perform geoimputation</w:t>
      </w:r>
      <w:r w:rsidDel="00000000" w:rsidR="00000000" w:rsidRPr="00000000">
        <w:rPr>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Calculate demographic and pollution rates</w:t>
      </w:r>
      <w:r w:rsidDel="00000000" w:rsidR="00000000" w:rsidRPr="00000000">
        <w:rPr>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200" w:afterAutospacing="0" w:before="200" w:line="397.44" w:lineRule="auto"/>
        <w:ind w:left="720" w:hanging="360"/>
        <w:rPr>
          <w:u w:val="none"/>
        </w:rPr>
      </w:pPr>
      <w:r w:rsidDel="00000000" w:rsidR="00000000" w:rsidRPr="00000000">
        <w:rPr>
          <w:b w:val="1"/>
          <w:bCs w:val="1"/>
          <w:rtl w:val="0"/>
        </w:rPr>
        <w:t xml:space="preserve">Drop redundant raw counts</w:t>
      </w:r>
      <w:r w:rsidDel="00000000" w:rsidR="00000000" w:rsidRPr="00000000">
        <w:rPr>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00" w:beforeAutospacing="0" w:line="397.44" w:lineRule="auto"/>
        <w:ind w:left="720" w:hanging="360"/>
      </w:pPr>
      <w:r w:rsidDel="00000000" w:rsidR="00000000" w:rsidRPr="00000000">
        <w:rPr>
          <w:b w:val="1"/>
          <w:bCs w:val="1"/>
          <w:rtl w:val="0"/>
        </w:rPr>
        <w:t xml:space="preserve">Next-year target:</w:t>
      </w:r>
      <w:r w:rsidDel="00000000" w:rsidR="00000000" w:rsidRPr="00000000">
        <w:rPr>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Temporal holdout:</w:t>
      </w:r>
      <w:r w:rsidDel="00000000" w:rsidR="00000000" w:rsidRPr="00000000">
        <w:rPr>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Environmental features:</w:t>
      </w:r>
      <w:r w:rsidDel="00000000" w:rsidR="00000000" w:rsidRPr="00000000">
        <w:rPr>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Climate features:</w:t>
      </w:r>
      <w:r w:rsidDel="00000000" w:rsidR="00000000" w:rsidRPr="00000000">
        <w:rPr>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Socioeconomic features:</w:t>
      </w:r>
      <w:r w:rsidDel="00000000" w:rsidR="00000000" w:rsidRPr="00000000">
        <w:rPr>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b w:val="1"/>
          <w:bCs w:val="1"/>
          <w:rtl w:val="0"/>
        </w:rPr>
        <w:t xml:space="preserve">Unsupervised hold-out design:</w:t>
      </w:r>
      <w:r w:rsidDel="00000000" w:rsidR="00000000" w:rsidRPr="00000000">
        <w:rPr>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The enriched panel contains 14,748 county-year rows across 83 columns before model-specific feature selection. The supervised and unsupervised notebooks then use leakage-controlled subsets of those features. Links to the notebooks are provided in Appendix C, and the schema tables below describe the variables used for modeling and interpretation.</w:t>
      </w:r>
    </w:p>
    <w:p>
      <w:r>
        <w:rPr>
          <w:b/>
        </w:rPr>
        <w:t>Table 3. Feature families and leakage controls.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
        <w:rPr>
          <w:b/>
        </w:rPr>
        <w:t>Table 4. Final modeling data schema.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
              <w:t>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bl>
    <w:p>
      <w:pPr>
        <w:pStyle w:val="Heading2"/>
      </w:pPr>
      <w:r>
        <w:t>What Jaeah's EDA adds</w:t>
      </w:r>
    </w:p>
    <w:p>
      <w:pPr/>
      <w:r>
        <w:t>Direct answer: Jaeah's exploratory analysis adds the quality-control layer that makes the modeling choices defensible. Her missingness and geographic coverage checks explain why sparse EPA daily AQI monitor data should be imputed and interpreted cautiously; her rate-oriented checks support using county-intensity features rather than raw counts; and her exploratory county profiles motivated the unsupervised design, where counties are grouped by socio-environmental characteristics before FMD is examined as a held-out outcome.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00" w:line="397.44" w:lineRule="auto"/>
        <w:rPr/>
      </w:pPr>
      <w:r>
        <w:t>Direct answer: the supervised task is a regression problem that predicts next-year FMD prevalence from current-year county features. We used four model families for complementary reasons: a Dummy Regressor to establish a mean-prediction baseline; ElasticNet because environmental, climate, and socioeconomic features can be correlated and benefit from L1/L2 regularization; Random Forest because it can model nonlinear interactions and provides feature-importance diagnostics; and Gradient Boosting because sequential tree ensembles can capture nonlinear structure through a different mechanism than bagging. Continuous predictors were imputed when needed, and ElasticNet used standard scaling. Hyperparameter tuning used grouped cross-validation over the training years, including regularization strength/mixing for ElasticNet, tree/feature-sampling settings for Random Forest, and learning-rate/tree-depth settings for Gradient Boosting. Final evaluation used the 2022-to-2023 temporal holdout, RMSE, MAE, R², and CV means with standard deviations.</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rPr>
      </w:pPr>
      <w:bookmarkStart w:colFirst="0" w:colLast="0" w:name="_hs1mu0nl2suy" w:id="8"/>
      <w:bookmarkEnd w:id="8"/>
      <w:r w:rsidDel="00000000" w:rsidR="00000000" w:rsidRPr="00000000">
        <w:rPr>
          <w:b w:val="1"/>
          <w:bCs w:val="1"/>
          <w:i w:val="1"/>
          <w:iCs w:val="1"/>
          <w:color w:val="434343"/>
          <w:sz w:val="24"/>
          <w:szCs w:val="24"/>
          <w:rtl w:val="0"/>
        </w:rPr>
        <w:t xml:space="preserve">Evaluation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rPr>
      </w:pPr>
      <w:r w:rsidDel="00000000" w:rsidR="00000000" w:rsidRPr="00000000">
        <w:rPr>
          <w:i w:val="1"/>
          <w:iCs w:val="1"/>
          <w:rtl w:val="0"/>
        </w:rPr>
        <w:t xml:space="preserve">Figure 1. Supervised model comparison with grouped cross-validation mean and standard deviation. The tuned Random Forest has the best holdout RMSE, but the uncertainty across folds reinforces that predictive signal is modest.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Key feature engineering and implementation choices were designed to avoid misleading scale effects: absolute metrics were normalized to county intensities where appropriate, including poverty_rate, unemployed_rate, bad_air_day_ratio, and good_air_day_ratio. Redundant raw counters were dropped to reduce multicollinearity in linear estimators. Models were evaluated with temporal holdout testing and grouped cross-validation; the table reports mean and standard deviation across folds.</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pji3etty0wk9" w:id="9"/>
      <w:bookmarkEnd w:id="9"/>
      <w:r w:rsidDel="00000000" w:rsidR="00000000" w:rsidRPr="00000000">
        <w:rPr>
          <w:b w:val="1"/>
          <w:bCs w:val="1"/>
          <w:i w:val="1"/>
          <w:iCs w:val="1"/>
          <w:color w:val="434343"/>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t>The best model, Random Forest tuned, reduced holdout RMSE by about 0.45 percentage points relative to the Dummy baseline. That improvement is useful as proof of signal, but it is not enough to support strong forecasting claims. The near-zero negative R² indicates that the model still does not explain holdout variation robustly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p>
      <w:r>
        <w:rPr>
          <w:b/>
        </w:rPr>
        <w:t>Table 5. Supervised model performance with grouped cross-validation uncertainty.</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CV RMSE / R² mean ± SD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2.02 ± 0.63; R² 0.01 ± 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2.16 ± 0.49; R² -0.09 ± 0.44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2.32 ± 0.59; R² -0.27 ± 0.55</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2.73 ± 0.46; R² -0.70 ± 0.50</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i w:val="1"/>
          <w:iCs w:val="1"/>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rtl w:val="0"/>
        </w:rPr>
        <w:t xml:space="preserve">Figure 2. Predicted versus actual next-year FMD and residual distribution on the 2022 to 2023 holdout. Predictions are compressed toward the mean, especially for high-FMD counties.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rtl w:val="0"/>
        </w:rPr>
        <w:t xml:space="preserve">Figure 3. Geographic residual map from project Census boundaries and model predictions. Positive residuals indicate counties where actual FMD was higher than the Random Forest prediction.</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highlight w:val="black"/>
        </w:rPr>
      </w:pPr>
      <w:r w:rsidDel="00000000" w:rsidR="00000000" w:rsidRPr="00000000">
        <w:rPr>
          <w:b w:val="1"/>
          <w:bCs w:val="1"/>
          <w:highlight w:val="black"/>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Mental health needs exist at the intersection of community conditions, public-health planning, and regulatory decision-making. At a macro scale, even modest predictive ability could help agencies prioritize outreach, planning, and resource allocation, while a weak-signal result clarifies what additional data would be needed before such a model could be used responsibly.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Predicting public health outcomes within a spatial panel structure introduces a critical methodological challenge: temporal data leakage. To establish genuine predictive legitimacy, we used current-year features to predict next-year FMD and evaluated the final model on a temporal holdout.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b w:val="1"/>
          <w:bCs w:val="1"/>
          <w:highlight w:val="black"/>
          <w:rtl w:val="0"/>
        </w:rPr>
        <w:t xml:space="preserve">Data Source</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Please refer to the Data Sources section above for the details on data sources and features we’ve used. </w:t>
      </w:r>
      <w:r w:rsidDel="00000000" w:rsidR="00000000" w:rsidRPr="00000000"/>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In-Depth Evaluation</w:t>
      </w:r>
    </w:p>
    <w:p w:rsidR="00000000" w:rsidDel="00000000" w:rsidP="00000000" w:rsidRDefault="00000000" w:rsidRPr="00000000" w14:paraId="00000124">
      <w:pPr>
        <w:rPr/>
      </w:pPr>
      <w:r w:rsidDel="00000000" w:rsidR="00000000" w:rsidRPr="00000000"/>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pPr>
      <w:bookmarkStart w:colFirst="0" w:colLast="0" w:name="_c81cal9upcbm" w:id="10"/>
      <w:bookmarkEnd w:id="10"/>
      <w:r w:rsidDel="00000000" w:rsidR="00000000" w:rsidRPr="00000000">
        <w:rPr>
          <w:b w:val="1"/>
          <w:bCs w:val="1"/>
          <w:i w:val="1"/>
          <w:iCs w:val="1"/>
          <w:sz w:val="24"/>
          <w:szCs w:val="24"/>
          <w:rtl w:val="0"/>
        </w:rPr>
        <w:t xml:space="preserve">Random Forest Grouped Ablation</w:t>
      </w:r>
      <w:r w:rsidDel="00000000" w:rsidR="00000000" w:rsidRPr="00000000">
        <w:rPr>
          <w:rtl w:val="0"/>
        </w:rPr>
      </w:r>
    </w:p>
    <w:p>
      <w:r>
        <w:rPr>
          <w:b/>
        </w:rPr>
        <w:t>Table 6. Random Forest feature-family ablation.</w:t>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146">
      <w:pPr>
        <w:rPr/>
      </w:pPr>
      <w:r w:rsidDel="00000000" w:rsidR="00000000" w:rsidRPr="00000000">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8"/>
          <w:szCs w:val="28"/>
        </w:rPr>
      </w:pPr>
      <w:r w:rsidDel="00000000" w:rsidR="00000000" w:rsidRPr="00000000">
        <w:rPr>
          <w:i w:val="1"/>
          <w:iCs w:val="1"/>
          <w:rtl w:val="0"/>
        </w:rPr>
        <w:t xml:space="preserve">Figure 4. Random Forest feature importances.</w:t>
      </w:r>
      <w:r w:rsidDel="00000000" w:rsidR="00000000" w:rsidRPr="00000000">
        <w:rPr>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rPr/>
      </w:pPr>
      <w:r w:rsidDel="00000000" w:rsidR="00000000" w:rsidRPr="00000000">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pPr>
      <w:r w:rsidDel="00000000" w:rsidR="00000000" w:rsidRPr="00000000">
        <w:rPr>
          <w:i w:val="1"/>
          <w:iCs w:val="1"/>
          <w:rtl w:val="0"/>
        </w:rPr>
        <w:t xml:space="preserve">Figure 5. Feature-family ablation for the tuned Random Forest model.</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Random Forest sensitivity analysis, top settings</w:t>
      </w:r>
    </w:p>
    <w:p>
      <w:r>
        <w:rPr>
          <w:b/>
        </w:rPr>
        <w:t>Table 7. Random Forest hyperparameter sensitivity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firstLine="720"/>
        <w:rPr>
          <w:color w:val="000000"/>
          <w:sz w:val="22"/>
          <w:szCs w:val="22"/>
        </w:rPr>
      </w:pPr>
      <w:r>
        <w:t>Our failure analysis focused on the largest absolute residuals. The model mainly failed by underpredicting high-FMD counties, but those failures were not all identical. We grouped them into three categories: high-distress tail compression, Appalachian high-FMD underprediction, and rural/sparse-feature underprediction. These categories suggest that county-level pollution, climate, and ACS controls likely miss local behavioral-health infrastructure, rurality, disability burden, opioid-related distress, social isolation, monitor coverage,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Identified high-error examples</w:t>
      </w:r>
    </w:p>
    <w:p>
      <w:r>
        <w:rPr>
          <w:b/>
        </w:rPr>
        <w:t>Table 8. High-error supervised prediction examples and failure categories.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bl>
    <w:p>
      <w:r>
        <w:t>The three failure categories point to different fixes: high-distress tail compression calls for models or loss functions that better preserve extreme outcomes; Appalachian high-FMD underprediction calls for opioid burden, disability prevalence, provider density, and local economic-distress variables; and rural/sparse-feature underprediction calls for rurality classifications, monitor-coverage indicators, and satellite or reanalysis pollution estimates.</w:t>
      </w:r>
    </w:p>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Random Forest hyperparameter sensitivity. Smaller leaves with square-root feature sampling performed best, while larger leaves were more stable but less accurate.</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4"/>
          <w:szCs w:val="24"/>
        </w:rPr>
      </w:pPr>
      <w:bookmarkStart w:colFirst="0" w:colLast="0" w:name="_h8pw7iv11iui" w:id="16"/>
      <w:bookmarkEnd w:id="16"/>
      <w:r w:rsidDel="00000000" w:rsidR="00000000" w:rsidRPr="00000000">
        <w:rPr>
          <w:b w:val="1"/>
          <w:bCs w:val="1"/>
          <w:i w:val="1"/>
          <w:iCs w:val="1"/>
          <w:color w:val="434343"/>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pPr>
      <w:r w:rsidDel="00000000" w:rsidR="00000000" w:rsidRPr="00000000">
        <w:rPr>
          <w:rtl w:val="0"/>
        </w:rPr>
        <w:t xml:space="preserve">Being able to form socio-environmental county profiles is important for the further study of mental health drivers.</w:t>
      </w:r>
      <w:r w:rsidDel="00000000" w:rsidR="00000000" w:rsidRPr="00000000"/>
      <w:r w:rsidDel="00000000" w:rsidR="00000000" w:rsidRPr="00000000">
        <w:rPr>
          <w:rtl w:val="0"/>
        </w:rPr>
        <w:t xml:space="preserve"> </w:t>
      </w:r>
      <w:r w:rsidDel="00000000" w:rsidR="00000000" w:rsidRPr="00000000">
        <w:rPr>
          <w:rtl w:val="0"/>
        </w:rPr>
        <w:t xml:space="preserve">Using unsupervised learning for this can not only identify important features but can also orient the data geospatially, thereby making it easier to comprehend. </w:t>
      </w:r>
      <w:r w:rsidDel="00000000" w:rsidR="00000000" w:rsidRPr="00000000"/>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t>Direct answer: the unsupervised analysis used two methods with different clustering assumptions. DBSCAN was chosen because it is density-based and can label noise/outlier counties, which is useful when some counties may have unusual socio-environmental profiles. K-Means was chosen as a contrasting centroid-based method because it assigns every county to a cluster and provides a cleaner partition for comparison. Both methods used standardized non-FMD features so variables measured on different scales would contribute comparably. FMD was held out and compared only after clusters were formed, while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xzif8rprm79d" w:id="17"/>
      <w:bookmarkEnd w:id="17"/>
      <w:r w:rsidDel="00000000" w:rsidR="00000000" w:rsidRPr="00000000">
        <w:rPr>
          <w:b w:val="1"/>
          <w:bCs w:val="1"/>
          <w:i w:val="1"/>
          <w:iCs w:val="1"/>
          <w:sz w:val="24"/>
          <w:szCs w:val="24"/>
          <w:rtl w:val="0"/>
        </w:rPr>
        <w:t xml:space="preserve">Unsupervised method comparison</w:t>
      </w:r>
    </w:p>
    <w:p>
      <w:r>
        <w:rPr>
          <w:b/>
        </w:rPr>
        <w:t>Table 9. 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pPr>
      <w:bookmarkStart w:colFirst="0" w:colLast="0" w:name="_6dpkxdexsbpj" w:id="18"/>
      <w:bookmarkEnd w:id="18"/>
      <w:r w:rsidDel="00000000" w:rsidR="00000000" w:rsidRPr="00000000">
        <w:rPr>
          <w:b w:val="1"/>
          <w:bCs w:val="1"/>
          <w:i w:val="1"/>
          <w:iCs w:val="1"/>
          <w:sz w:val="24"/>
          <w:szCs w:val="24"/>
          <w:rtl w:val="0"/>
        </w:rPr>
        <w:t xml:space="preserve">Held-out FMD ANOVA across unsupervised clusters</w:t>
      </w:r>
      <w:r w:rsidDel="00000000" w:rsidR="00000000" w:rsidRPr="00000000">
        <w:rPr>
          <w:rtl w:val="0"/>
        </w:rPr>
      </w:r>
    </w:p>
    <w:p>
      <w:r>
        <w:rPr>
          <w:b/>
        </w:rPr>
        <w:t>Table 10. Held-out FMD ANOVA across unsupervised clusters.</w:t>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720"/>
        <w:rPr/>
      </w:pPr>
      <w:r>
        <w:t>In order to address the curse of dimensionality prior to clustering, the data were normalized using standard scaling and visualized on a two-dimensional PCA embedding. The final clustering feature matrix used numerical county profile variables only, which allowed us to compare density-based and centroid-based clustering without including the FMD outcome.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t>For our unsupervised section, we clustered counties using environmental, climate, socioeconomic, healthcare access, education, and industry features. We first harmonized and standardized the features, then used PCA for visualization. DBSCAN was tuned across epsilon and minimum-sample values, while K-Means was searched across candidate k values. We selected settings using silhouette scores, cluster counts, noise percentage for DBSCAN, and interpretability. Because FMD was excluded from clustering, differences in FMD across clusters are post-hoc outcome comparisons rather than clustering inputs.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7. DBSCAN clusters on the PCA embedding. DBSCAN identifies one dominant group plus outlier/noise structure rather than balanced county archetypes.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 profiles across selected standardized county features.</w:t>
      </w:r>
    </w:p>
    <w:p>
      <w:r>
        <w:rPr>
          <w:b/>
        </w:rPr>
        <w:t>Table 11. DBSCAN cluster profile summary.</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4"/>
          <w:szCs w:val="24"/>
        </w:rPr>
      </w:pPr>
      <w:bookmarkStart w:colFirst="0" w:colLast="0" w:name="_p9173aqurizj" w:id="19"/>
      <w:bookmarkEnd w:id="19"/>
      <w:r w:rsidDel="00000000" w:rsidR="00000000" w:rsidRPr="00000000">
        <w:rPr>
          <w:b w:val="1"/>
          <w:bCs w:val="1"/>
          <w:i w:val="1"/>
          <w:iCs w:val="1"/>
          <w:sz w:val="24"/>
          <w:szCs w:val="24"/>
          <w:rtl w:val="0"/>
        </w:rPr>
        <w:t xml:space="preserve">Unsupervised Evaluation</w:t>
      </w:r>
    </w:p>
    <w:p w:rsidR="00000000" w:rsidDel="00000000" w:rsidP="00000000" w:rsidRDefault="00000000" w:rsidRPr="00000000" w14:paraId="000001E4">
      <w:pPr>
        <w:spacing w:after="100" w:lineRule="auto"/>
        <w:ind w:firstLine="720"/>
        <w:rPr/>
      </w:pPr>
      <w:r w:rsidDel="00000000" w:rsidR="00000000" w:rsidRPr="00000000">
        <w:rPr>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100" w:lineRule="auto"/>
        <w:rPr/>
      </w:pPr>
      <w:r w:rsidDel="00000000" w:rsidR="00000000" w:rsidRPr="00000000">
        <w:rPr>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240" w:before="240" w:lineRule="auto"/>
        <w:ind w:firstLine="720"/>
        <w:rPr/>
      </w:pPr>
      <w:r w:rsidDel="00000000" w:rsidR="00000000" w:rsidRPr="00000000">
        <w:rPr>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9. K-Means clusters on the PCA embedding. K-Means produced cleaner silhouette scores than DBSCAN, but one cluster was still much smaller than the other.</w:t>
      </w:r>
    </w:p>
    <w:p w:rsidR="00000000" w:rsidDel="00000000" w:rsidP="00000000" w:rsidRDefault="00000000" w:rsidRPr="00000000" w14:paraId="000001E9">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10. K-Means cluster profiles using the same variables as DBSCAN for direct comparison.</w:t>
      </w:r>
    </w:p>
    <w:p>
      <w:pPr>
        <w:jc w:val="center"/>
      </w:pPr>
      <w:r>
        <w:drawing>
          <wp:inline>
            <wp:extent cx="5943600" cy="2331807"/>
            <wp:docPr id="11" name="Picture 11"/>
            <wp:cNvGraphicFramePr>
              <a:graphicFrameLocks noChangeAspect="1"/>
            </wp:cNvGraphicFramePr>
            <a:graphic>
              <a:graphicData uri="http://schemas.openxmlformats.org/drawingml/2006/picture">
                <pic:pic>
                  <pic:nvPicPr>
                    <pic:cNvPr id="0" name="figure_11_unsupervised_parameter_search.png"/>
                    <pic:cNvPicPr/>
                  </pic:nvPicPr>
                  <pic:blipFill>
                    <a:blip r:embed="rId33"/>
                    <a:stretch>
                      <a:fillRect/>
                    </a:stretch>
                  </pic:blipFill>
                  <pic:spPr>
                    <a:xfrm>
                      <a:off x="0" y="0"/>
                      <a:ext cx="5943600" cy="2331807"/>
                    </a:xfrm>
                    <a:prstGeom prst="rect"/>
                  </pic:spPr>
                </pic:pic>
              </a:graphicData>
            </a:graphic>
          </wp:inline>
        </w:drawing>
      </w:r>
    </w:p>
    <w:p>
      <w:pPr>
        <w:jc w:val="center"/>
      </w:pPr>
      <w:r>
        <w:t>Figure 11. DBSCAN and K-Means unsupervised sensitivity search. K-Means k=2 had the strongest silhouette score, while DBSCAN was highly sensitive to eps and min_samples.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pPr>
      <w:r>
        <w:t>Supervised-learning ethics: predictions are county-level planning signals, not individual diagnoses or risk scores. Because county aggregation removes individual-level details, the model should not be used to infer a resident’s mental-health status. False negatives are also ethically important: underpredicted high-FMD counties could be overlooked if model outputs were treated as resource-allocation truth rather than uncertain planning evidence.</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t>Unsupervised-learning ethics: cluster labels should not be interpreted as rankings, causal categories, or labels of community worth. DBSCAN noise counties and smaller K-Means clusters may reflect data coverage, monitor placement, or missing contextual variables rather than true community types. Cluster maps should therefore be paired with local expertise and used to guide further inquiry, not to stigmatize communities, withdraw resources, or blame counties for mental-health burden.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t>Data and communication ethics: sparse EPA monitor coverage, modeled PLACES estimates, and imputed environmental values carry uncertainty that should be communicated alongside any map, prediction, or cluster profile. Because the analysis is predictive and exploratory, it should not be used as causal evidence for regulatory decisions without further study and community review.</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p>
    <w:p>
      <w:r>
        <w:rPr>
          <w:b/>
        </w:rPr>
        <w:t>Table 12. Modeling limitations and recommended next steps.</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sz w:val="24"/>
          <w:szCs w:val="24"/>
          <w:rtl w:val="0"/>
        </w:rPr>
        <w:t xml:space="preserve">Statement of Work</w:t>
      </w:r>
      <w:r w:rsidDel="00000000" w:rsidR="00000000" w:rsidRPr="00000000">
        <w:rPr>
          <w:rtl w:val="0"/>
        </w:rPr>
      </w:r>
    </w:p>
    <w:p>
      <w:r>
        <w:rPr>
          <w:b/>
        </w:rPr>
        <w:t>Table 13. Statement of work.</w:t>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Exploratory data analysis, missingness and geographic coverage checks, rate-engineering insight, and county-profile interpretation that shaped imputation choices and the unsupervised framing.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sz w:val="24"/>
          <w:szCs w:val="24"/>
          <w:rtl w:val="0"/>
        </w:rPr>
        <w:t xml:space="preserve">Centers for Disease Control and Prevention. (n.d.). </w:t>
      </w:r>
      <w:r w:rsidDel="00000000" w:rsidR="00000000" w:rsidRPr="00000000">
        <w:rPr>
          <w:i w:val="1"/>
          <w:iCs w:val="1"/>
          <w:sz w:val="24"/>
          <w:szCs w:val="24"/>
          <w:rtl w:val="0"/>
        </w:rPr>
        <w:t xml:space="preserve">PLACES: Local Data for Better Health</w:t>
      </w:r>
      <w:r w:rsidDel="00000000" w:rsidR="00000000" w:rsidRPr="00000000">
        <w:rPr>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https://www.cdc.gov/places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Lei, K., Yang, J., &amp; Ke, X. (2025). </w:t>
      </w:r>
      <w:r w:rsidDel="00000000" w:rsidR="00000000" w:rsidRPr="00000000">
        <w:rPr>
          <w:i w:val="1"/>
          <w:iCs w:val="1"/>
          <w:sz w:val="24"/>
          <w:szCs w:val="24"/>
          <w:rtl w:val="0"/>
        </w:rPr>
        <w:t xml:space="preserve">The impact of neighborhood environment on the mental health: Evidence from China</w:t>
      </w:r>
      <w:r w:rsidDel="00000000" w:rsidR="00000000" w:rsidRPr="00000000">
        <w:rPr>
          <w:sz w:val="24"/>
          <w:szCs w:val="24"/>
          <w:rtl w:val="0"/>
        </w:rPr>
        <w:t xml:space="preserve">. </w:t>
      </w:r>
      <w:r w:rsidDel="00000000" w:rsidR="00000000" w:rsidRPr="00000000">
        <w:rPr>
          <w:i w:val="1"/>
          <w:iCs w:val="1"/>
          <w:sz w:val="24"/>
          <w:szCs w:val="24"/>
          <w:rtl w:val="0"/>
        </w:rPr>
        <w:t xml:space="preserve">Frontiers in Public Health, 12</w:t>
      </w:r>
      <w:r w:rsidDel="00000000" w:rsidR="00000000" w:rsidRPr="00000000">
        <w:rPr>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https://doi.org/10.3389/fpubh.2024.1452744</w:t>
        </w:r>
      </w:hyperlink>
      <w:r w:rsidDel="00000000" w:rsidR="00000000" w:rsidRPr="00000000">
        <w:rPr>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Park, H., Kang, C., AiMS-CREATE Team, &amp; Kim, H. (2024). </w:t>
      </w:r>
      <w:r w:rsidDel="00000000" w:rsidR="00000000" w:rsidRPr="00000000">
        <w:rPr>
          <w:i w:val="1"/>
          <w:iCs w:val="1"/>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4"/>
          <w:szCs w:val="24"/>
          <w:rtl w:val="0"/>
        </w:rPr>
        <w:t xml:space="preserve">. </w:t>
      </w:r>
      <w:r w:rsidDel="00000000" w:rsidR="00000000" w:rsidRPr="00000000">
        <w:rPr>
          <w:i w:val="1"/>
          <w:iCs w:val="1"/>
          <w:sz w:val="24"/>
          <w:szCs w:val="24"/>
          <w:rtl w:val="0"/>
        </w:rPr>
        <w:t xml:space="preserve">Environmental Health, 23</w:t>
      </w:r>
      <w:r w:rsidDel="00000000" w:rsidR="00000000" w:rsidRPr="00000000">
        <w:rPr>
          <w:sz w:val="24"/>
          <w:szCs w:val="24"/>
          <w:rtl w:val="0"/>
        </w:rPr>
        <w:t xml:space="preserve">(1), Article 4. </w:t>
      </w:r>
      <w:hyperlink r:id="rId28">
        <w:r w:rsidDel="00000000" w:rsidR="00000000" w:rsidRPr="00000000">
          <w:rPr>
            <w:color w:val="1155cc"/>
            <w:sz w:val="24"/>
            <w:szCs w:val="24"/>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Census Bureau. (2009–2024).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[Data set]. Census Data API. </w:t>
      </w:r>
      <w:hyperlink r:id="rId29">
        <w:r w:rsidDel="00000000" w:rsidR="00000000" w:rsidRPr="00000000">
          <w:rPr>
            <w:color w:val="1155cc"/>
            <w:sz w:val="24"/>
            <w:szCs w:val="24"/>
            <w:u w:val="single"/>
            <w:rtl w:val="0"/>
          </w:rPr>
          <w:t xml:space="preserve">https://api.census.gov/data</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Environmental Protection Agency. (2026). </w:t>
      </w:r>
      <w:r w:rsidDel="00000000" w:rsidR="00000000" w:rsidRPr="00000000">
        <w:rPr>
          <w:i w:val="1"/>
          <w:iCs w:val="1"/>
          <w:sz w:val="24"/>
          <w:szCs w:val="24"/>
          <w:rtl w:val="0"/>
        </w:rPr>
        <w:t xml:space="preserve">Air Quality System (AQS) Data Mart: AirData</w:t>
      </w:r>
      <w:r w:rsidDel="00000000" w:rsidR="00000000" w:rsidRPr="00000000">
        <w:rPr>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https://aqs.epa.gov/aqsweb/airdata/download_files.html</w:t>
        </w:r>
      </w:hyperlink>
      <w:r w:rsidDel="00000000" w:rsidR="00000000" w:rsidRPr="00000000">
        <w:rPr>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Werder, E., Lawrence, K., Deng, X., Jackson II, W. B., Christenbury, K., Buller, I., Engel, L., &amp; Sandler, D. (2024). </w:t>
      </w:r>
      <w:r w:rsidDel="00000000" w:rsidR="00000000" w:rsidRPr="00000000">
        <w:rPr>
          <w:i w:val="1"/>
          <w:iCs w:val="1"/>
          <w:sz w:val="24"/>
          <w:szCs w:val="24"/>
          <w:rtl w:val="0"/>
        </w:rPr>
        <w:t xml:space="preserve">Residential air pollution, greenspace, and adverse mental health outcomes in the U.S. Gulf Long-term Follow-up Study</w:t>
      </w:r>
      <w:r w:rsidDel="00000000" w:rsidR="00000000" w:rsidRPr="00000000">
        <w:rPr>
          <w:sz w:val="24"/>
          <w:szCs w:val="24"/>
          <w:rtl w:val="0"/>
        </w:rPr>
        <w:t xml:space="preserve">. </w:t>
      </w:r>
      <w:r w:rsidDel="00000000" w:rsidR="00000000" w:rsidRPr="00000000">
        <w:rPr>
          <w:i w:val="1"/>
          <w:iCs w:val="1"/>
          <w:sz w:val="24"/>
          <w:szCs w:val="24"/>
          <w:rtl w:val="0"/>
        </w:rPr>
        <w:t xml:space="preserve">Science of the Total Environment, 946</w:t>
      </w:r>
      <w:r w:rsidDel="00000000" w:rsidR="00000000" w:rsidRPr="00000000">
        <w:rPr>
          <w:sz w:val="24"/>
          <w:szCs w:val="24"/>
          <w:rtl w:val="0"/>
        </w:rPr>
        <w:t xml:space="preserve">, 174434. </w:t>
      </w:r>
      <w:hyperlink r:id="rId32">
        <w:r w:rsidDel="00000000" w:rsidR="00000000" w:rsidRPr="00000000">
          <w:rPr>
            <w:color w:val="1155cc"/>
            <w:sz w:val="24"/>
            <w:szCs w:val="24"/>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Catalog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 Id="rId3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