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A9CE" w14:textId="4818B1D1" w:rsidR="00C2709F" w:rsidRPr="001D073A" w:rsidRDefault="001D073A">
      <w:pPr>
        <w:rPr>
          <w:rFonts w:ascii="Arial" w:hAnsi="Arial" w:cs="Arial"/>
          <w:b/>
          <w:bCs/>
          <w:sz w:val="24"/>
          <w:szCs w:val="24"/>
        </w:rPr>
      </w:pPr>
      <w:r w:rsidRPr="001D073A">
        <w:rPr>
          <w:rFonts w:ascii="Arial" w:hAnsi="Arial" w:cs="Arial"/>
          <w:b/>
          <w:bCs/>
          <w:sz w:val="24"/>
          <w:szCs w:val="24"/>
        </w:rPr>
        <w:t xml:space="preserve">Relevance of Cyclomatic Complexity when </w:t>
      </w:r>
      <w:r w:rsidR="00453CFE">
        <w:rPr>
          <w:rFonts w:ascii="Arial" w:hAnsi="Arial" w:cs="Arial"/>
          <w:b/>
          <w:bCs/>
          <w:sz w:val="24"/>
          <w:szCs w:val="24"/>
        </w:rPr>
        <w:t>Developing</w:t>
      </w:r>
      <w:r w:rsidRPr="001D073A">
        <w:rPr>
          <w:rFonts w:ascii="Arial" w:hAnsi="Arial" w:cs="Arial"/>
          <w:b/>
          <w:bCs/>
          <w:sz w:val="24"/>
          <w:szCs w:val="24"/>
        </w:rPr>
        <w:t xml:space="preserve"> Object-Oriented </w:t>
      </w:r>
      <w:r w:rsidR="004E62E2">
        <w:rPr>
          <w:rFonts w:ascii="Arial" w:hAnsi="Arial" w:cs="Arial"/>
          <w:b/>
          <w:bCs/>
          <w:sz w:val="24"/>
          <w:szCs w:val="24"/>
        </w:rPr>
        <w:t>Code</w:t>
      </w:r>
    </w:p>
    <w:p w14:paraId="27186FBF" w14:textId="38AED744" w:rsidR="001D073A" w:rsidRPr="001D073A" w:rsidRDefault="001D073A">
      <w:pPr>
        <w:rPr>
          <w:rFonts w:ascii="Arial" w:hAnsi="Arial" w:cs="Arial"/>
          <w:sz w:val="24"/>
          <w:szCs w:val="24"/>
        </w:rPr>
      </w:pPr>
      <w:r w:rsidRPr="001D073A">
        <w:rPr>
          <w:rFonts w:ascii="Arial" w:hAnsi="Arial" w:cs="Arial"/>
          <w:sz w:val="24"/>
          <w:szCs w:val="24"/>
        </w:rPr>
        <w:t xml:space="preserve">Cyclomatic complexity certainly becomes more relevant in </w:t>
      </w:r>
      <w:r w:rsidR="00453CFE">
        <w:rPr>
          <w:rFonts w:ascii="Arial" w:hAnsi="Arial" w:cs="Arial"/>
          <w:sz w:val="24"/>
          <w:szCs w:val="24"/>
        </w:rPr>
        <w:t xml:space="preserve">the </w:t>
      </w:r>
      <w:r w:rsidRPr="001D073A">
        <w:rPr>
          <w:rFonts w:ascii="Arial" w:hAnsi="Arial" w:cs="Arial"/>
          <w:sz w:val="24"/>
          <w:szCs w:val="24"/>
        </w:rPr>
        <w:t xml:space="preserve">industry. </w:t>
      </w:r>
      <w:r w:rsidRPr="001D073A">
        <w:rPr>
          <w:rFonts w:ascii="Arial" w:hAnsi="Arial" w:cs="Arial"/>
          <w:color w:val="222222"/>
          <w:sz w:val="24"/>
          <w:szCs w:val="24"/>
          <w:shd w:val="clear" w:color="auto" w:fill="FFFFFF"/>
        </w:rPr>
        <w:t>Ebert,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1D073A">
        <w:rPr>
          <w:rFonts w:ascii="Arial" w:hAnsi="Arial" w:cs="Arial"/>
          <w:color w:val="222222"/>
          <w:sz w:val="24"/>
          <w:szCs w:val="24"/>
          <w:shd w:val="clear" w:color="auto" w:fill="FFFFFF"/>
        </w:rPr>
        <w:t>Cain,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1D073A">
        <w:rPr>
          <w:rFonts w:ascii="Arial" w:hAnsi="Arial" w:cs="Arial"/>
          <w:color w:val="222222"/>
          <w:sz w:val="24"/>
          <w:szCs w:val="24"/>
          <w:shd w:val="clear" w:color="auto" w:fill="FFFFFF"/>
        </w:rPr>
        <w:t>Antoniol,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D073A">
        <w:rPr>
          <w:rFonts w:ascii="Arial" w:hAnsi="Arial" w:cs="Arial"/>
          <w:color w:val="222222"/>
          <w:sz w:val="24"/>
          <w:szCs w:val="24"/>
          <w:shd w:val="clear" w:color="auto" w:fill="FFFFFF"/>
        </w:rPr>
        <w:t>Counsell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&amp; </w:t>
      </w:r>
      <w:proofErr w:type="spellStart"/>
      <w:r w:rsidRPr="001D073A">
        <w:rPr>
          <w:rFonts w:ascii="Arial" w:hAnsi="Arial" w:cs="Arial"/>
          <w:color w:val="222222"/>
          <w:sz w:val="24"/>
          <w:szCs w:val="24"/>
          <w:shd w:val="clear" w:color="auto" w:fill="FFFFFF"/>
        </w:rPr>
        <w:t>Laplante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1D073A">
        <w:rPr>
          <w:rFonts w:ascii="Arial" w:hAnsi="Arial" w:cs="Arial"/>
          <w:color w:val="222222"/>
          <w:sz w:val="24"/>
          <w:szCs w:val="24"/>
          <w:shd w:val="clear" w:color="auto" w:fill="FFFFFF"/>
        </w:rPr>
        <w:t>(2016)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refer to and discuss Thomas </w:t>
      </w:r>
      <w:r w:rsidR="000E188C">
        <w:rPr>
          <w:rFonts w:ascii="Arial" w:hAnsi="Arial" w:cs="Arial"/>
          <w:color w:val="222222"/>
          <w:sz w:val="24"/>
          <w:szCs w:val="24"/>
          <w:shd w:val="clear" w:color="auto" w:fill="FFFFFF"/>
        </w:rPr>
        <w:t>McCabe’s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metric and how it applies to the benefits </w:t>
      </w:r>
      <w:r w:rsidR="004E62E2">
        <w:rPr>
          <w:rFonts w:ascii="Arial" w:hAnsi="Arial" w:cs="Arial"/>
          <w:color w:val="222222"/>
          <w:sz w:val="24"/>
          <w:szCs w:val="24"/>
          <w:shd w:val="clear" w:color="auto" w:fill="FFFFFF"/>
        </w:rPr>
        <w:t>of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software projects and predictions of defect rates. What is interesting is the view that CC is more aligned </w:t>
      </w:r>
      <w:r w:rsidR="00453CFE">
        <w:rPr>
          <w:rFonts w:ascii="Arial" w:hAnsi="Arial" w:cs="Arial"/>
          <w:color w:val="222222"/>
          <w:sz w:val="24"/>
          <w:szCs w:val="24"/>
          <w:shd w:val="clear" w:color="auto" w:fill="FFFFFF"/>
        </w:rPr>
        <w:t>with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453CF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industry and how it can often fail to consider CC </w:t>
      </w:r>
      <w:r w:rsidR="000E18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and development practicalities. What is interesting in their paper is the view is split from both perspectives. James Cain offers compelling arguments based on his experience as a professional programmer and how CC is widely employed in </w:t>
      </w:r>
      <w:r w:rsidR="00453CF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</w:t>
      </w:r>
      <w:r w:rsidR="000E188C">
        <w:rPr>
          <w:rFonts w:ascii="Arial" w:hAnsi="Arial" w:cs="Arial"/>
          <w:color w:val="222222"/>
          <w:sz w:val="24"/>
          <w:szCs w:val="24"/>
          <w:shd w:val="clear" w:color="auto" w:fill="FFFFFF"/>
        </w:rPr>
        <w:t>industry or at least interpretations or perhaps a selective approach to certain aspects of the CC model. What is apparent and most relevant is the approach of the model itself in how it can provide a meaningful way of communicating between stakeholders as a metric to measure software delivery. When you have a metric that considers the level of complexity</w:t>
      </w:r>
      <w:r w:rsidR="003800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0E188C">
        <w:rPr>
          <w:rFonts w:ascii="Arial" w:hAnsi="Arial" w:cs="Arial"/>
          <w:color w:val="222222"/>
          <w:sz w:val="24"/>
          <w:szCs w:val="24"/>
          <w:shd w:val="clear" w:color="auto" w:fill="FFFFFF"/>
        </w:rPr>
        <w:t>inheritance</w:t>
      </w:r>
      <w:r w:rsidR="003800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paths inside code</w:t>
      </w:r>
      <w:r w:rsidR="000E18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between objects and methods in OOP it provides an effective way to communicate with those responsible for software development and </w:t>
      </w:r>
      <w:r w:rsidR="00380082">
        <w:rPr>
          <w:rFonts w:ascii="Arial" w:hAnsi="Arial" w:cs="Arial"/>
          <w:color w:val="222222"/>
          <w:sz w:val="24"/>
          <w:szCs w:val="24"/>
          <w:shd w:val="clear" w:color="auto" w:fill="FFFFFF"/>
        </w:rPr>
        <w:t>its</w:t>
      </w:r>
      <w:r w:rsidR="000E18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quality.</w:t>
      </w:r>
    </w:p>
    <w:p w14:paraId="2D9AC61D" w14:textId="61AEE56D" w:rsidR="001D073A" w:rsidRPr="00380082" w:rsidRDefault="001D073A">
      <w:pPr>
        <w:rPr>
          <w:rFonts w:ascii="Arial" w:hAnsi="Arial" w:cs="Arial"/>
          <w:b/>
          <w:bCs/>
          <w:sz w:val="24"/>
          <w:szCs w:val="24"/>
        </w:rPr>
      </w:pPr>
      <w:r w:rsidRPr="00380082">
        <w:rPr>
          <w:rFonts w:ascii="Arial" w:hAnsi="Arial" w:cs="Arial"/>
          <w:b/>
          <w:bCs/>
          <w:sz w:val="24"/>
          <w:szCs w:val="24"/>
        </w:rPr>
        <w:t>References:</w:t>
      </w:r>
    </w:p>
    <w:p w14:paraId="0DA47F3C" w14:textId="55F73EEC" w:rsidR="001D073A" w:rsidRPr="001D073A" w:rsidRDefault="001D073A" w:rsidP="001D073A">
      <w:pPr>
        <w:rPr>
          <w:rFonts w:ascii="Arial" w:hAnsi="Arial" w:cs="Arial"/>
          <w:sz w:val="24"/>
          <w:szCs w:val="24"/>
        </w:rPr>
      </w:pPr>
      <w:r w:rsidRPr="001D07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Ebert, C., Cain, J., Antoniol, G., </w:t>
      </w:r>
      <w:proofErr w:type="spellStart"/>
      <w:r w:rsidRPr="001D073A">
        <w:rPr>
          <w:rFonts w:ascii="Arial" w:hAnsi="Arial" w:cs="Arial"/>
          <w:color w:val="222222"/>
          <w:sz w:val="24"/>
          <w:szCs w:val="24"/>
          <w:shd w:val="clear" w:color="auto" w:fill="FFFFFF"/>
        </w:rPr>
        <w:t>Counsell</w:t>
      </w:r>
      <w:proofErr w:type="spellEnd"/>
      <w:r w:rsidRPr="001D07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S. and </w:t>
      </w:r>
      <w:proofErr w:type="spellStart"/>
      <w:r w:rsidRPr="001D073A">
        <w:rPr>
          <w:rFonts w:ascii="Arial" w:hAnsi="Arial" w:cs="Arial"/>
          <w:color w:val="222222"/>
          <w:sz w:val="24"/>
          <w:szCs w:val="24"/>
          <w:shd w:val="clear" w:color="auto" w:fill="FFFFFF"/>
        </w:rPr>
        <w:t>Laplante</w:t>
      </w:r>
      <w:proofErr w:type="spellEnd"/>
      <w:r w:rsidRPr="001D073A">
        <w:rPr>
          <w:rFonts w:ascii="Arial" w:hAnsi="Arial" w:cs="Arial"/>
          <w:color w:val="222222"/>
          <w:sz w:val="24"/>
          <w:szCs w:val="24"/>
          <w:shd w:val="clear" w:color="auto" w:fill="FFFFFF"/>
        </w:rPr>
        <w:t>, P. (2016) Cyclomatic complexity. </w:t>
      </w:r>
      <w:r w:rsidRPr="001D073A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IEEE software</w:t>
      </w:r>
      <w:r w:rsidRPr="001D073A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1D073A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33</w:t>
      </w:r>
      <w:r w:rsidRPr="001D073A">
        <w:rPr>
          <w:rFonts w:ascii="Arial" w:hAnsi="Arial" w:cs="Arial"/>
          <w:color w:val="222222"/>
          <w:sz w:val="24"/>
          <w:szCs w:val="24"/>
          <w:shd w:val="clear" w:color="auto" w:fill="FFFFFF"/>
        </w:rPr>
        <w:t>(6): 27-29.</w:t>
      </w:r>
      <w:bookmarkStart w:id="0" w:name="_GoBack"/>
      <w:bookmarkEnd w:id="0"/>
    </w:p>
    <w:sectPr w:rsidR="001D073A" w:rsidRPr="001D0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3A"/>
    <w:rsid w:val="000E188C"/>
    <w:rsid w:val="001D073A"/>
    <w:rsid w:val="00380082"/>
    <w:rsid w:val="00453CFE"/>
    <w:rsid w:val="004E62E2"/>
    <w:rsid w:val="00C2709F"/>
    <w:rsid w:val="00E6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C4C8"/>
  <w15:chartTrackingRefBased/>
  <w15:docId w15:val="{6DFAD582-12CF-4288-AB5E-F7241A2A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2E6237-2826-415F-AF3E-AD9AE18F2335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customXml/itemProps2.xml><?xml version="1.0" encoding="utf-8"?>
<ds:datastoreItem xmlns:ds="http://schemas.openxmlformats.org/officeDocument/2006/customXml" ds:itemID="{12813F72-2ECE-47F9-A97D-90144C177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322316-EFAA-4D7B-8004-F17883B7C0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4</cp:revision>
  <dcterms:created xsi:type="dcterms:W3CDTF">2023-03-26T12:51:00Z</dcterms:created>
  <dcterms:modified xsi:type="dcterms:W3CDTF">2023-04-15T12:26:00Z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1c6f5df0-8d3d-42b3-bb70-01be1800124a</vt:lpwstr>
  </property>
  <property fmtid="{D5CDD505-2E9C-101B-9397-08002B2CF9AE}" pid="3" name="ContentTypeId">
    <vt:lpwstr>0x010100CDFE078A6F9F72428DB47FF99D2C4304</vt:lpwstr>
  </property>
</Properties>
</file>