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lastRenderedPageBreak/>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3CAEC09C"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 xml:space="preserve">OC Pizza Company information </w:t>
      </w:r>
      <w:r w:rsidR="0045467D">
        <w:rPr>
          <w:rFonts w:ascii="Whitney HTF Book" w:hAnsi="Whitney HTF Book"/>
        </w:rPr>
        <w:t>M</w:t>
      </w:r>
      <w:r w:rsidR="008B50CE" w:rsidRPr="00B34C87">
        <w:rPr>
          <w:rFonts w:ascii="Whitney HTF Book" w:hAnsi="Whitney HTF Book"/>
        </w:rPr>
        <w:t>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096D3F1D" w:rsidR="00C23556" w:rsidRPr="00B34C87" w:rsidRDefault="004D1DD6">
      <w:pPr>
        <w:pStyle w:val="BodyText"/>
        <w:rPr>
          <w:rFonts w:ascii="Whitney HTF Book" w:hAnsi="Whitney HTF Book"/>
        </w:rPr>
      </w:pPr>
      <w:r w:rsidRPr="00B34C87">
        <w:rPr>
          <w:rFonts w:ascii="Whitney HTF Book" w:hAnsi="Whitney HTF Book"/>
        </w:rPr>
        <w:t xml:space="preserve">The elements of this </w:t>
      </w:r>
      <w:r w:rsidR="00146C3B">
        <w:rPr>
          <w:rFonts w:ascii="Whitney HTF Book" w:hAnsi="Whitney HTF Book"/>
        </w:rPr>
        <w:t>document</w:t>
      </w:r>
      <w:r w:rsidRPr="00B34C87">
        <w:rPr>
          <w:rFonts w:ascii="Whitney HTF Book" w:hAnsi="Whitney HTF Book"/>
        </w:rPr>
        <w:t xml:space="preserv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overall application stack consists of three main elements:</w:t>
      </w:r>
    </w:p>
    <w:p w14:paraId="7262F7E2"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Employee and Customer ("User") Application and Web portal, an external system;</w:t>
      </w:r>
    </w:p>
    <w:p w14:paraId="59CC8B11"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 Server ("AS"), an internal system;</w:t>
      </w:r>
    </w:p>
    <w:p w14:paraId="16FFEFA8"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Database Management System ("DBMS"), internal or external system,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noProof/>
          <w:color w:val="000000"/>
          <w:szCs w:val="22"/>
          <w:lang w:val="en-US" w:bidi="th-TH"/>
        </w:rPr>
        <w:drawing>
          <wp:inline distT="0" distB="0" distL="0" distR="0" wp14:anchorId="06519ABB" wp14:editId="1D8DDC2E">
            <wp:extent cx="3856341" cy="47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930" cy="4756565"/>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noProof/>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out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B300C" w14:textId="77777777" w:rsidR="00164C5E" w:rsidRDefault="00164C5E">
      <w:r>
        <w:separator/>
      </w:r>
    </w:p>
  </w:endnote>
  <w:endnote w:type="continuationSeparator" w:id="0">
    <w:p w14:paraId="68838AE7" w14:textId="77777777" w:rsidR="00164C5E" w:rsidRDefault="00164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Whitney HTF Light"/>
    <w:panose1 w:val="00000000000000000000"/>
    <w:charset w:val="4D"/>
    <w:family w:val="auto"/>
    <w:notTrueType/>
    <w:pitch w:val="variable"/>
    <w:sig w:usb0="800000AF" w:usb1="50002048" w:usb2="00000000" w:usb3="00000000" w:csb0="00000111" w:csb1="00000000"/>
  </w:font>
  <w:font w:name="Whitney HTF Semi">
    <w:altName w:val="Whitney HTF Semi"/>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0C04A" w14:textId="77777777" w:rsidR="00164C5E" w:rsidRDefault="00164C5E">
      <w:r>
        <w:separator/>
      </w:r>
    </w:p>
  </w:footnote>
  <w:footnote w:type="continuationSeparator" w:id="0">
    <w:p w14:paraId="667F9804" w14:textId="77777777" w:rsidR="00164C5E" w:rsidRDefault="00164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0D38BE"/>
    <w:rsid w:val="0011162D"/>
    <w:rsid w:val="00116D5F"/>
    <w:rsid w:val="00146C3B"/>
    <w:rsid w:val="00164C5E"/>
    <w:rsid w:val="00173639"/>
    <w:rsid w:val="001B2CDE"/>
    <w:rsid w:val="001C76C4"/>
    <w:rsid w:val="002305B2"/>
    <w:rsid w:val="00260DF5"/>
    <w:rsid w:val="00275CE1"/>
    <w:rsid w:val="002D4B12"/>
    <w:rsid w:val="00315A8B"/>
    <w:rsid w:val="00352711"/>
    <w:rsid w:val="003A0EF6"/>
    <w:rsid w:val="0045467D"/>
    <w:rsid w:val="004A6373"/>
    <w:rsid w:val="004B3A2F"/>
    <w:rsid w:val="004D1DD6"/>
    <w:rsid w:val="00544FE2"/>
    <w:rsid w:val="00656CE3"/>
    <w:rsid w:val="006B47FD"/>
    <w:rsid w:val="006C600F"/>
    <w:rsid w:val="00732DAF"/>
    <w:rsid w:val="00747439"/>
    <w:rsid w:val="007623B2"/>
    <w:rsid w:val="007B470F"/>
    <w:rsid w:val="007C21DE"/>
    <w:rsid w:val="008A2A80"/>
    <w:rsid w:val="008A33C7"/>
    <w:rsid w:val="008B50CE"/>
    <w:rsid w:val="009070EC"/>
    <w:rsid w:val="00954A00"/>
    <w:rsid w:val="00984C88"/>
    <w:rsid w:val="009C3E9B"/>
    <w:rsid w:val="00A415D9"/>
    <w:rsid w:val="00A455D9"/>
    <w:rsid w:val="00A64A91"/>
    <w:rsid w:val="00B34C87"/>
    <w:rsid w:val="00B35698"/>
    <w:rsid w:val="00B60B42"/>
    <w:rsid w:val="00BE57FF"/>
    <w:rsid w:val="00C23556"/>
    <w:rsid w:val="00C72109"/>
    <w:rsid w:val="00CB1DF5"/>
    <w:rsid w:val="00CF0D81"/>
    <w:rsid w:val="00CF2F24"/>
    <w:rsid w:val="00D4456D"/>
    <w:rsid w:val="00D47FB6"/>
    <w:rsid w:val="00D9100C"/>
    <w:rsid w:val="00D91EDB"/>
    <w:rsid w:val="00D92668"/>
    <w:rsid w:val="00DD2792"/>
    <w:rsid w:val="00E01E6D"/>
    <w:rsid w:val="00E3453B"/>
    <w:rsid w:val="00E55880"/>
    <w:rsid w:val="00E94B2E"/>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17124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47</cp:revision>
  <dcterms:created xsi:type="dcterms:W3CDTF">2017-02-14T14:29:00Z</dcterms:created>
  <dcterms:modified xsi:type="dcterms:W3CDTF">2020-09-15T18:35:00Z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