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left"/>
        <w:rPr/>
      </w:pPr>
      <w:r>
        <w:rPr>
          <w:b/>
          <w:color w:val="1F497D"/>
          <w:sz w:val="48"/>
        </w:rPr>
        <w:t>HRS Payroll System - Accomplishments Summary</w:t>
      </w:r>
    </w:p>
    <w:p>
      <w:pPr>
        <w:pStyle w:val="Normal"/>
        <w:bidi w:val="0"/>
        <w:jc w:val="left"/>
        <w:rPr/>
      </w:pPr>
      <w:r>
        <w:rPr>
          <w:i/>
          <w:color w:val="595959"/>
        </w:rPr>
        <w:t>Period: October 6 – October 7, 2026 | SBP Africa HRS Project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color w:val="1F497D"/>
          <w:sz w:val="32"/>
        </w:rPr>
        <w:t>1. Avara Payroll Management Module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Database Architecture &amp; Dynamic Tables: Designed the Avarapay Eloquent model and dynamic table generator (createTableIfNotExists) supporting monthly tables (avaramarch26 through avaraseptember26).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Resilient Upload Engine (AvaraPayController.php): Built dynamic header-driven upload parser ($getCell) supporting 43 columns, date parsing, numeric cleanups, duplicate checking, and fallback net pay calculations.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Admin Dashboard Interface (Avarapay/Index.tsx): Developed month selection, staff search, pagination, and file upload UI.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color w:val="1F497D"/>
          <w:sz w:val="32"/>
        </w:rPr>
        <w:t>2. Avara Payslip Engine (Web Preview &amp; PDF)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Petra (5%) Formula Integration: Calculated Petra on Avara payslips as 5% of basic salary earned (BASIC_SALARY_EARNED_GHC * 0.05), matching the exact formula used in Melcom payslips.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Dynamic PDF View Resolver (resolvePayslipView): Implemented substring matching in PayslipController.php and PayrollController.php to guarantee that Avara client variants (avara, avarapay, avara-rc-limited) render avara-pdf.blade.php with the Petra 5% deduction item.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Fixed 0.00 Data Extraction: Resolved column normalization order by applying lowercasing BEFORE suffix stripping (_GHC, _PERCENT, %), enabling accurate extraction of all database columns (BASIC_SALARY_EARNED_GHC, GROSS_SALARY_GHC, SSNIT_EE_0_5_PERCENT, PETRA_5_PERCENT, PAYE_GHC, TAKE_HOME_PAY_GHC).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Description/Days Integer Formatting: Formatted workdays and absent days as clean integers (e.g. 26), calculated weekend overtime in days (Weekend OT Amount / Daily Rate), and displayed 0 for transport description when transport allowance is 0.00 GHS.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Fallback Bank &amp; SSNIT Resolution: Implemented automatic fallback to read Bank Name, Account Number, Branch, and SSNIT Card Number directly from the payroll row when external bank records are empty.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Web Preview Modal (Index.tsx): Built dedicated isAvara web modal rendering earnings, deductions, totals, and bank details.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color w:val="1F497D"/>
          <w:sz w:val="32"/>
        </w:rPr>
        <w:t>3. Excel Export Binary Stream Fix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Resolved JSON Parsing Syntax Error: Fixed "Unexpected token 'P', PK... is not valid JSON" error when exporting PETRA pay data on UnityCorp (TecnoPetraPay) and Avara (AvaraPetraPay).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Binary Blob File Download: Updated frontend fetch handling in TecnoPetraPay/Index.tsx and AvaraPetraPay/Index.tsx to receive .xlsx binary streams as blobs and trigger automatic browser file downloads cleanly.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color w:val="1F497D"/>
          <w:sz w:val="32"/>
        </w:rPr>
        <w:t>4. Bank Details Shortcode Clean-Up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Clean Dropdown Display: Updated BankDetail/Index.tsx and BankDetailInhouse/Index.tsx so ABSA, ADB, and ECOBANK sort codes display strictly as numeric shortcodes without bank/branch names attached.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color w:val="1F497D"/>
          <w:sz w:val="32"/>
        </w:rPr>
        <w:t>5. User Roles &amp; Access Control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Receipt Manager &amp; Officer Roles: Created database migration 2026_10_07_000001_create_receipt_roles.php and updated RolePermissionSeeder.php to seed Receipt Manager and Receipt Officer roles with view receipts &amp; manage receipts permissions.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Self-Healing Provisioning (UserController.php): Added automatic role check to guarantee receipt roles appear in admin role selection forms.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color w:val="1F497D"/>
          <w:sz w:val="32"/>
        </w:rPr>
        <w:t>6. Production Build &amp; Deployment Package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Asset Bundling: Re-compiled frontend assets cleanly using npx vite build.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Verified Deployment Archive: Built hrs-deploy.zip excluding .env and root .htaccess files for safe deployment via cPanel endpoint (/cpanel-setup.php?key=sbp-deploy-2026).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0" w:right="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29496319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3"/>
  <w:defaultTabStop w:val="709"/>
  <w:autoHyphenation w:val="true"/>
  <w:hyphenationZone w:val="0"/>
  <w:compat>
    <w:adjustLineHeightInTabl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oto Serif CJK SC" w:cs="Noto Sans Devanagari"/>
        <w:kern w:val="2"/>
        <w:sz w:val="2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Noto Serif CJK SC" w:cs="Noto Sans Devanagari"/>
      <w:color w:val="auto"/>
      <w:kern w:val="2"/>
      <w:sz w:val="22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71</TotalTime>
  <Application>LibreOffice/26.2.5.2$Linux_X86_64 LibreOffice_project/620$Build-2</Application>
  <AppVersion>15.0000</AppVersion>
  <Pages>2</Pages>
  <Words>442</Words>
  <Characters>2979</Characters>
  <CharactersWithSpaces>3398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2026-10-08T12:30:01Z</dcterms:modified>
  <cp:revision>1</cp:revision>
  <dc:subject/>
  <dc:title/>
</cp:coreProperties>
</file>