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2026-06-12</w:t>
      </w:r>
    </w:p>
    <w:p>
      <w:pPr>
        <w:spacing w:before="160" w:after="120"/>
      </w:pPr>
      <w:r>
        <w:rPr>
          <w:b/>
          <w:sz w:val="28"/>
        </w:rPr>
        <w:t>【光伏】</w:t>
      </w:r>
    </w:p>
    <w:p>
      <w:pPr>
        <w:spacing w:before="160" w:after="40" w:line="240" w:lineRule="auto"/>
      </w:pPr>
      <w:r>
        <w:rPr>
          <w:b/>
        </w:rPr>
        <w:t xml:space="preserve">[1] </w:t>
      </w:r>
      <w:hyperlink r:id="rId9">
        <w:r>
          <w:rPr>
            <w:color w:val="1155CC"/>
            <w:u w:val="single"/>
          </w:rPr>
          <w:t>用于稳定钙钛矿的铟基八面体配位 Pb-I 末端</w:t>
        </w:r>
      </w:hyperlink>
    </w:p>
    <w:p>
      <w:pPr>
        <w:spacing w:before="0" w:after="80"/>
      </w:pPr>
      <w:r>
        <w:rPr>
          <w:i/>
          <w:sz w:val="20"/>
        </w:rPr>
        <w:t>EN: Indium-Based Octahedra Coordinating Pb–I Termini for Stable Perovskites</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卤化物钙钛矿的降解始于表面/界面，其中缺陷积累破坏了八面体的连通性并引发结构崩溃。在此，我们设计了一种基于铟的八面体图案，即具有无序八面体的(PMA)4InCl7 (PIC) (PMA=苯甲基铵)和具有有序八面体框架的(PMA)4NaInCl8 (PNIC)，作为在表面/界面处结合Pb-I末端的强大配位剂。与孤立的 PIC 簇不同，PNIC 在 Pb-I 末端形成相干无机框架，通过 In(Na)-Cl 和 Pb-I 单元之间的八面体级耦合实现与 3D 钙钛矿的相干界面耦合。这种刚性八面体耦合将甲脒阳离子和 Pb-I 八面体固定在表面/界面，抑制结构自由度。此外，这种耦合有助于缓解界面结构缺陷，同时建立有利的能带排列，共同控制增强的载流子传输动力学。结果，所得钙钛矿太阳能电池的效率为 27.29%（认证为 26.84%），而微型组件则达到 24%（认证为 23.54%）。此外，这些器件表现出显着的运行稳定性，在 3,000 小时的最大功率点跟踪后仍保持 98% 以上的初始效率。</w:t>
      </w:r>
    </w:p>
    <w:p>
      <w:pPr>
        <w:spacing w:before="0" w:after="200" w:lineRule="auto" w:line="276"/>
      </w:pPr>
      <w:r>
        <w:rPr>
          <w:b/>
        </w:rPr>
        <w:t xml:space="preserve">Abstract (EN): </w:t>
      </w:r>
      <w:r>
        <w:t>Halide perovskite degradation initiates at surfaces/interfaces, where defect accumulation disrupts octahedral connectivity and triggers structural collapse. Herein, we design an indium-based octahedral motifs, i.e., (PMA)4InCl7 (PIC) (PMA=phenylmethylammonium) featuring disordered octahedra and (PMA)4NaInCl8 (PNIC) with ordered octahedral frameworks, as robust coordination agent to bind Pb-I termini at the surface/interface. Distinct from the isolated cluster of PIC, PNIC forms a coherent inorganic framework at Pb-I termini, enabling coherent interfacial coupling with the 3D perovskite via octahedral-level coupling between In(Na)-Cl and Pb-I units. This rigid octahedral coupling immobilizes formamidinium cations and Pb–I octahedra at the surface/interface, suppressing structural freedom. Moreover, this coupling facilitates the relaxation of interfacial structural imperfections while simultaneously establishing favorable band alignment, together governing enhanced carrier transport dynamics. As a result, the resulting perovskite solar cells deliver an efficiency of 27.29% (certified 26.84%), with the minimodules reaching 24% (certified 23.54%). Moreover, these devices demonstrate significant operational stability, retaining over 98% of their initial efficiency after 3,000 h of maximum power point tracking.</w:t>
      </w:r>
    </w:p>
    <w:p>
      <w:pPr>
        <w:spacing w:before="120" w:after="120"/>
      </w:pPr>
      <w:r>
        <w:rPr>
          <w:sz w:val="18"/>
        </w:rPr>
        <w:t>——————————————————————————————————————————————————————————————————————</w:t>
      </w:r>
    </w:p>
    <w:p>
      <w:pPr>
        <w:spacing w:before="160" w:after="40" w:line="240" w:lineRule="auto"/>
      </w:pPr>
      <w:r>
        <w:rPr>
          <w:b/>
        </w:rPr>
        <w:t xml:space="preserve">[2] </w:t>
      </w:r>
      <w:hyperlink r:id="rId10">
        <w:r>
          <w:rPr>
            <w:color w:val="1155CC"/>
            <w:u w:val="single"/>
          </w:rPr>
          <w:t>深入了解 α 相变到 δ 相变并通过调节 δ 相取向稳定 α 相 FAPbI3</w:t>
        </w:r>
      </w:hyperlink>
    </w:p>
    <w:p>
      <w:pPr>
        <w:spacing w:before="0" w:after="80"/>
      </w:pPr>
      <w:r>
        <w:rPr>
          <w:i/>
          <w:sz w:val="20"/>
        </w:rPr>
        <w:t>EN: Mechanistic insight into α-to-δ phase transition and stabilizing α-phase FAPbI3 via regulating δ-phase orientation</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甲脒基钙钛矿的结构不稳定性主要源于自发的α-δ相变。尽管已经提出了各种抑制策略，但由于对控制这种相变的物理机制的不完全理解，开发明确的解决方案仍然具有挑战性。这项工作揭示了钙钛矿α相（011）和δ相（110）平面之间具有拉伸应变的共格界面充当α到δ相变的活性位点。基于这一见解，二维类钙钛矿材料被引入钙钛矿基体中，它与 δ 相 (110) 平面强烈相互作用，形成 2D/δ 界面。大的界面应变破坏了δ相的取向，抑制了α/δ过渡界面的形成，从而增强了α相的稳定性。这种策略使基于 FA 的钙钛矿太阳能电池的效率达到 25.61%，未封装的器件在 70% 相对湿度下运行 1,000 小时后仍能保持 90% 的初始效率。这项工作提供了稳定 FA 钙钛矿的机理理解和普遍适用的策略。</w:t>
      </w:r>
    </w:p>
    <w:p>
      <w:pPr>
        <w:spacing w:before="0" w:after="200" w:lineRule="auto" w:line="276"/>
      </w:pPr>
      <w:r>
        <w:rPr>
          <w:b/>
        </w:rPr>
        <w:t xml:space="preserve">Abstract (EN): </w:t>
      </w:r>
      <w:r>
        <w:t>The structural instability of formamidinium-based perovskite primarily originates from spontaneous α-to-δ phase transition. Although various suppression strategies have been proposed, developing a definitive solution remains challenging due to incomplete understanding of the physical mechanisms governing this phase transition. This work reveals that the coherent interface with tensile strain between perovskite α-phase (011) and δ-phase (110) planes acts as an active site for α-to-δ phase transition. Building on this insight, two-dimensional perovskitoid materials are introduced into the perovskite matrix, which strongly interact with the δ-phase (110) plane to form the 2D/δ interface. The large interfacial strain disrupts δ-phase orientation, suppresses the formation of α/δ transition interfaces, and thus enhances α-phase stability. This strategy enables FA-based perovskite solar cells to achieve an efficiency of 25.61%, with unencapsulated devices maintaining 90% initial efficiency after 1,000 h at 70% relative humidity. This work provides a mechanistic understanding and a universally applicable strategy to stabilize FA-based perovskites.</w:t>
      </w:r>
    </w:p>
    <w:p>
      <w:pPr>
        <w:spacing w:before="120" w:after="120"/>
      </w:pPr>
      <w:r>
        <w:rPr>
          <w:sz w:val="18"/>
        </w:rPr>
        <w:t>——————————————————————————————————————————————————————————————————————</w:t>
      </w:r>
    </w:p>
    <w:p>
      <w:pPr>
        <w:spacing w:before="160" w:after="40" w:line="240" w:lineRule="auto"/>
      </w:pPr>
      <w:r>
        <w:rPr>
          <w:b/>
        </w:rPr>
        <w:t xml:space="preserve">[3] </w:t>
      </w:r>
      <w:hyperlink r:id="rId11">
        <w:r>
          <w:rPr>
            <w:color w:val="1155CC"/>
            <w:u w:val="single"/>
          </w:rPr>
          <w:t>聚合表面钝化用于稳定高效的倒置钙钛矿太阳能电池</w:t>
        </w:r>
      </w:hyperlink>
    </w:p>
    <w:p>
      <w:pPr>
        <w:spacing w:before="0" w:after="80"/>
      </w:pPr>
      <w:r>
        <w:rPr>
          <w:i/>
          <w:sz w:val="20"/>
        </w:rPr>
        <w:t>EN: Polymerized Surface Passivation for Stable and Efficient Inverted Perovskite Solar Cells</w:t>
      </w:r>
    </w:p>
    <w:p>
      <w:pPr>
        <w:spacing w:before="0" w:after="120"/>
      </w:pPr>
      <w:r>
        <w:rPr>
          <w:b/>
        </w:rPr>
        <w:t xml:space="preserve">Source: </w:t>
      </w:r>
      <w:r>
        <w:t>Wiley: Advanced Materials: Table of Contents</w:t>
      </w:r>
      <w:r>
        <w:t xml:space="preserve">    </w:t>
      </w:r>
      <w:r>
        <w:rPr>
          <w:b/>
        </w:rPr>
        <w:t xml:space="preserve">Pub date: </w:t>
      </w:r>
      <w:r>
        <w:t>2026-06-06 15:21:02+00:00</w:t>
      </w:r>
      <w:r>
        <w:t xml:space="preserve">    </w:t>
      </w:r>
      <w:r>
        <w:rPr>
          <w:b/>
        </w:rPr>
        <w:t xml:space="preserve">DOI: </w:t>
      </w:r>
      <w:hyperlink r:id="rId12">
        <w:r>
          <w:rPr>
            <w:color w:val="1155CC"/>
            <w:u w:val="single"/>
          </w:rPr>
          <w:t>10.1002/adma.202522825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面钝化在钙钛矿太阳能电池（PSC）功率转换效率（PCE）的快速提高中发挥了重要作用。然而，传统的钝化策略主要依赖于铵基配体等小分子，这些小分子在光照和热应力下容易发生去质子化，导致器件稳定性受损。在这里，我们报道了一种可聚合表面钝化材料，乙烯基膦酸（VPA）。乙烯基能够进行原位聚合，而磷酸基团则钝化不配位的金属缺陷。理论和实验结果均证实，聚合 VPA (PVPA) 形成比传统有机铵基小分子更坚固、更稳定的钝化层。因此，我们的 PCE 为 26.54%（认证为 26.24%）。得益于更稳定的聚合钝化层，我们的器件表现出卓越的运行耐久性，在连续 1 太阳光照下以最大功率点运行 1600 小时后，仍保留了 90% 以上的初始 PCE。这种方法提供了一种有前途的钝化层策略，以提高钙钛矿太阳能电池的稳定性和效率。</w:t>
      </w:r>
    </w:p>
    <w:p>
      <w:pPr>
        <w:spacing w:before="0" w:after="200" w:lineRule="auto" w:line="276"/>
      </w:pPr>
      <w:r>
        <w:rPr>
          <w:b/>
        </w:rPr>
        <w:t xml:space="preserve">Abstract (EN): </w:t>
      </w:r>
      <w:r>
        <w:t>Surface passivation has played an essential role in the rapid advancement of power conversion efficiency (PCE) in perovskite solar cells (PSCs). However, conventional passivation strategies predominantly rely on small molecules such as ammonium‐based ligands, which are prone to deprotonation under light exposure and thermal stress, leading to compromised device stability. Here, we report a polymerizable surface passivation material, vinylphosphonic acid (VPA). The vinyl group enables in situ polymerization, while the phosphate group passivates uncoordinated metallic defects. Both theoretical and experimental results confirmed that the polymerized‐VPA (PVPA) forms a more robust and stable passivation layer than conventional organoammonium‐based small molecules. Consequently, we achieved a PCE of 26.54% (certified as 26.24%). Benefiting from the more stable polymerized passivation layer, our devices demonstrate remarkable operational durability, retaining over 90% of their initial PCE after 1600 h at maximum power point operation under continuous 1‐sun illumination. This approach provides a promising passivation layer strategy to enhance the stability and efficiency of perovskite solar cells.</w:t>
      </w:r>
    </w:p>
    <w:p>
      <w:pPr>
        <w:spacing w:before="120" w:after="120"/>
      </w:pPr>
      <w:r>
        <w:rPr>
          <w:sz w:val="18"/>
        </w:rPr>
        <w:t>——————————————————————————————————————————————————————————————————————</w:t>
      </w:r>
    </w:p>
    <w:p>
      <w:pPr>
        <w:spacing w:before="160" w:after="40" w:line="240" w:lineRule="auto"/>
      </w:pPr>
      <w:r>
        <w:rPr>
          <w:b/>
        </w:rPr>
        <w:t xml:space="preserve">[4] </w:t>
      </w:r>
      <w:hyperlink r:id="rId13">
        <w:r>
          <w:rPr>
            <w:color w:val="1155CC"/>
            <w:u w:val="single"/>
          </w:rPr>
          <w:t>寒冷气候下泡沫浮动光伏系统的设计和热能性能分析：加拿大7 kW浮动光伏发电系统的实验结果</w:t>
        </w:r>
      </w:hyperlink>
    </w:p>
    <w:p>
      <w:pPr>
        <w:spacing w:before="0" w:after="80"/>
      </w:pPr>
      <w:r>
        <w:rPr>
          <w:i/>
          <w:sz w:val="20"/>
        </w:rPr>
        <w:t>EN: Design and thermal-energy performance analysis of foam-based floating photovoltaic systems in a cold climate: experimental results from a 7 kW floatovoltaics in Canada</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4">
        <w:r>
          <w:rPr>
            <w:color w:val="1155CC"/>
            <w:u w:val="single"/>
          </w:rPr>
          <w:t>具有界面质子缓冲的磷酸盐缓冲合成 SnO2 纳米粒子用于高性能和稳定的钙钛矿太阳能电池</w:t>
        </w:r>
      </w:hyperlink>
    </w:p>
    <w:p>
      <w:pPr>
        <w:spacing w:before="0" w:after="80"/>
      </w:pPr>
      <w:r>
        <w:rPr>
          <w:i/>
          <w:sz w:val="20"/>
        </w:rPr>
        <w:t>EN: Phosphate‐Buffered Synthesis of SnO2 Nanoparticles With Interfacial Proton Buffering for High‐Performance and Stable Perovskite Solar Cells</w:t>
      </w:r>
    </w:p>
    <w:p>
      <w:pPr>
        <w:spacing w:before="0" w:after="120"/>
      </w:pPr>
      <w:r>
        <w:rPr>
          <w:b/>
        </w:rPr>
        <w:t xml:space="preserve">Source: </w:t>
      </w:r>
      <w:r>
        <w:t>Wiley: Advanced Energy Materials: Table of Contents</w:t>
      </w:r>
      <w:r>
        <w:t xml:space="preserve">    </w:t>
      </w:r>
      <w:r>
        <w:rPr>
          <w:b/>
        </w:rPr>
        <w:t xml:space="preserve">Pub date: </w:t>
      </w:r>
      <w:r>
        <w:t>2026-06-07 12:56:54+00:00</w:t>
      </w:r>
      <w:r>
        <w:t xml:space="preserve">    </w:t>
      </w:r>
      <w:r>
        <w:rPr>
          <w:b/>
        </w:rPr>
        <w:t xml:space="preserve">DOI: </w:t>
      </w:r>
      <w:hyperlink r:id="rId15">
        <w:r>
          <w:rPr>
            <w:color w:val="1155CC"/>
            <w:u w:val="single"/>
          </w:rPr>
          <w:t>10.1002/aenm.71170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电子传输层（ETL）对于钙钛矿太阳能电池（PSC）的性能和稳定性至关重要。氧化亚锡</w:t>
      </w:r>
      <w:r>
        <w:rPr>
          <w:vertAlign w:val="subscript"/>
        </w:rPr>
        <w:t>2</w:t>
      </w:r>
      <w:r>
        <w:t>纳米颗粒广泛用作 n-i-p PSC 中的 ETL，通常表现出由于不可控的团聚和界面质量受损而导致的性能限制，这反过来又加速了钙钛矿的降解。在本研究中，我们提出了 SnO 的磷酸盐缓冲合成策略</w:t>
      </w:r>
      <w:r>
        <w:rPr>
          <w:vertAlign w:val="subscript"/>
        </w:rPr>
        <w:t>2</w:t>
      </w:r>
      <w:r>
        <w:t>纳米颗粒，可在合成过程和钙钛矿/SnO 中实现有效的质子缓冲</w:t>
      </w:r>
      <w:r>
        <w:rPr>
          <w:vertAlign w:val="subscript"/>
        </w:rPr>
        <w:t>2</w:t>
      </w:r>
      <w:r>
        <w:t>界面。通过调节 SnO 过程中质子的积累</w:t>
      </w:r>
      <w:r>
        <w:rPr>
          <w:vertAlign w:val="subscript"/>
        </w:rPr>
        <w:t>2</w:t>
      </w:r>
      <w:r>
        <w:t>纳米颗粒的形成，磷酸盐缓冲液同时增强了SnO的胶体分散稳定性</w:t>
      </w:r>
      <w:r>
        <w:rPr>
          <w:vertAlign w:val="subscript"/>
        </w:rPr>
        <w:t>2</w:t>
      </w:r>
      <w:r>
        <w:t>并在 SnO 处引入配位磷酸盐物种</w:t>
      </w:r>
      <w:r>
        <w:rPr>
          <w:vertAlign w:val="subscript"/>
        </w:rPr>
        <w:t>2</w:t>
      </w:r>
      <w:r>
        <w:t>PSC 中的/钙钛矿界面。该磷酸盐界面有效稳定 FA</w:t>
      </w:r>
      <w:r>
        <w:t xml:space="preserve"> </w:t>
      </w:r>
      <w:r>
        <w:t>+</w:t>
      </w:r>
      <w:r>
        <w:t xml:space="preserve"> </w:t>
      </w:r>
      <w:r>
        <w:t>阳离子并抑制去质子化引起的界面降解。含有磷酸盐缓冲液合成 SnO 的装置</w:t>
      </w:r>
      <w:r>
        <w:rPr>
          <w:vertAlign w:val="subscript"/>
        </w:rPr>
        <w:t>2</w:t>
      </w:r>
      <w:r>
        <w:t>峰值功率转换效率 (PCE) 为 26.1%，并表现出卓越的运行稳定性，在连续光照 1000 小时后仍能保持超过 85% 的初始效率。同时，大型PSC模块（65cm</w:t>
      </w:r>
    </w:p>
    <w:p>
      <w:pPr>
        <w:spacing w:before="0" w:after="200" w:lineRule="auto" w:line="276"/>
      </w:pPr>
      <w:r>
        <w:rPr>
          <w:b/>
        </w:rPr>
        <w:t xml:space="preserve">Abstract (EN): </w:t>
      </w:r>
      <w:r>
        <w:t>The electron transport layer (ETL) is essential for the performance and stability of perovskite solar cells (PSCs). SnO</w:t>
      </w:r>
      <w:r>
        <w:rPr>
          <w:vertAlign w:val="subscript"/>
        </w:rPr>
        <w:t>2</w:t>
      </w:r>
      <w:r>
        <w:t>nanoparticles, widely employed as the ETL in n‐i‐p PSCs, often exhibit performance limitations arising from uncontrollable agglomeration and compromised interfacial quality, which in turn accelerates perovskite degradation. In this study, we propose a phosphate‐buffered synthesis strategy for SnO</w:t>
      </w:r>
      <w:r>
        <w:rPr>
          <w:vertAlign w:val="subscript"/>
        </w:rPr>
        <w:t>2</w:t>
      </w:r>
      <w:r>
        <w:t>nanoparticles, which enables effective proton buffering both during the synthesis process and at the perovskite/SnO</w:t>
      </w:r>
      <w:r>
        <w:rPr>
          <w:vertAlign w:val="subscript"/>
        </w:rPr>
        <w:t>2</w:t>
      </w:r>
      <w:r>
        <w:t>interface. Through regulating proton accumulation during SnO</w:t>
      </w:r>
      <w:r>
        <w:rPr>
          <w:vertAlign w:val="subscript"/>
        </w:rPr>
        <w:t>2</w:t>
      </w:r>
      <w:r>
        <w:t>nanoparticle formation, the phosphate buffer simultaneously enhances the colloidal dispersion stability of SnO</w:t>
      </w:r>
      <w:r>
        <w:rPr>
          <w:vertAlign w:val="subscript"/>
        </w:rPr>
        <w:t>2</w:t>
      </w:r>
      <w:r>
        <w:t>and introduces coordinated phosphate species at the SnO</w:t>
      </w:r>
      <w:r>
        <w:rPr>
          <w:vertAlign w:val="subscript"/>
        </w:rPr>
        <w:t>2</w:t>
      </w:r>
      <w:r>
        <w:t>/perovskite interface in PSCs. This phosphate interface effectively stabilizes FA</w:t>
      </w:r>
      <w:r>
        <w:t xml:space="preserve"> </w:t>
      </w:r>
      <w:r>
        <w:t>+</w:t>
      </w:r>
      <w:r>
        <w:t xml:space="preserve"> </w:t>
      </w:r>
      <w:r>
        <w:t>cations and suppresses deprotonation‐induced interfacial degradation. Devices incorporating phosphate‐buffer‐synthesized SnO</w:t>
      </w:r>
      <w:r>
        <w:rPr>
          <w:vertAlign w:val="subscript"/>
        </w:rPr>
        <w:t>2</w:t>
      </w:r>
      <w:r>
        <w:t>deliver a peak power conversion efficiency (PCE) of 26.1% and exhibit remarkable operational stability, retaining over 85% of their initial efficiency after 1000 h of continuous light exposure. Meanwhile, large‐scale PSC modules (65cm</w:t>
      </w:r>
      <w:r>
        <w:rPr>
          <w:vertAlign w:val="subscript"/>
        </w:rPr>
        <w:t>2</w:t>
      </w:r>
      <w:r>
        <w:t>) achieve a PCE of 21.74%. This synergistic strategy provides a scalable and efficient solution for enhancing both the performance and stability of PSCs.</w:t>
      </w:r>
    </w:p>
    <w:p>
      <w:pPr>
        <w:spacing w:before="120" w:after="120"/>
      </w:pPr>
      <w:r>
        <w:rPr>
          <w:sz w:val="18"/>
        </w:rPr>
        <w:t>——————————————————————————————————————————————————————————————————————</w:t>
      </w:r>
    </w:p>
    <w:p>
      <w:pPr>
        <w:spacing w:before="160" w:after="40" w:line="240" w:lineRule="auto"/>
      </w:pPr>
      <w:r>
        <w:rPr>
          <w:b/>
        </w:rPr>
        <w:t xml:space="preserve">[6] </w:t>
      </w:r>
      <w:hyperlink r:id="rId16">
        <w:r>
          <w:rPr>
            <w:color w:val="1155CC"/>
            <w:u w:val="single"/>
          </w:rPr>
          <w:t>调控晶面生长以实现高效稳定的钙钛矿太阳能电池</w:t>
        </w:r>
      </w:hyperlink>
    </w:p>
    <w:p>
      <w:pPr>
        <w:spacing w:before="0" w:after="80"/>
      </w:pPr>
      <w:r>
        <w:rPr>
          <w:i/>
          <w:sz w:val="20"/>
        </w:rPr>
        <w:t>EN: Modulation of Crystal Plane Growth for Efficient and Stable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2026-06-07 16:26:33+00:00</w:t>
      </w:r>
      <w:r>
        <w:t xml:space="preserve">    </w:t>
      </w:r>
      <w:r>
        <w:rPr>
          <w:b/>
        </w:rPr>
        <w:t xml:space="preserve">DOI: </w:t>
      </w:r>
      <w:hyperlink r:id="rId17">
        <w:r>
          <w:rPr>
            <w:color w:val="1155CC"/>
            <w:u w:val="single"/>
          </w:rPr>
          <w:t>10.1002/anie.7010126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实现钙钛矿晶体取向和相纯度的精确控制对于实现高效耐用的钙钛矿太阳能电池至关重要。尽管碘化铅（PbI</w:t>
      </w:r>
      <w:r>
        <w:rPr>
          <w:vertAlign w:val="subscript"/>
        </w:rPr>
        <w:t>2</w:t>
      </w:r>
      <w:r>
        <w:t>）模板在获得高质量钙钛矿薄膜的两步沉积过程中，由于 PbI 的复杂面，在指导钙钛矿晶体的择优生长方面仍然存在挑战</w:t>
      </w:r>
      <w:r>
        <w:rPr>
          <w:vertAlign w:val="subscript"/>
        </w:rPr>
        <w:t>2</w:t>
      </w:r>
      <w:r>
        <w:t>。在此，高度结晶的PbI</w:t>
      </w:r>
      <w:r>
        <w:rPr>
          <w:vertAlign w:val="subscript"/>
        </w:rPr>
        <w:t>2</w:t>
      </w:r>
      <w:r>
        <w:t>通过掺入2-苯氧基乙脒盐酸盐（PhOAaCl），可以实现完全（001）择优取向，从而有效地最小化晶面能量。这种结构合理的 PbI</w:t>
      </w:r>
      <w:r>
        <w:rPr>
          <w:vertAlign w:val="subscript"/>
        </w:rPr>
        <w:t>2</w:t>
      </w:r>
      <w:r>
        <w:t>模板协调后续钙钛矿的相干晶面生长，具有明显抑制的缺陷密度和优异的相纯度。此外，我们进一步阐明了 PbI 之间固液界面普遍存在的潜在生长机制</w:t>
      </w:r>
      <w:r>
        <w:rPr>
          <w:vertAlign w:val="subscript"/>
        </w:rPr>
        <w:t>2</w:t>
      </w:r>
      <w:r>
        <w:t>从综合热力学和动力学的角度来看，有机胺盐。因此，目标光伏器件获得了 26.47% 的冠军效率。值得注意的是，未封装的器件表现出显着出色的耐湿热性和运行鲁棒性，同时在环境条件下持续照明下进行 2500 小时的最大功率点跟踪后，仍达到 91% 的初始效率。</w:t>
      </w:r>
    </w:p>
    <w:p>
      <w:pPr>
        <w:spacing w:before="0" w:after="200" w:lineRule="auto" w:line="276"/>
      </w:pPr>
      <w:r>
        <w:rPr>
          <w:b/>
        </w:rPr>
        <w:t xml:space="preserve">Abstract (EN): </w:t>
      </w:r>
      <w:r>
        <w:t>Achieving accurate manipulation over perovskite crystal orientation and phase purity is pivotal for realizing efficient and durable perovskite solar cells. Despite the unique advantages of lead iodide (PbI</w:t>
      </w:r>
      <w:r>
        <w:rPr>
          <w:vertAlign w:val="subscript"/>
        </w:rPr>
        <w:t>2</w:t>
      </w:r>
      <w:r>
        <w:t>) template in the two‐step deposition process for obtaining high‐quality perovskite films, challenges remain in guiding the preferential growth of perovskite crystals due to complex facets of PbI</w:t>
      </w:r>
      <w:r>
        <w:rPr>
          <w:vertAlign w:val="subscript"/>
        </w:rPr>
        <w:t>2</w:t>
      </w:r>
      <w:r>
        <w:t>. Herein, highly crystalline PbI</w:t>
      </w:r>
      <w:r>
        <w:rPr>
          <w:vertAlign w:val="subscript"/>
        </w:rPr>
        <w:t>2</w:t>
      </w:r>
      <w:r>
        <w:t>with complete (001)‐preferred orientation has been attained by incorporating 2‐phenoxyacetamidine hydrochloride (PhOAaCl), which proficiently minimizes the crystal plane energy. This rationally architectured PbI</w:t>
      </w:r>
      <w:r>
        <w:rPr>
          <w:vertAlign w:val="subscript"/>
        </w:rPr>
        <w:t>2</w:t>
      </w:r>
      <w:r>
        <w:t>template orchestrates coherent crystal plane growth of subsequent perovskite with markedly suppressed defect density and exceptional phase purity. Moreover, we further elucidate underlying growth mechanism prevailing at the solid–liquid interface between PbI</w:t>
      </w:r>
      <w:r>
        <w:rPr>
          <w:vertAlign w:val="subscript"/>
        </w:rPr>
        <w:t>2</w:t>
      </w:r>
      <w:r>
        <w:t>and organic amine salts from integrated thermodynamic and kinetic perspectives. Consequently, the target photovoltaic device attains a champion efficiency of 26.47%. Notably, the unencapsulated devices exhibit significantly outstanding damp‐heat endurance and operational robustness, while attaining 91% of initial efficiency after 2500 h of maximum power point tracking under persistent illumination in ambient conditions.</w:t>
      </w:r>
    </w:p>
    <w:p>
      <w:pPr>
        <w:spacing w:before="120" w:after="120"/>
      </w:pPr>
      <w:r>
        <w:rPr>
          <w:sz w:val="18"/>
        </w:rPr>
        <w:t>——————————————————————————————————————————————————————————————————————</w:t>
      </w:r>
    </w:p>
    <w:p>
      <w:pPr>
        <w:spacing w:before="160" w:after="40" w:line="240" w:lineRule="auto"/>
      </w:pPr>
      <w:r>
        <w:rPr>
          <w:b/>
        </w:rPr>
        <w:t xml:space="preserve">[7] </w:t>
      </w:r>
      <w:hyperlink r:id="rId18">
        <w:r>
          <w:rPr>
            <w:color w:val="1155CC"/>
            <w:u w:val="single"/>
          </w:rPr>
          <w:t>简单合成的无异构体多加合物富勒烯作为电子传输材料使钙钛矿太阳能电池的效率达到 26.66%</w:t>
        </w:r>
      </w:hyperlink>
    </w:p>
    <w:p>
      <w:pPr>
        <w:spacing w:before="0" w:after="80"/>
      </w:pPr>
      <w:r>
        <w:rPr>
          <w:i/>
          <w:sz w:val="20"/>
        </w:rPr>
        <w:t>EN: Simple‐Synthesis Isomer‐Free Multi‐Adduct Fullerenes as Electron Transport Materials Enable 26.66% Efficiency of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2026-06-07 16:31:37+00:00</w:t>
      </w:r>
      <w:r>
        <w:t xml:space="preserve">    </w:t>
      </w:r>
      <w:r>
        <w:rPr>
          <w:b/>
        </w:rPr>
        <w:t xml:space="preserve">DOI: </w:t>
      </w:r>
      <w:hyperlink r:id="rId19">
        <w:r>
          <w:rPr>
            <w:color w:val="1155CC"/>
            <w:u w:val="single"/>
          </w:rPr>
          <w:t>10.1002/anie.4500167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传输层材料进展滞后是阻碍钙钛矿太阳能电池（PSC）光伏性能进一步提升的瓶颈问题之一。富勒烯衍生物广泛用作PSC的电子传输层材料，但仍存在重大缺陷尚未解决。在此，开发了一种有效且简便的方法来制备无异构体的多加合物富勒烯衍生物，C</w:t>
      </w:r>
      <w:r>
        <w:rPr>
          <w:vertAlign w:val="subscript"/>
        </w:rPr>
        <w:t>60</w:t>
      </w:r>
      <w:r>
        <w:t>（国家卫生研究院）</w:t>
      </w:r>
      <w:r>
        <w:rPr>
          <w:vertAlign w:val="subscript"/>
        </w:rPr>
        <w:t>4</w:t>
      </w:r>
      <w:r>
        <w:t>O，产率高，满足PSCs电子传输层材料的多功能要求。在多加合物富勒烯衍生物中，四[甲基2-氨基-3-(噻吩-2-基)丙酸酯]C</w:t>
      </w:r>
      <w:r>
        <w:rPr>
          <w:vertAlign w:val="subscript"/>
        </w:rPr>
        <w:t>60</w:t>
      </w:r>
      <w:r>
        <w:t>选择环氧化物（TATPC）作为 PSC 的电子传输材料并入 PCBM。受益于多加合物基团，TATPC 比经典 PCBM 具有更高的 LUMO 能级、优异的钝化能力以及与钙钛矿更强的相互作用。它使 PCBM:TATPC 能够提供更好的覆盖率和更光滑的表面、增加接触电位差、降低陷阱密度、更高的电子迁移率和抑制自聚集，从而促进电子提取、抑制载流子复合并增强 PSC 的耐用性。因此，基于 PCBM:TATPC 的 PSC 实现了 26.66% 的令人印象深刻的效率（面积为 1.04 cm 的器件为 25.81%）</w:t>
      </w:r>
      <w:r>
        <w:rPr>
          <w:vertAlign w:val="subscript"/>
        </w:rPr>
        <w:t>2</w:t>
      </w:r>
      <w:r>
        <w:t>）与增强的操作</w:t>
      </w:r>
    </w:p>
    <w:p>
      <w:pPr>
        <w:spacing w:before="0" w:after="200" w:lineRule="auto" w:line="276"/>
      </w:pPr>
      <w:r>
        <w:rPr>
          <w:b/>
        </w:rPr>
        <w:t xml:space="preserve">Abstract (EN): </w:t>
      </w:r>
      <w:r>
        <w:t>The laggard advancement in electron transport layer materials is one of the bottleneck problems, impeding the further improvement of photovoltaic performance of perovskite solar cells (PSCs). Fullerene derivatives are widely used as electron transport layer materials for PSCs, but significant imperfections remain unresolved. Herein, an efficient and facile method was developed to prepare isomer‐free multi‐adduct fullerene derivatives, C</w:t>
      </w:r>
      <w:r>
        <w:rPr>
          <w:vertAlign w:val="subscript"/>
        </w:rPr>
        <w:t>60</w:t>
      </w:r>
      <w:r>
        <w:t>(NHR)</w:t>
      </w:r>
      <w:r>
        <w:rPr>
          <w:vertAlign w:val="subscript"/>
        </w:rPr>
        <w:t>4</w:t>
      </w:r>
      <w:r>
        <w:t>O, with high yield and meet the multifunctional requirements of electron transport layer materials of PSCs. Among the multi‐adduct fullerene derivatives, tetra[methyl 2‐amino‐3‐(thiophen‐2‐yl)propanoate]C</w:t>
      </w:r>
      <w:r>
        <w:rPr>
          <w:vertAlign w:val="subscript"/>
        </w:rPr>
        <w:t>60</w:t>
      </w:r>
      <w:r>
        <w:t>epoxide (TATPC) was selected to incorporate into PCBM as an electron transport material for PSCs. Benefiting from multi‐adduct groups, TATPC presents a higher LUMO energy level, superior passivation capability, and stronger interaction with perovskite than the classical PCBM. It enables PCBM:TATPC to afford improved coverage and a smoother surface, increased contact potential difference, reduced trap density, higher electron mobility, and inhibited self‐aggregation, thus facilitating electron extraction, suppressing charge carrier recombination, and enhancing durability for PSCs. Therefore, PCBM:TATPC‐based PSCs achieve an impressive efficiency of 26.66% (25.81% for devices with an area of 1.04 cm</w:t>
      </w:r>
      <w:r>
        <w:rPr>
          <w:vertAlign w:val="subscript"/>
        </w:rPr>
        <w:t>2</w:t>
      </w:r>
      <w:r>
        <w:t>) with enhanced operational stability. This work highlights an efficient molecular design strategy to develop isomer‐free multi‐adduct fullerenes and thus regulate the electron transport layer for high‐efficiency and stable PSCs.</w:t>
      </w:r>
    </w:p>
    <w:p>
      <w:pPr>
        <w:spacing w:before="120" w:after="120"/>
      </w:pPr>
      <w:r>
        <w:rPr>
          <w:sz w:val="18"/>
        </w:rPr>
        <w:t>——————————————————————————————————————————————————————————————————————</w:t>
      </w:r>
    </w:p>
    <w:p>
      <w:pPr>
        <w:spacing w:before="160" w:after="40" w:line="240" w:lineRule="auto"/>
      </w:pPr>
      <w:r>
        <w:rPr>
          <w:b/>
        </w:rPr>
        <w:t xml:space="preserve">[8] </w:t>
      </w:r>
      <w:hyperlink r:id="rId20">
        <w:r>
          <w:rPr>
            <w:color w:val="1155CC"/>
            <w:u w:val="single"/>
          </w:rPr>
          <w:t>光伏温室能源管理的量子增强预测与优化调度</w:t>
        </w:r>
      </w:hyperlink>
    </w:p>
    <w:p>
      <w:pPr>
        <w:spacing w:before="0" w:after="80"/>
      </w:pPr>
      <w:r>
        <w:rPr>
          <w:i/>
          <w:sz w:val="20"/>
        </w:rPr>
        <w:t>EN: Quantum-enhanced forecasting and optimal scheduling for energy management in photovoltaic greenhouses</w:t>
      </w:r>
    </w:p>
    <w:p>
      <w:pPr>
        <w:spacing w:before="0" w:after="120"/>
      </w:pPr>
      <w:r>
        <w:rPr>
          <w:b/>
        </w:rPr>
        <w:t xml:space="preserve">Source: </w:t>
      </w:r>
      <w:r>
        <w:t>ScienceDirect Publication: Applied Energy</w:t>
      </w:r>
      <w:r>
        <w:t xml:space="preserve">    </w:t>
      </w:r>
      <w:r>
        <w:rPr>
          <w:b/>
        </w:rPr>
        <w:t xml:space="preserve">Pub date: </w:t>
      </w:r>
      <w:r>
        <w:t>2026-06-08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1">
        <w:r>
          <w:rPr>
            <w:color w:val="1155CC"/>
            <w:u w:val="single"/>
          </w:rPr>
          <w:t>追踪从树叶到天空的光线：农业光伏果园的多光谱、半影感知辐照度建模</w:t>
        </w:r>
      </w:hyperlink>
    </w:p>
    <w:p>
      <w:pPr>
        <w:spacing w:before="0" w:after="80"/>
      </w:pPr>
      <w:r>
        <w:rPr>
          <w:i/>
          <w:sz w:val="20"/>
        </w:rPr>
        <w:t>EN: Tracing rays from leaves to sky: Multispectral, penumbra-aware irradiance modeling for agrivoltaic orchards</w:t>
      </w:r>
    </w:p>
    <w:p>
      <w:pPr>
        <w:spacing w:before="0" w:after="120"/>
      </w:pPr>
      <w:r>
        <w:rPr>
          <w:b/>
        </w:rPr>
        <w:t xml:space="preserve">Source: </w:t>
      </w:r>
      <w:r>
        <w:t>ScienceDirect Publication: Applied Energy</w:t>
      </w:r>
      <w:r>
        <w:t xml:space="preserve">    </w:t>
      </w:r>
      <w:r>
        <w:rPr>
          <w:b/>
        </w:rPr>
        <w:t xml:space="preserve">Pub date: </w:t>
      </w:r>
      <w:r>
        <w:t>2026-06-08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2">
        <w:r>
          <w:rPr>
            <w:color w:val="1155CC"/>
            <w:u w:val="single"/>
          </w:rPr>
          <w:t>作者更正：稳定的锡铅钙钛矿墨水用于高效的全钙钛矿串联</w:t>
        </w:r>
      </w:hyperlink>
    </w:p>
    <w:p>
      <w:pPr>
        <w:spacing w:before="0" w:after="80"/>
      </w:pPr>
      <w:r>
        <w:rPr>
          <w:i/>
          <w:sz w:val="20"/>
        </w:rPr>
        <w:t>EN: Author Correction: Stable tin–lead perovskite inks for efficient all-perovskite tandems</w:t>
      </w:r>
    </w:p>
    <w:p>
      <w:pPr>
        <w:spacing w:before="0" w:after="120"/>
      </w:pPr>
      <w:r>
        <w:rPr>
          <w:b/>
        </w:rPr>
        <w:t xml:space="preserve">Source: </w:t>
      </w:r>
      <w:r>
        <w:t>Nature Energy</w:t>
      </w:r>
      <w:r>
        <w:t xml:space="preserve">    </w:t>
      </w:r>
      <w:r>
        <w:rPr>
          <w:b/>
        </w:rPr>
        <w:t xml:space="preserve">Pub date: </w:t>
      </w:r>
      <w:r>
        <w:t>2026-06-09 00:00:00+00:00</w:t>
      </w:r>
      <w:r>
        <w:t xml:space="preserve">    </w:t>
      </w:r>
      <w:r>
        <w:rPr>
          <w:b/>
        </w:rPr>
        <w:t xml:space="preserve">DOI: </w:t>
      </w:r>
      <w:hyperlink r:id="rId23">
        <w:r>
          <w:rPr>
            <w:color w:val="1155CC"/>
            <w:u w:val="single"/>
          </w:rPr>
          <w:t>10.1038/s41560-026-02097-4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4">
        <w:r>
          <w:rPr>
            <w:color w:val="1155CC"/>
            <w:u w:val="single"/>
          </w:rPr>
          <w:t>通过机械折纸编码联锁 3D Kirigami 和纳米根锚定 AgNWs-In-Ga 多相合金导体实现可编程 3D 光伏</w:t>
        </w:r>
      </w:hyperlink>
    </w:p>
    <w:p>
      <w:pPr>
        <w:spacing w:before="0" w:after="80"/>
      </w:pPr>
      <w:r>
        <w:rPr>
          <w:i/>
          <w:sz w:val="20"/>
        </w:rPr>
        <w:t>EN: Programmable 3D Photovoltaics via Mechanically Origami‐Coded Interlocked 3D Kirigami and Nano‐Root Anchored AgNWs–In–Ga Multiphasic Alloy Conductor</w:t>
      </w:r>
    </w:p>
    <w:p>
      <w:pPr>
        <w:spacing w:before="0" w:after="120"/>
      </w:pPr>
      <w:r>
        <w:rPr>
          <w:b/>
        </w:rPr>
        <w:t xml:space="preserve">Source: </w:t>
      </w:r>
      <w:r>
        <w:t>Wiley: Advanced Materials: Table of Contents</w:t>
      </w:r>
      <w:r>
        <w:t xml:space="preserve">    </w:t>
      </w:r>
      <w:r>
        <w:rPr>
          <w:b/>
        </w:rPr>
        <w:t xml:space="preserve">Pub date: </w:t>
      </w:r>
      <w:r>
        <w:t>2026-06-09 08:18:37+00:00</w:t>
      </w:r>
      <w:r>
        <w:t xml:space="preserve">    </w:t>
      </w:r>
      <w:r>
        <w:rPr>
          <w:b/>
        </w:rPr>
        <w:t xml:space="preserve">DOI: </w:t>
      </w:r>
      <w:hyperlink r:id="rId25">
        <w:r>
          <w:rPr>
            <w:color w:val="1155CC"/>
            <w:u w:val="single"/>
          </w:rPr>
          <w:t>10.1002/adma.202523685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3D 光伏 (3DPV) 对于下一代能源系统来说非常有前景，因为它们可以最大限度地提高空间利用率和功率输出。然而，大多数报道的 3DPV 仍然不适合可变形应用。当 3DPV 与机械可变形平台集成时，会出现一个基本的权衡：实现较大的机械拉伸性通常会导致面积覆盖范围的减少。在这里，我们提出了一种单一材料、机械折纸编码的 3D kirigami 平台，该平台使可编程 3DPV 具有前所未有的拉伸性和区域覆盖范围。 Origami 将 2D 几何形状转换为 3D 形式，提供了一种有效的结构策略来克服拉伸性和面积覆盖之间长期存在的权衡问题。利用这个概念，我们引入了一种受折纸启发的机械编码方案，将可编程折叠行为嵌入到结构中。简单的延伸-释放循环驱动单元折叠启动和完全折纸激活，实现超高拉伸性（500%）和初始有效面积覆盖率（225%），同时在极端变形和重复循环下保持稳定的光伏输出。为了确保可靠的电气集成，本质上可集成的纳米根锚定AgNWs-In-Ga多相合金导体与该结构共同制造，提供稳定的电导率并实现可逆的堆叠和连接操作。这种方法强调了几何可编程性作为自由形式光伏的关键推动因素，建立了通往多功能 3D 能源的途径</w:t>
      </w:r>
    </w:p>
    <w:p>
      <w:pPr>
        <w:spacing w:before="0" w:after="200" w:lineRule="auto" w:line="276"/>
      </w:pPr>
      <w:r>
        <w:rPr>
          <w:b/>
        </w:rPr>
        <w:t xml:space="preserve">Abstract (EN): </w:t>
      </w:r>
      <w:r>
        <w:t>3D photovoltaics (3DPVs) are highly promising for next‐generation energy systems, as they maximize space utilization and power output. However, most reported 3DPVs remain unsuitable for deformable applications. When 3DPVs are integrated with mechanically deformable platforms, a fundamental trade‐off emerges: achieving large mechanical stretchability typically leads to a reduction in areal coverage. Here, we present a single‐material, mechanically origami‐coded 3D kirigami platform that enables programmable 3DPVs with unprecedented stretchability and areal coverage. Origami, which transforms 2D geometries into 3D forms, provides an effective structural strategy to overcome the long‐standing trade‐off between stretchability and areal coverage. Leveraging this concept, we introduce an origami‐inspired mechanical coding scheme that embeds programmable folding behavior into the structure. A simple extension–release cycle drives unit folding initiation and full origami activation, achieving ultrahigh stretchability (500%) and initial effective areal coverage (225%), while maintaining stable photovoltaic output under extreme deformation and repeated cycling. To ensure reliable electrical integration, an intrinsically integrable nano‐root anchored AgNWs–In–Ga multiphasic alloy conductor was co‐fabricated with the structure, providing stable conductivity and enabling reversible stack‐and‐connect operation. This approach highlights geometric programmability as a key enabler for freeform photovoltaics, establishing a pathway toward multifunctional 3D energy systems for adaptive devices, and urban energy harvesting.</w:t>
      </w:r>
    </w:p>
    <w:p>
      <w:pPr>
        <w:spacing w:before="120" w:after="120"/>
      </w:pPr>
      <w:r>
        <w:rPr>
          <w:sz w:val="18"/>
        </w:rPr>
        <w:t>——————————————————————————————————————————————————————————————————————</w:t>
      </w:r>
    </w:p>
    <w:p>
      <w:pPr>
        <w:spacing w:before="160" w:after="40" w:line="240" w:lineRule="auto"/>
      </w:pPr>
      <w:r>
        <w:rPr>
          <w:b/>
        </w:rPr>
        <w:t xml:space="preserve">[12] </w:t>
      </w:r>
      <w:hyperlink r:id="rId26">
        <w:r>
          <w:rPr>
            <w:color w:val="1155CC"/>
            <w:u w:val="single"/>
          </w:rPr>
          <w:t>利用峡谷效应增强智能农业的高适应性环境能量采集器</w:t>
        </w:r>
      </w:hyperlink>
    </w:p>
    <w:p>
      <w:pPr>
        <w:spacing w:before="0" w:after="80"/>
      </w:pPr>
      <w:r>
        <w:rPr>
          <w:i/>
          <w:sz w:val="20"/>
        </w:rPr>
        <w:t>EN: A High-Adaptability Ambient Energy Harvester Enhanced by the Canyon Effect for Smart Agriculture</w:t>
      </w:r>
    </w:p>
    <w:p>
      <w:pPr>
        <w:spacing w:before="0" w:after="120"/>
      </w:pPr>
      <w:r>
        <w:rPr>
          <w:b/>
        </w:rPr>
        <w:t xml:space="preserve">Source: </w:t>
      </w:r>
      <w:r>
        <w:t>RSC - Energy Environ. Sci. latest articles</w:t>
      </w:r>
      <w:r>
        <w:t xml:space="preserve">    </w:t>
      </w:r>
      <w:r>
        <w:rPr>
          <w:b/>
        </w:rPr>
        <w:t xml:space="preserve">Pub date: </w:t>
      </w:r>
      <w:r>
        <w:t>2026-06-09 23:00:00+00:00</w:t>
      </w:r>
    </w:p>
    <w:p>
      <w:pPr>
        <w:spacing w:before="0" w:after="120"/>
      </w:pPr>
      <w:r>
        <w:rPr>
          <w:b/>
        </w:rPr>
        <w:t xml:space="preserve">Notes: </w:t>
      </w:r>
      <w:r>
        <w:t>abstract_source=rsc_html</w:t>
      </w:r>
    </w:p>
    <w:p>
      <w:pPr>
        <w:spacing w:before="0" w:after="80" w:lineRule="auto" w:line="276"/>
      </w:pPr>
      <w:r>
        <w:rPr>
          <w:b/>
        </w:rPr>
        <w:t xml:space="preserve">摘要（ZH）: </w:t>
      </w:r>
      <w:r>
        <w:t>环境能量采集器在为分布式传感器节点供电方面显示出巨大的潜力。然而，其输出性能往往受到单一来源能源的限制，导致其在多变天气条件下的适应性、稳定性和能源利用率较差。在此，提出了一种由双凹流量放大器增强的高适应性环境能量收集器。放大器的全向气流平滑增强设计的灵感来自于峡谷效应。放大器的倾斜表面提供了积木式的模块化组装，实现了电磁-光伏-摩擦电效应的协同非侵入式集成。结果表明，该放大器将风能收集效率提高了86.87%，并将启动风速降低至0.4 m/s。在理论模拟实验框架内，测得的功率密度达到14.158 W/m 2 （风）、63.47 W/m 2 （太阳能）和25.42 W/m 2 （雨滴），在不同的天气条件下表现出强大的性能。值得注意的是，利用收割机的多能量传感功能，开发了自供电天气预警系统和自动化智能温室控制系统。这一系统级应用为能量采集器与智慧农业的深度融合提供了新的视角。</w:t>
      </w:r>
    </w:p>
    <w:p>
      <w:pPr>
        <w:spacing w:before="0" w:after="200" w:lineRule="auto" w:line="276"/>
      </w:pPr>
      <w:r>
        <w:rPr>
          <w:b/>
        </w:rPr>
        <w:t xml:space="preserve">Abstract (EN): </w:t>
      </w:r>
      <w:r>
        <w:t>Ambient energy harvesters show great potential for powering distributed sensor nodes. However, their output performance is often limited by a single-source energy, resulting in poor adaptability, stability, and energy utilization ratio in variable weather conditions. Herein, a high-adaptability ambient energy harvester enhanced by a bi-concave flow amplifier is proposed. The omnidirectional airflow smoothing enhancement design of the amplifier is inspired by the canyon effect. And the inclined surface of the amplifier offers building-block-like modular assembly, enabling synergistic non-invasive integration of electromagnetic-photovoltaic-triboelectric effect. The results indicate that the amplifier boosts the wind energy harvesting efficiency by 86.87 % and reduces the start-up wind speed to 0.4 m/s. Within the theoretical-simulationexperimental framework, the measured power densities reach 14.158 W/m 2 (wind), 63.47 W/m 2 (solar), and 25.42 W/m 2 (raindrop), demonstrating robust performance across varying weather conditions. Notably, leveraging the multi-energy sensing capabilities of the harvester, a self-powered weather warning system and an automated smart greenhouse control system have been developed. This system-level application offers a new perspective for the deep integration of energy harvesters with smart agriculture.</w:t>
      </w:r>
    </w:p>
    <w:p>
      <w:pPr>
        <w:spacing w:before="120" w:after="120"/>
      </w:pPr>
      <w:r>
        <w:rPr>
          <w:sz w:val="18"/>
        </w:rPr>
        <w:t>——————————————————————————————————————————————————————————————————————</w:t>
      </w:r>
    </w:p>
    <w:p>
      <w:pPr>
        <w:spacing w:before="160" w:after="40" w:line="240" w:lineRule="auto"/>
      </w:pPr>
      <w:r>
        <w:rPr>
          <w:b/>
        </w:rPr>
        <w:t xml:space="preserve">[13] </w:t>
      </w:r>
      <w:hyperlink r:id="rId27">
        <w:r>
          <w:rPr>
            <w:color w:val="1155CC"/>
            <w:u w:val="single"/>
          </w:rPr>
          <w:t>建筑一体化防眩光彩色光伏组件的效率预测和实验验证</w:t>
        </w:r>
      </w:hyperlink>
    </w:p>
    <w:p>
      <w:pPr>
        <w:spacing w:before="0" w:after="80"/>
      </w:pPr>
      <w:r>
        <w:rPr>
          <w:i/>
          <w:sz w:val="20"/>
        </w:rPr>
        <w:t>EN: Efficiency prediction and experimental validation of anti-glare coloured photovoltaic modules for building integration</w:t>
      </w:r>
    </w:p>
    <w:p>
      <w:pPr>
        <w:spacing w:before="0" w:after="120"/>
      </w:pPr>
      <w:r>
        <w:rPr>
          <w:b/>
        </w:rPr>
        <w:t xml:space="preserve">Source: </w:t>
      </w:r>
      <w:r>
        <w:t>ScienceDirect Publication: Applied Energy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8">
        <w:r>
          <w:rPr>
            <w:color w:val="1155CC"/>
            <w:u w:val="single"/>
          </w:rPr>
          <w:t>具有自适应组归一化的天气引导条件扩散模型，用于对缺失的分布式光伏发电数据进行鲁棒插补</w:t>
        </w:r>
      </w:hyperlink>
    </w:p>
    <w:p>
      <w:pPr>
        <w:spacing w:before="0" w:after="80"/>
      </w:pPr>
      <w:r>
        <w:rPr>
          <w:i/>
          <w:sz w:val="20"/>
        </w:rPr>
        <w:t>EN: Weather-guided conditional diffusion model with adaptive group normalization for robust imputation of missing distributed photovoltaic power data</w:t>
      </w:r>
    </w:p>
    <w:p>
      <w:pPr>
        <w:spacing w:before="0" w:after="120"/>
      </w:pPr>
      <w:r>
        <w:rPr>
          <w:b/>
        </w:rPr>
        <w:t xml:space="preserve">Source: </w:t>
      </w:r>
      <w:r>
        <w:t>ScienceDirect Publication: Applied Energy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9">
        <w:r>
          <w:rPr>
            <w:color w:val="1155CC"/>
            <w:u w:val="single"/>
          </w:rPr>
          <w:t>动态跟踪光伏温室系统性能评估</w:t>
        </w:r>
      </w:hyperlink>
    </w:p>
    <w:p>
      <w:pPr>
        <w:spacing w:before="0" w:after="80"/>
      </w:pPr>
      <w:r>
        <w:rPr>
          <w:i/>
          <w:sz w:val="20"/>
        </w:rPr>
        <w:t>EN: Performance evaluation of a dynamic tracking photovoltaic greenhouse system</w:t>
      </w:r>
    </w:p>
    <w:p>
      <w:pPr>
        <w:spacing w:before="0" w:after="120"/>
      </w:pPr>
      <w:r>
        <w:rPr>
          <w:b/>
        </w:rPr>
        <w:t xml:space="preserve">Source: </w:t>
      </w:r>
      <w:r>
        <w:t>ScienceDirect Publication: Applied Energy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30">
        <w:r>
          <w:rPr>
            <w:color w:val="1155CC"/>
            <w:u w:val="single"/>
          </w:rPr>
          <w:t>界面介导的结晶使不含 PEDOT:PSS 的全钙钛矿串联材料具有 29.1% 的效率和增强的耐用性</w:t>
        </w:r>
      </w:hyperlink>
    </w:p>
    <w:p>
      <w:pPr>
        <w:spacing w:before="0" w:after="80"/>
      </w:pPr>
      <w:r>
        <w:rPr>
          <w:i/>
          <w:sz w:val="20"/>
        </w:rPr>
        <w:t>EN: Interface-mediated crystallization enables PEDOT:PSS-free all-perovskite tandems with 29.1% efficiency and enhanced durability</w:t>
      </w:r>
    </w:p>
    <w:p>
      <w:pPr>
        <w:spacing w:before="0" w:after="120"/>
      </w:pPr>
      <w:r>
        <w:rPr>
          <w:b/>
        </w:rPr>
        <w:t xml:space="preserve">Source: </w:t>
      </w:r>
      <w:r>
        <w:t>Joule</w:t>
      </w:r>
      <w:r>
        <w:t xml:space="preserve">    </w:t>
      </w:r>
      <w:r>
        <w:rPr>
          <w:b/>
        </w:rPr>
        <w:t xml:space="preserve">Pub date: </w:t>
      </w:r>
      <w:r>
        <w:t>2026-06-10 00:00:00+00:00</w:t>
      </w:r>
      <w:r>
        <w:t xml:space="preserve">    </w:t>
      </w:r>
      <w:r>
        <w:rPr>
          <w:b/>
        </w:rPr>
        <w:t xml:space="preserve">DOI: </w:t>
      </w:r>
      <w:hyperlink r:id="rId31">
        <w:r>
          <w:rPr>
            <w:color w:val="1155CC"/>
            <w:u w:val="single"/>
          </w:rPr>
          <w:t>10.1016/j.joule.2026.102501</w:t>
        </w:r>
      </w:hyperlink>
    </w:p>
    <w:p>
      <w:pPr>
        <w:spacing w:before="0" w:after="120"/>
      </w:pPr>
      <w:r>
        <w:rPr>
          <w:b/>
        </w:rPr>
        <w:t xml:space="preserve">Notes: </w:t>
      </w:r>
      <w:r>
        <w:t>abstract_source=rss_cell</w:t>
      </w:r>
    </w:p>
    <w:p>
      <w:pPr>
        <w:spacing w:before="0" w:after="80" w:lineRule="auto" w:line="276"/>
      </w:pPr>
      <w:r>
        <w:rPr>
          <w:b/>
        </w:rPr>
        <w:t xml:space="preserve">摘要（ZH）: </w:t>
      </w:r>
      <w:r>
        <w:t>用吩噻嗪功能化界面取代吸湿性 PEDOT:PSS 可抑制亚稳态相偏析并引导 Sn-Pb 钙钛矿结晶。双锚中间层可以在串联器件中形成稳健的互连。不含 PEDOT:PSS 的单片全钙钛矿串联器件实现了 29.1% 的创纪录效率和长期稳定性，表明精确的界面设计同时实现了高效率和耐用性。</w:t>
      </w:r>
    </w:p>
    <w:p>
      <w:pPr>
        <w:spacing w:before="0" w:after="200" w:lineRule="auto" w:line="276"/>
      </w:pPr>
      <w:r>
        <w:rPr>
          <w:b/>
        </w:rPr>
        <w:t xml:space="preserve">Abstract (EN): </w:t>
      </w:r>
      <w:r>
        <w:t>Replacing hygroscopic PEDOT:PSS with a phenothiazine-functionalized interface suppresses metastable phase segregation and directs Sn-Pb perovskite crystallization. A dual-anchor interlayer can form a robust interconnection in tandem devices. The PEDOT:PSS-free monolithic all-perovskite tandem achieves a record efficiency of 29.1% and long-term stability, demonstrating that precise interface design simultaneously enables high efficiency and durability.</w:t>
      </w:r>
    </w:p>
    <w:p>
      <w:pPr>
        <w:spacing w:before="120" w:after="120"/>
      </w:pPr>
      <w:r>
        <w:rPr>
          <w:sz w:val="18"/>
        </w:rPr>
        <w:t>——————————————————————————————————————————————————————————————————————</w:t>
      </w:r>
    </w:p>
    <w:p>
      <w:pPr>
        <w:spacing w:before="160" w:after="40" w:line="240" w:lineRule="auto"/>
      </w:pPr>
      <w:r>
        <w:rPr>
          <w:b/>
        </w:rPr>
        <w:t xml:space="preserve">[17] </w:t>
      </w:r>
      <w:hyperlink r:id="rId32">
        <w:r>
          <w:rPr>
            <w:color w:val="1155CC"/>
            <w:u w:val="single"/>
          </w:rPr>
          <w:t>驯服构象熵以实现低成本和高性能有机光伏发电</w:t>
        </w:r>
      </w:hyperlink>
    </w:p>
    <w:p>
      <w:pPr>
        <w:spacing w:before="0" w:after="80"/>
      </w:pPr>
      <w:r>
        <w:rPr>
          <w:i/>
          <w:sz w:val="20"/>
        </w:rPr>
        <w:t>EN: Taming conformational entropy for low-cost and high-performance organic photovoltaics</w:t>
      </w:r>
    </w:p>
    <w:p>
      <w:pPr>
        <w:spacing w:before="0" w:after="120"/>
      </w:pPr>
      <w:r>
        <w:rPr>
          <w:b/>
        </w:rPr>
        <w:t xml:space="preserve">Source: </w:t>
      </w:r>
      <w:r>
        <w:t>National Science Review Advance Access</w:t>
      </w:r>
      <w:r>
        <w:t xml:space="preserve">    </w:t>
      </w:r>
      <w:r>
        <w:rPr>
          <w:b/>
        </w:rPr>
        <w:t xml:space="preserve">Pub date: </w:t>
      </w:r>
      <w:r>
        <w:t>2026-06-11 00:00:00+00:00</w:t>
      </w:r>
      <w:r>
        <w:t xml:space="preserve">    </w:t>
      </w:r>
      <w:r>
        <w:rPr>
          <w:b/>
        </w:rPr>
        <w:t xml:space="preserve">DOI: </w:t>
      </w:r>
      <w:hyperlink r:id="rId33">
        <w:r>
          <w:rPr>
            <w:color w:val="1155CC"/>
            <w:u w:val="single"/>
          </w:rPr>
          <w:t>10.1093/nsr/nwag355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34">
        <w:r>
          <w:rPr>
            <w:color w:val="1155CC"/>
            <w:u w:val="single"/>
          </w:rPr>
          <w:t>开发等离激元 Au/NbS2 异质结构中的金属-半金属过渡金属二硫属化物界面，以增强电荷转移和光电化学析氢反应</w:t>
        </w:r>
      </w:hyperlink>
    </w:p>
    <w:p>
      <w:pPr>
        <w:spacing w:before="0" w:after="80"/>
      </w:pPr>
      <w:r>
        <w:rPr>
          <w:i/>
          <w:sz w:val="20"/>
        </w:rPr>
        <w:t>EN: Developing Metal–Semimetallic Transition Metal Dichalcogenide Interfaces in Plasmonic Au/NbS2 Heterostructures for Enhanced Charge Transfer and Photoelectrochemical Hydrogen Evolution Reaction</w:t>
      </w:r>
    </w:p>
    <w:p>
      <w:pPr>
        <w:spacing w:before="0" w:after="120"/>
      </w:pPr>
      <w:r>
        <w:rPr>
          <w:b/>
        </w:rPr>
        <w:t xml:space="preserve">Source: </w:t>
      </w:r>
      <w:r>
        <w:t>Wiley-Online-Library: Advanced Energy Materials: Table of Contents</w:t>
      </w:r>
      <w:r>
        <w:t xml:space="preserve">    </w:t>
      </w:r>
      <w:r>
        <w:rPr>
          <w:b/>
        </w:rPr>
        <w:t xml:space="preserve">Pub date: </w:t>
      </w:r>
      <w:r>
        <w:t>2026-06-11 06:33:05+00:00</w:t>
      </w:r>
      <w:r>
        <w:t xml:space="preserve">    </w:t>
      </w:r>
      <w:r>
        <w:rPr>
          <w:b/>
        </w:rPr>
        <w:t xml:space="preserve">DOI: </w:t>
      </w:r>
      <w:hyperlink r:id="rId35">
        <w:r>
          <w:rPr>
            <w:color w:val="1155CC"/>
            <w:u w:val="single"/>
          </w:rPr>
          <w:t>10.1002/aenm.71184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开发具有成本效益且高效的光电极（PE）对于推进太阳能驱动光电化学（PEC）氢（H</w:t>
      </w:r>
      <w:r>
        <w:rPr>
          <w:vertAlign w:val="subscript"/>
        </w:rPr>
        <w:t>2</w:t>
      </w:r>
      <w:r>
        <w:t>）生产技术。为了增强 PEC 性能，将等离子体纳米颗粒与活性催化剂结合起来似乎很有前景。在这里，我们报道了一种简单而强大的 PE，由装饰在 NbS 上的 Au 纳米颗粒 (NP) 组成</w:t>
      </w:r>
      <w:r>
        <w:rPr>
          <w:vertAlign w:val="subscript"/>
        </w:rPr>
        <w:t>2</w:t>
      </w:r>
      <w:r>
        <w:t>纳米薄片（NF），直接生长在碳纤维纸上。在这种异质结构中，Au NP 充当等离子体天线，增强局部电磁场，从而加强光物质相互作用，NbS</w:t>
      </w:r>
      <w:r>
        <w:rPr>
          <w:vertAlign w:val="subscript"/>
        </w:rPr>
        <w:t>2</w:t>
      </w:r>
      <w:r>
        <w:t>NF 作为高导电半金属支架，提供丰富的 HER 活性位点，以及 Au NP/NbS 的连接</w:t>
      </w:r>
      <w:r>
        <w:rPr>
          <w:vertAlign w:val="subscript"/>
        </w:rPr>
        <w:t>2</w:t>
      </w:r>
      <w:r>
        <w:t>NF 可实现有效的电荷分离和 NbS 的快速电子转移</w:t>
      </w:r>
      <w:r>
        <w:rPr>
          <w:vertAlign w:val="subscript"/>
        </w:rPr>
        <w:t>2</w:t>
      </w:r>
      <w:r>
        <w:t>Au，从而协同加速光照下的 HER 动力学。因此，该 Au NP/NbS</w:t>
      </w:r>
      <w:r>
        <w:rPr>
          <w:vertAlign w:val="subscript"/>
        </w:rPr>
        <w:t>2</w:t>
      </w:r>
      <w:r>
        <w:t>NF异质结构首次在光照下表现出卓越的PEC性能，例如交换电流密度增加6倍，过电势降低1.75倍，H产率提高2.45倍。</w:t>
      </w:r>
      <w:r>
        <w:rPr>
          <w:vertAlign w:val="subscript"/>
        </w:rPr>
        <w:t>2</w:t>
      </w:r>
      <w:r>
        <w:t>分别生产。基于Au NP/NbS异质结构</w:t>
      </w:r>
      <w:r>
        <w:rPr>
          <w:vertAlign w:val="subscript"/>
        </w:rPr>
        <w:t>2</w:t>
      </w:r>
      <w:r>
        <w:t>NF，这项工作建立了</w:t>
      </w:r>
    </w:p>
    <w:p>
      <w:pPr>
        <w:spacing w:before="0" w:after="200" w:lineRule="auto" w:line="276"/>
      </w:pPr>
      <w:r>
        <w:rPr>
          <w:b/>
        </w:rPr>
        <w:t xml:space="preserve">Abstract (EN): </w:t>
      </w:r>
      <w:r>
        <w:t>The development of cost‐effective and highly‐efficient photoelectrodes (PE) is critical for advancing solar driven photoelectrochemical (PEC) hydrogen (H</w:t>
      </w:r>
      <w:r>
        <w:rPr>
          <w:vertAlign w:val="subscript"/>
        </w:rPr>
        <w:t>2</w:t>
      </w:r>
      <w:r>
        <w:t>) production technologies. For enhancing PEC performance, it appears promising to combine plasmonic nanoparticles with active catalysts. Here we report a facile and powerful PE comprised of Au nanoparticles (NP) decorated on NbS</w:t>
      </w:r>
      <w:r>
        <w:rPr>
          <w:vertAlign w:val="subscript"/>
        </w:rPr>
        <w:t>2</w:t>
      </w:r>
      <w:r>
        <w:t>nanoflakes (NF), directly grown on the carbon fiber paper. In this heterostructure, Au NP acts as plasmonic antennas that intensify local electromagnetic fields strengthening light matter interactions, NbS</w:t>
      </w:r>
      <w:r>
        <w:rPr>
          <w:vertAlign w:val="subscript"/>
        </w:rPr>
        <w:t>2</w:t>
      </w:r>
      <w:r>
        <w:t>NF functions as a highly conductive semimetal scaffold offering abundant active HER sites, and the junction of Au NP/NbS</w:t>
      </w:r>
      <w:r>
        <w:rPr>
          <w:vertAlign w:val="subscript"/>
        </w:rPr>
        <w:t>2</w:t>
      </w:r>
      <w:r>
        <w:t>NF enables efficient charge separation and fast electron transfer from NbS</w:t>
      </w:r>
      <w:r>
        <w:rPr>
          <w:vertAlign w:val="subscript"/>
        </w:rPr>
        <w:t>2</w:t>
      </w:r>
      <w:r>
        <w:t>to Au, thereby synergistically accelerating HER kinetics under illumination. Consequently, this Au NP/NbS</w:t>
      </w:r>
      <w:r>
        <w:rPr>
          <w:vertAlign w:val="subscript"/>
        </w:rPr>
        <w:t>2</w:t>
      </w:r>
      <w:r>
        <w:t>NF heterostructure, for the first time, demonstrates remarkable PEC performance under illumination, such as a 6‐fold increase in the exchange current density, a 1.75‐fold reduction in overpotential, and a 2.45‐fold yield in the H</w:t>
      </w:r>
      <w:r>
        <w:rPr>
          <w:vertAlign w:val="subscript"/>
        </w:rPr>
        <w:t>2</w:t>
      </w:r>
      <w:r>
        <w:t>production, respectively. Based on the heterostructure of Au NP/NbS</w:t>
      </w:r>
      <w:r>
        <w:rPr>
          <w:vertAlign w:val="subscript"/>
        </w:rPr>
        <w:t>2</w:t>
      </w:r>
      <w:r>
        <w:t>NF, this work establishes a strategy of constructing a cost‐effective and highly‐efficient PE and providing valuable insights into the rational design of next generation PE for the sustainable hydrogen production.</w:t>
      </w:r>
    </w:p>
    <w:p>
      <w:pPr>
        <w:spacing w:before="120" w:after="120"/>
      </w:pPr>
      <w:r>
        <w:rPr>
          <w:sz w:val="18"/>
        </w:rPr>
        <w:t>——————————————————————————————————————————————————————————————————————</w:t>
      </w:r>
    </w:p>
    <w:p>
      <w:pPr>
        <w:spacing w:before="160" w:after="40" w:line="240" w:lineRule="auto"/>
      </w:pPr>
      <w:r>
        <w:rPr>
          <w:b/>
        </w:rPr>
        <w:t xml:space="preserve">[19] </w:t>
      </w:r>
      <w:hyperlink r:id="rId36">
        <w:r>
          <w:rPr>
            <w:color w:val="1155CC"/>
            <w:u w:val="single"/>
          </w:rPr>
          <w:t>高效全钙钛矿串联太阳能电池的硬路易斯碱驱动结晶控制</w:t>
        </w:r>
      </w:hyperlink>
    </w:p>
    <w:p>
      <w:pPr>
        <w:spacing w:before="0" w:after="80"/>
      </w:pPr>
      <w:r>
        <w:rPr>
          <w:i/>
          <w:sz w:val="20"/>
        </w:rPr>
        <w:t>EN: Hard Lewis Base‐Driven Crystallization Control for Efficient All‐Perovskite Tandem Solar Cells</w:t>
      </w:r>
    </w:p>
    <w:p>
      <w:pPr>
        <w:spacing w:before="0" w:after="120"/>
      </w:pPr>
      <w:r>
        <w:rPr>
          <w:b/>
        </w:rPr>
        <w:t xml:space="preserve">Source: </w:t>
      </w:r>
      <w:r>
        <w:t>Wiley-Online-Library: Advanced Materials: Table of Contents</w:t>
      </w:r>
      <w:r>
        <w:t xml:space="preserve">    </w:t>
      </w:r>
      <w:r>
        <w:rPr>
          <w:b/>
        </w:rPr>
        <w:t xml:space="preserve">Pub date: </w:t>
      </w:r>
      <w:r>
        <w:t>2026-06-11 08:18:57+00:00</w:t>
      </w:r>
      <w:r>
        <w:t xml:space="preserve">    </w:t>
      </w:r>
      <w:r>
        <w:rPr>
          <w:b/>
        </w:rPr>
        <w:t xml:space="preserve">DOI: </w:t>
      </w:r>
      <w:hyperlink r:id="rId37">
        <w:r>
          <w:rPr>
            <w:color w:val="1155CC"/>
            <w:u w:val="single"/>
          </w:rPr>
          <w:t>10.1002/adma.73682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钙钛矿串联太阳能电池（APTSC）由于其更高的理论效率和更广泛的光谱覆盖范围，近年来引起了人们广泛的研究兴趣。尽管如此，作为APTSC中的底部窄带隙电池，锡铅（Sn-Pb）杂化钙钛矿太阳能电池（PSC）仍然面临着缺陷密度高和结晶形貌差的挑战，这阻碍了器件性能和长期稳定性的进一步提高。这项工作提出了一种路易斯硬碱度放大策略，该策略提供了额外的潜在硬酸结合位点并促进与 Sn 的配位</w:t>
      </w:r>
      <w:r>
        <w:t xml:space="preserve"> </w:t>
      </w:r>
      <w:r>
        <w:t>2+</w:t>
      </w:r>
      <w:r>
        <w:t xml:space="preserve"> </w:t>
      </w:r>
      <w:r>
        <w:t>，从而实现缺陷钝化并调节结晶。最终，我们的单结 Sn-Pb PSC 实现了 23.71% 的冠军功率转换效率 (PCE)。通过将 1.77 eV 宽带隙钙钛矿与 Sn-Pb 杂化钙钛矿集成，我们进一步制造了 APTSC，其冠军 PCE 为 29.44%。在单太阳照明下连续运行 1080 小时后，这两种器件仍保留了大约 80% 的初始效率。</w:t>
      </w:r>
    </w:p>
    <w:p>
      <w:pPr>
        <w:spacing w:before="0" w:after="200" w:lineRule="auto" w:line="276"/>
      </w:pPr>
      <w:r>
        <w:rPr>
          <w:b/>
        </w:rPr>
        <w:t xml:space="preserve">Abstract (EN): </w:t>
      </w:r>
      <w:r>
        <w:t>All‐perovskite tandem solar cells (APTSCs) have attracted considerable research interest in recent years due to their higher theoretical efficiencies and broader spectral coverage. Nonetheless, as the bottom narrow‐bandgap cell in APTSCs, tin‐lead (Sn‐Pb) hybrid perovskite solar cells (PSCs) still face challenges of high defect density and poor crystallization morphology, which hinder the further improvement of device performance and long‐term stability. This work proposes a Lewis hard‐basicity amplification strategy that provides additional potential hard‐acid binding sites and promotes coordination with Sn</w:t>
      </w:r>
      <w:r>
        <w:t xml:space="preserve"> </w:t>
      </w:r>
      <w:r>
        <w:t>2+</w:t>
      </w:r>
      <w:r>
        <w:t xml:space="preserve"> </w:t>
      </w:r>
      <w:r>
        <w:t>, thereby enabling defect passivation and regulating crystallization. Ultimately, we achieved a champion power conversion efficiency (PCE) of 23.71% for single‐junction Sn‐Pb PSCs. By integrating 1.77 eV wide‐bandgap perovskites with Sn‐Pb hybrid perovskites, we further fabricated APTSCs with a champion PCE of 29.44%. Both devices retain approximately 80% of their initial efficiency after 1080 h of continuous operation under one‐sun illumination.</w:t>
      </w:r>
    </w:p>
    <w:p>
      <w:pPr>
        <w:spacing w:before="120" w:after="120"/>
      </w:pPr>
      <w:r>
        <w:rPr>
          <w:sz w:val="18"/>
        </w:rPr>
        <w:t>——————————————————————————————————————————————————————————————————————</w:t>
      </w:r>
    </w:p>
    <w:p>
      <w:pPr>
        <w:spacing w:before="160" w:after="40" w:line="240" w:lineRule="auto"/>
      </w:pPr>
      <w:r>
        <w:rPr>
          <w:b/>
        </w:rPr>
        <w:t xml:space="preserve">[20] </w:t>
      </w:r>
      <w:hyperlink r:id="rId38">
        <w:r>
          <w:rPr>
            <w:color w:val="1155CC"/>
            <w:u w:val="single"/>
          </w:rPr>
          <w:t>卤化物钙钛矿中成分依赖性热稳定性的高精度机器学习预测</w:t>
        </w:r>
      </w:hyperlink>
    </w:p>
    <w:p>
      <w:pPr>
        <w:spacing w:before="0" w:after="80"/>
      </w:pPr>
      <w:r>
        <w:rPr>
          <w:i/>
          <w:sz w:val="20"/>
        </w:rPr>
        <w:t>EN: High‐Accuracy Machine Learning Projections of Composition‐Dependent Thermal Stability in Halide Perovskites</w:t>
      </w:r>
    </w:p>
    <w:p>
      <w:pPr>
        <w:spacing w:before="0" w:after="120"/>
      </w:pPr>
      <w:r>
        <w:rPr>
          <w:b/>
        </w:rPr>
        <w:t xml:space="preserve">Source: </w:t>
      </w:r>
      <w:r>
        <w:t>Wiley-Online-Library: Advanced Materials: Table of Contents</w:t>
      </w:r>
      <w:r>
        <w:t xml:space="preserve">    </w:t>
      </w:r>
      <w:r>
        <w:rPr>
          <w:b/>
        </w:rPr>
        <w:t xml:space="preserve">Pub date: </w:t>
      </w:r>
      <w:r>
        <w:t>2026-06-11 09:50:49+00:00</w:t>
      </w:r>
      <w:r>
        <w:t xml:space="preserve">    </w:t>
      </w:r>
      <w:r>
        <w:rPr>
          <w:b/>
        </w:rPr>
        <w:t xml:space="preserve">DOI: </w:t>
      </w:r>
      <w:hyperlink r:id="rId39">
        <w:r>
          <w:rPr>
            <w:color w:val="1155CC"/>
            <w:u w:val="single"/>
          </w:rPr>
          <w:t>10.1002/adma.73636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由于几种成分依赖的降解机制，卤化物钙钛矿在响应环境压力时表现出不可预测的特性。在这项工作中，我们结合高通量实验、数据可视化和机器学习 (ML) 技术，通过分析高通量原位环境光致发光 (PL) 实验来量化成分、温度和材料特性之间的相关性。相关热图显示了铯含量对薄膜降解的影响，降维可视化方法揭示了清晰的基于成分的簇，尽管数据集重叠。对 10 种 ML 算法进行稳健筛选，可使用单一组合、组合广义和组合广义堆叠方法有效预测 PL 特征，性能最高的模型分别达到 1.84、10.69 和 10.28 的均方根误差。使用多输出合成广义额外树和岭回归堆叠模型，可以预测任何时间、温度和合成输入的完整 PL 谱。我们基于机器学习的框架可以扩展到其他钙钛矿系列，从而显着缩短确定光伏电池稳定选择的分析时间。</w:t>
      </w:r>
    </w:p>
    <w:p>
      <w:pPr>
        <w:spacing w:before="0" w:after="200" w:lineRule="auto" w:line="276"/>
      </w:pPr>
      <w:r>
        <w:rPr>
          <w:b/>
        </w:rPr>
        <w:t xml:space="preserve">Abstract (EN): </w:t>
      </w:r>
      <w:r>
        <w:t>Halide perovskites exhibit unpredictable properties in response to environmental stressors due to several composition‐dependent degradation mechanisms. In this work, we combine high‐throughput experiments, data visualization, and machine learning (ML) techniques to quantify correlations between composition, temperature, and material properties by analyzing high‐throughput, in situ environmental photoluminescence (PL) experiments. Correlation heatmaps show the influence of Cs content on film degradation, and dimensionality reduction visualization methods uncover clear composition‐based clusters despite overlapping datasets. A robust screening of 10 ML algorithms effectively forecasts PL features with single‐composition, composition‐generalized, and composition‐generalized stacking approaches, with the highest‐performing models achieving root mean squared errors of 1.84, 10.69, and 10.28, respectively. Using a multi‐output composition‐generalized Extra‐Trees and Ridge Regression stacked model, a full PL spectrum can be predicted for any time, temperature, and composition input. Our ML‐based framework could be expanded to other perovskite families, significantly reducing the analysis time to identify stable options for photovoltaics.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0">
        <w:r>
          <w:rPr>
            <w:color w:val="1155CC"/>
            <w:u w:val="single"/>
          </w:rPr>
          <w:t>界面电场诱导的离子-电子耦合策略使废阴极获得高性能 LiFePO4</w:t>
        </w:r>
      </w:hyperlink>
    </w:p>
    <w:p>
      <w:pPr>
        <w:spacing w:before="0" w:after="80"/>
      </w:pPr>
      <w:r>
        <w:rPr>
          <w:i/>
          <w:sz w:val="20"/>
        </w:rPr>
        <w:t>EN: Ion‐Electron Coupling Strategy Induced by Interface Electric Field Enables High‐Performance LiFePO4 From Spent Cathode</w:t>
      </w:r>
    </w:p>
    <w:p>
      <w:pPr>
        <w:spacing w:before="0" w:after="120"/>
      </w:pPr>
      <w:r>
        <w:rPr>
          <w:b/>
        </w:rPr>
        <w:t xml:space="preserve">Source: </w:t>
      </w:r>
      <w:r>
        <w:t>Wiley: Angewandte Chemie International Edition: Table of Contents</w:t>
      </w:r>
      <w:r>
        <w:t xml:space="preserve">    </w:t>
      </w:r>
      <w:r>
        <w:rPr>
          <w:b/>
        </w:rPr>
        <w:t xml:space="preserve">Pub date: </w:t>
      </w:r>
      <w:r>
        <w:t>2026-06-07 16:30:35+00:00</w:t>
      </w:r>
      <w:r>
        <w:t xml:space="preserve">    </w:t>
      </w:r>
      <w:r>
        <w:rPr>
          <w:b/>
        </w:rPr>
        <w:t xml:space="preserve">DOI: </w:t>
      </w:r>
      <w:hyperlink r:id="rId41">
        <w:r>
          <w:rPr>
            <w:color w:val="1155CC"/>
            <w:u w:val="single"/>
          </w:rPr>
          <w:t>10.1002/anie.8268985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废磷酸铁锂的直接再生</w:t>
      </w:r>
      <w:r>
        <w:rPr>
          <w:vertAlign w:val="subscript"/>
        </w:rPr>
        <w:t>4</w:t>
      </w:r>
      <w:r>
        <w:t>（LFP）主要受到并发Li的高能垒的限制</w:t>
      </w:r>
      <w:r>
        <w:t xml:space="preserve"> </w:t>
      </w:r>
      <w:r>
        <w:t>+</w:t>
      </w:r>
      <w:r>
        <w:t xml:space="preserve"> </w:t>
      </w:r>
      <w:r>
        <w:t>和电子传输，这个问题很少被系统地解决。在此，提出了一种由界面电场（IEF）驱动的离子电子耦合（IEC）策略，以实现协调的Li</w:t>
      </w:r>
      <w:r>
        <w:t xml:space="preserve"> </w:t>
      </w:r>
      <w:r>
        <w:t>+</w:t>
      </w:r>
      <w:r>
        <w:t xml:space="preserve"> </w:t>
      </w:r>
      <w:r>
        <w:t>和电子流动，从而克服这些传输障碍。在 LFP 表面构建局部硼碳 (B–C) 偶极子布的策略建立了功函数 (</w:t>
      </w:r>
      <w:r>
        <w:t xml:space="preserve"> </w:t>
      </w:r>
      <w:r>
        <w:t>瓦</w:t>
      </w:r>
      <w:r>
        <w:t xml:space="preserve"> </w:t>
      </w:r>
      <w:r>
        <w:t>F</w:t>
      </w:r>
      <w:r>
        <w:t xml:space="preserve"> </w:t>
      </w:r>
      <w:r>
        <w:t>）梯度，外部低于内部。这种独特的梯度驱动自发电子流从 C@B 到 LFP，形成定向 IEF，同时建立高效的 Li</w:t>
      </w:r>
      <w:r>
        <w:t xml:space="preserve"> </w:t>
      </w:r>
      <w:r>
        <w:t>+</w:t>
      </w:r>
      <w:r>
        <w:t xml:space="preserve"> </w:t>
      </w:r>
      <w:r>
        <w:t>运输途径。这种协同过程显着降低了两种载体的能垒，确保了充足的锂</w:t>
      </w:r>
      <w:r>
        <w:t xml:space="preserve"> </w:t>
      </w:r>
      <w:r>
        <w:t>+</w:t>
      </w:r>
      <w:r>
        <w:t xml:space="preserve"> </w:t>
      </w:r>
      <w:r>
        <w:t>和电子供应以实现有效再生。而且，再生后的LFP中保持了IEF，这也保证了快速Li</w:t>
      </w:r>
      <w:r>
        <w:t xml:space="preserve"> </w:t>
      </w:r>
      <w:r>
        <w:t>+</w:t>
      </w:r>
      <w:r>
        <w:t xml:space="preserve"> </w:t>
      </w:r>
      <w:r>
        <w:t>和电子传输，使再生LFP具有优异的电化学性能，其倍率容量高达111.4 mAh g</w:t>
      </w:r>
      <w:r>
        <w:t xml:space="preserve"> </w:t>
      </w:r>
      <w:r>
        <w:t>-</w:t>
      </w:r>
      <w:r>
        <w:rPr>
          <w:vertAlign w:val="subscript"/>
        </w:rPr>
        <w:t>1</w:t>
      </w:r>
      <w:r>
        <w:t>10 点</w:t>
      </w:r>
    </w:p>
    <w:p>
      <w:pPr>
        <w:spacing w:before="0" w:after="200" w:lineRule="auto" w:line="276"/>
      </w:pPr>
      <w:r>
        <w:rPr>
          <w:b/>
        </w:rPr>
        <w:t xml:space="preserve">Abstract (EN): </w:t>
      </w:r>
      <w:r>
        <w:t>The direct regeneration of spent LiFePO</w:t>
      </w:r>
      <w:r>
        <w:rPr>
          <w:vertAlign w:val="subscript"/>
        </w:rPr>
        <w:t>4</w:t>
      </w:r>
      <w:r>
        <w:t>(LFP) is primarily constrained by the high energy barriers for concurrent Li</w:t>
      </w:r>
      <w:r>
        <w:t xml:space="preserve"> </w:t>
      </w:r>
      <w:r>
        <w:t>+</w:t>
      </w:r>
      <w:r>
        <w:t xml:space="preserve"> </w:t>
      </w:r>
      <w:r>
        <w:t>and electron transport, which has rarely been systematically addressed. Herein, an ion‐electron coupling (IEC) strategy is proposed, driven by an interfacial electric field (IEF), to achieve coordinated Li</w:t>
      </w:r>
      <w:r>
        <w:t xml:space="preserve"> </w:t>
      </w:r>
      <w:r>
        <w:t>+</w:t>
      </w:r>
      <w:r>
        <w:t xml:space="preserve"> </w:t>
      </w:r>
      <w:r>
        <w:t>and electron flow, thereby overcoming these transport barriers. The strategy of constructing localized boron–carbon (B–C) dipoles clothing on the LFP surface establishes a work function (</w:t>
      </w:r>
      <w:r>
        <w:t xml:space="preserve"> </w:t>
      </w:r>
      <w:r>
        <w:t>W</w:t>
      </w:r>
      <w:r>
        <w:t xml:space="preserve"> </w:t>
      </w:r>
      <w:r>
        <w:t>F</w:t>
      </w:r>
      <w:r>
        <w:t xml:space="preserve"> </w:t>
      </w:r>
      <w:r>
        <w:t>) gradient with the exterior lower than the interior. This unique gradient drives spontaneous electron flow from the C@B to the LFP to form a directional IEF that simultaneously establishes efficient Li</w:t>
      </w:r>
      <w:r>
        <w:t xml:space="preserve"> </w:t>
      </w:r>
      <w:r>
        <w:t>+</w:t>
      </w:r>
      <w:r>
        <w:t xml:space="preserve"> </w:t>
      </w:r>
      <w:r>
        <w:t>transport pathways. This synergistic process significantly lowers the energy barriers for both carriers, ensuring ample Li</w:t>
      </w:r>
      <w:r>
        <w:t xml:space="preserve"> </w:t>
      </w:r>
      <w:r>
        <w:t>+</w:t>
      </w:r>
      <w:r>
        <w:t xml:space="preserve"> </w:t>
      </w:r>
      <w:r>
        <w:t>and electron supply for effective regeneration. Moreover, the IEF is maintained in the regenerated LFP, which also ensures rapid Li</w:t>
      </w:r>
      <w:r>
        <w:t xml:space="preserve"> </w:t>
      </w:r>
      <w:r>
        <w:t>+</w:t>
      </w:r>
      <w:r>
        <w:t xml:space="preserve"> </w:t>
      </w:r>
      <w:r>
        <w:t>and electron transport and leads to the excellent electrochemical performance of the regenerated LFP, with an outstanding rate capacity of 111.4 mAh g</w:t>
      </w:r>
      <w:r>
        <w:t xml:space="preserve"> </w:t>
      </w:r>
      <w:r>
        <w:t>−</w:t>
      </w:r>
      <w:r>
        <w:rPr>
          <w:vertAlign w:val="subscript"/>
        </w:rPr>
        <w:t>1</w:t>
      </w:r>
      <w:r>
        <w:t>at 10 C, a capacity retention of 86.6% after 1000 cycles at 1 C. This work provides a novel and universal strategy to upgrade the LFP cathode from spent lithium‐ion batteries.</w:t>
      </w:r>
    </w:p>
    <w:p>
      <w:pPr>
        <w:spacing w:before="120" w:after="120"/>
      </w:pPr>
      <w:r>
        <w:rPr>
          <w:sz w:val="18"/>
        </w:rPr>
        <w:t>——————————————————————————————————————————————————————————————————————</w:t>
      </w:r>
    </w:p>
    <w:p>
      <w:pPr>
        <w:spacing w:before="160" w:after="40" w:line="240" w:lineRule="auto"/>
      </w:pPr>
      <w:r>
        <w:rPr>
          <w:b/>
        </w:rPr>
        <w:t xml:space="preserve">[2] </w:t>
      </w:r>
      <w:hyperlink r:id="rId42">
        <w:r>
          <w:rPr>
            <w:color w:val="1155CC"/>
            <w:u w:val="single"/>
          </w:rPr>
          <w:t>通过梯度钴重编程实现 LiCoO 2 阴极的缺陷定向再生</w:t>
        </w:r>
      </w:hyperlink>
    </w:p>
    <w:p>
      <w:pPr>
        <w:spacing w:before="0" w:after="80"/>
      </w:pPr>
      <w:r>
        <w:rPr>
          <w:i/>
          <w:sz w:val="20"/>
        </w:rPr>
        <w:t>EN: Defect-Directed Regeneration of LiCoO 2 Cathodes via Gradient Cobalt Reprogramming</w:t>
      </w:r>
    </w:p>
    <w:p>
      <w:pPr>
        <w:spacing w:before="0" w:after="120"/>
      </w:pPr>
      <w:r>
        <w:rPr>
          <w:b/>
        </w:rPr>
        <w:t xml:space="preserve">Source: </w:t>
      </w:r>
      <w:r>
        <w:t>RSC - Energy Environ. Sci. latest articles</w:t>
      </w:r>
      <w:r>
        <w:t xml:space="preserve">    </w:t>
      </w:r>
      <w:r>
        <w:rPr>
          <w:b/>
        </w:rPr>
        <w:t xml:space="preserve">Pub date: </w:t>
      </w:r>
      <w:r>
        <w:t>2026-06-07 23:00:00+00:00</w:t>
      </w:r>
    </w:p>
    <w:p>
      <w:pPr>
        <w:spacing w:before="0" w:after="120"/>
      </w:pPr>
      <w:r>
        <w:rPr>
          <w:b/>
        </w:rPr>
        <w:t xml:space="preserve">Notes: </w:t>
      </w:r>
      <w:r>
        <w:t>abstract_source=rsc_html</w:t>
      </w:r>
    </w:p>
    <w:p>
      <w:pPr>
        <w:spacing w:before="0" w:after="80" w:lineRule="auto" w:line="276"/>
      </w:pPr>
      <w:r>
        <w:rPr>
          <w:b/>
        </w:rPr>
        <w:t xml:space="preserve">摘要（ZH）: </w:t>
      </w:r>
      <w:r>
        <w:t>直接再生为锂离子电池的回收建立了一条低碳且资源高效的途径，但其实际影响受到缺陷均质化不足以及只注重恢复原始结构而不是功能稳定性的限制。在此，我们报告了一种集成再生策略，该策略将废钴酸锂（LCO）中的降解转化为功能性和梯度稳定的结构。乙二醇-醋酸锂溶剂通过协同羟基清洁和醋酸盐配位，同时去除界面杂质并重新分布残留的锂和钴，从而均匀化缺陷并激活快速阳离子传输路径。热激活后，界面积累的钴迁移到富含空位的区域，其特征是由富钴岩盐表层和地下短程无序区组成的层间钴梯度占据。这种分层结构协同稳定晶格氧，抑制钴迁移，并缓冲深度脱锂过程中的应力积累。因此，再生的LCO在0.2 C下的容量为192.22 mAh g−1，而结构升级可实现稳定的高电压运行，在0.5 C下900次循环后实现214.24 mAh g−1和超过80%的容量保持率。通过将直接再生从缺陷消除转变为缺陷启用的功能架构设计，这项工作建立了一种再生废层状正极超越其原始性能极限的通用途径。</w:t>
      </w:r>
    </w:p>
    <w:p>
      <w:pPr>
        <w:spacing w:before="0" w:after="200" w:lineRule="auto" w:line="276"/>
      </w:pPr>
      <w:r>
        <w:rPr>
          <w:b/>
        </w:rPr>
        <w:t xml:space="preserve">Abstract (EN): </w:t>
      </w:r>
      <w:r>
        <w:t>Direct regeneration establishes a low-carbon and resource-efficient route for recycling lithium-ion batteries, yet its practical impact is constrained by inadequate defect homogenization and an exclusive focus on restoring pristine structures rather than functional stability. Herein, we report an integrated regeneration strategy that transforms degradation in spent lithium cobalt oxide (LCO) into a functional and gradient-stabilized architecture. An ethylene glycol–lithium acetate solvent simultaneously removes interfacial impurities and redistributes residual lithium and cobalt through cooperative hydroxyl cleaning and acetate coordination, thereby homogenizing defects and activating rapid cation transport pathways. Upon thermal activation, interfacially accumulated cobalt migrates into vacancy-rich regions, featuring an interlayer cobalt gradient occupation comprised of a cobalt-rich rock-salt surface layer and a subsurface short‑range disordered zone. This hierarchical architecture synergistically stabilizes lattice oxygen, suppresses cobalt migration, and buffers stress accumulation during deep delithiation. Consequently, the regenerated LCO delivers a capacity of 192.22 mAh g−1 at 0.2 C, while structural upgrading enables stable high-voltage operation, achieving 214.24 mAh g−1 and over 80% capacity retention after 900 cycles at 0.5 C. By shifting direct regeneration from defect elimination to defect-enabled functional architecture design, this work establishes a general pathway for regenerating spent layered cathodes beyond their original performance limits.</w:t>
      </w:r>
    </w:p>
    <w:p>
      <w:pPr>
        <w:spacing w:before="120" w:after="120"/>
      </w:pPr>
      <w:r>
        <w:rPr>
          <w:sz w:val="18"/>
        </w:rPr>
        <w:t>——————————————————————————————————————————————————————————————————————</w:t>
      </w:r>
    </w:p>
    <w:p>
      <w:pPr>
        <w:spacing w:before="160" w:after="40" w:line="240" w:lineRule="auto"/>
      </w:pPr>
      <w:r>
        <w:rPr>
          <w:b/>
        </w:rPr>
        <w:t xml:space="preserve">[3] </w:t>
      </w:r>
      <w:hyperlink r:id="rId43">
        <w:r>
          <w:rPr>
            <w:color w:val="1155CC"/>
            <w:u w:val="single"/>
          </w:rPr>
          <w:t>打破无阳极锂软包电池的能量密度与应力之间的权衡</w:t>
        </w:r>
      </w:hyperlink>
    </w:p>
    <w:p>
      <w:pPr>
        <w:spacing w:before="0" w:after="80"/>
      </w:pPr>
      <w:r>
        <w:rPr>
          <w:i/>
          <w:sz w:val="20"/>
        </w:rPr>
        <w:t>EN: Breaking Energy Density‐Stress Trade‐Off in Anode‐Free Lithium Pouch Cells</w:t>
      </w:r>
    </w:p>
    <w:p>
      <w:pPr>
        <w:spacing w:before="0" w:after="120"/>
      </w:pPr>
      <w:r>
        <w:rPr>
          <w:b/>
        </w:rPr>
        <w:t xml:space="preserve">Source: </w:t>
      </w:r>
      <w:r>
        <w:t>Wiley: Advanced Materials: Table of Contents</w:t>
      </w:r>
      <w:r>
        <w:t xml:space="preserve">    </w:t>
      </w:r>
      <w:r>
        <w:rPr>
          <w:b/>
        </w:rPr>
        <w:t xml:space="preserve">Pub date: </w:t>
      </w:r>
      <w:r>
        <w:t>2026-06-08 07:08:01+00:00</w:t>
      </w:r>
      <w:r>
        <w:t xml:space="preserve">    </w:t>
      </w:r>
      <w:r>
        <w:rPr>
          <w:b/>
        </w:rPr>
        <w:t xml:space="preserve">DOI: </w:t>
      </w:r>
      <w:hyperlink r:id="rId44">
        <w:r>
          <w:rPr>
            <w:color w:val="1155CC"/>
            <w:u w:val="single"/>
          </w:rPr>
          <w:t>10.1002/adma.73652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负极的膨胀及其不利影响阻碍了锂金属电池（LMB）的实际应用。由于对能量密度与应力之间的权衡认识不足，目前还没有出现可行的解决方案来阻止其膨胀或减少其内应力积累（SA），同时保持其卓越的能量密度。我们提出了基于原理的标准，通过定义应变缓冲技术的边界参数来指导高能和低膨胀LMB的开发。我们以典型的空间自适应缓冲（SAB）层为例，具体化了这一标准，并验证了其科学性和前瞻性，有效降低了SA，缓解了局部应力集中（SC）。结果，Ah级NCM9（LiNi</w:t>
      </w:r>
      <w:r>
        <w:t xml:space="preserve"> </w:t>
      </w:r>
      <w:r>
        <w:t>x</w:t>
      </w:r>
      <w:r>
        <w:t xml:space="preserve"> </w:t>
      </w:r>
      <w:r>
        <w:t>钴</w:t>
      </w:r>
      <w:r>
        <w:t xml:space="preserve"> </w:t>
      </w:r>
      <w:r>
        <w:t>y</w:t>
      </w:r>
      <w:r>
        <w:t xml:space="preserve"> </w:t>
      </w:r>
      <w:r>
        <w:t>锰</w:t>
      </w:r>
      <w:r>
        <w:t xml:space="preserve"> </w:t>
      </w:r>
      <w:r>
        <w:t>1-x-y</w:t>
      </w:r>
      <w:r>
        <w:t xml:space="preserve"> </w:t>
      </w:r>
      <w:r>
        <w:t>氧</w:t>
      </w:r>
      <w:r>
        <w:rPr>
          <w:vertAlign w:val="subscript"/>
        </w:rPr>
        <w:t>2</w:t>
      </w:r>
      <w:r>
        <w:t>, x ≥ 0.9)||SAB-Cu软包电池原型具有465 Wh/kg和1330 Wh/L的高裸电池能量密度，表现出均匀的应力分布和低SC（局部压力极端差异&lt;2 MPa），避免了锂枝晶击穿的失败。此外，Ah级NCM811(Li</w:t>
      </w:r>
      <w:r>
        <w:t xml:space="preserve"> </w:t>
      </w:r>
      <w:r>
        <w:t>1.2</w:t>
      </w:r>
      <w:r>
        <w:t xml:space="preserve"> </w:t>
      </w:r>
      <w:r>
        <w:t>镍</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)||SAB-Cu 软包电池展示了每</w:t>
      </w:r>
    </w:p>
    <w:p>
      <w:pPr>
        <w:spacing w:before="0" w:after="200" w:lineRule="auto" w:line="276"/>
      </w:pPr>
      <w:r>
        <w:rPr>
          <w:b/>
        </w:rPr>
        <w:t xml:space="preserve">Abstract (EN): </w:t>
      </w:r>
      <w:r>
        <w:t>The swelling of the Li metal anode and its adverse impacts have barred lithium metal batteries (LMBs) from practical applications. Owing to insufficient recognition of the energy density–stress trade‐off, no viable solution has emerged to halt their expansion or diminish their internal stress accumulation (SA) while preserving their exceptional energy density. We proposed principle‐based criteria to guide the development of high‐energy and low‐swelling LMBs by defining the boundary parameters of strain‐buffering techniques. Taking a typical space‐adaptive buffering (SAB) layer as an example, we have materialized this criterion and verified its scientific validity and forward‐looking nature, effectively reducing SA and mitigating the local stress concentration (SC). As a result, the Ah‐level NCM9 (LiNi</w:t>
      </w:r>
      <w:r>
        <w:t xml:space="preserve"> </w:t>
      </w:r>
      <w:r>
        <w:t>x</w:t>
      </w:r>
      <w:r>
        <w:t xml:space="preserve"> </w:t>
      </w:r>
      <w:r>
        <w:t>Co</w:t>
      </w:r>
      <w:r>
        <w:t xml:space="preserve"> </w:t>
      </w:r>
      <w:r>
        <w:t>y</w:t>
      </w:r>
      <w:r>
        <w:t xml:space="preserve"> </w:t>
      </w:r>
      <w:r>
        <w:t>Mn</w:t>
      </w:r>
      <w:r>
        <w:t xml:space="preserve"> </w:t>
      </w:r>
      <w:r>
        <w:t>1‐x‐y</w:t>
      </w:r>
      <w:r>
        <w:t xml:space="preserve"> </w:t>
      </w:r>
      <w:r>
        <w:t>O</w:t>
      </w:r>
      <w:r>
        <w:rPr>
          <w:vertAlign w:val="subscript"/>
        </w:rPr>
        <w:t>2</w:t>
      </w:r>
      <w:r>
        <w:t>, x ≥ 0.9)||SAB‐Cu pouch cell prototype with the high bare‐cell energy densities of 465 Wh/kg and 1330 Wh/L exhibits the uniform stress distribution and low SC (extreme difference in local pressure&amp;lt;2 MPa), avoiding the failure of Li dendrite puncture. Furthermore, the Ah‐level NCM811(Li</w:t>
      </w:r>
      <w:r>
        <w:t xml:space="preserve"> </w:t>
      </w:r>
      <w:r>
        <w:t>1.2</w:t>
      </w:r>
      <w:r>
        <w:t xml:space="preserve"> </w:t>
      </w:r>
      <w:r>
        <w:t>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)||SAB‐Cu pouch cell demonstrates a perfect trade‐off among energy densities (418 Wh/kg and 1061 Wh/L), cycle life (164 cycles with 77% capacity retention), SA (&amp;lt;2 MPa), and swelling ratio (3.6%), underscoring the practical feasibility of the SAB‐AF‐LMB.</w:t>
      </w:r>
    </w:p>
    <w:p>
      <w:pPr>
        <w:spacing w:before="120" w:after="120"/>
      </w:pPr>
      <w:r>
        <w:rPr>
          <w:sz w:val="18"/>
        </w:rPr>
        <w:t>——————————————————————————————————————————————————————————————————————</w:t>
      </w:r>
    </w:p>
    <w:p>
      <w:pPr>
        <w:spacing w:before="160" w:after="40" w:line="240" w:lineRule="auto"/>
      </w:pPr>
      <w:r>
        <w:rPr>
          <w:b/>
        </w:rPr>
        <w:t xml:space="preserve">[4] </w:t>
      </w:r>
      <w:hyperlink r:id="rId45">
        <w:r>
          <w:rPr>
            <w:color w:val="1155CC"/>
            <w:u w:val="single"/>
          </w:rPr>
          <w:t>通过电化学弛豫接近富锂正极的零电压衰减</w:t>
        </w:r>
      </w:hyperlink>
    </w:p>
    <w:p>
      <w:pPr>
        <w:spacing w:before="0" w:after="80"/>
      </w:pPr>
      <w:r>
        <w:rPr>
          <w:i/>
          <w:sz w:val="20"/>
        </w:rPr>
        <w:t>EN: Approaching Zero Voltage Attenuation of Lithium‐Rich Cathodes through Electrochemical Relaxation</w:t>
      </w:r>
    </w:p>
    <w:p>
      <w:pPr>
        <w:spacing w:before="0" w:after="120"/>
      </w:pPr>
      <w:r>
        <w:rPr>
          <w:b/>
        </w:rPr>
        <w:t xml:space="preserve">Source: </w:t>
      </w:r>
      <w:r>
        <w:t>Wiley: Advanced Materials: Table of Contents</w:t>
      </w:r>
      <w:r>
        <w:t xml:space="preserve">    </w:t>
      </w:r>
      <w:r>
        <w:rPr>
          <w:b/>
        </w:rPr>
        <w:t xml:space="preserve">Pub date: </w:t>
      </w:r>
      <w:r>
        <w:t>2026-06-08 12:13:30+00:00</w:t>
      </w:r>
      <w:r>
        <w:t xml:space="preserve">    </w:t>
      </w:r>
      <w:r>
        <w:rPr>
          <w:b/>
        </w:rPr>
        <w:t xml:space="preserve">DOI: </w:t>
      </w:r>
      <w:hyperlink r:id="rId46">
        <w:r>
          <w:rPr>
            <w:color w:val="1155CC"/>
            <w:u w:val="single"/>
          </w:rPr>
          <w:t>10.1002/adma.73674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合阳离子/阴离子氧化还原的富锂正极使高能电池焕发活力。然而，它们的实际应用仍然受到阴离子氧化还原可逆性和稳定性较差的限制。在此，首次在初始充电过程中采用简便的电化学弛豫途径来调节阴离子氧化还原化学。它表明 4.6 V 的氧活化平台​​中的电化学弛豫有助于减少结构畸变并减弱 O─O 相互作用的晶格框架。背面粘合</w:t>
      </w:r>
      <w:r>
        <w:t xml:space="preserve"> </w:t>
      </w:r>
      <w:r>
        <w:t>π</w:t>
      </w:r>
      <w:r>
        <w:t xml:space="preserve"> </w:t>
      </w:r>
      <w:r>
        <w:t>Mn和O─O二聚体之间形成‐键，加强了氧和Mn之间的相互作用，减轻了电化学循环过程中的结构降解和局部变形。松弛材料表现出超过 250 mAh g 的高容量</w:t>
      </w:r>
      <w:r>
        <w:t xml:space="preserve"> </w:t>
      </w:r>
      <w:r>
        <w:t>−1</w:t>
      </w:r>
      <w:r>
        <w:t xml:space="preserve"> </w:t>
      </w:r>
      <w:r>
        <w:t>1C 下 100 次循环后，具有 3.57 V 的高平台电压，电压衰减可忽略不计 (0.8%)。该策略为 O 氧化还原阴极的高压激活提供了一种简单的方法。</w:t>
      </w:r>
    </w:p>
    <w:p>
      <w:pPr>
        <w:spacing w:before="0" w:after="200" w:lineRule="auto" w:line="276"/>
      </w:pPr>
      <w:r>
        <w:rPr>
          <w:b/>
        </w:rPr>
        <w:t xml:space="preserve">Abstract (EN): </w:t>
      </w:r>
      <w:r>
        <w:t>Li‐rich cathodes combining cationic/anionic redox have rejuvenated high‐energy batteries. However, their practical applications remain constrained by the inferior anion redox reversibility and stability. Herein, a facile electrochemical relaxation route was implemented for the first time in the initial charging process to tune the anion redox chemistry. It declares the electrochemical relaxation in the oxygen activation plateau of 4.6 V contributes to a lattice framework with reduced structural distortion and weakened O─O interactions. A back‐bonding</w:t>
      </w:r>
      <w:r>
        <w:t xml:space="preserve"> </w:t>
      </w:r>
      <w:r>
        <w:t>π</w:t>
      </w:r>
      <w:r>
        <w:t xml:space="preserve"> </w:t>
      </w:r>
      <w:r>
        <w:t>‐bond is formed between Mn and the O─O dimer, strengthening the interactions between oxygen and Mn, mitigating structural degradation and local distortion during the electrochemical cycling. The relaxed material demonstrates a high capacity over 250 mAh g</w:t>
      </w:r>
      <w:r>
        <w:t xml:space="preserve"> </w:t>
      </w:r>
      <w:r>
        <w:t>−1</w:t>
      </w:r>
      <w:r>
        <w:t xml:space="preserve"> </w:t>
      </w:r>
      <w:r>
        <w:t>and a high plateau voltage of 3.57 V with a negligible voltage decay (0.8%) after 100 cycles at 1C. This strategy presents a straightforward methodology for high‐voltage activation of O redox cathodes.</w:t>
      </w:r>
    </w:p>
    <w:p>
      <w:pPr>
        <w:spacing w:before="120" w:after="120"/>
      </w:pPr>
      <w:r>
        <w:rPr>
          <w:sz w:val="18"/>
        </w:rPr>
        <w:t>——————————————————————————————————————————————————————————————————————</w:t>
      </w:r>
    </w:p>
    <w:p>
      <w:pPr>
        <w:spacing w:before="160" w:after="40" w:line="240" w:lineRule="auto"/>
      </w:pPr>
      <w:r>
        <w:rPr>
          <w:b/>
        </w:rPr>
        <w:t xml:space="preserve">[5] </w:t>
      </w:r>
      <w:hyperlink r:id="rId47">
        <w:r>
          <w:rPr>
            <w:color w:val="1155CC"/>
            <w:u w:val="single"/>
          </w:rPr>
          <w:t>锂电池运行过程中正极金属-配体氧化还原过程的直接证据</w:t>
        </w:r>
      </w:hyperlink>
    </w:p>
    <w:p>
      <w:pPr>
        <w:spacing w:before="0" w:after="80"/>
      </w:pPr>
      <w:r>
        <w:rPr>
          <w:i/>
          <w:sz w:val="20"/>
        </w:rPr>
        <w:t>EN: Direct evidence of metal–ligand redox processes in positive electrodes during lithium-based battery operation</w:t>
      </w:r>
    </w:p>
    <w:p>
      <w:pPr>
        <w:spacing w:before="0" w:after="120"/>
      </w:pPr>
      <w:r>
        <w:rPr>
          <w:b/>
        </w:rPr>
        <w:t xml:space="preserve">Source: </w:t>
      </w:r>
      <w:r>
        <w:t>Nature Nanotechnology</w:t>
      </w:r>
      <w:r>
        <w:t xml:space="preserve">    </w:t>
      </w:r>
      <w:r>
        <w:rPr>
          <w:b/>
        </w:rPr>
        <w:t xml:space="preserve">Pub date: </w:t>
      </w:r>
      <w:r>
        <w:t>2026-06-09 00:00:00+00:00</w:t>
      </w:r>
      <w:r>
        <w:t xml:space="preserve">    </w:t>
      </w:r>
      <w:r>
        <w:rPr>
          <w:b/>
        </w:rPr>
        <w:t xml:space="preserve">DOI: </w:t>
      </w:r>
      <w:hyperlink r:id="rId48">
        <w:r>
          <w:rPr>
            <w:color w:val="1155CC"/>
            <w:u w:val="single"/>
          </w:rPr>
          <w:t>10.1038/s41565-026-02189-y</w:t>
        </w:r>
      </w:hyperlink>
    </w:p>
    <w:p>
      <w:pPr>
        <w:spacing w:before="0" w:after="120"/>
      </w:pPr>
      <w:r>
        <w:rPr>
          <w:b/>
        </w:rPr>
        <w:t xml:space="preserve">Notes: </w:t>
      </w:r>
      <w:r>
        <w:t>abstract_source=nature_html</w:t>
      </w:r>
    </w:p>
    <w:p>
      <w:pPr>
        <w:spacing w:before="0" w:after="80" w:lineRule="auto" w:line="276"/>
      </w:pPr>
      <w:r>
        <w:rPr>
          <w:b/>
        </w:rPr>
        <w:t xml:space="preserve">摘要（ZH）: </w:t>
      </w:r>
      <w:r>
        <w:t>基于不同过渡金属或氧氧化还原体系描述锂基电池正极可能会导致理解金属配体杂化、氧二聚和降解过程的混乱。因此，迫切需要研究这些材料的电子结构并确定每种阳离子和阴离子在亚纳米尺度的电荷补偿中的作用。在这里，我们利用X射线共振光电子能谱、单杂质安德森模型、光谱模拟和理论计算，研究了锂基电池运行过程中正极的氧化还原机制。该方法使用 Zaanen-Sawatzky-Allen 框架，在不同程度的电荷转移方面协调了两种正极活性材料（LiMn0.6Fe0.4PO4 和 LiNiO2）的氧化还原描述。在LiMn0.6Fe0.4PO4中，缺乏强杂化表明容量是由金属3d态的减少引起的，即传统的金属氧化还原。然而，在采用 LiNiO2 正极的电池中，负电荷转移占主导地位，氧化还原通过配体空穴态的形成和消除而发生。这些结果阐明了氧在富镍系统中的作用，并提供了一个框架来解释充电/放电容量如何与高共价系统中的氧主导状态相关，而无需考虑氧二聚。</w:t>
      </w:r>
    </w:p>
    <w:p>
      <w:pPr>
        <w:spacing w:before="0" w:after="200" w:lineRule="auto" w:line="276"/>
      </w:pPr>
      <w:r>
        <w:rPr>
          <w:b/>
        </w:rPr>
        <w:t xml:space="preserve">Abstract (EN): </w:t>
      </w:r>
      <w:r>
        <w:t>Describing lithium-based battery positive electrodes based on different transition metal or oxygen-redox regimes can cause confusion in understanding metal–ligand hybridization, oxygen dimerization and degradation processes. Therefore, it is urgent to investigate the electronic structure of these materials and identify the role each cation and anion has in charge compensation at the subnanoscale. Here, using X-ray resonance photoemission spectroscopy, single-impurity Anderson models, spectral simulations and theoretical calculations, we examine redox mechanisms in positive electrodes during lithium-based battery operation. This approach reconciles the redox description of two positive electrode active materials—LiMn0.6Fe0.4PO4 and LiNiO2—in terms of varying degrees of charge transfer using the Zaanen–Sawatzky–Allen framework. In LiMn0.6Fe0.4PO4, the lack of strong hybridization indicates that the capacity results from the depopulation of metal 3d states, that is, conventional metal redox. However, in cells with LiNiO2-based positive electrodes, negative charge transfer dominates, and redox occurs through the formation and elimination of ligand-hole states. These results clarify the role of oxygen in Ni-rich systems and provide a framework to explain how the charge/discharge capacities are linked to oxygen-dominated states in highly covalent systems, without the need to consider oxygen dimerization.</w:t>
      </w:r>
    </w:p>
    <w:p>
      <w:pPr>
        <w:spacing w:before="120" w:after="120"/>
      </w:pPr>
      <w:r>
        <w:rPr>
          <w:sz w:val="18"/>
        </w:rPr>
        <w:t>——————————————————————————————————————————————————————————————————————</w:t>
      </w:r>
    </w:p>
    <w:p>
      <w:pPr>
        <w:spacing w:before="160" w:after="40" w:line="240" w:lineRule="auto"/>
      </w:pPr>
      <w:r>
        <w:rPr>
          <w:b/>
        </w:rPr>
        <w:t xml:space="preserve">[6] </w:t>
      </w:r>
      <w:hyperlink r:id="rId49">
        <w:r>
          <w:rPr>
            <w:color w:val="1155CC"/>
            <w:u w:val="single"/>
          </w:rPr>
          <w:t>表面化学无序工程使富锂锰基正极具有优异的阴离子氧化还原能力</w:t>
        </w:r>
      </w:hyperlink>
    </w:p>
    <w:p>
      <w:pPr>
        <w:spacing w:before="0" w:after="80"/>
      </w:pPr>
      <w:r>
        <w:rPr>
          <w:i/>
          <w:sz w:val="20"/>
        </w:rPr>
        <w:t>EN: Surface Chemical Disorder Engineering Enabled Superior Anion Redox for Li‐Rich Mn‐Based Cathode</w:t>
      </w:r>
    </w:p>
    <w:p>
      <w:pPr>
        <w:spacing w:before="0" w:after="120"/>
      </w:pPr>
      <w:r>
        <w:rPr>
          <w:b/>
        </w:rPr>
        <w:t xml:space="preserve">Source: </w:t>
      </w:r>
      <w:r>
        <w:t>Wiley: Angewandte Chemie International Edition: Table of Contents</w:t>
      </w:r>
      <w:r>
        <w:t xml:space="preserve">    </w:t>
      </w:r>
      <w:r>
        <w:rPr>
          <w:b/>
        </w:rPr>
        <w:t xml:space="preserve">Pub date: </w:t>
      </w:r>
      <w:r>
        <w:t>2026-06-09 01:00:11+00:00</w:t>
      </w:r>
      <w:r>
        <w:t xml:space="preserve">    </w:t>
      </w:r>
      <w:r>
        <w:rPr>
          <w:b/>
        </w:rPr>
        <w:t xml:space="preserve">DOI: </w:t>
      </w:r>
      <w:hyperlink r:id="rId50">
        <w:r>
          <w:rPr>
            <w:color w:val="1155CC"/>
            <w:u w:val="single"/>
          </w:rPr>
          <w:t>10.1002/anie.5515760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特定的阴离子氧化还原反应可提供高容量，富锂锰基氧化物引起了广泛的关注。然而，阴离子氧化还原的可逆性较差，导致严重的晶格氧损失和表面结构演化。在这里，我们报告了一种通过将基于化学无序的晶体结构集成到阴极表面来解决这些问题的方法，该方法涉及通过晶格中阳离子的过饱和占据来实现晶格氧的空间重排。这使得氧电子结构离域化和多样化，加强了金属-氧轨道杂化，有效提高了阴离子氧化还原反应的可逆性和动力学。同时，坚固的表面结构有效地抑制了表面有害相的演化和电极/电解质界面副反应，保持了电化学过程的结构完整性。因此，所设计的改性阴极提供了有前途的容量（291.8 mAh g</w:t>
      </w:r>
      <w:r>
        <w:t xml:space="preserve"> </w:t>
      </w:r>
      <w:r>
        <w:t>−1</w:t>
      </w:r>
      <w:r>
        <w:t xml:space="preserve"> </w:t>
      </w:r>
      <w:r>
        <w:t>）、出色的长循环稳定性和电压保持力（300 次循环后容量保持率为 90.5%，电压衰减为 0.68 mV/循环）。这项工作强调了表面化学无序的作用以及过渡金属与氧强相关的化学环境，有望为正极材料的结构设计提供新的范式。</w:t>
      </w:r>
    </w:p>
    <w:p>
      <w:pPr>
        <w:spacing w:before="0" w:after="200" w:lineRule="auto" w:line="276"/>
      </w:pPr>
      <w:r>
        <w:rPr>
          <w:b/>
        </w:rPr>
        <w:t xml:space="preserve">Abstract (EN): </w:t>
      </w:r>
      <w:r>
        <w:t>The Li‐rich Mn‐based oxides have attracted extensive attention due to the specific anion redox reaction to provide high capacity. However, the poor reversibility of anion redox leads to serious lattice oxygen loss and surface structure evolution. Here, we report an approach by integrating chemical disorder‐based crystallographic texture into the cathode surface to solve these questions, which involves the spatial rearrangement of lattice oxygen by supersaturated occupation of cations in the lattice. This makes the oxygen electronic structure delocalized and diversified, strengthens the metal‐oxygen orbital hybridization, and effectively improves the reversibility and kinetics of anion redox reactions. Meanwhile, the robust surface architecture effectively inhibits superficial detrimental phase evolution and electrode/electrolyte interface side reactions, maintaining the structural integrity of the electrochemical process. Accordingly, the as‐designed modified cathode delivered a promising capacity (291.8 mAh g</w:t>
      </w:r>
      <w:r>
        <w:t xml:space="preserve"> </w:t>
      </w:r>
      <w:r>
        <w:t>−1</w:t>
      </w:r>
      <w:r>
        <w:t xml:space="preserve"> </w:t>
      </w:r>
      <w:r>
        <w:t>), excellent long cycling stability, and voltage retention (90.5% capacity retention and 0.68 mV/cycle voltage fade with 300 cycles). This work highlights the role of surface chemical disorder and the strongly correlated chemical environment of transition metals with oxygen, which is expected to provide a new paradigm for the structural design of cathode materials.</w:t>
      </w:r>
    </w:p>
    <w:p>
      <w:pPr>
        <w:spacing w:before="120" w:after="120"/>
      </w:pPr>
      <w:r>
        <w:rPr>
          <w:sz w:val="18"/>
        </w:rPr>
        <w:t>——————————————————————————————————————————————————————————————————————</w:t>
      </w:r>
    </w:p>
    <w:p>
      <w:pPr>
        <w:spacing w:before="160" w:after="40" w:line="240" w:lineRule="auto"/>
      </w:pPr>
      <w:r>
        <w:rPr>
          <w:b/>
        </w:rPr>
        <w:t xml:space="preserve">[7] </w:t>
      </w:r>
      <w:hyperlink r:id="rId51">
        <w:r>
          <w:rPr>
            <w:color w:val="1155CC"/>
            <w:u w:val="single"/>
          </w:rPr>
          <w:t>纤维状水系锌离子电池的最新进展：从结构、原理、问题到策略</w:t>
        </w:r>
      </w:hyperlink>
    </w:p>
    <w:p>
      <w:pPr>
        <w:spacing w:before="0" w:after="80"/>
      </w:pPr>
      <w:r>
        <w:rPr>
          <w:i/>
          <w:sz w:val="20"/>
        </w:rPr>
        <w:t>EN: Recent Advances of Fiber‐Shaped Aqueous Zinc Ion Batteries: From Structure, Principles, Issues to Strategies</w:t>
      </w:r>
    </w:p>
    <w:p>
      <w:pPr>
        <w:spacing w:before="0" w:after="120"/>
      </w:pPr>
      <w:r>
        <w:rPr>
          <w:b/>
        </w:rPr>
        <w:t xml:space="preserve">Source: </w:t>
      </w:r>
      <w:r>
        <w:t>Wiley: Advanced Energy Materials: Table of Contents</w:t>
      </w:r>
      <w:r>
        <w:t xml:space="preserve">    </w:t>
      </w:r>
      <w:r>
        <w:rPr>
          <w:b/>
        </w:rPr>
        <w:t xml:space="preserve">Pub date: </w:t>
      </w:r>
      <w:r>
        <w:t>2026-06-09 04:46:49+00:00</w:t>
      </w:r>
      <w:r>
        <w:t xml:space="preserve">    </w:t>
      </w:r>
      <w:r>
        <w:rPr>
          <w:b/>
        </w:rPr>
        <w:t xml:space="preserve">DOI: </w:t>
      </w:r>
      <w:hyperlink r:id="rId52">
        <w:r>
          <w:rPr>
            <w:color w:val="1155CC"/>
            <w:u w:val="single"/>
          </w:rPr>
          <w:t>10.1002/aenm.71175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纤维状水性锌离子电池（FAZIB）因其本质安全、低成本、轻质和优异的灵活性而被认为是非常有前途的可穿戴和柔性电子设备的电源装置。然而，它们的实际发展仍然受到耦合电化学和机械问题的阻碍，包括锌枝晶生长、H</w:t>
      </w:r>
      <w:r>
        <w:rPr>
          <w:vertAlign w:val="subscript"/>
        </w:rPr>
        <w:t>2</w:t>
      </w:r>
      <w:r>
        <w:t>演化、表面钝化、正极材料溶解和脱落以及变形下电极/电解质界面分离。本综述对 FAZIB 从组成、结构设计、工作原理、故障机制到缓解策略的最新进展进行了批判性和全面的概述。首先，系统讨论了 FAZIB 的组成部分，包括纤维状锌阳极、纤维状阴极、凝胶电解质、封装材料和器件结构。然后，分析能量存储和灵活性相关机制，以阐明电化学行为和机械适应性之间的内在相关性。随后，总结了限制 FAZIB 性能和耐久性的主要降解途径。进一步强调了代表性策略，包括柔性锌阳极的合理设计、凝胶电解质调节、阴极稳定和界面优化。最后，概述了剩余的科学挑战和未来的研究方向。此次审查预计将为相关部门提供一些有用的指导</w:t>
      </w:r>
    </w:p>
    <w:p>
      <w:pPr>
        <w:spacing w:before="0" w:after="200" w:lineRule="auto" w:line="276"/>
      </w:pPr>
      <w:r>
        <w:rPr>
          <w:b/>
        </w:rPr>
        <w:t xml:space="preserve">Abstract (EN): </w:t>
      </w:r>
      <w:r>
        <w:t>Fiber‐shaped aqueous zinc‐ion batteries (FAZIBs) have been regarded as highly promising power supplying devices for wearable and flexible electronics because of their intrinsic safety, low cost, lightweight nature, and excellent flexibility. However, their practical development is still hindered by coupled electrochemical and mechanical issues, including Zn dendrite growth, H</w:t>
      </w:r>
      <w:r>
        <w:rPr>
          <w:vertAlign w:val="subscript"/>
        </w:rPr>
        <w:t>2</w:t>
      </w:r>
      <w:r>
        <w:t>evolution, surface passivation, cathode materials dissolution and shedding, and electrode/electrolyte interfacial separation under deformation. This review provides a critical and comprehensive overview of recent progresses in FAZIBs from composition, structural design, working principles, failure mechanisms, to mitigation strategies. First, the components of FAZIBs, including fibrous Zn anodes, fibrous cathodes, gel electrolytes, encapsulation materials, and device architectures, are systematically discussed. Then, the energy storage and flexibility‐related mechanisms are analyzed to clarify the intrinsic correlation between electrochemical behavior and mechanical adaptability. Subsequently, the major degradation pathways limiting the performance and durability of FAZIBs are summarized. Representative strategies, including rational design of flexible Zn anodes, gel‐electrolyte regulation, cathode stabilization, and interface optimization, are further highlighted. Finally, the remaining scientific challenges and future research directions are outlined. This review is expected to supply some useful guidance for the rational design of next‐generation FAZIBs with high energy density, excellent flexibility, and long‐term stability.</w:t>
      </w:r>
    </w:p>
    <w:p>
      <w:pPr>
        <w:spacing w:before="120" w:after="120"/>
      </w:pPr>
      <w:r>
        <w:rPr>
          <w:sz w:val="18"/>
        </w:rPr>
        <w:t>——————————————————————————————————————————————————————————————————————</w:t>
      </w:r>
    </w:p>
    <w:p>
      <w:pPr>
        <w:spacing w:before="160" w:after="40" w:line="240" w:lineRule="auto"/>
      </w:pPr>
      <w:r>
        <w:rPr>
          <w:b/>
        </w:rPr>
        <w:t xml:space="preserve">[8] </w:t>
      </w:r>
      <w:hyperlink r:id="rId53">
        <w:r>
          <w:rPr>
            <w:color w:val="1155CC"/>
            <w:u w:val="single"/>
          </w:rPr>
          <w:t>氧化还原化学使水系铵离子电池具有出色的容量和超长的使用寿命</w:t>
        </w:r>
      </w:hyperlink>
    </w:p>
    <w:p>
      <w:pPr>
        <w:spacing w:before="0" w:after="80"/>
      </w:pPr>
      <w:r>
        <w:rPr>
          <w:i/>
          <w:sz w:val="20"/>
        </w:rPr>
        <w:t>EN: Redox Chemistry Enables Excellent Capacity and Ultra Long Life Aqueous Ammonium Ion Batteries</w:t>
      </w:r>
    </w:p>
    <w:p>
      <w:pPr>
        <w:spacing w:before="0" w:after="120"/>
      </w:pPr>
      <w:r>
        <w:rPr>
          <w:b/>
        </w:rPr>
        <w:t xml:space="preserve">Source: </w:t>
      </w:r>
      <w:r>
        <w:t>Wiley: Angewandte Chemie International Edition: Table of Contents</w:t>
      </w:r>
      <w:r>
        <w:t xml:space="preserve">    </w:t>
      </w:r>
      <w:r>
        <w:rPr>
          <w:b/>
        </w:rPr>
        <w:t xml:space="preserve">Pub date: </w:t>
      </w:r>
      <w:r>
        <w:t>2026-06-09 11:37:32+00:00</w:t>
      </w:r>
      <w:r>
        <w:t xml:space="preserve">    </w:t>
      </w:r>
      <w:r>
        <w:rPr>
          <w:b/>
        </w:rPr>
        <w:t xml:space="preserve">DOI: </w:t>
      </w:r>
      <w:hyperlink r:id="rId54">
        <w:r>
          <w:rPr>
            <w:color w:val="1155CC"/>
            <w:u w:val="single"/>
          </w:rPr>
          <w:t>10.1002/anie.6628239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铵离子电池具有低成本、高离子电导率和优异的安全性等优点，有望用于储能。然而，由于缺乏合适的电极材料，其长期循环稳定性远未达到工业应用的预期。在这里，我们报告氧化还原化学通过调节普鲁士蓝类似物的温度，使普鲁士蓝类似物作为高性能电极材料具有优异的容量和超长的寿命。</w:t>
      </w:r>
      <w:r>
        <w:t xml:space="preserve"> </w:t>
      </w:r>
      <w:r>
        <w:t>2克</w:t>
      </w:r>
      <w:r>
        <w:t xml:space="preserve"> </w:t>
      </w:r>
      <w:r>
        <w:t>e</w:t>
      </w:r>
      <w:r>
        <w:t xml:space="preserve"> </w:t>
      </w:r>
      <w:r>
        <w:t>克</w:t>
      </w:r>
      <w:r>
        <w:t xml:space="preserve"> </w:t>
      </w:r>
      <w:r>
        <w:t>M’d 轨道的占据。这项工作表明，M' 的电子构型对于氧化还原可逆性、结构稳健性以及最终对 NH 的耐受性至关重要</w:t>
      </w:r>
      <w:r>
        <w:rPr>
          <w:vertAlign w:val="subscript"/>
        </w:rPr>
        <w:t>4</w:t>
      </w:r>
      <w:r>
        <w:t>+</w:t>
      </w:r>
      <w:r>
        <w:t xml:space="preserve"> </w:t>
      </w:r>
      <w:r>
        <w:t>储存稳定性。对于（NH</w:t>
      </w:r>
      <w:r>
        <w:rPr>
          <w:vertAlign w:val="subscript"/>
        </w:rPr>
        <w:t>4</w:t>
      </w:r>
      <w:r>
        <w:t>）</w:t>
      </w:r>
      <w:r>
        <w:rPr>
          <w:vertAlign w:val="subscript"/>
        </w:rPr>
        <w:t>2</w:t>
      </w:r>
      <w:r>
        <w:t>镍铁(CN)</w:t>
      </w:r>
      <w:r>
        <w:rPr>
          <w:vertAlign w:val="subscript"/>
        </w:rPr>
        <w:t>6</w:t>
      </w:r>
      <w:r>
        <w:t>，完全填充t的金属中心</w:t>
      </w:r>
      <w:r>
        <w:t xml:space="preserve"> </w:t>
      </w:r>
      <w:r>
        <w:t>2克</w:t>
      </w:r>
      <w:r>
        <w:t xml:space="preserve"> </w:t>
      </w:r>
      <w:r>
        <w:t>轨道确保了稳定的结构，而半填充的 e</w:t>
      </w:r>
      <w:r>
        <w:t xml:space="preserve"> </w:t>
      </w:r>
      <w:r>
        <w:t>克</w:t>
      </w:r>
      <w:r>
        <w:t xml:space="preserve"> </w:t>
      </w:r>
      <w:r>
        <w:t>高自旋态的轨道增强了电子的轴向传输。因此，最佳指标的关键指标 (NH</w:t>
      </w:r>
      <w:r>
        <w:rPr>
          <w:vertAlign w:val="subscript"/>
        </w:rPr>
        <w:t>4</w:t>
      </w:r>
      <w:r>
        <w:t>）</w:t>
      </w:r>
      <w:r>
        <w:rPr>
          <w:vertAlign w:val="subscript"/>
        </w:rPr>
        <w:t>2</w:t>
      </w:r>
      <w:r>
        <w:t>镍铁(CN)</w:t>
      </w:r>
      <w:r>
        <w:rPr>
          <w:vertAlign w:val="subscript"/>
        </w:rPr>
        <w:t>6</w:t>
      </w:r>
      <w:r>
        <w:t>提供〜70 mAh g的可逆容量</w:t>
      </w:r>
      <w:r>
        <w:t xml:space="preserve"> </w:t>
      </w:r>
      <w:r>
        <w:t>−1</w:t>
      </w:r>
      <w:r>
        <w:t xml:space="preserve"> </w:t>
      </w:r>
      <w:r>
        <w:t>，优越的倍率性能，突出的长寿命性能，持续稳定输出</w:t>
      </w:r>
    </w:p>
    <w:p>
      <w:pPr>
        <w:spacing w:before="0" w:after="200" w:lineRule="auto" w:line="276"/>
      </w:pPr>
      <w:r>
        <w:rPr>
          <w:b/>
        </w:rPr>
        <w:t xml:space="preserve">Abstract (EN): </w:t>
      </w:r>
      <w:r>
        <w:t>Ammonium‐ion batteries are promising for energy storage with low cost, high ionic conductivity, and excellent safety. However, their long‐term cycling stability is far from the industrial application expectation owing the lack of suitable electrode materials. Here, we report the redox chemistry enables excellent capacity and ultra long life of Prussian blue analogues as performant electrode materials by regulating their t</w:t>
      </w:r>
      <w:r>
        <w:t xml:space="preserve"> </w:t>
      </w:r>
      <w:r>
        <w:t>2g</w:t>
      </w:r>
      <w:r>
        <w:t xml:space="preserve"> </w:t>
      </w:r>
      <w:r>
        <w:t>e</w:t>
      </w:r>
      <w:r>
        <w:t xml:space="preserve"> </w:t>
      </w:r>
      <w:r>
        <w:t>g</w:t>
      </w:r>
      <w:r>
        <w:t xml:space="preserve"> </w:t>
      </w:r>
      <w:r>
        <w:t>occupancy of M’ d‐orbitals. This work shows that the electronic configuration of M’ is crucial for redox reversibility, structural robustness, and ultimately tolerance for NH</w:t>
      </w:r>
      <w:r>
        <w:rPr>
          <w:vertAlign w:val="subscript"/>
        </w:rPr>
        <w:t>4</w:t>
      </w:r>
      <w:r>
        <w:t>+</w:t>
      </w:r>
      <w:r>
        <w:t xml:space="preserve"> </w:t>
      </w:r>
      <w:r>
        <w:t>storage stability. For (NH</w:t>
      </w:r>
      <w:r>
        <w:rPr>
          <w:vertAlign w:val="subscript"/>
        </w:rPr>
        <w:t>4</w:t>
      </w:r>
      <w:r>
        <w:t>)</w:t>
      </w:r>
      <w:r>
        <w:rPr>
          <w:vertAlign w:val="subscript"/>
        </w:rPr>
        <w:t>2</w:t>
      </w:r>
      <w:r>
        <w:t>NiFe(CN)</w:t>
      </w:r>
      <w:r>
        <w:rPr>
          <w:vertAlign w:val="subscript"/>
        </w:rPr>
        <w:t>6</w:t>
      </w:r>
      <w:r>
        <w:t>, the metallic center with fully filled t</w:t>
      </w:r>
      <w:r>
        <w:t xml:space="preserve"> </w:t>
      </w:r>
      <w:r>
        <w:t>2g</w:t>
      </w:r>
      <w:r>
        <w:t xml:space="preserve"> </w:t>
      </w:r>
      <w:r>
        <w:t>orbitals ensures the stable structure, while the half‐filled e</w:t>
      </w:r>
      <w:r>
        <w:t xml:space="preserve"> </w:t>
      </w:r>
      <w:r>
        <w:t>g</w:t>
      </w:r>
      <w:r>
        <w:t xml:space="preserve"> </w:t>
      </w:r>
      <w:r>
        <w:t>orbitals in the high‐spin states enhance the axial transport of electrons. As a result, the key metric for the best one (NH</w:t>
      </w:r>
      <w:r>
        <w:rPr>
          <w:vertAlign w:val="subscript"/>
        </w:rPr>
        <w:t>4</w:t>
      </w:r>
      <w:r>
        <w:t>)</w:t>
      </w:r>
      <w:r>
        <w:rPr>
          <w:vertAlign w:val="subscript"/>
        </w:rPr>
        <w:t>2</w:t>
      </w:r>
      <w:r>
        <w:t>NiFe(CN)</w:t>
      </w:r>
      <w:r>
        <w:rPr>
          <w:vertAlign w:val="subscript"/>
        </w:rPr>
        <w:t>6</w:t>
      </w:r>
      <w:r>
        <w:t>delivers a reversible capacity of ∼70 mAh g</w:t>
      </w:r>
      <w:r>
        <w:t xml:space="preserve"> </w:t>
      </w:r>
      <w:r>
        <w:t>−1</w:t>
      </w:r>
      <w:r>
        <w:t xml:space="preserve"> </w:t>
      </w:r>
      <w:r>
        <w:t>, superior rate performance, and outstanding long‐life performance, sustaining stable output for over 10 000 h at 100 mA g</w:t>
      </w:r>
      <w:r>
        <w:t xml:space="preserve"> </w:t>
      </w:r>
      <w:r>
        <w:t>−1</w:t>
      </w:r>
      <w:r>
        <w:t xml:space="preserve"> </w:t>
      </w:r>
      <w:r>
        <w:t>and 30 000 cycles at 1000 mA g</w:t>
      </w:r>
      <w:r>
        <w:t xml:space="preserve"> </w:t>
      </w:r>
      <w:r>
        <w:t>−1</w:t>
      </w:r>
      <w:r>
        <w:t xml:space="preserve"> </w:t>
      </w:r>
      <w:r>
        <w:t>. In situ XRD and first‐principles calculations further confirm highly reversible redox processes. This study presents a novel and effective strategy for improving the performance and stability of electrode materials, offering valuable insights for the development of next‐generation energy storage systems.</w:t>
      </w:r>
    </w:p>
    <w:p>
      <w:pPr>
        <w:spacing w:before="120" w:after="120"/>
      </w:pPr>
      <w:r>
        <w:rPr>
          <w:sz w:val="18"/>
        </w:rPr>
        <w:t>——————————————————————————————————————————————————————————————————————</w:t>
      </w:r>
    </w:p>
    <w:p>
      <w:pPr>
        <w:spacing w:before="160" w:after="40" w:line="240" w:lineRule="auto"/>
      </w:pPr>
      <w:r>
        <w:rPr>
          <w:b/>
        </w:rPr>
        <w:t xml:space="preserve">[9] </w:t>
      </w:r>
      <w:hyperlink r:id="rId55">
        <w:r>
          <w:rPr>
            <w:color w:val="1155CC"/>
            <w:u w:val="single"/>
          </w:rPr>
          <w:t>通过不对称图案放电触发的电子离域抑制锰基层状氧化物中的 Jahn-Teller 畸变</w:t>
        </w:r>
      </w:hyperlink>
    </w:p>
    <w:p>
      <w:pPr>
        <w:spacing w:before="0" w:after="80"/>
      </w:pPr>
      <w:r>
        <w:rPr>
          <w:i/>
          <w:sz w:val="20"/>
        </w:rPr>
        <w:t>EN: Discharge-Triggered Electronic Delocalization via Asymmetric Motifs Suppresses Jahn-Teller Distortion in Mn-Based Layered Oxides</w:t>
      </w:r>
    </w:p>
    <w:p>
      <w:pPr>
        <w:spacing w:before="0" w:after="120"/>
      </w:pPr>
      <w:r>
        <w:rPr>
          <w:b/>
        </w:rPr>
        <w:t xml:space="preserve">Source: </w:t>
      </w:r>
      <w:r>
        <w:t>RSC - Energy Environ. Sci. latest articles</w:t>
      </w:r>
      <w:r>
        <w:t xml:space="preserve">    </w:t>
      </w:r>
      <w:r>
        <w:rPr>
          <w:b/>
        </w:rPr>
        <w:t xml:space="preserve">Pub date: </w:t>
      </w:r>
      <w:r>
        <w:t>2026-06-09 23:00:00+00:00</w:t>
      </w:r>
    </w:p>
    <w:p>
      <w:pPr>
        <w:spacing w:before="0" w:after="120"/>
      </w:pPr>
      <w:r>
        <w:rPr>
          <w:b/>
        </w:rPr>
        <w:t xml:space="preserve">Notes: </w:t>
      </w:r>
      <w:r>
        <w:t>abstract_source=rsc_html</w:t>
      </w:r>
    </w:p>
    <w:p>
      <w:pPr>
        <w:spacing w:before="0" w:after="80" w:lineRule="auto" w:line="276"/>
      </w:pPr>
      <w:r>
        <w:rPr>
          <w:b/>
        </w:rPr>
        <w:t xml:space="preserve">摘要（ZH）: </w:t>
      </w:r>
      <w:r>
        <w:t>具有阴离子氧化还原活性的锰基层状氧化物正极由于其高工作电压和能量密度而成为钠离子电池（SIB）的有希望的候选者。然而，循环后不可避免的生成Mn 3+ 会导致严重的Jahn-Teller畸变，损害正极的长循环稳定性。在此，我们提出了一种金属间电荷转移（MMCT）机制，该机制在放电结束时发挥作用，抑制Mn 3+ 的生成，从而提高电极的结构可持续性。选择P2-Na 0.69 Li 0.23 Ru 0.17 Mn 0.6 O 2 阴极作为模型。高负电性Ru的掺杂调节了不对称Mn-O-Ru的共价性，保证了Mn 3+ 和Ru 4+ 之间的电子转移，从而降低了Mn 3+ 含量并减轻了Jahn-Teller畸变。因此，该电极表现出强大的结构稳定性，最小晶胞体积变化仅为0.2%。此外，该正极表现出优异的电化学性能，在2-4.3 V下循环900次后容量保持率超过90%。这些研究结果为抑制Jahn-Teller效应提供了新的见解，为可持续SIBs中高能量密度的锰基层状正极的应用提供了新的范例。</w:t>
      </w:r>
    </w:p>
    <w:p>
      <w:pPr>
        <w:spacing w:before="0" w:after="200" w:lineRule="auto" w:line="276"/>
      </w:pPr>
      <w:r>
        <w:rPr>
          <w:b/>
        </w:rPr>
        <w:t xml:space="preserve">Abstract (EN): </w:t>
      </w:r>
      <w:r>
        <w:t>Mn-based layered oxide cathodes with anionic redox activity are promising candidates for sodium-ion batteries (SIBs) owing to their high operating voltage and energy density.However, the inevitable Mn 3+ generation after cycles results in severe Jahn-Teller distortion, damaging the long cycling stability of the cathodes. Herein, we present a metal-to-metal charge transfer (MMCT) mechanism that acts at the end of discharge to inhibit the generation of Mn 3+ , thereby improving the structural sustainability of the electrode. A P2-Na 0.69 Li 0.23 Ru 0.17 Mn 0.6 O 2 cathode is selected as a model. The doping of highly electronegative Ru regulates the covalency of asymmetrical Mn-O-Ru, ensuring the electron transfer between Mn 3+ and Ru 4+ , which reduces Mn 3+ content and mitigates the Jahn-Teller distortion.As a result, the electrode shows a robust structural stability with a minimal unit cell volume change of only 0.2%. Moreover, the cathode exhibits excellent electrochemical performance, maintaining capacity retention of over 90% after 900 cycles at 2-4.3 V. The findings provide fresh insights for inhibiting the Jahn-Teller effect, offering a new paradigm for the application of Mn-based layered cathodes with high energy density for sustainable SIBs.</w:t>
      </w:r>
    </w:p>
    <w:p>
      <w:pPr>
        <w:spacing w:before="120" w:after="120"/>
      </w:pPr>
      <w:r>
        <w:rPr>
          <w:sz w:val="18"/>
        </w:rPr>
        <w:t>——————————————————————————————————————————————————————————————————————</w:t>
      </w:r>
    </w:p>
    <w:p>
      <w:pPr>
        <w:spacing w:before="160" w:after="40" w:line="240" w:lineRule="auto"/>
      </w:pPr>
      <w:r>
        <w:rPr>
          <w:b/>
        </w:rPr>
        <w:t xml:space="preserve">[10] </w:t>
      </w:r>
      <w:hyperlink r:id="rId56">
        <w:r>
          <w:rPr>
            <w:color w:val="1155CC"/>
            <w:u w:val="single"/>
          </w:rPr>
          <w:t>硫化聚苯胺中的铜定制d-p-π多轨道耦合可实现超长循环水性硫电池</w:t>
        </w:r>
      </w:hyperlink>
    </w:p>
    <w:p>
      <w:pPr>
        <w:spacing w:before="0" w:after="80"/>
      </w:pPr>
      <w:r>
        <w:rPr>
          <w:i/>
          <w:sz w:val="20"/>
        </w:rPr>
        <w:t>EN: Copper-tailored d-p-π multi-orbital coupling in sulfurized polyaniline enables ultralong cycling aqueous sulfur batteries</w:t>
      </w:r>
    </w:p>
    <w:p>
      <w:pPr>
        <w:spacing w:before="0" w:after="120"/>
      </w:pPr>
      <w:r>
        <w:rPr>
          <w:b/>
        </w:rPr>
        <w:t xml:space="preserve">Source: </w:t>
      </w:r>
      <w:r>
        <w:t>Matter</w:t>
      </w:r>
      <w:r>
        <w:t xml:space="preserve">    </w:t>
      </w:r>
      <w:r>
        <w:rPr>
          <w:b/>
        </w:rPr>
        <w:t xml:space="preserve">Pub date: </w:t>
      </w:r>
      <w:r>
        <w:t>2026-06-10 00:00:00+00:00</w:t>
      </w:r>
      <w:r>
        <w:t xml:space="preserve">    </w:t>
      </w:r>
      <w:r>
        <w:rPr>
          <w:b/>
        </w:rPr>
        <w:t xml:space="preserve">DOI: </w:t>
      </w:r>
      <w:hyperlink r:id="rId57">
        <w:r>
          <w:rPr>
            <w:color w:val="1155CC"/>
            <w:u w:val="single"/>
          </w:rPr>
          <w:t>10.1016/j.matt.2026.102867</w:t>
        </w:r>
      </w:hyperlink>
    </w:p>
    <w:p>
      <w:pPr>
        <w:spacing w:before="0" w:after="120"/>
      </w:pPr>
      <w:r>
        <w:rPr>
          <w:b/>
        </w:rPr>
        <w:t xml:space="preserve">Notes: </w:t>
      </w:r>
      <w:r>
        <w:t>abstract_source=rss_cell</w:t>
      </w:r>
    </w:p>
    <w:p>
      <w:pPr>
        <w:spacing w:before="0" w:after="80" w:lineRule="auto" w:line="276"/>
      </w:pPr>
      <w:r>
        <w:rPr>
          <w:b/>
        </w:rPr>
        <w:t xml:space="preserve">摘要（ZH）: </w:t>
      </w:r>
      <w:r>
        <w:t>硫基电池的实际应用受到反应动力学缓慢和结构崩溃等因素的严重限制。该工作通过利用铜引入d-p-π多轨道耦合，成功构建了高导电且稳定的铜改性硫化物聚苯胺阴极。与锌阳极相结合，软包电池可以在恶劣条件下提供稳定的功率输出，为耐用的硫基电池提供了新的轨道工程路线。</w:t>
      </w:r>
    </w:p>
    <w:p>
      <w:pPr>
        <w:spacing w:before="0" w:after="200" w:lineRule="auto" w:line="276"/>
      </w:pPr>
      <w:r>
        <w:rPr>
          <w:b/>
        </w:rPr>
        <w:t xml:space="preserve">Abstract (EN): </w:t>
      </w:r>
      <w:r>
        <w:t>The practical application of sulfur-based batteries is severely limited by factors such as slow reaction kinetics and structural collapse. This work successfully constructs a highly conductive and stable copper-modified sulfide polyaniline cathode by introducing d-p-π multi-orbital coupling using copper. Coupled with a Zn anode, the pouch cell delivers stable power output under harsh conditions, offering a new orbital engineering route for durable sulfur-based batteries.</w:t>
      </w:r>
    </w:p>
    <w:p>
      <w:pPr>
        <w:spacing w:before="120" w:after="120"/>
      </w:pPr>
      <w:r>
        <w:rPr>
          <w:sz w:val="18"/>
        </w:rPr>
        <w:t>——————————————————————————————————————————————————————————————————————</w:t>
      </w:r>
    </w:p>
    <w:p>
      <w:pPr>
        <w:spacing w:before="160" w:after="40" w:line="240" w:lineRule="auto"/>
      </w:pPr>
      <w:r>
        <w:rPr>
          <w:b/>
        </w:rPr>
        <w:t xml:space="preserve">[11] </w:t>
      </w:r>
      <w:hyperlink r:id="rId58">
        <w:r>
          <w:rPr>
            <w:color w:val="1155CC"/>
            <w:u w:val="single"/>
          </w:rPr>
          <w:t>高能量密度水性镁金属电池纺织品可在−40°至100°C范围内实现超灵敏压力传感</w:t>
        </w:r>
      </w:hyperlink>
    </w:p>
    <w:p>
      <w:pPr>
        <w:spacing w:before="0" w:after="80"/>
      </w:pPr>
      <w:r>
        <w:rPr>
          <w:i/>
          <w:sz w:val="20"/>
        </w:rPr>
        <w:t>EN: High-energy-density aqueous magnesium metal battery textiles enable ultrasensitive pressure sensing across −40° to 100°C</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59">
        <w:r>
          <w:rPr>
            <w:color w:val="1155CC"/>
            <w:u w:val="single"/>
          </w:rPr>
          <w:t>10.1126/sciadv.aec8124</w:t>
        </w:r>
      </w:hyperlink>
    </w:p>
    <w:p>
      <w:pPr>
        <w:spacing w:before="0" w:after="120"/>
      </w:pPr>
      <w:r>
        <w:rPr>
          <w:b/>
        </w:rPr>
        <w:t xml:space="preserve">Notes: </w:t>
      </w:r>
      <w:r>
        <w:t>abstract_source=crossref</w:t>
      </w:r>
    </w:p>
    <w:p>
      <w:pPr>
        <w:spacing w:before="0" w:after="80" w:lineRule="auto" w:line="276"/>
      </w:pPr>
      <w:r>
        <w:rPr>
          <w:b/>
        </w:rPr>
        <w:t xml:space="preserve">摘要（ZH）: </w:t>
      </w:r>
      <w:r>
        <w:t>智能可穿戴传感系统需要自供电、高灵敏度压力传感器，能够在较宽的温度范围内高效运行。在这里，我们推出了一种高能量密度水性镁金属电池 (AMMB) 纺织品，可在 -40° 至 100°C 的温度范围内实现超灵敏压力传感。 AMMB 型压力 (AMMB-P) 传感纺织品采用多孔准固态聚环氧乙烷-氯化镁电解质，可通过氢键锚定抑制镁腐蚀，并搭配透气碳布阴极和编织镁阳极。创新设计实现了 687.32 毫伏每千帕的超高灵敏度、低检测限（0.96 帕斯卡）、长期耐用性（200,000 次循环）和卓越的透气性（水蒸气渗透性，2281.4 ± 249.8 克每平方米每天；透气性，628.0 ± 9.1 毫米每秒）。电解质独特的抗结晶特性确保AMMB-P传感织物在-40°C至100°C的极端温度下稳定运行。在高压条件下，我们的AMMB-P传感纺织品可以转化为可靠的电源，能量密度高达每公斤287.92瓦时，确保稳定的自供电运行。与机器学习相结合，AMMB-P 传感阵列即使在恶劣条件下也能实现智能物体识别和自主机器人控制。我们的工作改进了专为极端环境探索而设计的自供电压力感应纺织品，从而实现人形机器人和个人健康管理的交互式感知</w:t>
      </w:r>
    </w:p>
    <w:p>
      <w:pPr>
        <w:spacing w:before="0" w:after="200" w:lineRule="auto" w:line="276"/>
      </w:pPr>
      <w:r>
        <w:rPr>
          <w:b/>
        </w:rPr>
        <w:t xml:space="preserve">Abstract (EN): </w:t>
      </w:r>
      <w:r>
        <w:t>Smart wearable sensing systems necessitate self-powered, high-sensitivity pressure sensors that can operate efficiently across a wide temperature range. Here, we present a high-energy-density aqueous magnesium metal battery (AMMB) textile for ultrasensitive pressure sensing from −40° to 100°C. The AMMB-type pressure (AMMB-P) sensing textile features a porous quasi-solid-state polyethylene oxide–magnesium chloride electrolyte that inhibits magnesium corrosion via hydrogen-bond anchoring, paired with a breathable carbon cloth cathode and woven magnesium anode. The innovative design achieves an ultrahigh sensitivity of 687.32 millivolts per kilopascal, a low detection limit (0.96 pascals), long-term durability (200,000 cycles), and exceptional breathability (water vapor permeability, 2281.4 ± 249.8 grams per square meter per day; air permeability, 628.0 ± 9.1 millimeters per second). The unique anticrystallization properties of electrolyte ensure a stable operation of the AMMB-P sensing textile in extreme temperatures ranging from −40° to 100°C. Under high-pressure condition, our AMMB-P sensing textile can be converted into a reliable power source with high energy density of 287.92 watt-hours per kilogram, ensuring stable self-powered operation. Coupled with machine learning, the AMMB-P sensing array enables intelligent object recognition and autonomous robotic control even under harsh conditions. Our work advances self-powered pressure-sensing textiles tailored for extreme-environment exploration, enabling interactive perception in humanoid robots and individual health management under harsh service conditions.</w:t>
      </w:r>
    </w:p>
    <w:p>
      <w:pPr>
        <w:spacing w:before="120" w:after="120"/>
      </w:pPr>
      <w:r>
        <w:rPr>
          <w:sz w:val="18"/>
        </w:rPr>
        <w:t>——————————————————————————————————————————————————————————————————————</w:t>
      </w:r>
    </w:p>
    <w:p>
      <w:pPr>
        <w:spacing w:before="160" w:after="40" w:line="240" w:lineRule="auto"/>
      </w:pPr>
      <w:r>
        <w:rPr>
          <w:b/>
        </w:rPr>
        <w:t xml:space="preserve">[12] </w:t>
      </w:r>
      <w:hyperlink r:id="rId60">
        <w:r>
          <w:rPr>
            <w:color w:val="1155CC"/>
            <w:u w:val="single"/>
          </w:rPr>
          <w:t>混合电池材料中的非平衡离子传输</w:t>
        </w:r>
      </w:hyperlink>
    </w:p>
    <w:p>
      <w:pPr>
        <w:spacing w:before="0" w:after="80"/>
      </w:pPr>
      <w:r>
        <w:rPr>
          <w:i/>
          <w:sz w:val="20"/>
        </w:rPr>
        <w:t>EN: Nonequilibrium ion transport in a hybrid battery material</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61">
        <w:r>
          <w:rPr>
            <w:color w:val="1155CC"/>
            <w:u w:val="single"/>
          </w:rPr>
          <w:t>10.1126/sciadv.aed1629</w:t>
        </w:r>
      </w:hyperlink>
    </w:p>
    <w:p>
      <w:pPr>
        <w:spacing w:before="0" w:after="120"/>
      </w:pPr>
      <w:r>
        <w:rPr>
          <w:b/>
        </w:rPr>
        <w:t xml:space="preserve">Notes: </w:t>
      </w:r>
      <w:r>
        <w:t>abstract_source=crossref</w:t>
      </w:r>
    </w:p>
    <w:p>
      <w:pPr>
        <w:spacing w:before="0" w:after="80" w:lineRule="auto" w:line="276"/>
      </w:pPr>
      <w:r>
        <w:rPr>
          <w:b/>
        </w:rPr>
        <w:t xml:space="preserve">摘要（ZH）: </w:t>
      </w:r>
      <w:r>
        <w:t>混合材料结合了无机和分子成分，通常表现出结构灵活性，能够实现不寻常的功能响应。其中，普鲁士蓝类似物（PBA）是后锂电池技术中很有前途的一类。在这里，我们证明非平衡转变过程控制着 PBA 电极的电荷存储机制 K</w:t>
      </w:r>
      <w:r>
        <w:rPr>
          <w:vertAlign w:val="subscript"/>
        </w:rPr>
        <w:t>2</w:t>
      </w:r>
      <w:r>
        <w:t>锰[铁(CN)</w:t>
      </w:r>
      <w:r>
        <w:rPr>
          <w:vertAlign w:val="subscript"/>
        </w:rPr>
        <w:t>6</w:t>
      </w:r>
      <w:r>
        <w:t>]。表面上看，这种行为反映了在 LiFePO 等传统正极的高倍率循环中观察到的情况</w:t>
      </w:r>
      <w:r>
        <w:rPr>
          <w:vertAlign w:val="subscript"/>
        </w:rPr>
        <w:t>4</w:t>
      </w:r>
      <w:r>
        <w:t>但这里出现的原因却截然不同，即混合框架固有的低弹性模量和协作扭曲。使用原位 X 射线吸收光谱与 Metropolis 矩阵分解和 X 射线衍射，我们表明框架灵活性限制了传输动力学并促进了集体亚稳态途径。我们的结果不仅强调了 PBA 阴极优化的各个方向，而且还表明，除了单独的 PBA 之外，混合材料中的非平衡机制与质量传输具有更广泛的相关性。</w:t>
      </w:r>
    </w:p>
    <w:p>
      <w:pPr>
        <w:spacing w:before="0" w:after="200" w:lineRule="auto" w:line="276"/>
      </w:pPr>
      <w:r>
        <w:rPr>
          <w:b/>
        </w:rPr>
        <w:t xml:space="preserve">Abstract (EN): </w:t>
      </w:r>
      <w:r>
        <w:t>Hybrid materials, which combine inorganic and molecular components, often exhibit structural flexibility that enables unusual functional responses. Among them, Prussian blue analogs (PBAs) are a promising class for post–lithium battery technologies. Here, we show that nonequilibrium transformation processes govern the charge-storage mechanism of a PBA electrode, K</w:t>
      </w:r>
      <w:r>
        <w:rPr>
          <w:vertAlign w:val="subscript"/>
        </w:rPr>
        <w:t>2</w:t>
      </w:r>
      <w:r>
        <w:t>Mn[Fe(CN)</w:t>
      </w:r>
      <w:r>
        <w:rPr>
          <w:vertAlign w:val="subscript"/>
        </w:rPr>
        <w:t>6</w:t>
      </w:r>
      <w:r>
        <w:t>]. Ostensibly, this behavior mirrors that observed in high-rate cycling of conventional cathodes such as LiFePO</w:t>
      </w:r>
      <w:r>
        <w:rPr>
          <w:vertAlign w:val="subscript"/>
        </w:rPr>
        <w:t>4</w:t>
      </w:r>
      <w:r>
        <w:t>yet arises here for fundamentally different reasons–namely, low elastic moduli and cooperative distortions inherent to the hybrid framework. Using operando x-ray absorption spectroscopy with Metropolis matrix factorization and x-ray diffraction, we show that framework flexibility limits transport kinetics and promotes collective, metastable pathways. Our results not only highlight various directions for PBA cathode optimization but also suggest a broader relevance of nonequilibrium mechanisms for mass transport in hybrid materials beyond PBAs alone.</w:t>
      </w:r>
    </w:p>
    <w:p>
      <w:pPr>
        <w:spacing w:before="120" w:after="120"/>
      </w:pPr>
      <w:r>
        <w:rPr>
          <w:sz w:val="18"/>
        </w:rPr>
        <w:t>——————————————————————————————————————————————————————————————————————</w:t>
      </w:r>
    </w:p>
    <w:p>
      <w:pPr>
        <w:spacing w:before="160" w:after="40" w:line="240" w:lineRule="auto"/>
      </w:pPr>
      <w:r>
        <w:rPr>
          <w:b/>
        </w:rPr>
        <w:t xml:space="preserve">[13] </w:t>
      </w:r>
      <w:hyperlink r:id="rId62">
        <w:r>
          <w:rPr>
            <w:color w:val="1155CC"/>
            <w:u w:val="single"/>
          </w:rPr>
          <w:t>通过亚稳态合成动力学实现可持续高能量密度Li-Mn-O层状阴极</w:t>
        </w:r>
      </w:hyperlink>
    </w:p>
    <w:p>
      <w:pPr>
        <w:spacing w:before="0" w:after="80"/>
      </w:pPr>
      <w:r>
        <w:rPr>
          <w:i/>
          <w:sz w:val="20"/>
        </w:rPr>
        <w:t>EN: Sustainable high energy density Li–Mn–O layered cathode via metastable synthetic kinetics</w:t>
      </w:r>
    </w:p>
    <w:p>
      <w:pPr>
        <w:spacing w:before="0" w:after="120"/>
      </w:pPr>
      <w:r>
        <w:rPr>
          <w:b/>
        </w:rPr>
        <w:t xml:space="preserve">Source: </w:t>
      </w:r>
      <w:r>
        <w:t>National Science Review Advance Access</w:t>
      </w:r>
      <w:r>
        <w:t xml:space="preserve">    </w:t>
      </w:r>
      <w:r>
        <w:rPr>
          <w:b/>
        </w:rPr>
        <w:t xml:space="preserve">Pub date: </w:t>
      </w:r>
      <w:r>
        <w:t>2026-06-11 00:00:00+00:00</w:t>
      </w:r>
      <w:r>
        <w:t xml:space="preserve">    </w:t>
      </w:r>
      <w:r>
        <w:rPr>
          <w:b/>
        </w:rPr>
        <w:t xml:space="preserve">DOI: </w:t>
      </w:r>
      <w:hyperlink r:id="rId63">
        <w:r>
          <w:rPr>
            <w:color w:val="1155CC"/>
            <w:u w:val="single"/>
          </w:rPr>
          <w:t>10.1093/nsr/nwag356</w:t>
        </w:r>
      </w:hyperlink>
    </w:p>
    <w:p>
      <w:pPr>
        <w:spacing w:before="0" w:after="120"/>
      </w:pPr>
      <w:r>
        <w:rPr>
          <w:b/>
        </w:rPr>
        <w:t xml:space="preserve">Notes: </w:t>
      </w:r>
      <w:r>
        <w:t>abstract_source=rss_oup</w:t>
      </w:r>
    </w:p>
    <w:p>
      <w:pPr>
        <w:spacing w:before="0" w:after="80" w:lineRule="auto" w:line="276"/>
      </w:pPr>
      <w:r>
        <w:rPr>
          <w:b/>
        </w:rPr>
        <w:t xml:space="preserve">摘要（ZH）: </w:t>
      </w:r>
      <w:r>
        <w:t>亚稳态富锂层状阴极的电化学稳定性本质上是由其合成历史决定的，但离子交换热力学和结构演化之间的相关性仍然难以捉摸。在这里，使用层状 P3-Na0.6[Li0.2Mn0.8]O2 (P3-NLM) 作为前驱体，自发离子交换合成 O3-Li0.6[Li0.2Mn0.8]O2 (O3-LLM RT) 产生了迄今为止在室温下基于 LiPF6 的碳酸盐电解质中最有前途的层状 Li-Mn-O 阴极之一。然而，升高的合成温度会引起锰离子迁移，从而阻碍Li + 可逆的层间迁移到过渡金属层中。这种结构障碍会触发不可逆的晶格氧活化并降低结构稳定性（例如，在 280°C 时，表示为 O3-LLM HT）。因此，完美的层状O3-LLM RT正极在2.0-4.8 V下循环400次后表现出250 mAh/g的高比容量和优异的循环稳定性，容量保持率为88.1%（O3-LLM HT为51.9%），在Li-Mn-O层状正极中名列前茅。这些发现为高能量密度电池亚稳态材料的设计和优化提供了见解。</w:t>
      </w:r>
    </w:p>
    <w:p>
      <w:pPr>
        <w:spacing w:before="0" w:after="200" w:lineRule="auto" w:line="276"/>
      </w:pPr>
      <w:r>
        <w:rPr>
          <w:b/>
        </w:rPr>
        <w:t xml:space="preserve">Abstract (EN): </w:t>
      </w:r>
      <w:r>
        <w:t>The electrochemical stability of metastable lithium-rich layered cathodes is intrinsically governed by their synthetic history, yet the correlation between ion-exchange thermodynamics and structural evolution remains elusive. Here, using layered P3-Na0.6[Li0.2Mn0.8]O2 (P3-NLM) as a precursor, the spontaneous ion exchange synthesis of O3-Li0.6[Li0.2Mn0.8]O2 (O3-LLM RT) yields one of the most promising layered Li–Mn–O cathodes reported to date within LiPF6-based carbonate electrolyte at room temperature. However, elevated synthesis temperatures induce manganese ion migration, which hinders the reversible interlayer migration of Li+ into the transition metal layers. This structural impediment triggers irreversible lattice oxygen activation and degrades structural stability (e.g., at 280°C, denoted as the O3-LLM HT). Consequently, the perfect layered O3-LLM RT cathode exhibits a high specific capacity of 250 mAh/g with excellent cycling stability of 88.1% capacity retention (vs. the 51.9% for O3-LLM HT) after 400 cycles at 2.0–4.8 V, ranking at the top of the Li–Mn–O layered cathodes. These findings provide insights into the design and optimization of metastable materials for high-energy-density batteries.</w:t>
      </w:r>
    </w:p>
    <w:p>
      <w:pPr>
        <w:spacing w:before="120" w:after="120"/>
      </w:pPr>
      <w:r>
        <w:rPr>
          <w:sz w:val="18"/>
        </w:rPr>
        <w:t>——————————————————————————————————————————————————————————————————————</w:t>
      </w:r>
    </w:p>
    <w:p>
      <w:pPr>
        <w:spacing w:before="160" w:after="40" w:line="240" w:lineRule="auto"/>
      </w:pPr>
      <w:r>
        <w:rPr>
          <w:b/>
        </w:rPr>
        <w:t xml:space="preserve">[14] </w:t>
      </w:r>
      <w:hyperlink r:id="rId64">
        <w:r>
          <w:rPr>
            <w:color w:val="1155CC"/>
            <w:u w:val="single"/>
          </w:rPr>
          <w:t>通过相分离进行锂硫电池均相/非均相催化剂设计</w:t>
        </w:r>
      </w:hyperlink>
    </w:p>
    <w:p>
      <w:pPr>
        <w:spacing w:before="0" w:after="80"/>
      </w:pPr>
      <w:r>
        <w:rPr>
          <w:i/>
          <w:sz w:val="20"/>
        </w:rPr>
        <w:t>EN: Homogeneous/Heterogeneous Catalyst Design for Lithium–Sulfur Batteries via Phase Separation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06:06:51+00:00</w:t>
      </w:r>
      <w:r>
        <w:t xml:space="preserve">    </w:t>
      </w:r>
      <w:r>
        <w:rPr>
          <w:b/>
        </w:rPr>
        <w:t xml:space="preserve">DOI: </w:t>
      </w:r>
      <w:hyperlink r:id="rId65">
        <w:r>
          <w:rPr>
            <w:color w:val="1155CC"/>
            <w:u w:val="single"/>
          </w:rPr>
          <w:t>10.1002/anie.1750429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氧化还原动力学和锂沉积行为的双重调节代表着克服锂硫（Li-S）电池性能限制的关键突破。金属基有机分子为合理化Li-S体系中的电解质电化学提供了理想的解决方案，具有富氮特性和活性金属中心。在这里，我们利用氯化酞菁铁（FePcCl）在电解质中的溶解度来诱导相分离。溶解部分（FePcCl溶质）充当均相催化剂（Fe-Hom），而不溶部分均匀负载到碳球上充当非均相催化剂（Fe-Het）。通过精确的相分离工程开发的均相/非均相协同催化剂体系（Fe-Syg）能够实现移动和固定活性位点的共存。这种协同作用最大限度地提高了 Fe-Syg 的工作活性，超越了单相催化剂的限制，同时调节硫转化动力学和锂沉积/剥离行为，从而实现高效、坚固的电极。因此，包含 Fe-Syg 的 Li-S 电池在各种条件下都表现出良好的倍率性能和使用寿命。值得注意的是，用 3.5 µL mg 的贫电解液组装的软包电池</w:t>
      </w:r>
      <w:r>
        <w:t xml:space="preserve"> </w:t>
      </w:r>
      <w:r>
        <w:t>−1</w:t>
      </w:r>
      <w:r>
        <w:t xml:space="preserve"> </w:t>
      </w:r>
      <w:r>
        <w:t>实现了 364.8 Wh kg 的良好能量密度</w:t>
      </w:r>
      <w:r>
        <w:t xml:space="preserve"> </w:t>
      </w:r>
      <w:r>
        <w:t>−1</w:t>
      </w:r>
      <w:r>
        <w:t xml:space="preserve"> </w:t>
      </w:r>
      <w:r>
        <w:t>并保持稳定循环40个循环。</w:t>
      </w:r>
    </w:p>
    <w:p>
      <w:pPr>
        <w:spacing w:before="0" w:after="200" w:lineRule="auto" w:line="276"/>
      </w:pPr>
      <w:r>
        <w:rPr>
          <w:b/>
        </w:rPr>
        <w:t xml:space="preserve">Abstract (EN): </w:t>
      </w:r>
      <w:r>
        <w:t>The dual regulation of sulfur redox kinetics and lithium deposition behavior represents a pivotal breakthrough toward overcoming the performance limitations of lithium–sulfur (Li–S) batteries. Metal‐based organic molecules provide an ideal solution for rationalizing the electrolyte electrochemistry in Li–S system, featuring both nitrogen‐rich properties and active metal centers. Herein, we leverage the solubility of iron phthalocyanine chloride (FePcCl) in the electrolyte to induce phase separation. The dissolved portion (FePcCl solute) functions as a homogeneous catalyst (Fe‐Hom), whilst the insoluble fraction is uniformly loaded onto carbon spheres to act as a heterogeneous catalyst (Fe‐Het). The homogeneous/heterogeneous synergistic catalyst system (Fe‐Syg), developed through precise phase‐separation engineering, enables the coexistence of mobile and immobilized active sites. This synergy maximizes the working activity of Fe‐Syg beyond the limitations of single‐phase catalysts, simultaneously regulating sulfur conversion kinetics and lithium plating/stripping behavior toward high‐efficiency and robust electrodes. As a result, the Li–S batteries incorporating Fe‐Syg demonstrate favorable rate capability and operational lifespan under various conditions. Remarkably, a pouch cell assembled with a lean electrolyte dosage of 3.5 µL mg</w:t>
      </w:r>
      <w:r>
        <w:t xml:space="preserve"> </w:t>
      </w:r>
      <w:r>
        <w:t>−1</w:t>
      </w:r>
      <w:r>
        <w:t xml:space="preserve"> </w:t>
      </w:r>
      <w:r>
        <w:t>achieves a favorable energy density of 364.8 Wh kg</w:t>
      </w:r>
      <w:r>
        <w:t xml:space="preserve"> </w:t>
      </w:r>
      <w:r>
        <w:t>−1</w:t>
      </w:r>
      <w:r>
        <w:t xml:space="preserve"> </w:t>
      </w:r>
      <w:r>
        <w:t>and maintains stable cycling for 40 cycles.</w:t>
      </w:r>
    </w:p>
    <w:p>
      <w:pPr>
        <w:spacing w:before="120" w:after="120"/>
      </w:pPr>
      <w:r>
        <w:rPr>
          <w:sz w:val="18"/>
        </w:rPr>
        <w:t>——————————————————————————————————————————————————————————————————————</w:t>
      </w:r>
    </w:p>
    <w:p>
      <w:pPr>
        <w:spacing w:before="160" w:after="40" w:line="240" w:lineRule="auto"/>
      </w:pPr>
      <w:r>
        <w:rPr>
          <w:b/>
        </w:rPr>
        <w:t xml:space="preserve">[15] </w:t>
      </w:r>
      <w:hyperlink r:id="rId66">
        <w:r>
          <w:rPr>
            <w:color w:val="1155CC"/>
            <w:u w:val="single"/>
          </w:rPr>
          <w:t>从 P 型到双极：用于超稳定和高能有机锂离子电池的 D-A-D 有机阴极醌核心工程策略</w:t>
        </w:r>
      </w:hyperlink>
    </w:p>
    <w:p>
      <w:pPr>
        <w:spacing w:before="0" w:after="80"/>
      </w:pPr>
      <w:r>
        <w:rPr>
          <w:i/>
          <w:sz w:val="20"/>
        </w:rPr>
        <w:t>EN: From P‐Type to Bipolar: A Quinone‐Core Engineering Strategy in D‐A‐D Organic Cathodes for Ultra‐Stable and High‐Energy Organic Lithium‐Ion Batteries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06:21:32+00:00</w:t>
      </w:r>
      <w:r>
        <w:t xml:space="preserve">    </w:t>
      </w:r>
      <w:r>
        <w:rPr>
          <w:b/>
        </w:rPr>
        <w:t xml:space="preserve">DOI: </w:t>
      </w:r>
      <w:hyperlink r:id="rId67">
        <w:r>
          <w:rPr>
            <w:color w:val="1155CC"/>
            <w:u w:val="single"/>
          </w:rPr>
          <w:t>10.1002/anie.9678457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研究中，我们提出了一种合理的供体-受体-供体（D-A-D）分子设计策略，通过增强分子内电荷转移（ICT）效应来开发高性能有机阴极。我们设计并合成了两种有机分子：具有强醌型受体核心的2,6-双(10H-吩噻嗪-10-基)苯并[1,2-d:4,5-d']二咪唑-4,8-二酮(PTZBQ)和对照化合物2,6-双(10H-吩噻嗪-10-基)苯并[1,2-d:4,5-d']二咪唑(PTZTAB)，无醌核。 PTZBQ的强推挽电子结构不仅可以显着缩小带隙并改善电极动力学，而且还可以使醌核贡献额外的n型容量，从而显着提高电极的比容量和反应动力学。此外，扩展的π共轭和D-A-D构型诱导的极性赋予这两种小分子优异的耐电解质溶解性。因此，PTZBQ 表现出双极氧化还原活性，可提供 3.05 V 的高放电电位和 163.3 mAh g 的高比容量</w:t>
      </w:r>
      <w:r>
        <w:t xml:space="preserve"> </w:t>
      </w:r>
      <w:r>
        <w:t>−1</w:t>
      </w:r>
      <w:r>
        <w:t xml:space="preserve"> </w:t>
      </w:r>
      <w:r>
        <w:t>0.1 A g 时</w:t>
      </w:r>
      <w:r>
        <w:t xml:space="preserve"> </w:t>
      </w:r>
      <w:r>
        <w:t>−1</w:t>
      </w:r>
      <w:r>
        <w:t xml:space="preserve"> </w:t>
      </w:r>
      <w:r>
        <w:t>，出色的倍率性能（5 A g 时保留率为 77.6%</w:t>
      </w:r>
      <w:r>
        <w:t xml:space="preserve"> </w:t>
      </w:r>
      <w:r>
        <w:t>−1</w:t>
      </w:r>
      <w:r>
        <w:t xml:space="preserve"> </w:t>
      </w:r>
      <w:r>
        <w:t>），以及出色的长期循环稳定性，在 1 A g 下循环 5000 次后保留率为 89.4%</w:t>
      </w:r>
      <w:r>
        <w:t xml:space="preserve"> </w:t>
      </w:r>
      <w:r>
        <w:t>−1</w:t>
      </w:r>
      <w:r>
        <w:t xml:space="preserve"> </w:t>
      </w:r>
      <w:r>
        <w:t>。 DFT计算和异位光谱证实独特的D-A-D结构具有空间分离的n型a</w:t>
      </w:r>
    </w:p>
    <w:p>
      <w:pPr>
        <w:spacing w:before="0" w:after="200" w:lineRule="auto" w:line="276"/>
      </w:pPr>
      <w:r>
        <w:rPr>
          <w:b/>
        </w:rPr>
        <w:t xml:space="preserve">Abstract (EN): </w:t>
      </w:r>
      <w:r>
        <w:t>In this study, we present a rational donor‐acceptor‐donor (D‐A‐D) molecular design strategy to develop high‐performance organic cathodes by enhancing the intramolecular charge transfer (ICT) effect. We designed and synthesized two organic molecules: 2,6‐bis(10H‐phenothiazin‐10‐yl)benzo[1,2‐d:4,5‐d’]diimidazole‐4,8‐dione (PTZBQ), featuring a strong quinone‐type acceptor core, and the control compound 2,6‐bis(10H‐phenothiazin‐10‐yl)benzo[1,2‐d:4,5‐d’]diimidazole (PTZTAB), without a quinone core. The strong push‐pull electronic structure of PTZBQ not only results in a significantly narrowed bandgap and improved electrode kinetics, but also allows the quinone core to contribute extra n‐type capacity, thereby remarkably boosting the electrode's specific capacity and reaction dynamics. Moreover, the extended π‐conjugation and D‐A‐D configuration‐induced polarity endow both small molecules with exceptional electrolyte dissolution resistance. Consequently, PTZBQ exhibits bipolar redox activity, delivering a high discharge potential of 3.05 V, a high specific capacity of 163.3 mAh g</w:t>
      </w:r>
      <w:r>
        <w:t xml:space="preserve"> </w:t>
      </w:r>
      <w:r>
        <w:t>−1</w:t>
      </w:r>
      <w:r>
        <w:t xml:space="preserve"> </w:t>
      </w:r>
      <w:r>
        <w:t>at 0.1 A g</w:t>
      </w:r>
      <w:r>
        <w:t xml:space="preserve"> </w:t>
      </w:r>
      <w:r>
        <w:t>−1</w:t>
      </w:r>
      <w:r>
        <w:t xml:space="preserve"> </w:t>
      </w:r>
      <w:r>
        <w:t>, an excellent rate capability (77.6% retention at 5 A g</w:t>
      </w:r>
      <w:r>
        <w:t xml:space="preserve"> </w:t>
      </w:r>
      <w:r>
        <w:t>−1</w:t>
      </w:r>
      <w:r>
        <w:t xml:space="preserve"> </w:t>
      </w:r>
      <w:r>
        <w:t>), and exceptional long‐term cycling stability with 89.4% retention after 5000 cycles at 1 A g</w:t>
      </w:r>
      <w:r>
        <w:t xml:space="preserve"> </w:t>
      </w:r>
      <w:r>
        <w:t>−1</w:t>
      </w:r>
      <w:r>
        <w:t xml:space="preserve"> </w:t>
      </w:r>
      <w:r>
        <w:t>. DFT calculations and ex situ spectroscopy confirm that the unique D‐A‐D architecture possesses spatially separated n‐type and p‐type redox centers, facilitating the redox process. Our findings highlight that quinone‐core engineering enhances intramolecular charge transfer and represents a powerful approach for developing high‐performance cathode materials.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8">
        <w:r>
          <w:rPr>
            <w:color w:val="1155CC"/>
            <w:u w:val="single"/>
          </w:rPr>
          <w:t>通过弱结合水介导的剪切增稠电解质实现实用的水性锌金属软包​​电池</w:t>
        </w:r>
      </w:hyperlink>
    </w:p>
    <w:p>
      <w:pPr>
        <w:spacing w:before="0" w:after="80"/>
      </w:pPr>
      <w:r>
        <w:rPr>
          <w:i/>
          <w:sz w:val="20"/>
        </w:rPr>
        <w:t>EN: Towards practical aqueous zinc metal pouch cell batteries via weakly bound water-mediated shear-thickening electrolyte</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锌负极的无序枝晶生长和腐蚀反应仍然是水性锌金属电池的关键挑战。调节剪切增稠非牛顿流体电解质中的水态已成为同时抑制锌负极枝晶生长和腐蚀的有前途的策略。在此，我们设计了一种基于羧甲基纤维素和磺酸硅氧化物纳米粒子的多功能剪切增稠非牛顿流体电解质，它通过水分子状态的分层调节解决了这两个问题。羧甲基纤维素将游离水转化为弱结合水，从而抑制水引起的寄生反应。同时，磺化 SiO2 纳米粒子与支链淀粉和羧甲基纤维素形成集成的剪切增稠网络，同时引入丰富的表面 –SO3⁻ 基团，破坏锌界面处强结合的水层。这种结构能够在枝晶尖端实现局部机械硬化，而不会影响离子电导率。结果，Zn | |Zn 对称电池在 50 mA cm⁻2 和 25 mAh cm⁻2 下表现出稳定的 Zn 电镀/剥离 900 小时，并且 Zn | |容量为 1.5 Ah 的 I2 软包电池在 20 mA cm⁻2 下可保持超过 200 个循环的稳定性。这些发现为耐腐蚀、机械适应性水性和实用的锌袋电池系统提供了一条替代途径。</w:t>
      </w:r>
    </w:p>
    <w:p>
      <w:pPr>
        <w:spacing w:before="0" w:after="200" w:lineRule="auto" w:line="276"/>
      </w:pPr>
      <w:r>
        <w:rPr>
          <w:b/>
        </w:rPr>
        <w:t xml:space="preserve">Abstract (EN): </w:t>
      </w:r>
      <w:r>
        <w:t>Disordered dendrite growth and corrosion reactions of zinc negative electrodes remain critical challenges in aqueous zinc metal batteries. Regulating water states in shear-thickening non-Newtonian fluid electrolytes has emerged as a promising strategy to simultaneously suppress dendrite growth and corrosion for zinc negative electrodes. Herein, we design a multifunctional shear-thickening non-Newtonian fluid electrolyte, based on carboxymethyl cellulose and sulfonate silicon oxide nanoparticles, which addresses both issues through hierarchical regulation of water molecule states. Carboxymethyl cellulose converts free water into weakly bound water, thereby suppressing water-induced parasitic reactions. Concurrently, sulfonated SiO2 nanoparticles form an integrated shear-thickening network with amylopectin and carboxymethyl cellulose while introducing abundant surface –SO3⁻ groups that disrupt the strongly bound water layer at the zinc interface. This architecture enables localized mechanical stiffening at dendrite tips without compromising ionic conductivity. As a result, Zn | |Zn symmetric cells exhibit stable Zn plating/stripping for 900 h at 50 mA cm⁻2 and 25 mAh cm⁻2, and Zn | |I2 pouch cells with a capacity of 1.5 Ah maintain stability over 200 cycles at 20 mA cm⁻2. These findings offer a alternative pathway toward corrosion-resistant, mechanically adaptive aqueous and practical zinc pouch cells systems.</w:t>
      </w:r>
    </w:p>
    <w:p>
      <w:pPr>
        <w:spacing w:before="120" w:after="120"/>
      </w:pPr>
      <w:r>
        <w:rPr>
          <w:sz w:val="18"/>
        </w:rPr>
        <w:t>——————————————————————————————————————————————————————————————————————</w:t>
      </w:r>
    </w:p>
    <w:p>
      <w:pPr>
        <w:spacing w:before="160" w:after="40" w:line="240" w:lineRule="auto"/>
      </w:pPr>
      <w:r>
        <w:rPr>
          <w:b/>
        </w:rPr>
        <w:t xml:space="preserve">[2] </w:t>
      </w:r>
      <w:hyperlink r:id="rId69">
        <w:r>
          <w:rPr>
            <w:color w:val="1155CC"/>
            <w:u w:val="single"/>
          </w:rPr>
          <w:t>不易燃的锂金刚石复合阳极可实现高安全性锂金属电池</w:t>
        </w:r>
      </w:hyperlink>
    </w:p>
    <w:p>
      <w:pPr>
        <w:spacing w:before="0" w:after="80"/>
      </w:pPr>
      <w:r>
        <w:rPr>
          <w:i/>
          <w:sz w:val="20"/>
        </w:rPr>
        <w:t>EN: Non‐Flammable Li‐Diamond Composite Anode Enabling High‐Safety Lithium Metal Batteries</w:t>
      </w:r>
    </w:p>
    <w:p>
      <w:pPr>
        <w:spacing w:before="0" w:after="120"/>
      </w:pPr>
      <w:r>
        <w:rPr>
          <w:b/>
        </w:rPr>
        <w:t xml:space="preserve">Source: </w:t>
      </w:r>
      <w:r>
        <w:t>Wiley: Advanced Energy Materials: Table of Contents</w:t>
      </w:r>
      <w:r>
        <w:t xml:space="preserve">    </w:t>
      </w:r>
      <w:r>
        <w:rPr>
          <w:b/>
        </w:rPr>
        <w:t xml:space="preserve">Pub date: </w:t>
      </w:r>
      <w:r>
        <w:t>2026-06-07 12:57:52+00:00</w:t>
      </w:r>
      <w:r>
        <w:t xml:space="preserve">    </w:t>
      </w:r>
      <w:r>
        <w:rPr>
          <w:b/>
        </w:rPr>
        <w:t xml:space="preserve">DOI: </w:t>
      </w:r>
      <w:hyperlink r:id="rId70">
        <w:r>
          <w:rPr>
            <w:color w:val="1155CC"/>
            <w:u w:val="single"/>
          </w:rPr>
          <w:t>10.1002/aenm.71165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负极的高反应性一直阻碍其实际应用。在此，为了提高锂金属负极的安全性和电化学性能，我们通过机械滚压氧化锌（ZnO）改性金刚石颗粒与锂箔制备了超薄复合负极。金刚石成分赋予复合阳极卓越的安全性。在热滥用条件下，锂-金刚石界面处形成的惰性产物迅速将金属锂与大气中的氧气隔离，有效抑制锂滴的形成，并在暴露于火焰时迅速自熄。当与不可燃电解质配合使用时，组装好的软包电池在加热下表现出出色的安全性。此外，使用相同的制备方法，我们证明其他碳材料也增强了锂金属的固有安全性。这项工作为锂碳复合负极提供了新的视角，并促进了本质安全的锂金属负极的发展。</w:t>
      </w:r>
    </w:p>
    <w:p>
      <w:pPr>
        <w:spacing w:before="0" w:after="200" w:lineRule="auto" w:line="276"/>
      </w:pPr>
      <w:r>
        <w:rPr>
          <w:b/>
        </w:rPr>
        <w:t xml:space="preserve">Abstract (EN): </w:t>
      </w:r>
      <w:r>
        <w:t>The high reactivity of lithium metal anodes has persistently hindered their practical implementation. Herein, aiming to enhance both the safety and electrochemical performance of lithium metal anodes, we fabricated an ultrathin composite anode via mechanical rolling of zinc oxide (ZnO) modified diamond particles with lithium foil. The diamond component imparts exceptional safety to the composite anode. Under thermal abuse conditions, inert products formed at the Li‐diamond interface rapidly isolate metallic lithium from atmospheric oxygen, effectively suppressing lithium droplet formation and enabling prompt self‐extinguishment upon flame exposure. When paired with a non‐flammable electrolyte, the assembled pouch cell demonstrates outstanding safety under heating. Furthermore, using the same preparation method, we demonstrate that other carbon materials also enhance the inherent safety of lithium metal. This work provides a new perspective on lithium‐carbon composite anodes and facilitates the development of intrinsically safe lithium metal anodes.</w:t>
      </w:r>
    </w:p>
    <w:p>
      <w:pPr>
        <w:spacing w:before="120" w:after="120"/>
      </w:pPr>
      <w:r>
        <w:rPr>
          <w:sz w:val="18"/>
        </w:rPr>
        <w:t>——————————————————————————————————————————————————————————————————————</w:t>
      </w:r>
    </w:p>
    <w:p>
      <w:pPr>
        <w:spacing w:before="160" w:after="40" w:line="240" w:lineRule="auto"/>
      </w:pPr>
      <w:r>
        <w:rPr>
          <w:b/>
        </w:rPr>
        <w:t xml:space="preserve">[3] </w:t>
      </w:r>
      <w:hyperlink r:id="rId71">
        <w:r>
          <w:rPr>
            <w:color w:val="1155CC"/>
            <w:u w:val="single"/>
          </w:rPr>
          <w:t>通过引发化学气相沉积 (iCVD) 演示的阳极修改设计指南，以消除大容量电镀高电流密度下无阳极钠电池中的软短路</w:t>
        </w:r>
      </w:hyperlink>
    </w:p>
    <w:p>
      <w:pPr>
        <w:spacing w:before="0" w:after="80"/>
      </w:pPr>
      <w:r>
        <w:rPr>
          <w:i/>
          <w:sz w:val="20"/>
        </w:rPr>
        <w:t>EN: Design Guidelines for Anode Modifications to Eliminate Soft Short Circuits in Anode‐Free Na Batteries Under High Current Density With Large‐Capacity Plating, Demonstrated via Initiated Chemical Vapor Deposition (iCVD)</w:t>
      </w:r>
    </w:p>
    <w:p>
      <w:pPr>
        <w:spacing w:before="0" w:after="120"/>
      </w:pPr>
      <w:r>
        <w:rPr>
          <w:b/>
        </w:rPr>
        <w:t xml:space="preserve">Source: </w:t>
      </w:r>
      <w:r>
        <w:t>Wiley: Angewandte Chemie International Edition: Table of Contents</w:t>
      </w:r>
      <w:r>
        <w:t xml:space="preserve">    </w:t>
      </w:r>
      <w:r>
        <w:rPr>
          <w:b/>
        </w:rPr>
        <w:t xml:space="preserve">Pub date: </w:t>
      </w:r>
      <w:r>
        <w:t>2026-06-07 16:51:22+00:00</w:t>
      </w:r>
      <w:r>
        <w:t xml:space="preserve">    </w:t>
      </w:r>
      <w:r>
        <w:rPr>
          <w:b/>
        </w:rPr>
        <w:t xml:space="preserve">DOI: </w:t>
      </w:r>
      <w:hyperlink r:id="rId72">
        <w:r>
          <w:rPr>
            <w:color w:val="1155CC"/>
            <w:u w:val="single"/>
          </w:rPr>
          <w:t>10.1002/anie.9967811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软短路是一种未被充分认识的故障模式，在无阳极钠系统中尤其重要，其中有限的钠库存使电池极易遭受不可逆的钠损失。然而，仍然缺乏抑制软短路的明确的相间设计原则，因为其界面起源和控制描述符仍然知之甚少。在此，我们提出了一种在实际条件下用于软无短路钠金属阳极的机械引导相间设计策略。通过无溶剂气相聚合工艺将超薄（20 nm）聚（1H,1H,7H-丙烯酸十二氟庚酯）（pDFHA）层共形沉积在铝集流体上。其最小的厚度和固有的离子电导率使其具有良好的Na</w:t>
      </w:r>
      <w:r>
        <w:t xml:space="preserve"> </w:t>
      </w:r>
      <w:r>
        <w:t>+</w:t>
      </w:r>
      <w:r>
        <w:t xml:space="preserve"> </w:t>
      </w:r>
      <w:r>
        <w:t>通过缩短界面传输距离来实现迁移动力学。在最初的 Na 电镀后，界面转化产生了约 4 nm 富含 NaF 的无机域，形成了集成的有机-无机杂化界面。有限元分析表明，横向均匀的界面使Na</w:t>
      </w:r>
      <w:r>
        <w:t xml:space="preserve"> </w:t>
      </w:r>
      <w:r>
        <w:t>+</w:t>
      </w:r>
      <w:r>
        <w:t xml:space="preserve"> </w:t>
      </w:r>
      <w:r>
        <w:t>通量并减轻局部电流放大，从而显着减少软短路的发生。同时，混合架构将机械强度与适应大幅体积波动的能力结合起来。结果，带有 pDFHA 修饰电极的对称电池稳定循环超过 2000 小时，没有发生软短路。无阳极全电池与 Na 配对</w:t>
      </w:r>
      <w:r>
        <w:rPr>
          <w:vertAlign w:val="subscript"/>
        </w:rPr>
        <w:t>3</w:t>
      </w:r>
    </w:p>
    <w:p>
      <w:pPr>
        <w:spacing w:before="0" w:after="200" w:lineRule="auto" w:line="276"/>
      </w:pPr>
      <w:r>
        <w:rPr>
          <w:b/>
        </w:rPr>
        <w:t xml:space="preserve">Abstract (EN): </w:t>
      </w:r>
      <w:r>
        <w:t>Soft short circuits, an underrecognized failure mode, are especially critical in anode‐free sodium systems, where limited Na inventory makes cells highly vulnerable to irreversible Na loss. However, clear interphase‐design principles for suppressing soft shorting remain lacking because its interfacial origin and governing descriptors are still poorly understood. Herein, we propose a mechanistically guided interphase design strategy for soft‐short‐free Na metal anodes under practical conditions. An ultrathin (20 nm) poly(1H,1H,7H‐dodecafluoroheptyl acrylate) (pDFHA) layer was conformally deposited on an Al current collector via a solvent‐free vapor‐phase polymerization process. Its minimal thickness and intrinsic ionic conductivity enabled favorable Na</w:t>
      </w:r>
      <w:r>
        <w:t xml:space="preserve"> </w:t>
      </w:r>
      <w:r>
        <w:t>+</w:t>
      </w:r>
      <w:r>
        <w:t xml:space="preserve"> </w:t>
      </w:r>
      <w:r>
        <w:t>migration kinetics by shortening interfacial transport distance. Upon initial Na plating, interfacial conversion generated a ∼4 nm NaF‐rich inorganic domain, forming an integrated organic‐inorganic hybrid interphase. Finite element analysis showed that the laterally uniform interphase homogenized Na</w:t>
      </w:r>
      <w:r>
        <w:t xml:space="preserve"> </w:t>
      </w:r>
      <w:r>
        <w:t>+</w:t>
      </w:r>
      <w:r>
        <w:t xml:space="preserve"> </w:t>
      </w:r>
      <w:r>
        <w:t>flux and mitigated localized current amplification, thereby markedly reducing soft short initiation. Meanwhile, the hybrid architecture combined mechanical strength with the ability to accommodate substantial volume fluctuation. As a result, symmetric cells with pDFHA‐modified electrodes cycled stably for over 2000 h without soft shorting. Anode‐free full cells paired with Na</w:t>
      </w:r>
      <w:r>
        <w:rPr>
          <w:vertAlign w:val="subscript"/>
        </w:rPr>
        <w:t>3</w:t>
      </w:r>
      <w:r>
        <w:t>V</w:t>
      </w:r>
      <w:r>
        <w:rPr>
          <w:vertAlign w:val="subscript"/>
        </w:rPr>
        <w:t>2</w:t>
      </w:r>
      <w:r>
        <w:t>(PO</w:t>
      </w:r>
      <w:r>
        <w:rPr>
          <w:vertAlign w:val="subscript"/>
        </w:rPr>
        <w:t>4</w:t>
      </w:r>
      <w:r>
        <w:t>)</w:t>
      </w:r>
      <w:r>
        <w:rPr>
          <w:vertAlign w:val="subscript"/>
        </w:rPr>
        <w:t>3</w:t>
      </w:r>
      <w:r>
        <w:t>cathodes delivered 90.1 mAh g</w:t>
      </w:r>
      <w:r>
        <w:t xml:space="preserve"> </w:t>
      </w:r>
      <w:r>
        <w:t>−1</w:t>
      </w:r>
      <w:r>
        <w:t xml:space="preserve"> </w:t>
      </w:r>
      <w:r>
        <w:t>at 1C and retained 90.8% capacity after 200 cycles, demonstrating practical robustness.</w:t>
      </w:r>
    </w:p>
    <w:p>
      <w:pPr>
        <w:spacing w:before="120" w:after="120"/>
      </w:pPr>
      <w:r>
        <w:rPr>
          <w:sz w:val="18"/>
        </w:rPr>
        <w:t>——————————————————————————————————————————————————————————————————————</w:t>
      </w:r>
    </w:p>
    <w:p>
      <w:pPr>
        <w:spacing w:before="160" w:after="40" w:line="240" w:lineRule="auto"/>
      </w:pPr>
      <w:r>
        <w:rPr>
          <w:b/>
        </w:rPr>
        <w:t xml:space="preserve">[4] </w:t>
      </w:r>
      <w:hyperlink r:id="rId43">
        <w:r>
          <w:rPr>
            <w:color w:val="1155CC"/>
            <w:u w:val="single"/>
          </w:rPr>
          <w:t>打破无阳极锂软包电池的能量密度与应力之间的权衡</w:t>
        </w:r>
      </w:hyperlink>
    </w:p>
    <w:p>
      <w:pPr>
        <w:spacing w:before="0" w:after="80"/>
      </w:pPr>
      <w:r>
        <w:rPr>
          <w:i/>
          <w:sz w:val="20"/>
        </w:rPr>
        <w:t>EN: Breaking Energy Density‐Stress Trade‐Off in Anode‐Free Lithium Pouch Cells</w:t>
      </w:r>
    </w:p>
    <w:p>
      <w:pPr>
        <w:spacing w:before="0" w:after="120"/>
      </w:pPr>
      <w:r>
        <w:rPr>
          <w:b/>
        </w:rPr>
        <w:t xml:space="preserve">Source: </w:t>
      </w:r>
      <w:r>
        <w:t>Wiley: Advanced Materials: Table of Contents</w:t>
      </w:r>
      <w:r>
        <w:t xml:space="preserve">    </w:t>
      </w:r>
      <w:r>
        <w:rPr>
          <w:b/>
        </w:rPr>
        <w:t xml:space="preserve">Pub date: </w:t>
      </w:r>
      <w:r>
        <w:t>2026-06-08 07:08:01+00:00</w:t>
      </w:r>
      <w:r>
        <w:t xml:space="preserve">    </w:t>
      </w:r>
      <w:r>
        <w:rPr>
          <w:b/>
        </w:rPr>
        <w:t xml:space="preserve">DOI: </w:t>
      </w:r>
      <w:hyperlink r:id="rId44">
        <w:r>
          <w:rPr>
            <w:color w:val="1155CC"/>
            <w:u w:val="single"/>
          </w:rPr>
          <w:t>10.1002/adma.73652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负极的膨胀及其不利影响阻碍了锂金属电池（LMB）的实际应用。由于对能量密度与应力之间的权衡认识不足，目前还没有出现可行的解决方案来阻止其膨胀或减少其内应力积累（SA），同时保持其卓越的能量密度。我们提出了基于原理的标准，通过定义应变缓冲技术的边界参数来指导高能和低膨胀LMB的开发。我们以典型的空间自适应缓冲（SAB）层为例，具体化了这一标准，并验证了其科学性和前瞻性，有效降低了SA，缓解了局部应力集中（SC）。结果，Ah级NCM9（LiNi</w:t>
      </w:r>
      <w:r>
        <w:t xml:space="preserve"> </w:t>
      </w:r>
      <w:r>
        <w:t>x</w:t>
      </w:r>
      <w:r>
        <w:t xml:space="preserve"> </w:t>
      </w:r>
      <w:r>
        <w:t>钴</w:t>
      </w:r>
      <w:r>
        <w:t xml:space="preserve"> </w:t>
      </w:r>
      <w:r>
        <w:t>y</w:t>
      </w:r>
      <w:r>
        <w:t xml:space="preserve"> </w:t>
      </w:r>
      <w:r>
        <w:t>锰</w:t>
      </w:r>
      <w:r>
        <w:t xml:space="preserve"> </w:t>
      </w:r>
      <w:r>
        <w:t>1-x-y</w:t>
      </w:r>
      <w:r>
        <w:t xml:space="preserve"> </w:t>
      </w:r>
      <w:r>
        <w:t>氧</w:t>
      </w:r>
      <w:r>
        <w:rPr>
          <w:vertAlign w:val="subscript"/>
        </w:rPr>
        <w:t>2</w:t>
      </w:r>
      <w:r>
        <w:t>, x ≥ 0.9)||SAB-Cu软包电池原型具有465 Wh/kg和1330 Wh/L的高裸电池能量密度，表现出均匀的应力分布和低SC（局部压力极端差异&lt;2 MPa），避免了锂枝晶击穿的失败。此外，Ah级NCM811(Li</w:t>
      </w:r>
      <w:r>
        <w:t xml:space="preserve"> </w:t>
      </w:r>
      <w:r>
        <w:t>1.2</w:t>
      </w:r>
      <w:r>
        <w:t xml:space="preserve"> </w:t>
      </w:r>
      <w:r>
        <w:t>镍</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)||SAB-Cu 软包电池展示了每</w:t>
      </w:r>
    </w:p>
    <w:p>
      <w:pPr>
        <w:spacing w:before="0" w:after="200" w:lineRule="auto" w:line="276"/>
      </w:pPr>
      <w:r>
        <w:rPr>
          <w:b/>
        </w:rPr>
        <w:t xml:space="preserve">Abstract (EN): </w:t>
      </w:r>
      <w:r>
        <w:t>The swelling of the Li metal anode and its adverse impacts have barred lithium metal batteries (LMBs) from practical applications. Owing to insufficient recognition of the energy density–stress trade‐off, no viable solution has emerged to halt their expansion or diminish their internal stress accumulation (SA) while preserving their exceptional energy density. We proposed principle‐based criteria to guide the development of high‐energy and low‐swelling LMBs by defining the boundary parameters of strain‐buffering techniques. Taking a typical space‐adaptive buffering (SAB) layer as an example, we have materialized this criterion and verified its scientific validity and forward‐looking nature, effectively reducing SA and mitigating the local stress concentration (SC). As a result, the Ah‐level NCM9 (LiNi</w:t>
      </w:r>
      <w:r>
        <w:t xml:space="preserve"> </w:t>
      </w:r>
      <w:r>
        <w:t>x</w:t>
      </w:r>
      <w:r>
        <w:t xml:space="preserve"> </w:t>
      </w:r>
      <w:r>
        <w:t>Co</w:t>
      </w:r>
      <w:r>
        <w:t xml:space="preserve"> </w:t>
      </w:r>
      <w:r>
        <w:t>y</w:t>
      </w:r>
      <w:r>
        <w:t xml:space="preserve"> </w:t>
      </w:r>
      <w:r>
        <w:t>Mn</w:t>
      </w:r>
      <w:r>
        <w:t xml:space="preserve"> </w:t>
      </w:r>
      <w:r>
        <w:t>1‐x‐y</w:t>
      </w:r>
      <w:r>
        <w:t xml:space="preserve"> </w:t>
      </w:r>
      <w:r>
        <w:t>O</w:t>
      </w:r>
      <w:r>
        <w:rPr>
          <w:vertAlign w:val="subscript"/>
        </w:rPr>
        <w:t>2</w:t>
      </w:r>
      <w:r>
        <w:t>, x ≥ 0.9)||SAB‐Cu pouch cell prototype with the high bare‐cell energy densities of 465 Wh/kg and 1330 Wh/L exhibits the uniform stress distribution and low SC (extreme difference in local pressure&amp;lt;2 MPa), avoiding the failure of Li dendrite puncture. Furthermore, the Ah‐level NCM811(Li</w:t>
      </w:r>
      <w:r>
        <w:t xml:space="preserve"> </w:t>
      </w:r>
      <w:r>
        <w:t>1.2</w:t>
      </w:r>
      <w:r>
        <w:t xml:space="preserve"> </w:t>
      </w:r>
      <w:r>
        <w:t>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)||SAB‐Cu pouch cell demonstrates a perfect trade‐off among energy densities (418 Wh/kg and 1061 Wh/L), cycle life (164 cycles with 77% capacity retention), SA (&amp;lt;2 MPa), and swelling ratio (3.6%), underscoring the practical feasibility of the SAB‐AF‐LMB.</w:t>
      </w:r>
    </w:p>
    <w:p>
      <w:pPr>
        <w:spacing w:before="120" w:after="120"/>
      </w:pPr>
      <w:r>
        <w:rPr>
          <w:sz w:val="18"/>
        </w:rPr>
        <w:t>——————————————————————————————————————————————————————————————————————</w:t>
      </w:r>
    </w:p>
    <w:p>
      <w:pPr>
        <w:spacing w:before="160" w:after="40" w:line="240" w:lineRule="auto"/>
      </w:pPr>
      <w:r>
        <w:rPr>
          <w:b/>
        </w:rPr>
        <w:t xml:space="preserve">[5] </w:t>
      </w:r>
      <w:hyperlink r:id="rId51">
        <w:r>
          <w:rPr>
            <w:color w:val="1155CC"/>
            <w:u w:val="single"/>
          </w:rPr>
          <w:t>纤维状水系锌离子电池的最新进展：从结构、原理、问题到策略</w:t>
        </w:r>
      </w:hyperlink>
    </w:p>
    <w:p>
      <w:pPr>
        <w:spacing w:before="0" w:after="80"/>
      </w:pPr>
      <w:r>
        <w:rPr>
          <w:i/>
          <w:sz w:val="20"/>
        </w:rPr>
        <w:t>EN: Recent Advances of Fiber‐Shaped Aqueous Zinc Ion Batteries: From Structure, Principles, Issues to Strategies</w:t>
      </w:r>
    </w:p>
    <w:p>
      <w:pPr>
        <w:spacing w:before="0" w:after="120"/>
      </w:pPr>
      <w:r>
        <w:rPr>
          <w:b/>
        </w:rPr>
        <w:t xml:space="preserve">Source: </w:t>
      </w:r>
      <w:r>
        <w:t>Wiley: Advanced Energy Materials: Table of Contents</w:t>
      </w:r>
      <w:r>
        <w:t xml:space="preserve">    </w:t>
      </w:r>
      <w:r>
        <w:rPr>
          <w:b/>
        </w:rPr>
        <w:t xml:space="preserve">Pub date: </w:t>
      </w:r>
      <w:r>
        <w:t>2026-06-09 04:46:49+00:00</w:t>
      </w:r>
      <w:r>
        <w:t xml:space="preserve">    </w:t>
      </w:r>
      <w:r>
        <w:rPr>
          <w:b/>
        </w:rPr>
        <w:t xml:space="preserve">DOI: </w:t>
      </w:r>
      <w:hyperlink r:id="rId52">
        <w:r>
          <w:rPr>
            <w:color w:val="1155CC"/>
            <w:u w:val="single"/>
          </w:rPr>
          <w:t>10.1002/aenm.71175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纤维状水性锌离子电池（FAZIB）因其本质安全、低成本、轻质和优异的灵活性而被认为是非常有前途的可穿戴和柔性电子设备的电源装置。然而，它们的实际发展仍然受到耦合电化学和机械问题的阻碍，包括锌枝晶生长、H</w:t>
      </w:r>
      <w:r>
        <w:rPr>
          <w:vertAlign w:val="subscript"/>
        </w:rPr>
        <w:t>2</w:t>
      </w:r>
      <w:r>
        <w:t>演化、表面钝化、正极材料溶解和脱落以及变形下电极/电解质界面分离。本综述对 FAZIB 从组成、结构设计、工作原理、故障机制到缓解策略的最新进展进行了批判性和全面的概述。首先，系统讨论了 FAZIB 的组成部分，包括纤维状锌阳极、纤维状阴极、凝胶电解质、封装材料和器件结构。然后，分析能量存储和灵活性相关机制，以阐明电化学行为和机械适应性之间的内在相关性。随后，总结了限制 FAZIB 性能和耐久性的主要降解途径。进一步强调了代表性策略，包括柔性锌阳极的合理设计、凝胶电解质调节、阴极稳定和界面优化。最后，概述了剩余的科学挑战和未来的研究方向。此次审查预计将为相关部门提供一些有用的指导</w:t>
      </w:r>
    </w:p>
    <w:p>
      <w:pPr>
        <w:spacing w:before="0" w:after="200" w:lineRule="auto" w:line="276"/>
      </w:pPr>
      <w:r>
        <w:rPr>
          <w:b/>
        </w:rPr>
        <w:t xml:space="preserve">Abstract (EN): </w:t>
      </w:r>
      <w:r>
        <w:t>Fiber‐shaped aqueous zinc‐ion batteries (FAZIBs) have been regarded as highly promising power supplying devices for wearable and flexible electronics because of their intrinsic safety, low cost, lightweight nature, and excellent flexibility. However, their practical development is still hindered by coupled electrochemical and mechanical issues, including Zn dendrite growth, H</w:t>
      </w:r>
      <w:r>
        <w:rPr>
          <w:vertAlign w:val="subscript"/>
        </w:rPr>
        <w:t>2</w:t>
      </w:r>
      <w:r>
        <w:t>evolution, surface passivation, cathode materials dissolution and shedding, and electrode/electrolyte interfacial separation under deformation. This review provides a critical and comprehensive overview of recent progresses in FAZIBs from composition, structural design, working principles, failure mechanisms, to mitigation strategies. First, the components of FAZIBs, including fibrous Zn anodes, fibrous cathodes, gel electrolytes, encapsulation materials, and device architectures, are systematically discussed. Then, the energy storage and flexibility‐related mechanisms are analyzed to clarify the intrinsic correlation between electrochemical behavior and mechanical adaptability. Subsequently, the major degradation pathways limiting the performance and durability of FAZIBs are summarized. Representative strategies, including rational design of flexible Zn anodes, gel‐electrolyte regulation, cathode stabilization, and interface optimization, are further highlighted. Finally, the remaining scientific challenges and future research directions are outlined. This review is expected to supply some useful guidance for the rational design of next‐generation FAZIBs with high energy density, excellent flexibility, and long‐term stability.</w:t>
      </w:r>
    </w:p>
    <w:p>
      <w:pPr>
        <w:spacing w:before="120" w:after="120"/>
      </w:pPr>
      <w:r>
        <w:rPr>
          <w:sz w:val="18"/>
        </w:rPr>
        <w:t>——————————————————————————————————————————————————————————————————————</w:t>
      </w:r>
    </w:p>
    <w:p>
      <w:pPr>
        <w:spacing w:before="160" w:after="40" w:line="240" w:lineRule="auto"/>
      </w:pPr>
      <w:r>
        <w:rPr>
          <w:b/>
        </w:rPr>
        <w:t xml:space="preserve">[6] </w:t>
      </w:r>
      <w:hyperlink r:id="rId56">
        <w:r>
          <w:rPr>
            <w:color w:val="1155CC"/>
            <w:u w:val="single"/>
          </w:rPr>
          <w:t>硫化聚苯胺中的铜定制d-p-π多轨道耦合可实现超长循环水性硫电池</w:t>
        </w:r>
      </w:hyperlink>
    </w:p>
    <w:p>
      <w:pPr>
        <w:spacing w:before="0" w:after="80"/>
      </w:pPr>
      <w:r>
        <w:rPr>
          <w:i/>
          <w:sz w:val="20"/>
        </w:rPr>
        <w:t>EN: Copper-tailored d-p-π multi-orbital coupling in sulfurized polyaniline enables ultralong cycling aqueous sulfur batteries</w:t>
      </w:r>
    </w:p>
    <w:p>
      <w:pPr>
        <w:spacing w:before="0" w:after="120"/>
      </w:pPr>
      <w:r>
        <w:rPr>
          <w:b/>
        </w:rPr>
        <w:t xml:space="preserve">Source: </w:t>
      </w:r>
      <w:r>
        <w:t>Matter</w:t>
      </w:r>
      <w:r>
        <w:t xml:space="preserve">    </w:t>
      </w:r>
      <w:r>
        <w:rPr>
          <w:b/>
        </w:rPr>
        <w:t xml:space="preserve">Pub date: </w:t>
      </w:r>
      <w:r>
        <w:t>2026-06-10 00:00:00+00:00</w:t>
      </w:r>
      <w:r>
        <w:t xml:space="preserve">    </w:t>
      </w:r>
      <w:r>
        <w:rPr>
          <w:b/>
        </w:rPr>
        <w:t xml:space="preserve">DOI: </w:t>
      </w:r>
      <w:hyperlink r:id="rId57">
        <w:r>
          <w:rPr>
            <w:color w:val="1155CC"/>
            <w:u w:val="single"/>
          </w:rPr>
          <w:t>10.1016/j.matt.2026.102867</w:t>
        </w:r>
      </w:hyperlink>
    </w:p>
    <w:p>
      <w:pPr>
        <w:spacing w:before="0" w:after="120"/>
      </w:pPr>
      <w:r>
        <w:rPr>
          <w:b/>
        </w:rPr>
        <w:t xml:space="preserve">Notes: </w:t>
      </w:r>
      <w:r>
        <w:t>abstract_source=rss_cell</w:t>
      </w:r>
    </w:p>
    <w:p>
      <w:pPr>
        <w:spacing w:before="0" w:after="80" w:lineRule="auto" w:line="276"/>
      </w:pPr>
      <w:r>
        <w:rPr>
          <w:b/>
        </w:rPr>
        <w:t xml:space="preserve">摘要（ZH）: </w:t>
      </w:r>
      <w:r>
        <w:t>硫基电池的实际应用受到反应动力学缓慢和结构崩溃等因素的严重限制。该工作通过利用铜引入d-p-π多轨道耦合，成功构建了高导电且稳定的铜改性硫化物聚苯胺阴极。与锌阳极相结合，软包电池可以在恶劣条件下提供稳定的功率输出，为耐用的硫基电池提供了新的轨道工程路线。</w:t>
      </w:r>
    </w:p>
    <w:p>
      <w:pPr>
        <w:spacing w:before="0" w:after="200" w:lineRule="auto" w:line="276"/>
      </w:pPr>
      <w:r>
        <w:rPr>
          <w:b/>
        </w:rPr>
        <w:t xml:space="preserve">Abstract (EN): </w:t>
      </w:r>
      <w:r>
        <w:t>The practical application of sulfur-based batteries is severely limited by factors such as slow reaction kinetics and structural collapse. This work successfully constructs a highly conductive and stable copper-modified sulfide polyaniline cathode by introducing d-p-π multi-orbital coupling using copper. Coupled with a Zn anode, the pouch cell delivers stable power output under harsh conditions, offering a new orbital engineering route for durable sulfur-based batteries.</w:t>
      </w:r>
    </w:p>
    <w:p>
      <w:pPr>
        <w:spacing w:before="120" w:after="120"/>
      </w:pPr>
      <w:r>
        <w:rPr>
          <w:sz w:val="18"/>
        </w:rPr>
        <w:t>——————————————————————————————————————————————————————————————————————</w:t>
      </w:r>
    </w:p>
    <w:p>
      <w:pPr>
        <w:spacing w:before="160" w:after="40" w:line="240" w:lineRule="auto"/>
      </w:pPr>
      <w:r>
        <w:rPr>
          <w:b/>
        </w:rPr>
        <w:t xml:space="preserve">[7] </w:t>
      </w:r>
      <w:hyperlink r:id="rId73">
        <w:r>
          <w:rPr>
            <w:color w:val="1155CC"/>
            <w:u w:val="single"/>
          </w:rPr>
          <w:t>用于硅基锂离子电池使用寿命补锂的多相纳米复合材料预锂化剂</w:t>
        </w:r>
      </w:hyperlink>
    </w:p>
    <w:p>
      <w:pPr>
        <w:spacing w:before="0" w:after="80"/>
      </w:pPr>
      <w:r>
        <w:rPr>
          <w:i/>
          <w:sz w:val="20"/>
        </w:rPr>
        <w:t>EN: Multiphase nanocomposite prelithiation agents for service life lithium replenishment in Si-based Li-ion batteries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74">
        <w:r>
          <w:rPr>
            <w:color w:val="1155CC"/>
            <w:u w:val="single"/>
          </w:rPr>
          <w:t>10.1126/sciadv.aed6926</w:t>
        </w:r>
      </w:hyperlink>
    </w:p>
    <w:p>
      <w:pPr>
        <w:spacing w:before="0" w:after="120"/>
      </w:pPr>
      <w:r>
        <w:rPr>
          <w:b/>
        </w:rPr>
        <w:t xml:space="preserve">Notes: </w:t>
      </w:r>
      <w:r>
        <w:t>abstract_source=crossref</w:t>
      </w:r>
    </w:p>
    <w:p>
      <w:pPr>
        <w:spacing w:before="0" w:after="80" w:lineRule="auto" w:line="276"/>
      </w:pPr>
      <w:r>
        <w:rPr>
          <w:b/>
        </w:rPr>
        <w:t xml:space="preserve">摘要（ZH）: </w:t>
      </w:r>
      <w:r>
        <w:t>使用硅基阳极的高能量密度锂离子电池（LIB）预计将在不久的将来主导锂离子动力电池市场。然而，硅阳极在初始和随后的循环过程中会遭受持续的容量下降。预锂化剂可以有效补充锂并增强电池容量，而目前研究的正极预锂化剂通常仅在初始循环时进行预锂化。在此，我们基于两种不同的机制（氧氧化和转化反应）开发了一种多相纳米复合材料预锂化剂（MNCP），旨在为硅基锂离子电池的使用寿命提供锂补充。 MNCP 提供了几个可调的脱锂平台，可以在初始循环和扩展循环中对阳极进行预锂化，每克电流超过 600 毫安时，且不会产生气体。这项工作强调基于机制的功能性预锂化剂设计策略，旨在全面优化先进锂离子电池的性能。</w:t>
      </w:r>
    </w:p>
    <w:p>
      <w:pPr>
        <w:spacing w:before="0" w:after="200" w:lineRule="auto" w:line="276"/>
      </w:pPr>
      <w:r>
        <w:rPr>
          <w:b/>
        </w:rPr>
        <w:t xml:space="preserve">Abstract (EN): </w:t>
      </w:r>
      <w:r>
        <w:t>High–energy density lithium-ion batteries (LIBs) using Si-based anodes are expected to dominate the lithium-ion power battery market in the near future. However, the Si anode suffers from continuous capacity degradation during initial and subsequent cycles. Prelithiation agents can effectively replenish lithium and enhance battery capacity, while currently investigated cathode prelithiation agents generally only prelithiate at the initial cycle. Herein, we have developed a multiphase nanocomposite prelithiation agent (MNCP) on the basis of two distinct mechanisms—oxygen oxidation and conversion reaction—aiming to provide service life lithium replenishment for Si-based LIBs. MNCP presents several tunable delithiation plateaus to prelithiate anodes in the initial and extending cycles with exceeding 600 milliampere-hours per gram without gas generation. This work emphasizes a mechanism-based design strategy for functional prelithiation agents, aiming to comprehensively optimize the performance of advanced LIBs.</w:t>
      </w:r>
    </w:p>
    <w:p>
      <w:pPr>
        <w:spacing w:before="120" w:after="120"/>
      </w:pPr>
      <w:r>
        <w:rPr>
          <w:sz w:val="18"/>
        </w:rPr>
        <w:t>——————————————————————————————————————————————————————————————————————</w:t>
      </w:r>
    </w:p>
    <w:p>
      <w:pPr>
        <w:spacing w:before="160" w:after="40" w:line="240" w:lineRule="auto"/>
      </w:pPr>
      <w:r>
        <w:rPr>
          <w:b/>
        </w:rPr>
        <w:t xml:space="preserve">[8] </w:t>
      </w:r>
      <w:hyperlink r:id="rId58">
        <w:r>
          <w:rPr>
            <w:color w:val="1155CC"/>
            <w:u w:val="single"/>
          </w:rPr>
          <w:t>高能量密度水性镁金属电池纺织品可在−40°至100°C范围内实现超灵敏压力传感</w:t>
        </w:r>
      </w:hyperlink>
    </w:p>
    <w:p>
      <w:pPr>
        <w:spacing w:before="0" w:after="80"/>
      </w:pPr>
      <w:r>
        <w:rPr>
          <w:i/>
          <w:sz w:val="20"/>
        </w:rPr>
        <w:t>EN: High-energy-density aqueous magnesium metal battery textiles enable ultrasensitive pressure sensing across −40° to 100°C</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59">
        <w:r>
          <w:rPr>
            <w:color w:val="1155CC"/>
            <w:u w:val="single"/>
          </w:rPr>
          <w:t>10.1126/sciadv.aec8124</w:t>
        </w:r>
      </w:hyperlink>
    </w:p>
    <w:p>
      <w:pPr>
        <w:spacing w:before="0" w:after="120"/>
      </w:pPr>
      <w:r>
        <w:rPr>
          <w:b/>
        </w:rPr>
        <w:t xml:space="preserve">Notes: </w:t>
      </w:r>
      <w:r>
        <w:t>abstract_source=crossref</w:t>
      </w:r>
    </w:p>
    <w:p>
      <w:pPr>
        <w:spacing w:before="0" w:after="80" w:lineRule="auto" w:line="276"/>
      </w:pPr>
      <w:r>
        <w:rPr>
          <w:b/>
        </w:rPr>
        <w:t xml:space="preserve">摘要（ZH）: </w:t>
      </w:r>
      <w:r>
        <w:t>智能可穿戴传感系统需要自供电、高灵敏度压力传感器，能够在较宽的温度范围内高效运行。在这里，我们推出了一种高能量密度水性镁金属电池 (AMMB) 纺织品，可在 -40° 至 100°C 的温度范围内实现超灵敏压力传感。 AMMB 型压力 (AMMB-P) 传感纺织品采用多孔准固态聚环氧乙烷-氯化镁电解质，可通过氢键锚定抑制镁腐蚀，并搭配透气碳布阴极和编织镁阳极。创新设计实现了 687.32 毫伏每千帕的超高灵敏度、低检测限（0.96 帕斯卡）、长期耐用性（200,000 次循环）和卓越的透气性（水蒸气渗透性，2281.4 ± 249.8 克每平方米每天；透气性，628.0 ± 9.1 毫米每秒）。电解质独特的抗结晶特性确保AMMB-P传感织物在-40°C至100°C的极端温度下稳定运行。在高压条件下，我们的AMMB-P传感纺织品可以转化为可靠的电源，能量密度高达每公斤287.92瓦时，确保稳定的自供电运行。与机器学习相结合，AMMB-P 传感阵列即使在恶劣条件下也能实现智能物体识别和自主机器人控制。我们的工作改进了专为极端环境探索而设计的自供电压力感应纺织品，从而实现人形机器人和个人健康管理的交互式感知</w:t>
      </w:r>
    </w:p>
    <w:p>
      <w:pPr>
        <w:spacing w:before="0" w:after="200" w:lineRule="auto" w:line="276"/>
      </w:pPr>
      <w:r>
        <w:rPr>
          <w:b/>
        </w:rPr>
        <w:t xml:space="preserve">Abstract (EN): </w:t>
      </w:r>
      <w:r>
        <w:t>Smart wearable sensing systems necessitate self-powered, high-sensitivity pressure sensors that can operate efficiently across a wide temperature range. Here, we present a high-energy-density aqueous magnesium metal battery (AMMB) textile for ultrasensitive pressure sensing from −40° to 100°C. The AMMB-type pressure (AMMB-P) sensing textile features a porous quasi-solid-state polyethylene oxide–magnesium chloride electrolyte that inhibits magnesium corrosion via hydrogen-bond anchoring, paired with a breathable carbon cloth cathode and woven magnesium anode. The innovative design achieves an ultrahigh sensitivity of 687.32 millivolts per kilopascal, a low detection limit (0.96 pascals), long-term durability (200,000 cycles), and exceptional breathability (water vapor permeability, 2281.4 ± 249.8 grams per square meter per day; air permeability, 628.0 ± 9.1 millimeters per second). The unique anticrystallization properties of electrolyte ensure a stable operation of the AMMB-P sensing textile in extreme temperatures ranging from −40° to 100°C. Under high-pressure condition, our AMMB-P sensing textile can be converted into a reliable power source with high energy density of 287.92 watt-hours per kilogram, ensuring stable self-powered operation. Coupled with machine learning, the AMMB-P sensing array enables intelligent object recognition and autonomous robotic control even under harsh conditions. Our work advances self-powered pressure-sensing textiles tailored for extreme-environment exploration, enabling interactive perception in humanoid robots and individual health management under harsh service conditions.</w:t>
      </w:r>
    </w:p>
    <w:p>
      <w:pPr>
        <w:spacing w:before="120" w:after="120"/>
      </w:pPr>
      <w:r>
        <w:rPr>
          <w:sz w:val="18"/>
        </w:rPr>
        <w:t>——————————————————————————————————————————————————————————————————————</w:t>
      </w:r>
    </w:p>
    <w:p>
      <w:pPr>
        <w:spacing w:before="160" w:after="40" w:line="240" w:lineRule="auto"/>
      </w:pPr>
      <w:r>
        <w:rPr>
          <w:b/>
        </w:rPr>
        <w:t xml:space="preserve">[9] </w:t>
      </w:r>
      <w:hyperlink r:id="rId75">
        <w:r>
          <w:rPr>
            <w:color w:val="1155CC"/>
            <w:u w:val="single"/>
          </w:rPr>
          <w:t>焦耳热冲击引起的部分原子无序 Ti2Nb10O29-x 用于卓越的锂离子存储</w:t>
        </w:r>
      </w:hyperlink>
    </w:p>
    <w:p>
      <w:pPr>
        <w:spacing w:before="0" w:after="80"/>
      </w:pPr>
      <w:r>
        <w:rPr>
          <w:i/>
          <w:sz w:val="20"/>
        </w:rPr>
        <w:t>EN: Partial Atomic Disordered Ti2Nb10O29‐x Induced by Joule Thermal Shock for Superior Lithium‐Ion Storage</w:t>
      </w:r>
    </w:p>
    <w:p>
      <w:pPr>
        <w:spacing w:before="0" w:after="120"/>
      </w:pPr>
      <w:r>
        <w:rPr>
          <w:b/>
        </w:rPr>
        <w:t xml:space="preserve">Source: </w:t>
      </w:r>
      <w:r>
        <w:t>Wiley: Advanced Materials: Table of Contents</w:t>
      </w:r>
      <w:r>
        <w:t xml:space="preserve">    </w:t>
      </w:r>
      <w:r>
        <w:rPr>
          <w:b/>
        </w:rPr>
        <w:t xml:space="preserve">Pub date: </w:t>
      </w:r>
      <w:r>
        <w:t>2026-06-10 14:16:46+00:00</w:t>
      </w:r>
      <w:r>
        <w:t xml:space="preserve">    </w:t>
      </w:r>
      <w:r>
        <w:rPr>
          <w:b/>
        </w:rPr>
        <w:t xml:space="preserve">DOI: </w:t>
      </w:r>
      <w:hyperlink r:id="rId76">
        <w:r>
          <w:rPr>
            <w:color w:val="1155CC"/>
            <w:u w:val="single"/>
          </w:rPr>
          <w:t>10.1002/adma.73607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铌</w:t>
      </w:r>
      <w:r>
        <w:rPr>
          <w:vertAlign w:val="subscript"/>
        </w:rPr>
        <w:t>2</w:t>
      </w:r>
      <w:r>
        <w:t>氧</w:t>
      </w:r>
      <w:r>
        <w:rPr>
          <w:vertAlign w:val="subscript"/>
        </w:rPr>
        <w:t>5</w:t>
      </w:r>
      <w:r>
        <w:t>是一种很有前途的高功率锂离子电池负极，但其相对密集的原子堆积限制了Li</w:t>
      </w:r>
      <w:r>
        <w:t xml:space="preserve"> </w:t>
      </w:r>
      <w:r>
        <w:t>+</w:t>
      </w:r>
      <w:r>
        <w:t xml:space="preserve"> </w:t>
      </w:r>
      <w:r>
        <w:t>迁移能力发挥。钛</w:t>
      </w:r>
      <w:r>
        <w:rPr>
          <w:vertAlign w:val="subscript"/>
        </w:rPr>
        <w:t>2</w:t>
      </w:r>
      <w:r>
        <w:t>铌</w:t>
      </w:r>
      <w:r>
        <w:rPr>
          <w:vertAlign w:val="subscript"/>
        </w:rPr>
        <w:t>10</w:t>
      </w:r>
      <w:r>
        <w:t>氧</w:t>
      </w:r>
      <w:r>
        <w:rPr>
          <w:vertAlign w:val="subscript"/>
        </w:rPr>
        <w:t>29</w:t>
      </w:r>
      <w:r>
        <w:t>具有更开放晶体结构的沃兹利-罗斯相被认为是有前途的候选者。然而，Ti/Nb原子更倾向于形成有序排列以维持局部电荷平衡，导致Li不足</w:t>
      </w:r>
      <w:r>
        <w:t xml:space="preserve"> </w:t>
      </w:r>
      <w:r>
        <w:t>+</w:t>
      </w:r>
      <w:r>
        <w:t xml:space="preserve"> </w:t>
      </w:r>
      <w:r>
        <w:t>迁移并抑制高速率性能。在此，缺陷Ti</w:t>
      </w:r>
      <w:r>
        <w:rPr>
          <w:vertAlign w:val="subscript"/>
        </w:rPr>
        <w:t>2</w:t>
      </w:r>
      <w:r>
        <w:t>铌</w:t>
      </w:r>
      <w:r>
        <w:rPr>
          <w:vertAlign w:val="subscript"/>
        </w:rPr>
        <w:t>10</w:t>
      </w:r>
      <w:r>
        <w:t>氧</w:t>
      </w:r>
      <w:r>
        <w:t xml:space="preserve"> </w:t>
      </w:r>
      <w:r>
        <w:t>29-</w:t>
      </w:r>
      <w:r>
        <w:t xml:space="preserve"> </w:t>
      </w:r>
      <w:r>
        <w:t>x</w:t>
      </w:r>
      <w:r>
        <w:t xml:space="preserve"> </w:t>
      </w:r>
      <w:r>
        <w:t>采用非晶前驱体结合焦耳热冲击开发了部分无序 Ti/Nb 排列的阳极。在超快焦耳热加热（约 500°C s</w:t>
      </w:r>
      <w:r>
        <w:t xml:space="preserve"> </w:t>
      </w:r>
      <w:r>
        <w:t>−1</w:t>
      </w:r>
      <w:r>
        <w:t xml:space="preserve"> </w:t>
      </w:r>
      <w:r>
        <w:t>）和淬火（≈250°C s</w:t>
      </w:r>
      <w:r>
        <w:t xml:space="preserve"> </w:t>
      </w:r>
      <w:r>
        <w:t>−1</w:t>
      </w:r>
      <w:r>
        <w:t xml:space="preserve"> </w:t>
      </w:r>
      <w:r>
        <w:t>）。与传统钛材相比</w:t>
      </w:r>
      <w:r>
        <w:rPr>
          <w:vertAlign w:val="subscript"/>
        </w:rPr>
        <w:t>2</w:t>
      </w:r>
      <w:r>
        <w:t>铌</w:t>
      </w:r>
      <w:r>
        <w:rPr>
          <w:vertAlign w:val="subscript"/>
        </w:rPr>
        <w:t>10</w:t>
      </w:r>
      <w:r>
        <w:t>氧</w:t>
      </w:r>
      <w:r>
        <w:rPr>
          <w:vertAlign w:val="subscript"/>
        </w:rPr>
        <w:t>29</w:t>
      </w:r>
      <w:r>
        <w:t>，李</w:t>
      </w:r>
      <w:r>
        <w:t xml:space="preserve"> </w:t>
      </w:r>
      <w:r>
        <w:t>+</w:t>
      </w:r>
      <w:r>
        <w:t xml:space="preserve"> </w:t>
      </w:r>
      <w:r>
        <w:t>扩散系数</w:t>
      </w:r>
    </w:p>
    <w:p>
      <w:pPr>
        <w:spacing w:before="0" w:after="200" w:lineRule="auto" w:line="276"/>
      </w:pPr>
      <w:r>
        <w:rPr>
          <w:b/>
        </w:rPr>
        <w:t xml:space="preserve">Abstract (EN): </w:t>
      </w:r>
      <w:r>
        <w:t>Nb</w:t>
      </w:r>
      <w:r>
        <w:rPr>
          <w:vertAlign w:val="subscript"/>
        </w:rPr>
        <w:t>2</w:t>
      </w:r>
      <w:r>
        <w:t>O</w:t>
      </w:r>
      <w:r>
        <w:rPr>
          <w:vertAlign w:val="subscript"/>
        </w:rPr>
        <w:t>5</w:t>
      </w:r>
      <w:r>
        <w:t>is a promising anode for high‐power lithium‐ion battery, but its relatively dense atomic packing limits Li</w:t>
      </w:r>
      <w:r>
        <w:t xml:space="preserve"> </w:t>
      </w:r>
      <w:r>
        <w:t>+</w:t>
      </w:r>
      <w:r>
        <w:t xml:space="preserve"> </w:t>
      </w:r>
      <w:r>
        <w:t>migration capacity exertion. Ti</w:t>
      </w:r>
      <w:r>
        <w:rPr>
          <w:vertAlign w:val="subscript"/>
        </w:rPr>
        <w:t>2</w:t>
      </w:r>
      <w:r>
        <w:t>Nb</w:t>
      </w:r>
      <w:r>
        <w:rPr>
          <w:vertAlign w:val="subscript"/>
        </w:rPr>
        <w:t>10</w:t>
      </w:r>
      <w:r>
        <w:t>O</w:t>
      </w:r>
      <w:r>
        <w:rPr>
          <w:vertAlign w:val="subscript"/>
        </w:rPr>
        <w:t>29</w:t>
      </w:r>
      <w:r>
        <w:t>with Wadsley‐Roth phase with more open crystal structure is considered a promising candidate. However, Ti/Nb atoms prefer to form an ordered arrangement to maintain local charge balance, resulting insufficient Li</w:t>
      </w:r>
      <w:r>
        <w:t xml:space="preserve"> </w:t>
      </w:r>
      <w:r>
        <w:t>+</w:t>
      </w:r>
      <w:r>
        <w:t xml:space="preserve"> </w:t>
      </w:r>
      <w:r>
        <w:t>migration and suppressing high‐rate performance. Herein, defective Ti</w:t>
      </w:r>
      <w:r>
        <w:rPr>
          <w:vertAlign w:val="subscript"/>
        </w:rPr>
        <w:t>2</w:t>
      </w:r>
      <w:r>
        <w:t>Nb</w:t>
      </w:r>
      <w:r>
        <w:rPr>
          <w:vertAlign w:val="subscript"/>
        </w:rPr>
        <w:t>10</w:t>
      </w:r>
      <w:r>
        <w:t>O</w:t>
      </w:r>
      <w:r>
        <w:t xml:space="preserve"> </w:t>
      </w:r>
      <w:r>
        <w:t>29‐</w:t>
      </w:r>
      <w:r>
        <w:t xml:space="preserve"> </w:t>
      </w:r>
      <w:r>
        <w:t>x</w:t>
      </w:r>
      <w:r>
        <w:t xml:space="preserve"> </w:t>
      </w:r>
      <w:r>
        <w:t>anode with partial disordered Ti/Nb arrangement is developed by employing an amorphous precursor combined with Joule thermal shock. The random dispersion of Ti and Nb within the amorphous precursor is maintained to a certain extent during ultra‐fast Joule thermal heating (≈500°C s</w:t>
      </w:r>
      <w:r>
        <w:t xml:space="preserve"> </w:t>
      </w:r>
      <w:r>
        <w:t>−1</w:t>
      </w:r>
      <w:r>
        <w:t xml:space="preserve"> </w:t>
      </w:r>
      <w:r>
        <w:t>) and quenching (≈250°C s</w:t>
      </w:r>
      <w:r>
        <w:t xml:space="preserve"> </w:t>
      </w:r>
      <w:r>
        <w:t>−1</w:t>
      </w:r>
      <w:r>
        <w:t xml:space="preserve"> </w:t>
      </w:r>
      <w:r>
        <w:t>). Compared to traditional Ti</w:t>
      </w:r>
      <w:r>
        <w:rPr>
          <w:vertAlign w:val="subscript"/>
        </w:rPr>
        <w:t>2</w:t>
      </w:r>
      <w:r>
        <w:t>Nb</w:t>
      </w:r>
      <w:r>
        <w:rPr>
          <w:vertAlign w:val="subscript"/>
        </w:rPr>
        <w:t>10</w:t>
      </w:r>
      <w:r>
        <w:t>O</w:t>
      </w:r>
      <w:r>
        <w:rPr>
          <w:vertAlign w:val="subscript"/>
        </w:rPr>
        <w:t>29</w:t>
      </w:r>
      <w:r>
        <w:t>, the Li</w:t>
      </w:r>
      <w:r>
        <w:t xml:space="preserve"> </w:t>
      </w:r>
      <w:r>
        <w:t>+</w:t>
      </w:r>
      <w:r>
        <w:t xml:space="preserve"> </w:t>
      </w:r>
      <w:r>
        <w:t>diffusion coefficient and electronic conductivity of Ti/Nb‐disordered Ti</w:t>
      </w:r>
      <w:r>
        <w:rPr>
          <w:vertAlign w:val="subscript"/>
        </w:rPr>
        <w:t>2</w:t>
      </w:r>
      <w:r>
        <w:t>Nb</w:t>
      </w:r>
      <w:r>
        <w:rPr>
          <w:vertAlign w:val="subscript"/>
        </w:rPr>
        <w:t>10</w:t>
      </w:r>
      <w:r>
        <w:t>O</w:t>
      </w:r>
      <w:r>
        <w:t xml:space="preserve"> </w:t>
      </w:r>
      <w:r>
        <w:t>29‐</w:t>
      </w:r>
      <w:r>
        <w:t xml:space="preserve"> </w:t>
      </w:r>
      <w:r>
        <w:t>x</w:t>
      </w:r>
      <w:r>
        <w:t xml:space="preserve"> </w:t>
      </w:r>
      <w:r>
        <w:t>are enhanced by tenfold and four orders of magnitude, respectively. As the anode of lithium‐ion batteries, the optimal Ti</w:t>
      </w:r>
      <w:r>
        <w:rPr>
          <w:vertAlign w:val="subscript"/>
        </w:rPr>
        <w:t>2</w:t>
      </w:r>
      <w:r>
        <w:t>Nb</w:t>
      </w:r>
      <w:r>
        <w:rPr>
          <w:vertAlign w:val="subscript"/>
        </w:rPr>
        <w:t>10</w:t>
      </w:r>
      <w:r>
        <w:t>O</w:t>
      </w:r>
      <w:r>
        <w:t xml:space="preserve"> </w:t>
      </w:r>
      <w:r>
        <w:t>29‐</w:t>
      </w:r>
      <w:r>
        <w:t xml:space="preserve"> </w:t>
      </w:r>
      <w:r>
        <w:t>x</w:t>
      </w:r>
      <w:r>
        <w:t xml:space="preserve"> </w:t>
      </w:r>
      <w:r>
        <w:t>shows an ultra‐high capacity of 353 mAh g</w:t>
      </w:r>
      <w:r>
        <w:t xml:space="preserve"> </w:t>
      </w:r>
      <w:r>
        <w:t>−1</w:t>
      </w:r>
      <w:r>
        <w:t xml:space="preserve"> </w:t>
      </w:r>
      <w:r>
        <w:t>and an excellent rate capability of 112 mAh g</w:t>
      </w:r>
      <w:r>
        <w:t xml:space="preserve"> </w:t>
      </w:r>
      <w:r>
        <w:t>−1</w:t>
      </w:r>
      <w:r>
        <w:t xml:space="preserve"> </w:t>
      </w:r>
      <w:r>
        <w:t>at 150 C, an ultra‐long cycling lifespan of 5000 cycles, and a wide operating temperature range from 80°C to ‐40°C. The performance leap caused by the disordered structure may provide new paradigm for battery materials.</w:t>
      </w:r>
    </w:p>
    <w:p>
      <w:pPr>
        <w:spacing w:before="120" w:after="120"/>
      </w:pPr>
      <w:r>
        <w:rPr>
          <w:sz w:val="18"/>
        </w:rPr>
        <w:t>——————————————————————————————————————————————————————————————————————</w:t>
      </w:r>
    </w:p>
    <w:p>
      <w:pPr>
        <w:spacing w:before="160" w:after="40" w:line="240" w:lineRule="auto"/>
      </w:pPr>
      <w:r>
        <w:rPr>
          <w:b/>
        </w:rPr>
        <w:t xml:space="preserve">[10] </w:t>
      </w:r>
      <w:hyperlink r:id="rId64">
        <w:r>
          <w:rPr>
            <w:color w:val="1155CC"/>
            <w:u w:val="single"/>
          </w:rPr>
          <w:t>通过相分离进行锂硫电池均相/非均相催化剂设计</w:t>
        </w:r>
      </w:hyperlink>
    </w:p>
    <w:p>
      <w:pPr>
        <w:spacing w:before="0" w:after="80"/>
      </w:pPr>
      <w:r>
        <w:rPr>
          <w:i/>
          <w:sz w:val="20"/>
        </w:rPr>
        <w:t>EN: Homogeneous/Heterogeneous Catalyst Design for Lithium–Sulfur Batteries via Phase Separation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06:06:51+00:00</w:t>
      </w:r>
      <w:r>
        <w:t xml:space="preserve">    </w:t>
      </w:r>
      <w:r>
        <w:rPr>
          <w:b/>
        </w:rPr>
        <w:t xml:space="preserve">DOI: </w:t>
      </w:r>
      <w:hyperlink r:id="rId65">
        <w:r>
          <w:rPr>
            <w:color w:val="1155CC"/>
            <w:u w:val="single"/>
          </w:rPr>
          <w:t>10.1002/anie.1750429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氧化还原动力学和锂沉积行为的双重调节代表着克服锂硫（Li-S）电池性能限制的关键突破。金属基有机分子为合理化Li-S体系中的电解质电化学提供了理想的解决方案，具有富氮特性和活性金属中心。在这里，我们利用氯化酞菁铁（FePcCl）在电解质中的溶解度来诱导相分离。溶解部分（FePcCl溶质）充当均相催化剂（Fe-Hom），而不溶部分均匀负载到碳球上充当非均相催化剂（Fe-Het）。通过精确的相分离工程开发的均相/非均相协同催化剂体系（Fe-Syg）能够实现移动和固定活性位点的共存。这种协同作用最大限度地提高了 Fe-Syg 的工作活性，超越了单相催化剂的限制，同时调节硫转化动力学和锂沉积/剥离行为，从而实现高效、坚固的电极。因此，包含 Fe-Syg 的 Li-S 电池在各种条件下都表现出良好的倍率性能和使用寿命。值得注意的是，用 3.5 µL mg 的贫电解液组装的软包电池</w:t>
      </w:r>
      <w:r>
        <w:t xml:space="preserve"> </w:t>
      </w:r>
      <w:r>
        <w:t>−1</w:t>
      </w:r>
      <w:r>
        <w:t xml:space="preserve"> </w:t>
      </w:r>
      <w:r>
        <w:t>实现了 364.8 Wh kg 的良好能量密度</w:t>
      </w:r>
      <w:r>
        <w:t xml:space="preserve"> </w:t>
      </w:r>
      <w:r>
        <w:t>−1</w:t>
      </w:r>
      <w:r>
        <w:t xml:space="preserve"> </w:t>
      </w:r>
      <w:r>
        <w:t>并保持稳定循环40个循环。</w:t>
      </w:r>
    </w:p>
    <w:p>
      <w:pPr>
        <w:spacing w:before="0" w:after="200" w:lineRule="auto" w:line="276"/>
      </w:pPr>
      <w:r>
        <w:rPr>
          <w:b/>
        </w:rPr>
        <w:t xml:space="preserve">Abstract (EN): </w:t>
      </w:r>
      <w:r>
        <w:t>The dual regulation of sulfur redox kinetics and lithium deposition behavior represents a pivotal breakthrough toward overcoming the performance limitations of lithium–sulfur (Li–S) batteries. Metal‐based organic molecules provide an ideal solution for rationalizing the electrolyte electrochemistry in Li–S system, featuring both nitrogen‐rich properties and active metal centers. Herein, we leverage the solubility of iron phthalocyanine chloride (FePcCl) in the electrolyte to induce phase separation. The dissolved portion (FePcCl solute) functions as a homogeneous catalyst (Fe‐Hom), whilst the insoluble fraction is uniformly loaded onto carbon spheres to act as a heterogeneous catalyst (Fe‐Het). The homogeneous/heterogeneous synergistic catalyst system (Fe‐Syg), developed through precise phase‐separation engineering, enables the coexistence of mobile and immobilized active sites. This synergy maximizes the working activity of Fe‐Syg beyond the limitations of single‐phase catalysts, simultaneously regulating sulfur conversion kinetics and lithium plating/stripping behavior toward high‐efficiency and robust electrodes. As a result, the Li–S batteries incorporating Fe‐Syg demonstrate favorable rate capability and operational lifespan under various conditions. Remarkably, a pouch cell assembled with a lean electrolyte dosage of 3.5 µL mg</w:t>
      </w:r>
      <w:r>
        <w:t xml:space="preserve"> </w:t>
      </w:r>
      <w:r>
        <w:t>−1</w:t>
      </w:r>
      <w:r>
        <w:t xml:space="preserve"> </w:t>
      </w:r>
      <w:r>
        <w:t>achieves a favorable energy density of 364.8 Wh kg</w:t>
      </w:r>
      <w:r>
        <w:t xml:space="preserve"> </w:t>
      </w:r>
      <w:r>
        <w:t>−1</w:t>
      </w:r>
      <w:r>
        <w:t xml:space="preserve"> </w:t>
      </w:r>
      <w:r>
        <w:t>and maintains stable cycling for 40 cycles.</w:t>
      </w:r>
    </w:p>
    <w:p>
      <w:pPr>
        <w:spacing w:before="120" w:after="120"/>
      </w:pPr>
      <w:r>
        <w:rPr>
          <w:sz w:val="18"/>
        </w:rPr>
        <w:t>——————————————————————————————————————————————————————————————————————</w:t>
      </w:r>
    </w:p>
    <w:p>
      <w:pPr>
        <w:spacing w:before="160" w:after="40" w:line="240" w:lineRule="auto"/>
      </w:pPr>
      <w:r>
        <w:rPr>
          <w:b/>
        </w:rPr>
        <w:t xml:space="preserve">[11] </w:t>
      </w:r>
      <w:hyperlink r:id="rId77">
        <w:r>
          <w:rPr>
            <w:color w:val="1155CC"/>
            <w:u w:val="single"/>
          </w:rPr>
          <w:t>用于高性能钠存储的 CVD 生长可调碳膜</w:t>
        </w:r>
      </w:hyperlink>
    </w:p>
    <w:p>
      <w:pPr>
        <w:spacing w:before="0" w:after="80"/>
      </w:pPr>
      <w:r>
        <w:rPr>
          <w:i/>
          <w:sz w:val="20"/>
        </w:rPr>
        <w:t>EN: CVD-grown tunable carbon films for high-performance sodium storage</w:t>
      </w:r>
    </w:p>
    <w:p>
      <w:pPr>
        <w:spacing w:before="0" w:after="120"/>
      </w:pPr>
      <w:r>
        <w:rPr>
          <w:b/>
        </w:rPr>
        <w:t xml:space="preserve">Source: </w:t>
      </w:r>
      <w:r>
        <w:t>RSC - Energy Environ. Sci. latest articles</w:t>
      </w:r>
      <w:r>
        <w:t xml:space="preserve">    </w:t>
      </w:r>
      <w:r>
        <w:rPr>
          <w:b/>
        </w:rPr>
        <w:t xml:space="preserve">Pub date: </w:t>
      </w:r>
      <w:r>
        <w:t>2026-06-11 23:00:00+00:00</w:t>
      </w:r>
    </w:p>
    <w:p>
      <w:pPr>
        <w:spacing w:before="0" w:after="120"/>
      </w:pPr>
      <w:r>
        <w:rPr>
          <w:b/>
        </w:rPr>
        <w:t xml:space="preserve">Notes: </w:t>
      </w:r>
      <w:r>
        <w:t>abstract_source=rsc_html</w:t>
      </w:r>
    </w:p>
    <w:p>
      <w:pPr>
        <w:spacing w:before="0" w:after="80" w:lineRule="auto" w:line="276"/>
      </w:pPr>
      <w:r>
        <w:rPr>
          <w:b/>
        </w:rPr>
        <w:t xml:space="preserve">摘要（ZH）: </w:t>
      </w:r>
      <w:r>
        <w:t>钠离子电池被认为是一种有前途且可持续的储能技术，但要实现有竞争力的能量密度需要具有高可逆容量的电极材料。在这里，我们引入了一种化学气相沉积策略，该策略允许在高度多孔的碳基材上生长均匀、电子连续的碳涂层，用作高容量负极。这种涂层缩小并部分密封了开孔网络，抑制了表面反应性，并建立了纳米限制域，使钠能够以更紧凑的方式储存。这种重组显着增强了钠存储性能，提供超过 500 mAh g-1 的总可逆容量以及前所未有的 420 mAh g-1 可逆平台容量。通过控制杂原子组成、限制和电子结构，该方法不仅解决了在高度多孔基材上设计均匀且电子连续的碳涂层的挑战，而且还建立了设计用于先进电极、催化剂和具有可调电子特性的界面的功能性碳膜的通用途径。</w:t>
      </w:r>
    </w:p>
    <w:p>
      <w:pPr>
        <w:spacing w:before="0" w:after="200" w:lineRule="auto" w:line="276"/>
      </w:pPr>
      <w:r>
        <w:rPr>
          <w:b/>
        </w:rPr>
        <w:t xml:space="preserve">Abstract (EN): </w:t>
      </w:r>
      <w:r>
        <w:t>Sodium-ion batteries are considered a promising and sustainable energy-storage technology, yet achieving competitive energy density requires electrode materials with high reversible capacity. Here, we introduce a chemical vapor deposition strategy that allows the growth of uniform, electronically continuous carbon coatings onto highly porous carbon substrates for use as high-capacity negative electrodes. This coating narrows and partially seals the open pore network, suppresses surface reactivity, and establishes nanoconfined domains that allow sodium to be stored in a more compact manner. This restructuring significantly enhances sodium storage performance, delivering total reversible capacities exceeding 500 mAh g-1 together with an unprecedented 420 mAh g-1 reversible plateau capacity. By enabling control over heteroatom composition, confinement, and electronic structure, this approach not only addresses the challenge of designing uniform and electronically continuous carbon coatings on highly porous substrates but also establishes a general route for designing functional carbon films for advanced electrodes, catalysts, and interfaces with tunable electronic properties.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68">
        <w:r>
          <w:rPr>
            <w:color w:val="1155CC"/>
            <w:u w:val="single"/>
          </w:rPr>
          <w:t>通过弱结合水介导的剪切增稠电解质实现实用的水性锌金属软包​​电池</w:t>
        </w:r>
      </w:hyperlink>
    </w:p>
    <w:p>
      <w:pPr>
        <w:spacing w:before="0" w:after="80"/>
      </w:pPr>
      <w:r>
        <w:rPr>
          <w:i/>
          <w:sz w:val="20"/>
        </w:rPr>
        <w:t>EN: Towards practical aqueous zinc metal pouch cell batteries via weakly bound water-mediated shear-thickening electrolyte</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锌负极的无序枝晶生长和腐蚀反应仍然是水性锌金属电池的关键挑战。调节剪切增稠非牛顿流体电解质中的水态已成为同时抑制锌负极枝晶生长和腐蚀的有前途的策略。在此，我们设计了一种基于羧甲基纤维素和磺酸硅氧化物纳米粒子的多功能剪切增稠非牛顿流体电解质，它通过水分子状态的分层调节解决了这两个问题。羧甲基纤维素将游离水转化为弱结合水，从而抑制水引起的寄生反应。同时，磺化 SiO2 纳米粒子与支链淀粉和羧甲基纤维素形成集成的剪切增稠网络，同时引入丰富的表面 –SO3⁻ 基团，破坏锌界面处强结合的水层。这种结构能够在枝晶尖端实现局部机械硬化，而不会影响离子电导率。结果，Zn | |Zn 对称电池在 50 mA cm⁻2 和 25 mAh cm⁻2 下表现出稳定的 Zn 电镀/剥离 900 小时，并且 Zn | |容量为 1.5 Ah 的 I2 软包电池在 20 mA cm⁻2 下可保持超过 200 个循环的稳定性。这些发现为耐腐蚀、机械适应性水性和实用的锌袋电池系统提供了一条替代途径。</w:t>
      </w:r>
    </w:p>
    <w:p>
      <w:pPr>
        <w:spacing w:before="0" w:after="200" w:lineRule="auto" w:line="276"/>
      </w:pPr>
      <w:r>
        <w:rPr>
          <w:b/>
        </w:rPr>
        <w:t xml:space="preserve">Abstract (EN): </w:t>
      </w:r>
      <w:r>
        <w:t>Disordered dendrite growth and corrosion reactions of zinc negative electrodes remain critical challenges in aqueous zinc metal batteries. Regulating water states in shear-thickening non-Newtonian fluid electrolytes has emerged as a promising strategy to simultaneously suppress dendrite growth and corrosion for zinc negative electrodes. Herein, we design a multifunctional shear-thickening non-Newtonian fluid electrolyte, based on carboxymethyl cellulose and sulfonate silicon oxide nanoparticles, which addresses both issues through hierarchical regulation of water molecule states. Carboxymethyl cellulose converts free water into weakly bound water, thereby suppressing water-induced parasitic reactions. Concurrently, sulfonated SiO2 nanoparticles form an integrated shear-thickening network with amylopectin and carboxymethyl cellulose while introducing abundant surface –SO3⁻ groups that disrupt the strongly bound water layer at the zinc interface. This architecture enables localized mechanical stiffening at dendrite tips without compromising ionic conductivity. As a result, Zn | |Zn symmetric cells exhibit stable Zn plating/stripping for 900 h at 50 mA cm⁻2 and 25 mAh cm⁻2, and Zn | |I2 pouch cells with a capacity of 1.5 Ah maintain stability over 200 cycles at 20 mA cm⁻2. These findings offer a alternative pathway toward corrosion-resistant, mechanically adaptive aqueous and practical zinc pouch cells systems.</w:t>
      </w:r>
    </w:p>
    <w:p>
      <w:pPr>
        <w:spacing w:before="120" w:after="120"/>
      </w:pPr>
      <w:r>
        <w:rPr>
          <w:sz w:val="18"/>
        </w:rPr>
        <w:t>——————————————————————————————————————————————————————————————————————</w:t>
      </w:r>
    </w:p>
    <w:p>
      <w:pPr>
        <w:spacing w:before="160" w:after="40" w:line="240" w:lineRule="auto"/>
      </w:pPr>
      <w:r>
        <w:rPr>
          <w:b/>
        </w:rPr>
        <w:t xml:space="preserve">[2] </w:t>
      </w:r>
      <w:hyperlink r:id="rId78">
        <w:r>
          <w:rPr>
            <w:color w:val="1155CC"/>
            <w:u w:val="single"/>
          </w:rPr>
          <w:t>醚基电解质中的二氢键相互作用可实现高压锂金属电池</w:t>
        </w:r>
      </w:hyperlink>
    </w:p>
    <w:p>
      <w:pPr>
        <w:spacing w:before="0" w:after="80"/>
      </w:pPr>
      <w:r>
        <w:rPr>
          <w:i/>
          <w:sz w:val="20"/>
        </w:rPr>
        <w:t>EN: Dihydrogen-bonding interactions in ether-based electrolytes to enable high-voltage lithium metal batteries</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高压锂金属电池需要同时将氧化稳定性与锂金属相容性结合起来的电解质，这对传统的基于醚的系统构成了重大挑战，这些系统通常仅限于低于4.0 V的电压。尽管传统的电解质工程已被广泛采用来增强氧化稳定性，但它们通常会损害离子电导率或需要复杂的合成路线。在此，我们提出了一种基于二氢键相互作用的策略，通过将 0.05 M LiBH4 引入到传统的醚基电解质中来构建二氢键电解质。 BH₄−中的氢氢H−与1,2-二甲氧基乙烷的活性Hδ⁺原子相互作用形成二氢键，从而减弱Li⁺与溶剂的相互作用，加速Li⁺脱溶剂化，促进均匀的Li沉积。同时，这些二氢键相互作用屏蔽了正极界面内溶剂的活性Hδ⁺位点，从而显着抑制了1,2-二甲氧基乙烷的氧化分解。结果，电解质的氧化稳定性延长至 5.54 V，而不影响离子电导率 (&gt;16 mS cm−1/30 °C)。使用这种电解质的锂金属全电池在 4.5 V 下表现出稳定的循环。这项研究为高压醚基电解质的设计提供了一条有前景的途径。</w:t>
      </w:r>
    </w:p>
    <w:p>
      <w:pPr>
        <w:spacing w:before="0" w:after="200" w:lineRule="auto" w:line="276"/>
      </w:pPr>
      <w:r>
        <w:rPr>
          <w:b/>
        </w:rPr>
        <w:t xml:space="preserve">Abstract (EN): </w:t>
      </w:r>
      <w:r>
        <w:t>High-voltage lithium metal batteries require electrolytes that simultaneously combine oxidative stability with Li metal compatibility, posing a major challenge for conventional ether-based systems, which are typically limited to voltages below 4.0 V. Although conventional electrolyte engineering has been widely employed to enhance oxidative stability, they often compromise ionic conductivity or require complex synthetic routes. Herein, we propose a strategy based on dihydrogen-bonding interactions by introducing 0.05 M LiBH₄ into conventional ether-based electrolytes to construct a dihydrogen-bonded electrolyte. The hydridic H− in BH₄− interacts with the active Hδ⁺ atoms of 1,2-dimethoxyethane to form dihydrogen bonds, thereby weakening the Li⁺–solvent interaction, accelerating Li⁺ de-solvation, and promoting uniform Li deposition. Simultaneously, these dihydrogen-bonding interactions shield the active Hδ⁺ sites of the solvent within the positive electrode interface, thereby significantly suppressing the oxidative decomposition of 1,2-dimethoxyethane. As a result, the oxidative stability of the electrolyte is extended to 5.54 V without compromising ionic conductivity (&gt;16 mS cm−1/30 °C). Lithium metal full cells using this electrolyte exhibit stable cycling at 4.5 V. This study provides a promising pathway for the design of high-voltage ether-based electrolytes.</w:t>
      </w:r>
    </w:p>
    <w:p>
      <w:pPr>
        <w:spacing w:before="120" w:after="120"/>
      </w:pPr>
      <w:r>
        <w:rPr>
          <w:sz w:val="18"/>
        </w:rPr>
        <w:t>——————————————————————————————————————————————————————————————————————</w:t>
      </w:r>
    </w:p>
    <w:p>
      <w:pPr>
        <w:spacing w:before="160" w:after="40" w:line="240" w:lineRule="auto"/>
      </w:pPr>
      <w:r>
        <w:rPr>
          <w:b/>
        </w:rPr>
        <w:t xml:space="preserve">[3] </w:t>
      </w:r>
      <w:hyperlink r:id="rId79">
        <w:r>
          <w:rPr>
            <w:color w:val="1155CC"/>
            <w:u w:val="single"/>
          </w:rPr>
          <w:t>调节阴离子交换膜受限通道中的电荷分布可实现高效的离子传输</w:t>
        </w:r>
      </w:hyperlink>
    </w:p>
    <w:p>
      <w:pPr>
        <w:spacing w:before="0" w:after="80"/>
      </w:pPr>
      <w:r>
        <w:rPr>
          <w:i/>
          <w:sz w:val="20"/>
        </w:rPr>
        <w:t>EN: Regulation of the Charge Distribution in the Confined Channels of Anion Exchange Membranes Enables Efficient Ion Transport</w:t>
      </w:r>
    </w:p>
    <w:p>
      <w:pPr>
        <w:spacing w:before="0" w:after="120"/>
      </w:pPr>
      <w:r>
        <w:rPr>
          <w:b/>
        </w:rPr>
        <w:t xml:space="preserve">Source: </w:t>
      </w:r>
      <w:r>
        <w:t>Wiley: Advanced Energy Materials: Table of Contents</w:t>
      </w:r>
      <w:r>
        <w:t xml:space="preserve">    </w:t>
      </w:r>
      <w:r>
        <w:rPr>
          <w:b/>
        </w:rPr>
        <w:t xml:space="preserve">Pub date: </w:t>
      </w:r>
      <w:r>
        <w:t>2026-06-07 13:19:14+00:00</w:t>
      </w:r>
      <w:r>
        <w:t xml:space="preserve">    </w:t>
      </w:r>
      <w:r>
        <w:rPr>
          <w:b/>
        </w:rPr>
        <w:t xml:space="preserve">DOI: </w:t>
      </w:r>
      <w:hyperlink r:id="rId80">
        <w:r>
          <w:rPr>
            <w:color w:val="1155CC"/>
            <w:u w:val="single"/>
          </w:rPr>
          <w:t>10.1002/aenm.71164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离子交换膜可实现电化学装置（例如燃料电池、液流电池、水电解）中的离子传输，其中离子电导率对于高效运行至关重要。依赖于微相分离的传统膜面临选择性与电导率的权衡。然而，目前的设计主要将电荷引入到亚纳米通道的壁上，这可能会导致由于过度吸水而形成过强的氢键网络，从而降低水分子和离子的自扩散系数。这项工作提出了一种通过刚性侧链将电荷引入亚纳米通道中间的策略，并开发了一种膜（QPAEPi-3）来形成连续的氢键网络，同时保持水和离子的高扩散系数。同时，还并行设计和研究了无侧链的膜（QPAEPi-1）和具有柔性侧链的膜（QPAEPi-2）。远离孔壁的电荷减少了水分子的吸收，但诱导形成更类似于散装水的氢键网络，从而增加了水和离子的自扩散系数。这实现了最高的氯离子电导率（42 mS cm</w:t>
      </w:r>
      <w:r>
        <w:t xml:space="preserve"> </w:t>
      </w:r>
      <w:r>
        <w:t>−1</w:t>
      </w:r>
      <w:r>
        <w:t xml:space="preserve"> </w:t>
      </w:r>
      <w:r>
        <w:t>@ 30°C）和 pH 中性水性有机氧化还原液流电池的能源效率（55% @ 500 mA cm</w:t>
      </w:r>
      <w:r>
        <w:t xml:space="preserve"> </w:t>
      </w:r>
      <w:r>
        <w:t>−2</w:t>
      </w:r>
      <w:r>
        <w:t xml:space="preserve"> </w:t>
      </w:r>
      <w:r>
        <w:t>）。</w:t>
      </w:r>
    </w:p>
    <w:p>
      <w:pPr>
        <w:spacing w:before="0" w:after="200" w:lineRule="auto" w:line="276"/>
      </w:pPr>
      <w:r>
        <w:rPr>
          <w:b/>
        </w:rPr>
        <w:t xml:space="preserve">Abstract (EN): </w:t>
      </w:r>
      <w:r>
        <w:t>Ion exchange membranes enable ion transport in electrochemical devices (such as fuel cells, flow batteries, water electrolysis), where ion conductivity is critical for efficient operation. Conventional membranes relying on microphase separation face a selectivity‐conductivity trade‐off. However, current designs primarily introduce charges onto the walls of sub‐nanometer channels, which may lead to the formation of an excessively strong hydrogen‐bond network due to excessive water uptake, thereby reducing the self‐diffusion coefficients of water molecules and ions. This work proposes a strategy for introducing charge into the middle of sub‐nano channels via rigid side chains and has developed a membrane (QPAEPi‐3) to form a continuous hydrogen‐bond network while maintaining high diffusion coefficients for water and ions. Concurrently, membranes without side chains (QPAEPi‐1) and with flexible side chains (QPAEPi‐2) were also designed and investigated in parallel. Charges located far from the pore walls reduce the uptake of water molecules but induce the formation of hydrogen‐bond network more similar to that of bulk water, thereby increasing the self‐diffusion coefficients of water and ions. This achieves the highest chloride ion conductivity (42 mS cm</w:t>
      </w:r>
      <w:r>
        <w:t xml:space="preserve"> </w:t>
      </w:r>
      <w:r>
        <w:t>−1</w:t>
      </w:r>
      <w:r>
        <w:t xml:space="preserve"> </w:t>
      </w:r>
      <w:r>
        <w:t>@ 30°C) and energy efficiency of pH‐neutral aqueous organic redox flow battery (55% @ 500 mA cm</w:t>
      </w:r>
      <w:r>
        <w:t xml:space="preserve"> </w:t>
      </w:r>
      <w:r>
        <w:t>−2</w:t>
      </w:r>
      <w:r>
        <w:t xml:space="preserve"> </w:t>
      </w:r>
      <w:r>
        <w:t>).</w:t>
      </w:r>
    </w:p>
    <w:p>
      <w:pPr>
        <w:spacing w:before="120" w:after="120"/>
      </w:pPr>
      <w:r>
        <w:rPr>
          <w:sz w:val="18"/>
        </w:rPr>
        <w:t>——————————————————————————————————————————————————————————————————————</w:t>
      </w:r>
    </w:p>
    <w:p>
      <w:pPr>
        <w:spacing w:before="160" w:after="40" w:line="240" w:lineRule="auto"/>
      </w:pPr>
      <w:r>
        <w:rPr>
          <w:b/>
        </w:rPr>
        <w:t xml:space="preserve">[4] </w:t>
      </w:r>
      <w:hyperlink r:id="rId81">
        <w:r>
          <w:rPr>
            <w:color w:val="1155CC"/>
            <w:u w:val="single"/>
          </w:rPr>
          <w:t>用于高负载和稳定锌碘电池的分子工程双网络共析凝胶电解质</w:t>
        </w:r>
      </w:hyperlink>
    </w:p>
    <w:p>
      <w:pPr>
        <w:spacing w:before="0" w:after="80"/>
      </w:pPr>
      <w:r>
        <w:rPr>
          <w:i/>
          <w:sz w:val="20"/>
        </w:rPr>
        <w:t>EN: Molecularly engineered dual-network eutectogel electrolytes for high-loading and stable zinc-iodine batteries</w:t>
      </w:r>
    </w:p>
    <w:p>
      <w:pPr>
        <w:spacing w:before="0" w:after="120"/>
      </w:pPr>
      <w:r>
        <w:rPr>
          <w:b/>
        </w:rPr>
        <w:t xml:space="preserve">Source: </w:t>
      </w:r>
      <w:r>
        <w:t>RSC - Energy Environ. Sci. latest articles</w:t>
      </w:r>
      <w:r>
        <w:t xml:space="preserve">    </w:t>
      </w:r>
      <w:r>
        <w:rPr>
          <w:b/>
        </w:rPr>
        <w:t xml:space="preserve">Pub date: </w:t>
      </w:r>
      <w:r>
        <w:t>2026-06-07 23:00:00+00:00</w:t>
      </w:r>
    </w:p>
    <w:p>
      <w:pPr>
        <w:spacing w:before="0" w:after="120"/>
      </w:pPr>
      <w:r>
        <w:rPr>
          <w:b/>
        </w:rPr>
        <w:t xml:space="preserve">Notes: </w:t>
      </w:r>
      <w:r>
        <w:t>abstract_source=rsc_html</w:t>
      </w:r>
    </w:p>
    <w:p>
      <w:pPr>
        <w:spacing w:before="0" w:after="80" w:lineRule="auto" w:line="276"/>
      </w:pPr>
      <w:r>
        <w:rPr>
          <w:b/>
        </w:rPr>
        <w:t xml:space="preserve">摘要（ZH）: </w:t>
      </w:r>
      <w:r>
        <w:t>水性锌碘电池（AZIB）在安全和低成本的储能方面具有吸引力，但其实际部署受到锌阳极和碘阴极的不稳定性的阻碍，特别是在高碘负载和宽温度条件下。在此，我们报告了一种分子工程双网络共凝胶电解质，能够同时调节锌沉积和聚碘化物化学。该电解质由聚（N-羟乙基丙烯酰胺）（PHEAA）和聚（[3-（甲基丙烯酰氨基）丙基]二甲基（3-磺基丙基）铵）（PDMAPS）在氯化胆碱/甘油低共熔溶剂中原位聚合而成。在该设计中，PHEAA 保留了结构完整性和稳定的界面接触，而 PDMAPS 提供了空间分布的 -SO3− /-NR4+ 位点，用于 Zn2+ -通量均质化和聚碘化物固定。与 DES 调节的氢键和溶剂化环境相结合，所得的双网络共析凝胶电解质可在高负载条件下同时稳定锌沉积和碘氧化还原化学。同时，共晶氢键环境和致密的双网络框架提供了高离子电导率、结构鲁棒性和宽温度适应性。因此，所得的 AZIB 具有超过 35,000 次循环的长期循环能力、在 -40 至 60 ℃ 范围内稳定运行、在碘负载量为 19 mg cm−2 时可持久循环超过 1000 次循环，以及有前途的软包电池性能。这项工作建立了一种用于高负载和s的双调节电解质工程策略</w:t>
      </w:r>
    </w:p>
    <w:p>
      <w:pPr>
        <w:spacing w:before="0" w:after="200" w:lineRule="auto" w:line="276"/>
      </w:pPr>
      <w:r>
        <w:rPr>
          <w:b/>
        </w:rPr>
        <w:t xml:space="preserve">Abstract (EN): </w:t>
      </w:r>
      <w:r>
        <w:t>Aqueous zinc-iodine batteries (AZIBs) are attractive for safe and low-cost energy storage, yet their practical deployment is hindered by the instability of both Zn anodes and iodine cathodes, particularly under high iodine loading and wide-temperature conditions. Herein, we report a molecularly engineered dual-network eutectogel electrolyte that enables simultaneous regulation of Zn deposition and polyiodide chemistry. The electrolyte is constructed by in situ polymerization of poly(N-hydroxyethyl acrylamide) (PHEAA) and poly([3-(methacrylamido)propyl]dimethyl(3-sulfopropyl)ammonium) (PDMAPS) within a choline chloride/glycerol deep eutectic solvent. In this design, PHEAA preserves structural integrity and stable interfacial contact, while PDMAPS provides spatially distributed -SO3− /-NR4+ sites for Zn2+-flux homogenization and polyiodide immobilization. Coupled with the DES-regulated hydrogen-bonding and solvation environment, the resulting dual-network eutectogel electrolyte simultaneously stabilizes Zn deposition and iodine redox chemistry under high-loading conditions. Meanwhile, the eutectic hydrogen-bonding environment and dense dual-network framework provide high ionic conductivity, structural robustness, and wide-temperature adaptability. As a result, the resulting AZIBs deliver long-term cyclability over 35,000 cycles, stable operation from −40 to 60 ℃, and durable cycling over 1000 cycles at an iodine loading of 19 mg cm−2, together with promising pouch-cell performance. This work establishes a dual-regulation electrolyte-engineering strategy for high-loading and stable AZIBs.</w:t>
      </w:r>
    </w:p>
    <w:p>
      <w:pPr>
        <w:spacing w:before="120" w:after="120"/>
      </w:pPr>
      <w:r>
        <w:rPr>
          <w:sz w:val="18"/>
        </w:rPr>
        <w:t>——————————————————————————————————————————————————————————————————————</w:t>
      </w:r>
    </w:p>
    <w:p>
      <w:pPr>
        <w:spacing w:before="160" w:after="40" w:line="240" w:lineRule="auto"/>
      </w:pPr>
      <w:r>
        <w:rPr>
          <w:b/>
        </w:rPr>
        <w:t xml:space="preserve">[5] </w:t>
      </w:r>
      <w:hyperlink r:id="rId82">
        <w:r>
          <w:rPr>
            <w:color w:val="1155CC"/>
            <w:u w:val="single"/>
          </w:rPr>
          <w:t>作者更正：银银矿 Ag8SnSe6 中的极端声子非谐性是超离子扩散和超低热导率的基础</w:t>
        </w:r>
      </w:hyperlink>
    </w:p>
    <w:p>
      <w:pPr>
        <w:spacing w:before="0" w:after="80"/>
      </w:pPr>
      <w:r>
        <w:rPr>
          <w:i/>
          <w:sz w:val="20"/>
        </w:rPr>
        <w:t>EN: Author Correction: Extreme phonon anharmonicity underpins superionic diffusion and ultralow thermal conductivity in argyrodite Ag8SnSe6</w:t>
      </w:r>
    </w:p>
    <w:p>
      <w:pPr>
        <w:spacing w:before="0" w:after="120"/>
      </w:pPr>
      <w:r>
        <w:rPr>
          <w:b/>
        </w:rPr>
        <w:t xml:space="preserve">Source: </w:t>
      </w:r>
      <w:r>
        <w:t>Nature Materials</w:t>
      </w:r>
      <w:r>
        <w:t xml:space="preserve">    </w:t>
      </w:r>
      <w:r>
        <w:rPr>
          <w:b/>
        </w:rPr>
        <w:t xml:space="preserve">Pub date: </w:t>
      </w:r>
      <w:r>
        <w:t>2026-06-08 00:00:00+00:00</w:t>
      </w:r>
      <w:r>
        <w:t xml:space="preserve">    </w:t>
      </w:r>
      <w:r>
        <w:rPr>
          <w:b/>
        </w:rPr>
        <w:t xml:space="preserve">DOI: </w:t>
      </w:r>
      <w:hyperlink r:id="rId83">
        <w:r>
          <w:rPr>
            <w:color w:val="1155CC"/>
            <w:u w:val="single"/>
          </w:rPr>
          <w:t>10.1038/s41563-026-02644-0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84">
        <w:r>
          <w:rPr>
            <w:color w:val="1155CC"/>
            <w:u w:val="single"/>
          </w:rPr>
          <w:t>水凝胶作为水-能量关系的界面材料</w:t>
        </w:r>
      </w:hyperlink>
    </w:p>
    <w:p>
      <w:pPr>
        <w:spacing w:before="0" w:after="80"/>
      </w:pPr>
      <w:r>
        <w:rPr>
          <w:i/>
          <w:sz w:val="20"/>
        </w:rPr>
        <w:t>EN: Hydrogels as interfacial materials for the water-energy nexus</w:t>
      </w:r>
    </w:p>
    <w:p>
      <w:pPr>
        <w:spacing w:before="0" w:after="120"/>
      </w:pPr>
      <w:r>
        <w:rPr>
          <w:b/>
        </w:rPr>
        <w:t xml:space="preserve">Source: </w:t>
      </w:r>
      <w:r>
        <w:t>Joule</w:t>
      </w:r>
      <w:r>
        <w:t xml:space="preserve">    </w:t>
      </w:r>
      <w:r>
        <w:rPr>
          <w:b/>
        </w:rPr>
        <w:t xml:space="preserve">Pub date: </w:t>
      </w:r>
      <w:r>
        <w:t>2026-06-08 00:00:00+00:00</w:t>
      </w:r>
      <w:r>
        <w:t xml:space="preserve">    </w:t>
      </w:r>
      <w:r>
        <w:rPr>
          <w:b/>
        </w:rPr>
        <w:t xml:space="preserve">DOI: </w:t>
      </w:r>
      <w:hyperlink r:id="rId85">
        <w:r>
          <w:rPr>
            <w:color w:val="1155CC"/>
            <w:u w:val="single"/>
          </w:rPr>
          <w:t>10.1016/j.joule.2026.102499</w:t>
        </w:r>
      </w:hyperlink>
    </w:p>
    <w:p>
      <w:pPr>
        <w:spacing w:before="0" w:after="120"/>
      </w:pPr>
      <w:r>
        <w:rPr>
          <w:b/>
        </w:rPr>
        <w:t xml:space="preserve">Notes: </w:t>
      </w:r>
      <w:r>
        <w:t>abstract_source=rss_cell</w:t>
      </w:r>
    </w:p>
    <w:p>
      <w:pPr>
        <w:spacing w:before="0" w:after="80" w:lineRule="auto" w:line="276"/>
      </w:pPr>
      <w:r>
        <w:rPr>
          <w:b/>
        </w:rPr>
        <w:t xml:space="preserve">摘要（ZH）: </w:t>
      </w:r>
      <w:r>
        <w:t>水凝胶提供了一个软物质平台，用于控制水-能量关系中心界面处的水、离子、热量和电荷传输。这篇综述研究了水凝胶化学和结构如何调节化学/电化学势梯度和传输动力学，从而实现太阳能发电、大气集水、水力发电和水电池。这些原则指导了可持续水和能源技术的可扩展、有弹性的水凝胶界面的设计。</w:t>
      </w:r>
    </w:p>
    <w:p>
      <w:pPr>
        <w:spacing w:before="0" w:after="200" w:lineRule="auto" w:line="276"/>
      </w:pPr>
      <w:r>
        <w:rPr>
          <w:b/>
        </w:rPr>
        <w:t xml:space="preserve">Abstract (EN): </w:t>
      </w:r>
      <w:r>
        <w:t>Hydrogels offer a soft-matter platform for controlling water, ion, heat, and charge transport at interfaces central to the water-energy nexus. This review examines how hydrogel chemistry and architecture regulate chemical/electrochemical-potential gradients and transport kinetics, enabling solar water generation, atmospheric water harvesting, hydrovoltaic power generation, and aqueous batteries. These principles guide the design of scalable, resilient hydrogel interfaces for sustainable water and energy technologies.</w:t>
      </w:r>
    </w:p>
    <w:p>
      <w:pPr>
        <w:spacing w:before="120" w:after="120"/>
      </w:pPr>
      <w:r>
        <w:rPr>
          <w:sz w:val="18"/>
        </w:rPr>
        <w:t>——————————————————————————————————————————————————————————————————————</w:t>
      </w:r>
    </w:p>
    <w:p>
      <w:pPr>
        <w:spacing w:before="160" w:after="40" w:line="240" w:lineRule="auto"/>
      </w:pPr>
      <w:r>
        <w:rPr>
          <w:b/>
        </w:rPr>
        <w:t xml:space="preserve">[7] </w:t>
      </w:r>
      <w:hyperlink r:id="rId86">
        <w:r>
          <w:rPr>
            <w:color w:val="1155CC"/>
            <w:u w:val="single"/>
          </w:rPr>
          <w:t>通过三齿配位工程溶剂化鞘克服相间依赖性 Li+ 传输</w:t>
        </w:r>
      </w:hyperlink>
    </w:p>
    <w:p>
      <w:pPr>
        <w:spacing w:before="0" w:after="80"/>
      </w:pPr>
      <w:r>
        <w:rPr>
          <w:i/>
          <w:sz w:val="20"/>
        </w:rPr>
        <w:t>EN: Overcoming Interphase‐Dependent Li+ Transport via Tridentate Coordination Engineered Solvation Sheath</w:t>
      </w:r>
    </w:p>
    <w:p>
      <w:pPr>
        <w:spacing w:before="0" w:after="120"/>
      </w:pPr>
      <w:r>
        <w:rPr>
          <w:b/>
        </w:rPr>
        <w:t xml:space="preserve">Source: </w:t>
      </w:r>
      <w:r>
        <w:t>Wiley: Advanced Energy Materials: Table of Contents</w:t>
      </w:r>
      <w:r>
        <w:t xml:space="preserve">    </w:t>
      </w:r>
      <w:r>
        <w:rPr>
          <w:b/>
        </w:rPr>
        <w:t xml:space="preserve">Pub date: </w:t>
      </w:r>
      <w:r>
        <w:t>2026-06-09 04:09:55+00:00</w:t>
      </w:r>
      <w:r>
        <w:t xml:space="preserve">    </w:t>
      </w:r>
      <w:r>
        <w:rPr>
          <w:b/>
        </w:rPr>
        <w:t xml:space="preserve">DOI: </w:t>
      </w:r>
      <w:hyperlink r:id="rId87">
        <w:r>
          <w:rPr>
            <w:color w:val="1155CC"/>
            <w:u w:val="single"/>
          </w:rPr>
          <w:t>10.1002/aenm.71169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凝胶聚合物电解质（GPE）对于先进锂金属电池（LMB）至关重要，因为它们可以结合高离子电导率和增强的安全性。然而，它们的商业化受到来自体扩散、去溶剂化和相间传输之间动态耦合的未解决的动力学限制步骤的阻碍。在这里，提出了一种新的策略来调节 TFSI 的密度</w:t>
      </w:r>
      <w:r>
        <w:t xml:space="preserve"> </w:t>
      </w:r>
      <w:r>
        <w:t>-</w:t>
      </w:r>
      <w:r>
        <w:t>从单齿到三齿的协调来解耦这些过程。固体电解质界面（SEI）的固有化学性质而不是整体离子电导率或去溶剂化能被认为是控制循环性能的主要因素。至关重要的是，三齿协调战略性地提升了通常稳定的 TFSI 的还原优先级</w:t>
      </w:r>
      <w:r>
        <w:t xml:space="preserve"> </w:t>
      </w:r>
      <w:r>
        <w:t>-</w:t>
      </w:r>
      <w:r>
        <w:t>阴离子越过更不稳定的溶剂，从而取代固有趋势并确保原位形成以 LiF 和 Li 为主的富含无机物的 SEI</w:t>
      </w:r>
      <w:r>
        <w:rPr>
          <w:vertAlign w:val="subscript"/>
        </w:rPr>
        <w:t>2</w:t>
      </w:r>
      <w:r>
        <w:t>O. 这种强大的 SEI 支撑着卓越的界面稳定性，在 LiFePO 中 1 C 下 720 次循环后，其容量仍可达原始容量的 92.7%</w:t>
      </w:r>
      <w:r>
        <w:rPr>
          <w:vertAlign w:val="subscript"/>
        </w:rPr>
        <w:t>4</w:t>
      </w:r>
      <w:r>
        <w:t>//锂电池。该方法的通用性也在 LiNi 中得到了验证</w:t>
      </w:r>
      <w:r>
        <w:t xml:space="preserve"> </w:t>
      </w:r>
      <w:r>
        <w:t>0.6</w:t>
      </w:r>
      <w:r>
        <w:t xml:space="preserve"> </w:t>
      </w:r>
      <w:r>
        <w:t>钴</w:t>
      </w:r>
      <w:r>
        <w:t xml:space="preserve"> </w:t>
      </w:r>
      <w:r>
        <w:t>0.2</w:t>
      </w:r>
      <w:r>
        <w:t xml:space="preserve"> </w:t>
      </w:r>
      <w:r>
        <w:t>锰</w:t>
      </w:r>
      <w:r>
        <w:t xml:space="preserve"> </w:t>
      </w:r>
      <w:r>
        <w:t>0.2</w:t>
      </w:r>
      <w:r>
        <w:t xml:space="preserve"> </w:t>
      </w:r>
      <w:r>
        <w:t>氧</w:t>
      </w:r>
      <w:r>
        <w:rPr>
          <w:vertAlign w:val="subscript"/>
        </w:rPr>
        <w:t>2</w:t>
      </w:r>
      <w:r>
        <w:t>‐基于电池，可实现超过 270 cyc 的稳定循环</w:t>
      </w:r>
    </w:p>
    <w:p>
      <w:pPr>
        <w:spacing w:before="0" w:after="200" w:lineRule="auto" w:line="276"/>
      </w:pPr>
      <w:r>
        <w:rPr>
          <w:b/>
        </w:rPr>
        <w:t xml:space="preserve">Abstract (EN): </w:t>
      </w:r>
      <w:r>
        <w:t>Gel polymer electrolytes (GPEs) are pivotal for advanced lithium metal batteries (LMBs) as they can combine high ionic conductivity and enhanced safety. However, their commercialization is hindered by an unresolved kinetic limiting step derived from the dynamic coupling among bulk diffusion, desolvation, and interphase transport. Here, a novel strategy is proposed to regulate the denticity of TFSI</w:t>
      </w:r>
      <w:r>
        <w:t xml:space="preserve"> </w:t>
      </w:r>
      <w:r>
        <w:t>−</w:t>
      </w:r>
      <w:r>
        <w:t>coordination from monodentate to tridentate to decouple these processes. The intrinsic chemistry of the solid‐electrolyte interphase (SEI) rather than bulk ionic conductivity or desolvation energy is identified as the predominant factor governing cyclability. Crucially, the tridentate coordination strategically elevates the reductive priority of the normally stable TFSI</w:t>
      </w:r>
      <w:r>
        <w:t xml:space="preserve"> </w:t>
      </w:r>
      <w:r>
        <w:t>−</w:t>
      </w:r>
      <w:r>
        <w:t>anions over the more labile solvents, thereby superseding the intrinsic tendency and ensuring the in situ formation of an inorganic‐rich SEI dominated by LiF and Li</w:t>
      </w:r>
      <w:r>
        <w:rPr>
          <w:vertAlign w:val="subscript"/>
        </w:rPr>
        <w:t>2</w:t>
      </w:r>
      <w:r>
        <w:t>O. This robust SEI underpins exceptional interfacial stability, enabling 92.7% of its original capacity after 720 cycles at 1 C in LiFePO</w:t>
      </w:r>
      <w:r>
        <w:rPr>
          <w:vertAlign w:val="subscript"/>
        </w:rPr>
        <w:t>4</w:t>
      </w:r>
      <w:r>
        <w:t>//Li cells. The generality of this approach is also validated in LiNi</w:t>
      </w:r>
      <w:r>
        <w:t xml:space="preserve"> </w:t>
      </w:r>
      <w:r>
        <w:t>0.6</w:t>
      </w:r>
      <w:r>
        <w:t xml:space="preserve"> </w:t>
      </w:r>
      <w:r>
        <w:t>Co</w:t>
      </w:r>
      <w:r>
        <w:t xml:space="preserve"> </w:t>
      </w:r>
      <w:r>
        <w:t>0.2</w:t>
      </w:r>
      <w:r>
        <w:t xml:space="preserve"> </w:t>
      </w:r>
      <w:r>
        <w:t>Mn</w:t>
      </w:r>
      <w:r>
        <w:t xml:space="preserve"> </w:t>
      </w:r>
      <w:r>
        <w:t>0.2</w:t>
      </w:r>
      <w:r>
        <w:t xml:space="preserve"> </w:t>
      </w:r>
      <w:r>
        <w:t>O</w:t>
      </w:r>
      <w:r>
        <w:rPr>
          <w:vertAlign w:val="subscript"/>
        </w:rPr>
        <w:t>2</w:t>
      </w:r>
      <w:r>
        <w:t>‐based cells, which achieve stable cycling over 270 cycles at 25°C and over 150 cycles at 60°C. The fundamental insight into the rate‐limiting interfacial coupling and the tridentate‐coordination strategy collectively establish a new paradigm for electrolyte design.</w:t>
      </w:r>
    </w:p>
    <w:p>
      <w:pPr>
        <w:spacing w:before="120" w:after="120"/>
      </w:pPr>
      <w:r>
        <w:rPr>
          <w:sz w:val="18"/>
        </w:rPr>
        <w:t>——————————————————————————————————————————————————————————————————————</w:t>
      </w:r>
    </w:p>
    <w:p>
      <w:pPr>
        <w:spacing w:before="160" w:after="40" w:line="240" w:lineRule="auto"/>
      </w:pPr>
      <w:r>
        <w:rPr>
          <w:b/>
        </w:rPr>
        <w:t xml:space="preserve">[8] </w:t>
      </w:r>
      <w:hyperlink r:id="rId88">
        <w:r>
          <w:rPr>
            <w:color w:val="1155CC"/>
            <w:u w:val="single"/>
          </w:rPr>
          <w:t>通过氨基硅氧烷功能接枝调节环保纤维素基复合电解质的锂离子传导以实现可持续锂金属电池</w:t>
        </w:r>
      </w:hyperlink>
    </w:p>
    <w:p>
      <w:pPr>
        <w:spacing w:before="0" w:after="80"/>
      </w:pPr>
      <w:r>
        <w:rPr>
          <w:i/>
          <w:sz w:val="20"/>
        </w:rPr>
        <w:t>EN: Regulating Li‐Ions Conduction of Eco‐Friendly Cellulose‐Based Composite Electrolytes via Amino‐Siloxane Functional Grafting for Sustainable Li‐Metal Batteries</w:t>
      </w:r>
    </w:p>
    <w:p>
      <w:pPr>
        <w:spacing w:before="0" w:after="120"/>
      </w:pPr>
      <w:r>
        <w:rPr>
          <w:b/>
        </w:rPr>
        <w:t xml:space="preserve">Source: </w:t>
      </w:r>
      <w:r>
        <w:t>Wiley: Advanced Energy Materials: Table of Contents</w:t>
      </w:r>
      <w:r>
        <w:t xml:space="preserve">    </w:t>
      </w:r>
      <w:r>
        <w:rPr>
          <w:b/>
        </w:rPr>
        <w:t xml:space="preserve">Pub date: </w:t>
      </w:r>
      <w:r>
        <w:t>2026-06-09 04:11:26+00:00</w:t>
      </w:r>
      <w:r>
        <w:t xml:space="preserve">    </w:t>
      </w:r>
      <w:r>
        <w:rPr>
          <w:b/>
        </w:rPr>
        <w:t xml:space="preserve">DOI: </w:t>
      </w:r>
      <w:hyperlink r:id="rId89">
        <w:r>
          <w:rPr>
            <w:color w:val="1155CC"/>
            <w:u w:val="single"/>
          </w:rPr>
          <w:t>10.1002/aenm.71171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纤维素基电解质由于其可再生和可生物降解的自然特性，是低成本和环保电池的有前途的固体电解质候选者。不幸的是，它们具有很强的反应性和高结晶度，导致在锂离子电池中使用时面临严峻的挑战，包括耐高压性差、锂离子传导缓慢和锂离子通量不均匀。在这里，我们报告了一种功能性接枝修饰，以调节纤维素基固体电解质内的锂离子传导。开发了伴随氨基硅氧烷接枝的原位溶胶凝胶自组装，以实现纤维素-氨基硅氧烷-离子液体复合材料的均匀集成，形成致密的固态电解质膜。这种功能设计通过氨基配位建立连续均匀的锂离子传输高速公路，同时破坏纤维素的天然结晶度，赋予快速的锂离子电导率（1×10</w:t>
      </w:r>
      <w:r>
        <w:t xml:space="preserve"> </w:t>
      </w:r>
      <w:r>
        <w:t>−3</w:t>
      </w:r>
      <w:r>
        <w:t xml:space="preserve"> </w:t>
      </w:r>
      <w:r>
        <w:t>厘米</w:t>
      </w:r>
      <w:r>
        <w:t xml:space="preserve"> </w:t>
      </w:r>
      <w:r>
        <w:t>−1</w:t>
      </w:r>
      <w:r>
        <w:t xml:space="preserve"> </w:t>
      </w:r>
      <w:r>
        <w:t>）和高电化学氧化电位（5 V）。所得电解质膜具有均匀的微观结构，具有高机械弹性和热力学稳定性，与锂金属具有高相容性，具有优异的电化学性能。因此，固态锂金属电池表现出优异的循环寿命，而 LiFePO</w:t>
      </w:r>
      <w:r>
        <w:rPr>
          <w:vertAlign w:val="subscript"/>
        </w:rPr>
        <w:t>4</w:t>
      </w:r>
      <w:r>
        <w:t>电池运行 592 个周期，LiNi</w:t>
      </w:r>
      <w:r>
        <w:t xml:space="preserve"> </w:t>
      </w:r>
      <w:r>
        <w:t>0.8</w:t>
      </w:r>
      <w:r>
        <w:t xml:space="preserve"> </w:t>
      </w:r>
      <w:r>
        <w:t>钴</w:t>
      </w:r>
    </w:p>
    <w:p>
      <w:pPr>
        <w:spacing w:before="0" w:after="200" w:lineRule="auto" w:line="276"/>
      </w:pPr>
      <w:r>
        <w:rPr>
          <w:b/>
        </w:rPr>
        <w:t xml:space="preserve">Abstract (EN): </w:t>
      </w:r>
      <w:r>
        <w:t>Cellulose‐based electrolytes are promising solid electrolyte candidates for low‐cost and eco‐friendly batteries owing to their natural characteristics of being renewable and biodegradable. Unfortunately, they have strong reactivity and high crystallinity, leading to critical challenges when used in Li‐ion batteries, including poor high‐voltage tolerance, slow Li‐ion conduction and heterogeneous Li‐ion flux. Here, we report a functional grafting modification to regulate Li‐ion conduction within cellulose‐based solid electrolytes. In‐situ sol‐gel self‐assembly accompanied by amino‐siloxane grafting is developed to achieve the homogeneous integration of cellulose−amino‐siloxane−ionic liquid composites, forming a compact solid‐state electrolyte membrane. Such functional design establishes continuous and uniform Li‐ion transport highways through amino coordination while disrupting native crystallinity of cellulose, endowing a rapid Li‐ion conductivity (1×10</w:t>
      </w:r>
      <w:r>
        <w:t xml:space="preserve"> </w:t>
      </w:r>
      <w:r>
        <w:t>−3</w:t>
      </w:r>
      <w:r>
        <w:t xml:space="preserve"> </w:t>
      </w:r>
      <w:r>
        <w:t>S cm</w:t>
      </w:r>
      <w:r>
        <w:t xml:space="preserve"> </w:t>
      </w:r>
      <w:r>
        <w:t>−1</w:t>
      </w:r>
      <w:r>
        <w:t xml:space="preserve"> </w:t>
      </w:r>
      <w:r>
        <w:t>) and a high electrochemical oxidation potential (5 V). The obtained electrolyte membrane features a homogenous microstructure with high mechanical elasticity and thermodynamic stability, exhibiting high compatibility with Li metal and enabling excellent electrochemical performance. Consequently, solid‐state Li‐metal batteries exhibit exceptional cycle‐life, whereas LiFePO</w:t>
      </w:r>
      <w:r>
        <w:rPr>
          <w:vertAlign w:val="subscript"/>
        </w:rPr>
        <w:t>4</w:t>
      </w:r>
      <w:r>
        <w:t>cells run 592 cycles and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cells run 403 cycles at 0.5 C rate until the capacity reduces to 80%. Notably, a comprehensive life‐cycle assessment verifies its advantages in energy conservation and carbon reduction. It presents a sustainable development of high‐performance cellulose‐based solid‐state electrolytes.</w:t>
      </w:r>
    </w:p>
    <w:p>
      <w:pPr>
        <w:spacing w:before="120" w:after="120"/>
      </w:pPr>
      <w:r>
        <w:rPr>
          <w:sz w:val="18"/>
        </w:rPr>
        <w:t>——————————————————————————————————————————————————————————————————————</w:t>
      </w:r>
    </w:p>
    <w:p>
      <w:pPr>
        <w:spacing w:before="160" w:after="40" w:line="240" w:lineRule="auto"/>
      </w:pPr>
      <w:r>
        <w:rPr>
          <w:b/>
        </w:rPr>
        <w:t xml:space="preserve">[9] </w:t>
      </w:r>
      <w:hyperlink r:id="rId51">
        <w:r>
          <w:rPr>
            <w:color w:val="1155CC"/>
            <w:u w:val="single"/>
          </w:rPr>
          <w:t>纤维状水系锌离子电池的最新进展：从结构、原理、问题到策略</w:t>
        </w:r>
      </w:hyperlink>
    </w:p>
    <w:p>
      <w:pPr>
        <w:spacing w:before="0" w:after="80"/>
      </w:pPr>
      <w:r>
        <w:rPr>
          <w:i/>
          <w:sz w:val="20"/>
        </w:rPr>
        <w:t>EN: Recent Advances of Fiber‐Shaped Aqueous Zinc Ion Batteries: From Structure, Principles, Issues to Strategies</w:t>
      </w:r>
    </w:p>
    <w:p>
      <w:pPr>
        <w:spacing w:before="0" w:after="120"/>
      </w:pPr>
      <w:r>
        <w:rPr>
          <w:b/>
        </w:rPr>
        <w:t xml:space="preserve">Source: </w:t>
      </w:r>
      <w:r>
        <w:t>Wiley: Advanced Energy Materials: Table of Contents</w:t>
      </w:r>
      <w:r>
        <w:t xml:space="preserve">    </w:t>
      </w:r>
      <w:r>
        <w:rPr>
          <w:b/>
        </w:rPr>
        <w:t xml:space="preserve">Pub date: </w:t>
      </w:r>
      <w:r>
        <w:t>2026-06-09 04:46:49+00:00</w:t>
      </w:r>
      <w:r>
        <w:t xml:space="preserve">    </w:t>
      </w:r>
      <w:r>
        <w:rPr>
          <w:b/>
        </w:rPr>
        <w:t xml:space="preserve">DOI: </w:t>
      </w:r>
      <w:hyperlink r:id="rId52">
        <w:r>
          <w:rPr>
            <w:color w:val="1155CC"/>
            <w:u w:val="single"/>
          </w:rPr>
          <w:t>10.1002/aenm.71175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纤维状水性锌离子电池（FAZIB）因其本质安全、低成本、轻质和优异的灵活性而被认为是非常有前途的可穿戴和柔性电子设备的电源装置。然而，它们的实际发展仍然受到耦合电化学和机械问题的阻碍，包括锌枝晶生长、H</w:t>
      </w:r>
      <w:r>
        <w:rPr>
          <w:vertAlign w:val="subscript"/>
        </w:rPr>
        <w:t>2</w:t>
      </w:r>
      <w:r>
        <w:t>演化、表面钝化、正极材料溶解和脱落以及变形下电极/电解质界面分离。本综述对 FAZIB 从组成、结构设计、工作原理、故障机制到缓解策略的最新进展进行了批判性和全面的概述。首先，系统讨论了 FAZIB 的组成部分，包括纤维状锌阳极、纤维状阴极、凝胶电解质、封装材料和器件结构。然后，分析能量存储和灵活性相关机制，以阐明电化学行为和机械适应性之间的内在相关性。随后，总结了限制 FAZIB 性能和耐久性的主要降解途径。进一步强调了代表性策略，包括柔性锌阳极的合理设计、凝胶电解质调节、阴极稳定和界面优化。最后，概述了剩余的科学挑战和未来的研究方向。此次审查预计将为相关部门提供一些有用的指导</w:t>
      </w:r>
    </w:p>
    <w:p>
      <w:pPr>
        <w:spacing w:before="0" w:after="200" w:lineRule="auto" w:line="276"/>
      </w:pPr>
      <w:r>
        <w:rPr>
          <w:b/>
        </w:rPr>
        <w:t xml:space="preserve">Abstract (EN): </w:t>
      </w:r>
      <w:r>
        <w:t>Fiber‐shaped aqueous zinc‐ion batteries (FAZIBs) have been regarded as highly promising power supplying devices for wearable and flexible electronics because of their intrinsic safety, low cost, lightweight nature, and excellent flexibility. However, their practical development is still hindered by coupled electrochemical and mechanical issues, including Zn dendrite growth, H</w:t>
      </w:r>
      <w:r>
        <w:rPr>
          <w:vertAlign w:val="subscript"/>
        </w:rPr>
        <w:t>2</w:t>
      </w:r>
      <w:r>
        <w:t>evolution, surface passivation, cathode materials dissolution and shedding, and electrode/electrolyte interfacial separation under deformation. This review provides a critical and comprehensive overview of recent progresses in FAZIBs from composition, structural design, working principles, failure mechanisms, to mitigation strategies. First, the components of FAZIBs, including fibrous Zn anodes, fibrous cathodes, gel electrolytes, encapsulation materials, and device architectures, are systematically discussed. Then, the energy storage and flexibility‐related mechanisms are analyzed to clarify the intrinsic correlation between electrochemical behavior and mechanical adaptability. Subsequently, the major degradation pathways limiting the performance and durability of FAZIBs are summarized. Representative strategies, including rational design of flexible Zn anodes, gel‐electrolyte regulation, cathode stabilization, and interface optimization, are further highlighted. Finally, the remaining scientific challenges and future research directions are outlined. This review is expected to supply some useful guidance for the rational design of next‐generation FAZIBs with high energy density, excellent flexibility, and long‐term stability.</w:t>
      </w:r>
    </w:p>
    <w:p>
      <w:pPr>
        <w:spacing w:before="120" w:after="120"/>
      </w:pPr>
      <w:r>
        <w:rPr>
          <w:sz w:val="18"/>
        </w:rPr>
        <w:t>——————————————————————————————————————————————————————————————————————</w:t>
      </w:r>
    </w:p>
    <w:p>
      <w:pPr>
        <w:spacing w:before="160" w:after="40" w:line="240" w:lineRule="auto"/>
      </w:pPr>
      <w:r>
        <w:rPr>
          <w:b/>
        </w:rPr>
        <w:t xml:space="preserve">[10] </w:t>
      </w:r>
      <w:hyperlink r:id="rId90">
        <w:r>
          <w:rPr>
            <w:color w:val="1155CC"/>
            <w:u w:val="single"/>
          </w:rPr>
          <w:t>在分段化学环境的介电工程共价有机框架中通过纳米限制微分界面摩擦进行离子选择性传输</w:t>
        </w:r>
      </w:hyperlink>
    </w:p>
    <w:p>
      <w:pPr>
        <w:spacing w:before="0" w:after="80"/>
      </w:pPr>
      <w:r>
        <w:rPr>
          <w:i/>
          <w:sz w:val="20"/>
        </w:rPr>
        <w:t>EN: Ion‐Selective Transport via Nanoconfined Differential Interfacial Friction in a Dielectric‐Engineered Covalent Organic Framework With Sectionalized Chemical Environments</w:t>
      </w:r>
    </w:p>
    <w:p>
      <w:pPr>
        <w:spacing w:before="0" w:after="120"/>
      </w:pPr>
      <w:r>
        <w:rPr>
          <w:b/>
        </w:rPr>
        <w:t xml:space="preserve">Source: </w:t>
      </w:r>
      <w:r>
        <w:t>Wiley: Advanced Materials: Table of Contents</w:t>
      </w:r>
      <w:r>
        <w:t xml:space="preserve">    </w:t>
      </w:r>
      <w:r>
        <w:rPr>
          <w:b/>
        </w:rPr>
        <w:t xml:space="preserve">Pub date: </w:t>
      </w:r>
      <w:r>
        <w:t>2026-06-09 10:22:22+00:00</w:t>
      </w:r>
      <w:r>
        <w:t xml:space="preserve">    </w:t>
      </w:r>
      <w:r>
        <w:rPr>
          <w:b/>
        </w:rPr>
        <w:t xml:space="preserve">DOI: </w:t>
      </w:r>
      <w:hyperlink r:id="rId91">
        <w:r>
          <w:rPr>
            <w:color w:val="1155CC"/>
            <w:u w:val="single"/>
          </w:rPr>
          <w:t>10.1002/adma.73670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同时具有高离子电导率、优异的离子选择性和强大的电化学/热稳定性的固态电解质（SSE）仍然是安全、高能量密度固态电池（SSB）的核心挑战。在此，报道了一种具有分段化学环境的全固态共价有机框架电解质（SCE-COF），它是通过COF纳米通道内高介电单体的纳米限制共聚而构建的。由此产生的结构提供了一个纳米限制的分子界面，该界面集成了富电子的极性短链，形成丰富的锂</w:t>
      </w:r>
      <w:r>
        <w:t xml:space="preserve"> </w:t>
      </w:r>
      <w:r>
        <w:t>+</w:t>
      </w:r>
      <w:r>
        <w:t xml:space="preserve"> </w:t>
      </w:r>
      <w:r>
        <w:t>具有缺电子孔壁区域的跳跃位点，通过特定的氢键相互作用固定阴离子，从而实现高效且差异化的离子传输，与强键合的溶剂化笼和聚合物链段运动解耦。受益于这些协同效应，SCE-COF 的离子电导率达到 1.05 × 10</w:t>
      </w:r>
      <w:r>
        <w:t xml:space="preserve"> </w:t>
      </w:r>
      <w:r>
        <w:t>−3</w:t>
      </w:r>
      <w:r>
        <w:t xml:space="preserve"> </w:t>
      </w:r>
      <w:r>
        <w:t>厘米</w:t>
      </w:r>
      <w:r>
        <w:t xml:space="preserve"> </w:t>
      </w:r>
      <w:r>
        <w:t>−1</w:t>
      </w:r>
      <w:r>
        <w:t xml:space="preserve"> </w:t>
      </w:r>
      <w:r>
        <w:t>30°C 时，高 Li</w:t>
      </w:r>
      <w:r>
        <w:t xml:space="preserve"> </w:t>
      </w:r>
      <w:r>
        <w:t>+</w:t>
      </w:r>
      <w:r>
        <w:t xml:space="preserve"> </w:t>
      </w:r>
      <w:r>
        <w:t>0.73 的转移数和宽电化学窗口（4.87 V vs Li</w:t>
      </w:r>
      <w:r>
        <w:t xml:space="preserve"> </w:t>
      </w:r>
      <w:r>
        <w:t>+</w:t>
      </w:r>
      <w:r>
        <w:t xml:space="preserve"> </w:t>
      </w:r>
      <w:r>
        <w:t>/李）。最后，采用 SCE-COF 的全固态全电池可提供 442.0 Wh kg 的高比能量密度</w:t>
      </w:r>
      <w:r>
        <w:t xml:space="preserve"> </w:t>
      </w:r>
      <w:r>
        <w:t>−1</w:t>
      </w:r>
      <w:r>
        <w:t xml:space="preserve"> </w:t>
      </w:r>
      <w:r>
        <w:t>在环境温度下的受控锂源下。</w:t>
      </w:r>
    </w:p>
    <w:p>
      <w:pPr>
        <w:spacing w:before="0" w:after="200" w:lineRule="auto" w:line="276"/>
      </w:pPr>
      <w:r>
        <w:rPr>
          <w:b/>
        </w:rPr>
        <w:t xml:space="preserve">Abstract (EN): </w:t>
      </w:r>
      <w:r>
        <w:t>Developing solid‐state electrolytes (SSEs) that concurrently deliver high ionic conductivity, excellent ion selectivity, and robust electrochemical/thermal stability remains a central challenge for safe, high‐energy‐density solid‐state batteries (SSBs). Here, an all‐solid‐state covalent organic framework electrolyte with sectionalized chemical environments (SCE‐COF) is reported, constructed via nanoconfined copolymerization of a highly dielectric monomer within COF nanochannels. The resulting architecture affords a nano‐confined molecular interface that integrates electron‐rich polar short chains that form abundant Li</w:t>
      </w:r>
      <w:r>
        <w:t xml:space="preserve"> </w:t>
      </w:r>
      <w:r>
        <w:t>+</w:t>
      </w:r>
      <w:r>
        <w:t xml:space="preserve"> </w:t>
      </w:r>
      <w:r>
        <w:t>hopping sites with electron‐deficient pore‐wall regions that immobilize anions through specific hydrogen‐bonding interactions, thereby enabling efficient and differential ion transport decoupled from strongly bonded solvation cage and polymer segmental motion. Benefiting from these synergistic effects, SCE‐COF achieves ionic conductivity of 1.05 × 10</w:t>
      </w:r>
      <w:r>
        <w:t xml:space="preserve"> </w:t>
      </w:r>
      <w:r>
        <w:t>−3</w:t>
      </w:r>
      <w:r>
        <w:t xml:space="preserve"> </w:t>
      </w:r>
      <w:r>
        <w:t>S cm</w:t>
      </w:r>
      <w:r>
        <w:t xml:space="preserve"> </w:t>
      </w:r>
      <w:r>
        <w:t>−1</w:t>
      </w:r>
      <w:r>
        <w:t xml:space="preserve"> </w:t>
      </w:r>
      <w:r>
        <w:t>at 30°C, a high Li</w:t>
      </w:r>
      <w:r>
        <w:t xml:space="preserve"> </w:t>
      </w:r>
      <w:r>
        <w:t>+</w:t>
      </w:r>
      <w:r>
        <w:t xml:space="preserve"> </w:t>
      </w:r>
      <w:r>
        <w:t>transference number of 0.73 and a wide electrochemical window (4.87 V vs Li</w:t>
      </w:r>
      <w:r>
        <w:t xml:space="preserve"> </w:t>
      </w:r>
      <w:r>
        <w:t>+</w:t>
      </w:r>
      <w:r>
        <w:t xml:space="preserve"> </w:t>
      </w:r>
      <w:r>
        <w:t>/Li). Finally, all‐solid‐state full cells employing SCE‐COF deliver a high specific energy density of 442.0 Wh kg</w:t>
      </w:r>
      <w:r>
        <w:t xml:space="preserve"> </w:t>
      </w:r>
      <w:r>
        <w:t>−1</w:t>
      </w:r>
      <w:r>
        <w:t xml:space="preserve"> </w:t>
      </w:r>
      <w:r>
        <w:t>under a controlled lithium source at ambient temperature.</w:t>
      </w:r>
    </w:p>
    <w:p>
      <w:pPr>
        <w:spacing w:before="120" w:after="120"/>
      </w:pPr>
      <w:r>
        <w:rPr>
          <w:sz w:val="18"/>
        </w:rPr>
        <w:t>——————————————————————————————————————————————————————————————————————</w:t>
      </w:r>
    </w:p>
    <w:p>
      <w:pPr>
        <w:spacing w:before="160" w:after="40" w:line="240" w:lineRule="auto"/>
      </w:pPr>
      <w:r>
        <w:rPr>
          <w:b/>
        </w:rPr>
        <w:t xml:space="preserve">[11] </w:t>
      </w:r>
      <w:hyperlink r:id="rId92">
        <w:r>
          <w:rPr>
            <w:color w:val="1155CC"/>
            <w:u w:val="single"/>
          </w:rPr>
          <w:t>用于锂金属电池合理电解质设计的溶剂极化动力学描述符</w:t>
        </w:r>
      </w:hyperlink>
    </w:p>
    <w:p>
      <w:pPr>
        <w:spacing w:before="0" w:after="80"/>
      </w:pPr>
      <w:r>
        <w:rPr>
          <w:i/>
          <w:sz w:val="20"/>
        </w:rPr>
        <w:t>EN: A kinetic descriptor of solvent polarization for rational electrolyte design in lithium–metal batteries</w:t>
      </w:r>
    </w:p>
    <w:p>
      <w:pPr>
        <w:spacing w:before="0" w:after="120"/>
      </w:pPr>
      <w:r>
        <w:rPr>
          <w:b/>
        </w:rPr>
        <w:t xml:space="preserve">Source: </w:t>
      </w:r>
      <w:r>
        <w:t>RSC - Energy Environ. Sci. latest articles</w:t>
      </w:r>
      <w:r>
        <w:t xml:space="preserve">    </w:t>
      </w:r>
      <w:r>
        <w:rPr>
          <w:b/>
        </w:rPr>
        <w:t xml:space="preserve">Pub date: </w:t>
      </w:r>
      <w:r>
        <w:t>2026-06-09 23:00:00+00:00</w:t>
      </w:r>
    </w:p>
    <w:p>
      <w:pPr>
        <w:spacing w:before="0" w:after="120"/>
      </w:pPr>
      <w:r>
        <w:rPr>
          <w:b/>
        </w:rPr>
        <w:t xml:space="preserve">Notes: </w:t>
      </w:r>
      <w:r>
        <w:t>abstract_source=rsc_html</w:t>
      </w:r>
    </w:p>
    <w:p>
      <w:pPr>
        <w:spacing w:before="0" w:after="80" w:lineRule="auto" w:line="276"/>
      </w:pPr>
      <w:r>
        <w:rPr>
          <w:b/>
        </w:rPr>
        <w:t xml:space="preserve">摘要（ZH）: </w:t>
      </w:r>
      <w:r>
        <w:t>溶剂化结构的构建对于电解质的合理设计至关重要。 However, previous efforts to regulate solvation structures have mainly focused on the static coordination environment around Li+, such as the anion coordination number or ligand identity, while the reconstruction and relaxation processes of solvation structures driven by polarization during Li+ migration remain largely unexplored, mainly due to the difficulty of direct observation. In this work, we capture the dynamic evolution of the total dipole moment of the system and propose an integral dielectric relaxation time descriptor (τi) to quantify the polarization response rate of coordinating solvents. This method simultaneously predicts bulk ion transport and interfacial characteristics of the electrolyte and reflects the combined effects of solvent size, viscosity, and intermolecular interactions. Based on this framework, we apply the τi descriptor to a deep eutectic electrolyte system, screen 95 additives, and design an optimized formulation that significantly enhances electrochemical performance, enabling an ultrahigh limiting current density of 6 mA cm−2 and stable cycling of high-voltage cathodes from −15 to 50 °C. These results establish τi as a kinetically grounded descriptor for the efficient screening and rational design of electrolytes for next-generation lithium–metal batteries.</w:t>
      </w:r>
    </w:p>
    <w:p>
      <w:pPr>
        <w:spacing w:before="0" w:after="200" w:lineRule="auto" w:line="276"/>
      </w:pPr>
      <w:r>
        <w:rPr>
          <w:b/>
        </w:rPr>
        <w:t xml:space="preserve">Abstract (EN): </w:t>
      </w:r>
      <w:r>
        <w:t>The construction of solvation structures is crucial for the rational design of electrolytes. However, previous efforts to regulate solvation structures have mainly focused on the static coordination environment around Li+, such as the anion coordination number or ligand identity, while the reconstruction and relaxation processes of solvation structures driven by polarization during Li+ migration remain largely unexplored, mainly due to the difficulty of direct observation. In this work, we capture the dynamic evolution of the total dipole moment of the system and propose an integral dielectric relaxation time descriptor (τi) to quantify the polarization response rate of coordinating solvents. This method simultaneously predicts bulk ion transport and interfacial characteristics of the electrolyte and reflects the combined effects of solvent size, viscosity, and intermolecular interactions. Based on this framework, we apply the τi descriptor to a deep eutectic electrolyte system, screen 95 additives, and design an optimized formulation that significantly enhances electrochemical performance, enabling an ultrahigh limiting current density of 6 mA cm−2 and stable cycling of high-voltage cathodes from −15 to 50 °C. These results establish τi as a kinetically grounded descriptor for the efficient screening and rational design of electrolytes for next-generation lithium–metal batteries.</w:t>
      </w:r>
    </w:p>
    <w:p>
      <w:pPr>
        <w:spacing w:before="120" w:after="120"/>
      </w:pPr>
      <w:r>
        <w:rPr>
          <w:sz w:val="18"/>
        </w:rPr>
        <w:t>——————————————————————————————————————————————————————————————————————</w:t>
      </w:r>
    </w:p>
    <w:p>
      <w:pPr>
        <w:spacing w:before="160" w:after="40" w:line="240" w:lineRule="auto"/>
      </w:pPr>
      <w:r>
        <w:rPr>
          <w:b/>
        </w:rPr>
        <w:t xml:space="preserve">[12] </w:t>
      </w:r>
      <w:hyperlink r:id="rId93">
        <w:r>
          <w:rPr>
            <w:color w:val="1155CC"/>
            <w:u w:val="single"/>
          </w:rPr>
          <w:t>高浓度界面离子损耗指导水系铝碘电池的电解质设计</w:t>
        </w:r>
      </w:hyperlink>
    </w:p>
    <w:p>
      <w:pPr>
        <w:spacing w:before="0" w:after="80"/>
      </w:pPr>
      <w:r>
        <w:rPr>
          <w:i/>
          <w:sz w:val="20"/>
        </w:rPr>
        <w:t>EN: Interfacial ion depletion at high concentration guides electrolyte design for aqueous aluminum-iodine batteries</w:t>
      </w:r>
    </w:p>
    <w:p>
      <w:pPr>
        <w:spacing w:before="0" w:after="120"/>
      </w:pPr>
      <w:r>
        <w:rPr>
          <w:b/>
        </w:rPr>
        <w:t xml:space="preserve">Source: </w:t>
      </w:r>
      <w:r>
        <w:t>Joule</w:t>
      </w:r>
      <w:r>
        <w:t xml:space="preserve">    </w:t>
      </w:r>
      <w:r>
        <w:rPr>
          <w:b/>
        </w:rPr>
        <w:t xml:space="preserve">Pub date: </w:t>
      </w:r>
      <w:r>
        <w:t>2026-06-10 00:00:00+00:00</w:t>
      </w:r>
      <w:r>
        <w:t xml:space="preserve">    </w:t>
      </w:r>
      <w:r>
        <w:rPr>
          <w:b/>
        </w:rPr>
        <w:t xml:space="preserve">DOI: </w:t>
      </w:r>
      <w:hyperlink r:id="rId94">
        <w:r>
          <w:rPr>
            <w:color w:val="1155CC"/>
            <w:u w:val="single"/>
          </w:rPr>
          <w:t>10.1016/j.joule.2026.102502</w:t>
        </w:r>
      </w:hyperlink>
    </w:p>
    <w:p>
      <w:pPr>
        <w:spacing w:before="0" w:after="120"/>
      </w:pPr>
      <w:r>
        <w:rPr>
          <w:b/>
        </w:rPr>
        <w:t xml:space="preserve">Notes: </w:t>
      </w:r>
      <w:r>
        <w:t>abstract_source=rss_cell</w:t>
      </w:r>
    </w:p>
    <w:p>
      <w:pPr>
        <w:spacing w:before="0" w:after="80" w:lineRule="auto" w:line="276"/>
      </w:pPr>
      <w:r>
        <w:rPr>
          <w:b/>
        </w:rPr>
        <w:t xml:space="preserve">摘要（ZH）: </w:t>
      </w:r>
      <w:r>
        <w:t>浓电解质被广泛用于稳定水性多价电池，假设更多的盐可以提供更好的保护。杨等人。表明情况并非总是如此：超过临界浓度，功能性阳离子会被氯化物配位的铝络合物捕获在本体中，并且无法到达电极界面。通过确定最佳浓度窗口，作者实现了耐用、高倍率水性铝碘电池，并为未来的多价电池电解质提供了设计原理。</w:t>
      </w:r>
    </w:p>
    <w:p>
      <w:pPr>
        <w:spacing w:before="0" w:after="200" w:lineRule="auto" w:line="276"/>
      </w:pPr>
      <w:r>
        <w:rPr>
          <w:b/>
        </w:rPr>
        <w:t xml:space="preserve">Abstract (EN): </w:t>
      </w:r>
      <w:r>
        <w:t>Concentrated electrolytes are widely used to stabilize aqueous multivalent batteries, with the assumption that more salt provides better protection. Yang et al. show that this is not always the case: beyond a critical concentration, functional cations become trapped in the bulk by chloride-coordinated aluminum complexes and fail to reach the electrode interface. By identifying an optimal concentration window, the authors enable a durable, high-rate aqueous aluminum-iodine battery and offer a design principle for future multivalent battery electrolytes.</w:t>
      </w:r>
    </w:p>
    <w:p>
      <w:pPr>
        <w:spacing w:before="120" w:after="120"/>
      </w:pPr>
      <w:r>
        <w:rPr>
          <w:sz w:val="18"/>
        </w:rPr>
        <w:t>——————————————————————————————————————————————————————————————————————</w:t>
      </w:r>
    </w:p>
    <w:p>
      <w:pPr>
        <w:spacing w:before="160" w:after="40" w:line="240" w:lineRule="auto"/>
      </w:pPr>
      <w:r>
        <w:rPr>
          <w:b/>
        </w:rPr>
        <w:t xml:space="preserve">[13] </w:t>
      </w:r>
      <w:hyperlink r:id="rId58">
        <w:r>
          <w:rPr>
            <w:color w:val="1155CC"/>
            <w:u w:val="single"/>
          </w:rPr>
          <w:t>高能量密度水性镁金属电池纺织品可在−40°至100°C范围内实现超灵敏压力传感</w:t>
        </w:r>
      </w:hyperlink>
    </w:p>
    <w:p>
      <w:pPr>
        <w:spacing w:before="0" w:after="80"/>
      </w:pPr>
      <w:r>
        <w:rPr>
          <w:i/>
          <w:sz w:val="20"/>
        </w:rPr>
        <w:t>EN: High-energy-density aqueous magnesium metal battery textiles enable ultrasensitive pressure sensing across −40° to 100°C</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59">
        <w:r>
          <w:rPr>
            <w:color w:val="1155CC"/>
            <w:u w:val="single"/>
          </w:rPr>
          <w:t>10.1126/sciadv.aec8124</w:t>
        </w:r>
      </w:hyperlink>
    </w:p>
    <w:p>
      <w:pPr>
        <w:spacing w:before="0" w:after="120"/>
      </w:pPr>
      <w:r>
        <w:rPr>
          <w:b/>
        </w:rPr>
        <w:t xml:space="preserve">Notes: </w:t>
      </w:r>
      <w:r>
        <w:t>abstract_source=crossref</w:t>
      </w:r>
    </w:p>
    <w:p>
      <w:pPr>
        <w:spacing w:before="0" w:after="80" w:lineRule="auto" w:line="276"/>
      </w:pPr>
      <w:r>
        <w:rPr>
          <w:b/>
        </w:rPr>
        <w:t xml:space="preserve">摘要（ZH）: </w:t>
      </w:r>
      <w:r>
        <w:t>智能可穿戴传感系统需要自供电、高灵敏度压力传感器，能够在较宽的温度范围内高效运行。在这里，我们推出了一种高能量密度水性镁金属电池 (AMMB) 纺织品，可在 -40° 至 100°C 的温度范围内实现超灵敏压力传感。 AMMB 型压力 (AMMB-P) 传感纺织品采用多孔准固态聚环氧乙烷-氯化镁电解质，可通过氢键锚定抑制镁腐蚀，并搭配透气碳布阴极和编织镁阳极。创新设计实现了 687.32 毫伏每千帕的超高灵敏度、低检测限（0.96 帕斯卡）、长期耐用性（200,000 次循环）和卓越的透气性（水蒸气渗透性，2281.4 ± 249.8 克每平方米每天；透气性，628.0 ± 9.1 毫米每秒）。电解质独特的抗结晶特性确保AMMB-P传感织物在-40°C至100°C的极端温度下稳定运行。在高压条件下，我们的AMMB-P传感纺织品可以转化为可靠的电源，能量密度高达每公斤287.92瓦时，确保稳定的自供电运行。与机器学习相结合，AMMB-P 传感阵列即使在恶劣条件下也能实现智能物体识别和自主机器人控制。我们的工作改进了专为极端环境探索而设计的自供电压力感应纺织品，从而实现人形机器人和个人健康管理的交互式感知</w:t>
      </w:r>
    </w:p>
    <w:p>
      <w:pPr>
        <w:spacing w:before="0" w:after="200" w:lineRule="auto" w:line="276"/>
      </w:pPr>
      <w:r>
        <w:rPr>
          <w:b/>
        </w:rPr>
        <w:t xml:space="preserve">Abstract (EN): </w:t>
      </w:r>
      <w:r>
        <w:t>Smart wearable sensing systems necessitate self-powered, high-sensitivity pressure sensors that can operate efficiently across a wide temperature range. Here, we present a high-energy-density aqueous magnesium metal battery (AMMB) textile for ultrasensitive pressure sensing from −40° to 100°C. The AMMB-type pressure (AMMB-P) sensing textile features a porous quasi-solid-state polyethylene oxide–magnesium chloride electrolyte that inhibits magnesium corrosion via hydrogen-bond anchoring, paired with a breathable carbon cloth cathode and woven magnesium anode. The innovative design achieves an ultrahigh sensitivity of 687.32 millivolts per kilopascal, a low detection limit (0.96 pascals), long-term durability (200,000 cycles), and exceptional breathability (water vapor permeability, 2281.4 ± 249.8 grams per square meter per day; air permeability, 628.0 ± 9.1 millimeters per second). The unique anticrystallization properties of electrolyte ensure a stable operation of the AMMB-P sensing textile in extreme temperatures ranging from −40° to 100°C. Under high-pressure condition, our AMMB-P sensing textile can be converted into a reliable power source with high energy density of 287.92 watt-hours per kilogram, ensuring stable self-powered operation. Coupled with machine learning, the AMMB-P sensing array enables intelligent object recognition and autonomous robotic control even under harsh conditions. Our work advances self-powered pressure-sensing textiles tailored for extreme-environment exploration, enabling interactive perception in humanoid robots and individual health management under harsh service conditions.</w:t>
      </w:r>
    </w:p>
    <w:p>
      <w:pPr>
        <w:spacing w:before="120" w:after="120"/>
      </w:pPr>
      <w:r>
        <w:rPr>
          <w:sz w:val="18"/>
        </w:rPr>
        <w:t>——————————————————————————————————————————————————————————————————————</w:t>
      </w:r>
    </w:p>
    <w:p>
      <w:pPr>
        <w:spacing w:before="160" w:after="40" w:line="240" w:lineRule="auto"/>
      </w:pPr>
      <w:r>
        <w:rPr>
          <w:b/>
        </w:rPr>
        <w:t xml:space="preserve">[14] </w:t>
      </w:r>
      <w:hyperlink r:id="rId95">
        <w:r>
          <w:rPr>
            <w:color w:val="1155CC"/>
            <w:u w:val="single"/>
          </w:rPr>
          <w:t>紧凑溶剂化实现亚分钟钠离子存储：数据驱动的视角</w:t>
        </w:r>
      </w:hyperlink>
    </w:p>
    <w:p>
      <w:pPr>
        <w:spacing w:before="0" w:after="80"/>
      </w:pPr>
      <w:r>
        <w:rPr>
          <w:i/>
          <w:sz w:val="20"/>
        </w:rPr>
        <w:t>EN: Compact Solvation Enables Sub‐Minute Sodium‐Ion Storage: A Data‐Driven Perspective</w:t>
      </w:r>
    </w:p>
    <w:p>
      <w:pPr>
        <w:spacing w:before="0" w:after="120"/>
      </w:pPr>
      <w:r>
        <w:rPr>
          <w:b/>
        </w:rPr>
        <w:t xml:space="preserve">Source: </w:t>
      </w:r>
      <w:r>
        <w:t>Wiley: Advanced Materials: Table of Contents</w:t>
      </w:r>
      <w:r>
        <w:t xml:space="preserve">    </w:t>
      </w:r>
      <w:r>
        <w:rPr>
          <w:b/>
        </w:rPr>
        <w:t xml:space="preserve">Pub date: </w:t>
      </w:r>
      <w:r>
        <w:t>2026-06-10 14:21:22+00:00</w:t>
      </w:r>
      <w:r>
        <w:t xml:space="preserve">    </w:t>
      </w:r>
      <w:r>
        <w:rPr>
          <w:b/>
        </w:rPr>
        <w:t xml:space="preserve">DOI: </w:t>
      </w:r>
      <w:hyperlink r:id="rId96">
        <w:r>
          <w:rPr>
            <w:color w:val="1155CC"/>
            <w:u w:val="single"/>
          </w:rPr>
          <w:t>10.1002/adma.73658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电池极快充电 (XFC) 在智能技术时代具有重要意义，但电解质特性在决定 XFC 行为方面的复杂作用仍然不清楚。此外，传统理论和原位表征技术无法阐明亚分钟级充电条件下的电化学行为。在此，我们报告了一种数据驱动的方法，用于分析每个独立的物理和溶剂化特性对亚分钟级钠离子存储行为的影响。因果图分析表明，溶剂化团簇的大小与超快Na存在最强的负相关性</w:t>
      </w:r>
      <w:r>
        <w:t xml:space="preserve"> </w:t>
      </w:r>
      <w:r>
        <w:t>+</w:t>
      </w:r>
      <w:r>
        <w:t xml:space="preserve"> </w:t>
      </w:r>
      <w:r>
        <w:t>储存在石墨中。优化的紧凑型溶剂化电解质表现出惊人的 250 A g-1 的极限电流密度</w:t>
      </w:r>
      <w:r>
        <w:t xml:space="preserve"> </w:t>
      </w:r>
      <w:r>
        <w:t>−1</w:t>
      </w:r>
      <w:r>
        <w:t xml:space="preserve"> </w:t>
      </w:r>
      <w:r>
        <w:t>（对应功率密度为46.78 kW·kg</w:t>
      </w:r>
      <w:r>
        <w:t xml:space="preserve"> </w:t>
      </w:r>
      <w:r>
        <w:t>−1</w:t>
      </w:r>
      <w:r>
        <w:t xml:space="preserve"> </w:t>
      </w:r>
      <w:r>
        <w:t>石墨</w:t>
      </w:r>
      <w:r>
        <w:t xml:space="preserve"> </w:t>
      </w:r>
      <w:r>
        <w:t>）和前所未有的 100 000 次循环寿命。最值得注意的是，石墨||Na</w:t>
      </w:r>
      <w:r>
        <w:rPr>
          <w:vertAlign w:val="subscript"/>
        </w:rPr>
        <w:t>4</w:t>
      </w:r>
      <w:r>
        <w:t>铁</w:t>
      </w:r>
      <w:r>
        <w:rPr>
          <w:vertAlign w:val="subscript"/>
        </w:rPr>
        <w:t>3</w:t>
      </w:r>
      <w:r>
        <w:t>（采购订单</w:t>
      </w:r>
      <w:r>
        <w:rPr>
          <w:vertAlign w:val="subscript"/>
        </w:rPr>
        <w:t>4</w:t>
      </w:r>
      <w:r>
        <w:t>）</w:t>
      </w:r>
      <w:r>
        <w:rPr>
          <w:vertAlign w:val="subscript"/>
        </w:rPr>
        <w:t>2</w:t>
      </w:r>
      <w:r>
        <w:t>磷</w:t>
      </w:r>
      <w:r>
        <w:rPr>
          <w:vertAlign w:val="subscript"/>
        </w:rPr>
        <w:t>2</w:t>
      </w:r>
      <w:r>
        <w:t>氧</w:t>
      </w:r>
      <w:r>
        <w:rPr>
          <w:vertAlign w:val="subscript"/>
        </w:rPr>
        <w:t>7</w:t>
      </w:r>
      <w:r>
        <w:t>全电池实现稳定的亚分钟级充电和放电，表现出超高倍率能力（高达 200 C，每次充电约 3.4 秒）和超稳定的循环性能（50 C 下 24000 次循环，</w:t>
      </w:r>
    </w:p>
    <w:p>
      <w:pPr>
        <w:spacing w:before="0" w:after="200" w:lineRule="auto" w:line="276"/>
      </w:pPr>
      <w:r>
        <w:rPr>
          <w:b/>
        </w:rPr>
        <w:t xml:space="preserve">Abstract (EN): </w:t>
      </w:r>
      <w:r>
        <w:t>Extremely fast charging (XFC) of batteries holds significant importance in the era of intelligent technologies, yet the intricate role of electrolyte properties in determining XFC behavior remains obscure. Furthermore, conventional theories and in situ characterization techniques fails to elucidate electrochemical behaviors under sub‐minute‐level charging conditions. Herein, we report a data‐driven approach for analyzing the effect of each independent physical and solvation property on sub‐minute‐level sodium‐ion storage behavior. Causal graph analysis reveals that the size of the solvation clusters shows the strongest negative correlation with ultrafast Na</w:t>
      </w:r>
      <w:r>
        <w:t xml:space="preserve"> </w:t>
      </w:r>
      <w:r>
        <w:t>+</w:t>
      </w:r>
      <w:r>
        <w:t xml:space="preserve"> </w:t>
      </w:r>
      <w:r>
        <w:t>storage in graphite. The optimized compact solvation electrolyte demonstrates an astonishing extreme current density of 250 A g</w:t>
      </w:r>
      <w:r>
        <w:t xml:space="preserve"> </w:t>
      </w:r>
      <w:r>
        <w:t>−1</w:t>
      </w:r>
      <w:r>
        <w:t xml:space="preserve"> </w:t>
      </w:r>
      <w:r>
        <w:t>(corresponding to a power density of 46.78 kW kg</w:t>
      </w:r>
      <w:r>
        <w:t xml:space="preserve"> </w:t>
      </w:r>
      <w:r>
        <w:t>−1</w:t>
      </w:r>
      <w:r>
        <w:t xml:space="preserve"> </w:t>
      </w:r>
      <w:r>
        <w:t>graphite</w:t>
      </w:r>
      <w:r>
        <w:t xml:space="preserve"> </w:t>
      </w:r>
      <w:r>
        <w:t>) and an unprecedented cycle life of 100 000 cycles. Most notably, the graphite||Na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full batteries achieve stable sub‐minute‐level charging and discharging, exhibiting ultrahigh rate capabilities (up to 200 C, ∼3.4 s per charge) and ultra‐stable cycle performance (24 000 cycles at 50 C, ∼29 s per charge). This work provides a promising pathway for the development of XFC battery, pioneering an innovative assessment strategy for next‐generation electrolytes.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97">
        <w:r>
          <w:rPr>
            <w:color w:val="1155CC"/>
            <w:u w:val="single"/>
          </w:rPr>
          <w:t>用于能量密集型初始无阳极钠金属电池的晶界工程铝集流体</w:t>
        </w:r>
      </w:hyperlink>
    </w:p>
    <w:p>
      <w:pPr>
        <w:spacing w:before="0" w:after="80"/>
      </w:pPr>
      <w:r>
        <w:rPr>
          <w:i/>
          <w:sz w:val="20"/>
        </w:rPr>
        <w:t>EN: Grain boundary engineered aluminum current collector for energy-dense initially anode-free sodium metal batteries</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最初的无阳极钠金属电池代表了高比能和安全电池系统的有希望的候选者，仅依赖于阴极钠库。然而，电化学不活泼的“死”Na 和不稳定的固体电解质界面的不可逆积累，通过快速活性Na 耗尽从根本上限制了可循环性。在这里，我们利用晶界富镓多晶铝集电器来触发铝离子的受控溶解。溶解的铝离子改变了电解质的局部配位环境，从而扰乱了钠离子的溶剂化平衡，促进钠离子向正极迁移以进行电荷补偿。富镓铝集流体可实现超过 2500 次循环的稳定镀钠/脱钠。基于 117 mAh g−1 的标称容量，含有 Na3V2(PO4)3 的软包电池在二甘醇二甲醚中的 1 M NaPF6 中以 35.1 mA g−1 循环 100 次后，容量保持率为 88.7%。此外，根据所有电池组件（正极、负极、隔膜和电解质）计算，具有高正极负载（47.4 mg cm−2）的全电池实现了201.5 Wh kg−1的高比能。这项工作提出了一种可行的集电器设计概念，可以扩展到其他最初无阳极的电池系统。</w:t>
      </w:r>
    </w:p>
    <w:p>
      <w:pPr>
        <w:spacing w:before="0" w:after="200" w:lineRule="auto" w:line="276"/>
      </w:pPr>
      <w:r>
        <w:rPr>
          <w:b/>
        </w:rPr>
        <w:t xml:space="preserve">Abstract (EN): </w:t>
      </w:r>
      <w:r>
        <w:t>The initially anode-free sodium metal batteries represent promising candidates for high specific energy and safe battery systems, relying solely on cathodic sodium reservoirs. However, the irreversible accumulation of electrochemically inactive “dead” Na and unstable solid electrolyte interphases fundamentally constrains cyclability through rapid active Na depletion. Here, we utilize a grain-boundary gallium-rich polycrystalline aluminum current collector to trigger controlled dissolution of aluminum ions. The dissolved aluminum ions modify the local coordination environment of the electrolyte, thereby perturbing the solvation equilibrium of sodium ions and facilitating sodium ions migration toward the positive electrode for charge compensation. The gallium-rich aluminum current collector enables stable Na plating/stripping for over 2500 cycles. The pouch cell with Na3V2(PO4)3 delivers 88.7% capacity retention after 100 cycles at 35.1 mA g−1 in 1 M NaPF6 in diglyme, based on a nominal capacity of 117 mAh g−1. In addition, the full cell with a high positive electrode loading (47.4 mg cm−2) achieves a high specific energy of 201.5 Wh kg−1, calculated based on all cell components (positive electrode, negative electrode, separator and electrolyte). This work proposes a viable current collector design concept that can be extended to other initially anode-free battery systems.</w:t>
      </w:r>
    </w:p>
    <w:p>
      <w:pPr>
        <w:spacing w:before="120" w:after="120"/>
      </w:pPr>
      <w:r>
        <w:rPr>
          <w:sz w:val="18"/>
        </w:rPr>
        <w:t>——————————————————————————————————————————————————————————————————————</w:t>
      </w:r>
    </w:p>
    <w:p>
      <w:pPr>
        <w:spacing w:before="160" w:after="40" w:line="240" w:lineRule="auto"/>
      </w:pPr>
      <w:r>
        <w:rPr>
          <w:b/>
        </w:rPr>
        <w:t xml:space="preserve">[2] </w:t>
      </w:r>
      <w:hyperlink r:id="rId98">
        <w:r>
          <w:rPr>
            <w:color w:val="1155CC"/>
            <w:u w:val="single"/>
          </w:rPr>
          <w:t>圆柱形锂离子电池侧壁破裂引起的热失控传播综合分析</w:t>
        </w:r>
      </w:hyperlink>
    </w:p>
    <w:p>
      <w:pPr>
        <w:spacing w:before="0" w:after="80"/>
      </w:pPr>
      <w:r>
        <w:rPr>
          <w:i/>
          <w:sz w:val="20"/>
        </w:rPr>
        <w:t>EN: Comprehensive analysis of sidewall-rupture-induced thermal runaway propagation in cylindrical lithium-ion batteries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99">
        <w:r>
          <w:rPr>
            <w:color w:val="1155CC"/>
            <w:u w:val="single"/>
          </w:rPr>
          <w:t>电化学储能系统结构化风险评估：集成一致性增强FAHP和复杂耦合关系网络</w:t>
        </w:r>
      </w:hyperlink>
    </w:p>
    <w:p>
      <w:pPr>
        <w:spacing w:before="0" w:after="80"/>
      </w:pPr>
      <w:r>
        <w:rPr>
          <w:i/>
          <w:sz w:val="20"/>
        </w:rPr>
        <w:t>EN: Structured risk assessment for electrochemical energy storage system: Integrating consistency enhanced-FAHP and complex coupling relationship network</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00">
        <w:r>
          <w:rPr>
            <w:color w:val="1155CC"/>
            <w:u w:val="single"/>
          </w:rPr>
          <w:t>通过可解释、轻量级且稳健的电化学相变预测和控制架构，预测和控制退役 LFP 电池放电预处理中的镀铜</w:t>
        </w:r>
      </w:hyperlink>
    </w:p>
    <w:p>
      <w:pPr>
        <w:spacing w:before="0" w:after="80"/>
      </w:pPr>
      <w:r>
        <w:rPr>
          <w:i/>
          <w:sz w:val="20"/>
        </w:rPr>
        <w:t>EN: Prediction and control of copper plating in retired LFP battery discharge pretreatment via an explainable, lightweight, and robust electrochemical phase transition prediction and control architecture</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01">
        <w:r>
          <w:rPr>
            <w:color w:val="1155CC"/>
            <w:u w:val="single"/>
          </w:rPr>
          <w:t>设计用于高性能耐酸纳滤膜的吡啶催化界面聚合</w:t>
        </w:r>
      </w:hyperlink>
    </w:p>
    <w:p>
      <w:pPr>
        <w:spacing w:before="0" w:after="80"/>
      </w:pPr>
      <w:r>
        <w:rPr>
          <w:i/>
          <w:sz w:val="20"/>
        </w:rPr>
        <w:t>EN: Designing Pyridinium‐Catalyzed Interfacial Polymerization for High‐Performance Acid‐Resistant Nanofiltration Membranes</w:t>
      </w:r>
    </w:p>
    <w:p>
      <w:pPr>
        <w:spacing w:before="0" w:after="120"/>
      </w:pPr>
      <w:r>
        <w:rPr>
          <w:b/>
        </w:rPr>
        <w:t xml:space="preserve">Source: </w:t>
      </w:r>
      <w:r>
        <w:t>Wiley: Angewandte Chemie International Edition: Table of Contents</w:t>
      </w:r>
      <w:r>
        <w:t xml:space="preserve">    </w:t>
      </w:r>
      <w:r>
        <w:rPr>
          <w:b/>
        </w:rPr>
        <w:t xml:space="preserve">Pub date: </w:t>
      </w:r>
      <w:r>
        <w:t>2026-06-07 16:29:32+00:00</w:t>
      </w:r>
      <w:r>
        <w:t xml:space="preserve">    </w:t>
      </w:r>
      <w:r>
        <w:rPr>
          <w:b/>
        </w:rPr>
        <w:t xml:space="preserve">DOI: </w:t>
      </w:r>
      <w:hyperlink r:id="rId102">
        <w:r>
          <w:rPr>
            <w:color w:val="1155CC"/>
            <w:u w:val="single"/>
          </w:rPr>
          <w:t>10.1002/anie.5703533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酰基～胺”界面聚合被广泛研究以合成聚酰胺膜，尽管其具有广泛的分离应用，但其酸稳定性较差。三聚氯氰（CC）可以与胺反应形成酸稳定的C─N键，但其第三个氯原子在室温下不反应，从而阻碍了通过界面聚合合成选择性膜。这项工作报道了一种吡啶催化界面聚合（PCIP）策略，可显着提高 CC 的反应活性并合成高性能、耐酸膜。我们设计了一种带有三吡啶的新单体，在与 CC 的界面聚合过程中转化为带正电荷的吡啶鎓。这些吡啶鎓通过其吸电子能力有效降低CC环的电子密度，并将CC的取代反应性提高几个数量级，从而能够快速（1分钟）合成大面积（∼0.5 m</w:t>
      </w:r>
      <w:r>
        <w:rPr>
          <w:vertAlign w:val="subscript"/>
        </w:rPr>
        <w:t>2</w:t>
      </w:r>
      <w:r>
        <w:t>）膜。该膜在 2 M H 中稳定</w:t>
      </w:r>
      <w:r>
        <w:rPr>
          <w:vertAlign w:val="subscript"/>
        </w:rPr>
        <w:t>2</w:t>
      </w:r>
      <w:r>
        <w:t>SO</w:t>
      </w:r>
      <w:r>
        <w:rPr>
          <w:vertAlign w:val="subscript"/>
        </w:rPr>
        <w:t>4</w:t>
      </w:r>
      <w:r>
        <w:t>，表现出最高的分离性能之一（渗透率：∼16.8 L m</w:t>
      </w:r>
      <w:r>
        <w:t xml:space="preserve"> </w:t>
      </w:r>
      <w:r>
        <w:t>−2</w:t>
      </w:r>
      <w:r>
        <w:t xml:space="preserve"> </w:t>
      </w:r>
      <w:r>
        <w:t>小时</w:t>
      </w:r>
      <w:r>
        <w:t xml:space="preserve"> </w:t>
      </w:r>
      <w:r>
        <w:t>−1</w:t>
      </w:r>
      <w:r>
        <w:t xml:space="preserve"> </w:t>
      </w:r>
      <w:r>
        <w:t>酒吧</w:t>
      </w:r>
      <w:r>
        <w:t xml:space="preserve"> </w:t>
      </w:r>
      <w:r>
        <w:t>−1</w:t>
      </w:r>
      <w:r>
        <w:t xml:space="preserve"> </w:t>
      </w:r>
      <w:r>
        <w:t>;选择性：~12.8），与之前的 CC 基膜相比，从 LiCoO 中回收锂和钴的效率提高了~4 倍</w:t>
      </w:r>
      <w:r>
        <w:rPr>
          <w:vertAlign w:val="subscript"/>
        </w:rPr>
        <w:t>2</w:t>
      </w:r>
      <w:r>
        <w:t>s</w:t>
      </w:r>
    </w:p>
    <w:p>
      <w:pPr>
        <w:spacing w:before="0" w:after="200" w:lineRule="auto" w:line="276"/>
      </w:pPr>
      <w:r>
        <w:rPr>
          <w:b/>
        </w:rPr>
        <w:t xml:space="preserve">Abstract (EN): </w:t>
      </w:r>
      <w:r>
        <w:t>The “acyl ∼ amine” interfacial polymerization is widely studied to synthesize polyamide membranes, which, despite broad separation applications, suffer from poor acid stability. Cyanuric chloride (CC) can react with amines to form acid‐stable C─N bonds, yet its third chloride atom is unreactive at room temperature, thus hindering the synthesis of selective membranes by interfacial polymerization. This work reported a pyridinium‐catalyzed interfacial polymerization (PCIP) strategy to significantly improve CC's reactivity and synthesize high‐performance, acid‐resistant membranes. We designed a new monomer bearing triple pyridines, which were converted to positively charged pyridiniums during their interfacial polymerization with CC. These pyridiniums effectively reduce the electron density of CC rings via their electron‐withdrawing capacity, and improve CC's substitution reactivity by orders of magnitude, thereby enabling the rapid (1 min) synthesis of a large‐area (∼0.5 m</w:t>
      </w:r>
      <w:r>
        <w:rPr>
          <w:vertAlign w:val="subscript"/>
        </w:rPr>
        <w:t>2</w:t>
      </w:r>
      <w:r>
        <w:t>) membrane. The membrane is stable in 2 M H</w:t>
      </w:r>
      <w:r>
        <w:rPr>
          <w:vertAlign w:val="subscript"/>
        </w:rPr>
        <w:t>2</w:t>
      </w:r>
      <w:r>
        <w:t>SO</w:t>
      </w:r>
      <w:r>
        <w:rPr>
          <w:vertAlign w:val="subscript"/>
        </w:rPr>
        <w:t>4</w:t>
      </w:r>
      <w:r>
        <w:t>, showing one of the highest separation performances (permeance: ∼16.8 L m</w:t>
      </w:r>
      <w:r>
        <w:t xml:space="preserve"> </w:t>
      </w:r>
      <w:r>
        <w:t>−2</w:t>
      </w:r>
      <w:r>
        <w:t xml:space="preserve"> </w:t>
      </w:r>
      <w:r>
        <w:t>h</w:t>
      </w:r>
      <w:r>
        <w:t xml:space="preserve"> </w:t>
      </w:r>
      <w:r>
        <w:t>−1</w:t>
      </w:r>
      <w:r>
        <w:t xml:space="preserve"> </w:t>
      </w:r>
      <w:r>
        <w:t>bar</w:t>
      </w:r>
      <w:r>
        <w:t xml:space="preserve"> </w:t>
      </w:r>
      <w:r>
        <w:t>−1</w:t>
      </w:r>
      <w:r>
        <w:t xml:space="preserve"> </w:t>
      </w:r>
      <w:r>
        <w:t>; selectivity: ∼12.8) among previous CC‐based membranes, combined with ∼4 times higher efficiency in lithium and cobalt recovery from LiCoO</w:t>
      </w:r>
      <w:r>
        <w:rPr>
          <w:vertAlign w:val="subscript"/>
        </w:rPr>
        <w:t>2</w:t>
      </w:r>
      <w:r>
        <w:t>spent batteries.</w:t>
      </w:r>
    </w:p>
    <w:p>
      <w:pPr>
        <w:spacing w:before="120" w:after="120"/>
      </w:pPr>
      <w:r>
        <w:rPr>
          <w:sz w:val="18"/>
        </w:rPr>
        <w:t>——————————————————————————————————————————————————————————————————————</w:t>
      </w:r>
    </w:p>
    <w:p>
      <w:pPr>
        <w:spacing w:before="160" w:after="40" w:line="240" w:lineRule="auto"/>
      </w:pPr>
      <w:r>
        <w:rPr>
          <w:b/>
        </w:rPr>
        <w:t xml:space="preserve">[6] </w:t>
      </w:r>
      <w:hyperlink r:id="rId40">
        <w:r>
          <w:rPr>
            <w:color w:val="1155CC"/>
            <w:u w:val="single"/>
          </w:rPr>
          <w:t>界面电场诱导的离子-电子耦合策略使废阴极获得高性能 LiFePO4</w:t>
        </w:r>
      </w:hyperlink>
    </w:p>
    <w:p>
      <w:pPr>
        <w:spacing w:before="0" w:after="80"/>
      </w:pPr>
      <w:r>
        <w:rPr>
          <w:i/>
          <w:sz w:val="20"/>
        </w:rPr>
        <w:t>EN: Ion‐Electron Coupling Strategy Induced by Interface Electric Field Enables High‐Performance LiFePO4 From Spent Cathode</w:t>
      </w:r>
    </w:p>
    <w:p>
      <w:pPr>
        <w:spacing w:before="0" w:after="120"/>
      </w:pPr>
      <w:r>
        <w:rPr>
          <w:b/>
        </w:rPr>
        <w:t xml:space="preserve">Source: </w:t>
      </w:r>
      <w:r>
        <w:t>Wiley: Angewandte Chemie International Edition: Table of Contents</w:t>
      </w:r>
      <w:r>
        <w:t xml:space="preserve">    </w:t>
      </w:r>
      <w:r>
        <w:rPr>
          <w:b/>
        </w:rPr>
        <w:t xml:space="preserve">Pub date: </w:t>
      </w:r>
      <w:r>
        <w:t>2026-06-07 16:30:35+00:00</w:t>
      </w:r>
      <w:r>
        <w:t xml:space="preserve">    </w:t>
      </w:r>
      <w:r>
        <w:rPr>
          <w:b/>
        </w:rPr>
        <w:t xml:space="preserve">DOI: </w:t>
      </w:r>
      <w:hyperlink r:id="rId41">
        <w:r>
          <w:rPr>
            <w:color w:val="1155CC"/>
            <w:u w:val="single"/>
          </w:rPr>
          <w:t>10.1002/anie.8268985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废磷酸铁锂的直接再生</w:t>
      </w:r>
      <w:r>
        <w:rPr>
          <w:vertAlign w:val="subscript"/>
        </w:rPr>
        <w:t>4</w:t>
      </w:r>
      <w:r>
        <w:t>（LFP）主要受到并发Li的高能垒的限制</w:t>
      </w:r>
      <w:r>
        <w:t xml:space="preserve"> </w:t>
      </w:r>
      <w:r>
        <w:t>+</w:t>
      </w:r>
      <w:r>
        <w:t xml:space="preserve"> </w:t>
      </w:r>
      <w:r>
        <w:t>和电子传输，这个问题很少被系统地解决。在此，提出了一种由界面电场（IEF）驱动的离子电子耦合（IEC）策略，以实现协调的Li</w:t>
      </w:r>
      <w:r>
        <w:t xml:space="preserve"> </w:t>
      </w:r>
      <w:r>
        <w:t>+</w:t>
      </w:r>
      <w:r>
        <w:t xml:space="preserve"> </w:t>
      </w:r>
      <w:r>
        <w:t>和电子流动，从而克服这些传输障碍。在 LFP 表面构建局部硼碳 (B–C) 偶极子布的策略建立了功函数 (</w:t>
      </w:r>
      <w:r>
        <w:t xml:space="preserve"> </w:t>
      </w:r>
      <w:r>
        <w:t>瓦</w:t>
      </w:r>
      <w:r>
        <w:t xml:space="preserve"> </w:t>
      </w:r>
      <w:r>
        <w:t>F</w:t>
      </w:r>
      <w:r>
        <w:t xml:space="preserve"> </w:t>
      </w:r>
      <w:r>
        <w:t>）梯度，外部低于内部。这种独特的梯度驱动自发电子流从 C@B 到 LFP，形成定向 IEF，同时建立高效的 Li</w:t>
      </w:r>
      <w:r>
        <w:t xml:space="preserve"> </w:t>
      </w:r>
      <w:r>
        <w:t>+</w:t>
      </w:r>
      <w:r>
        <w:t xml:space="preserve"> </w:t>
      </w:r>
      <w:r>
        <w:t>运输途径。这种协同过程显着降低了两种载体的能垒，确保了充足的锂</w:t>
      </w:r>
      <w:r>
        <w:t xml:space="preserve"> </w:t>
      </w:r>
      <w:r>
        <w:t>+</w:t>
      </w:r>
      <w:r>
        <w:t xml:space="preserve"> </w:t>
      </w:r>
      <w:r>
        <w:t>和电子供应以实现有效再生。而且，再生后的LFP中保持了IEF，这也保证了快速Li</w:t>
      </w:r>
      <w:r>
        <w:t xml:space="preserve"> </w:t>
      </w:r>
      <w:r>
        <w:t>+</w:t>
      </w:r>
      <w:r>
        <w:t xml:space="preserve"> </w:t>
      </w:r>
      <w:r>
        <w:t>和电子传输，使再生LFP具有优异的电化学性能，其倍率容量高达111.4 mAh g</w:t>
      </w:r>
      <w:r>
        <w:t xml:space="preserve"> </w:t>
      </w:r>
      <w:r>
        <w:t>-</w:t>
      </w:r>
      <w:r>
        <w:rPr>
          <w:vertAlign w:val="subscript"/>
        </w:rPr>
        <w:t>1</w:t>
      </w:r>
      <w:r>
        <w:t>10 点</w:t>
      </w:r>
    </w:p>
    <w:p>
      <w:pPr>
        <w:spacing w:before="0" w:after="200" w:lineRule="auto" w:line="276"/>
      </w:pPr>
      <w:r>
        <w:rPr>
          <w:b/>
        </w:rPr>
        <w:t xml:space="preserve">Abstract (EN): </w:t>
      </w:r>
      <w:r>
        <w:t>The direct regeneration of spent LiFePO</w:t>
      </w:r>
      <w:r>
        <w:rPr>
          <w:vertAlign w:val="subscript"/>
        </w:rPr>
        <w:t>4</w:t>
      </w:r>
      <w:r>
        <w:t>(LFP) is primarily constrained by the high energy barriers for concurrent Li</w:t>
      </w:r>
      <w:r>
        <w:t xml:space="preserve"> </w:t>
      </w:r>
      <w:r>
        <w:t>+</w:t>
      </w:r>
      <w:r>
        <w:t xml:space="preserve"> </w:t>
      </w:r>
      <w:r>
        <w:t>and electron transport, which has rarely been systematically addressed. Herein, an ion‐electron coupling (IEC) strategy is proposed, driven by an interfacial electric field (IEF), to achieve coordinated Li</w:t>
      </w:r>
      <w:r>
        <w:t xml:space="preserve"> </w:t>
      </w:r>
      <w:r>
        <w:t>+</w:t>
      </w:r>
      <w:r>
        <w:t xml:space="preserve"> </w:t>
      </w:r>
      <w:r>
        <w:t>and electron flow, thereby overcoming these transport barriers. The strategy of constructing localized boron–carbon (B–C) dipoles clothing on the LFP surface establishes a work function (</w:t>
      </w:r>
      <w:r>
        <w:t xml:space="preserve"> </w:t>
      </w:r>
      <w:r>
        <w:t>W</w:t>
      </w:r>
      <w:r>
        <w:t xml:space="preserve"> </w:t>
      </w:r>
      <w:r>
        <w:t>F</w:t>
      </w:r>
      <w:r>
        <w:t xml:space="preserve"> </w:t>
      </w:r>
      <w:r>
        <w:t>) gradient with the exterior lower than the interior. This unique gradient drives spontaneous electron flow from the C@B to the LFP to form a directional IEF that simultaneously establishes efficient Li</w:t>
      </w:r>
      <w:r>
        <w:t xml:space="preserve"> </w:t>
      </w:r>
      <w:r>
        <w:t>+</w:t>
      </w:r>
      <w:r>
        <w:t xml:space="preserve"> </w:t>
      </w:r>
      <w:r>
        <w:t>transport pathways. This synergistic process significantly lowers the energy barriers for both carriers, ensuring ample Li</w:t>
      </w:r>
      <w:r>
        <w:t xml:space="preserve"> </w:t>
      </w:r>
      <w:r>
        <w:t>+</w:t>
      </w:r>
      <w:r>
        <w:t xml:space="preserve"> </w:t>
      </w:r>
      <w:r>
        <w:t>and electron supply for effective regeneration. Moreover, the IEF is maintained in the regenerated LFP, which also ensures rapid Li</w:t>
      </w:r>
      <w:r>
        <w:t xml:space="preserve"> </w:t>
      </w:r>
      <w:r>
        <w:t>+</w:t>
      </w:r>
      <w:r>
        <w:t xml:space="preserve"> </w:t>
      </w:r>
      <w:r>
        <w:t>and electron transport and leads to the excellent electrochemical performance of the regenerated LFP, with an outstanding rate capacity of 111.4 mAh g</w:t>
      </w:r>
      <w:r>
        <w:t xml:space="preserve"> </w:t>
      </w:r>
      <w:r>
        <w:t>−</w:t>
      </w:r>
      <w:r>
        <w:rPr>
          <w:vertAlign w:val="subscript"/>
        </w:rPr>
        <w:t>1</w:t>
      </w:r>
      <w:r>
        <w:t>at 10 C, a capacity retention of 86.6% after 1000 cycles at 1 C. This work provides a novel and universal strategy to upgrade the LFP cathode from spent lithium‐ion batteries.</w:t>
      </w:r>
    </w:p>
    <w:p>
      <w:pPr>
        <w:spacing w:before="120" w:after="120"/>
      </w:pPr>
      <w:r>
        <w:rPr>
          <w:sz w:val="18"/>
        </w:rPr>
        <w:t>——————————————————————————————————————————————————————————————————————</w:t>
      </w:r>
    </w:p>
    <w:p>
      <w:pPr>
        <w:spacing w:before="160" w:after="40" w:line="240" w:lineRule="auto"/>
      </w:pPr>
      <w:r>
        <w:rPr>
          <w:b/>
        </w:rPr>
        <w:t xml:space="preserve">[7] </w:t>
      </w:r>
      <w:hyperlink r:id="rId103">
        <w:r>
          <w:rPr>
            <w:color w:val="1155CC"/>
            <w:u w:val="single"/>
          </w:rPr>
          <w:t>通过知识增强的大语言模型推进电池故障诊断</w:t>
        </w:r>
      </w:hyperlink>
    </w:p>
    <w:p>
      <w:pPr>
        <w:spacing w:before="0" w:after="80"/>
      </w:pPr>
      <w:r>
        <w:rPr>
          <w:i/>
          <w:sz w:val="20"/>
        </w:rPr>
        <w:t>EN: Advancing battery failure diagnosis by knowledge-augmented large language models</w:t>
      </w:r>
    </w:p>
    <w:p>
      <w:pPr>
        <w:spacing w:before="0" w:after="120"/>
      </w:pPr>
      <w:r>
        <w:rPr>
          <w:b/>
        </w:rPr>
        <w:t xml:space="preserve">Source: </w:t>
      </w:r>
      <w:r>
        <w:t>National Science Review Advance Access</w:t>
      </w:r>
      <w:r>
        <w:t xml:space="preserve">    </w:t>
      </w:r>
      <w:r>
        <w:rPr>
          <w:b/>
        </w:rPr>
        <w:t xml:space="preserve">Pub date: </w:t>
      </w:r>
      <w:r>
        <w:t>2026-06-08 00:00:00+00:00</w:t>
      </w:r>
      <w:r>
        <w:t xml:space="preserve">    </w:t>
      </w:r>
      <w:r>
        <w:rPr>
          <w:b/>
        </w:rPr>
        <w:t xml:space="preserve">DOI: </w:t>
      </w:r>
      <w:hyperlink r:id="rId104">
        <w:r>
          <w:rPr>
            <w:color w:val="1155CC"/>
            <w:u w:val="single"/>
          </w:rPr>
          <w:t>10.1093/nsr/nwag348</w:t>
        </w:r>
      </w:hyperlink>
    </w:p>
    <w:p>
      <w:pPr>
        <w:spacing w:before="0" w:after="120"/>
      </w:pPr>
      <w:r>
        <w:rPr>
          <w:b/>
        </w:rPr>
        <w:t xml:space="preserve">Notes: </w:t>
      </w:r>
      <w:r>
        <w:t>abstract_source=rss_oup</w:t>
      </w:r>
    </w:p>
    <w:p>
      <w:pPr>
        <w:spacing w:before="0" w:after="80" w:lineRule="auto" w:line="276"/>
      </w:pPr>
      <w:r>
        <w:rPr>
          <w:b/>
        </w:rPr>
        <w:t xml:space="preserve">摘要（ZH）: </w:t>
      </w:r>
      <w:r>
        <w:t>电池故障诊断对于保证储能系统的安全性和可靠性至关重要。然而，从电化学建模到深度学习的现有方法通常面临局限性，包括严重依赖大量训练数据、泛化性差和可解释性问题。为了应对这些挑战，我们提出了 BattFailScholar，这是一种用于电池故障诊断的知识增强大语言模型 (LLM) 框架。我们的方法首先构建了一个案例级电池故障知识图，其中包含材料属性、多源信号和故障路径。然后开发了一种知识增强生成方法，通过故障特征感知检索和优化算法来增强 LLM 诊断推理。实验结果表明，BattFailScholar 在基于 LLM 的诊断方面实现了 19.7% 的性能提升，增强了缓解长尾问题和失败风险评估的能力。此外，该系统在识别潜在故障机制或原因方面的准确率达到86.2%，展示了发现故障链并为电池研发提供实用、可靠的诊断支持的强大潜力。</w:t>
      </w:r>
    </w:p>
    <w:p>
      <w:pPr>
        <w:spacing w:before="0" w:after="200" w:lineRule="auto" w:line="276"/>
      </w:pPr>
      <w:r>
        <w:rPr>
          <w:b/>
        </w:rPr>
        <w:t xml:space="preserve">Abstract (EN): </w:t>
      </w:r>
      <w:r>
        <w:t>Battery failure diagnosis is crucial for ensuring the safety and reliability of energy storage systems. However, existing approaches from electrochemical modeling to deep learning often face limitations including heavy reliance on extensive training data, poor generalization, and interpretability issues. To address these challenges, we propose BattFailScholar, a knowledge- augmented large language model (LLM) framework for battery failure diagnosis. Our approach first constructs a case-level battery failure knowledge graph encompassing material properties, multi-source signals, and failure pathways. A knowledge-augmented generation method is then developed to enhance LLM diagnostic reasoning with failure feature-aware retrieval and optimization algorithms. Experimental results demonstrate that BattFailScholar achieves a 19.7% performance improvement in LLM-based diagnosis, with enhanced capability in alleviating long-tail problems and failure risk assessment. Moreover, the system achieves 86.2% accuracy in identifying potential failure mechanisms or causes, demonstrating strong potential for discovering failure chains and providing practical, reliable diagnostic support for battery research and development.</w:t>
      </w:r>
    </w:p>
    <w:p>
      <w:pPr>
        <w:spacing w:before="120" w:after="120"/>
      </w:pPr>
      <w:r>
        <w:rPr>
          <w:sz w:val="18"/>
        </w:rPr>
        <w:t>——————————————————————————————————————————————————————————————————————</w:t>
      </w:r>
    </w:p>
    <w:p>
      <w:pPr>
        <w:spacing w:before="160" w:after="40" w:line="240" w:lineRule="auto"/>
      </w:pPr>
      <w:r>
        <w:rPr>
          <w:b/>
        </w:rPr>
        <w:t xml:space="preserve">[8] </w:t>
      </w:r>
      <w:hyperlink r:id="rId105">
        <w:r>
          <w:rPr>
            <w:color w:val="1155CC"/>
            <w:u w:val="single"/>
          </w:rPr>
          <w:t>锂离子电池高保真数字建模的三代表电压曲线物理信息挖掘</w:t>
        </w:r>
      </w:hyperlink>
    </w:p>
    <w:p>
      <w:pPr>
        <w:spacing w:before="0" w:after="80"/>
      </w:pPr>
      <w:r>
        <w:rPr>
          <w:i/>
          <w:sz w:val="20"/>
        </w:rPr>
        <w:t>EN: Physical information mining from three-representative voltage curves for high-fidelity digital modeling of lithium-ion batteries</w:t>
      </w:r>
    </w:p>
    <w:p>
      <w:pPr>
        <w:spacing w:before="0" w:after="120"/>
      </w:pPr>
      <w:r>
        <w:rPr>
          <w:b/>
        </w:rPr>
        <w:t xml:space="preserve">Source: </w:t>
      </w:r>
      <w:r>
        <w:t>ScienceDirect Publication: Applied Energy</w:t>
      </w:r>
      <w:r>
        <w:t xml:space="preserve">    </w:t>
      </w:r>
      <w:r>
        <w:rPr>
          <w:b/>
        </w:rPr>
        <w:t xml:space="preserve">Pub date: </w:t>
      </w:r>
      <w:r>
        <w:t>2026-06-08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06">
        <w:r>
          <w:rPr>
            <w:color w:val="1155CC"/>
            <w:u w:val="single"/>
          </w:rPr>
          <w:t>通过空间和技术协调实现可持续电池回收</w:t>
        </w:r>
      </w:hyperlink>
    </w:p>
    <w:p>
      <w:pPr>
        <w:spacing w:before="0" w:after="80"/>
      </w:pPr>
      <w:r>
        <w:rPr>
          <w:i/>
          <w:sz w:val="20"/>
        </w:rPr>
        <w:t>EN: Sustainable battery recycling through spatial and technological alignment</w:t>
      </w:r>
    </w:p>
    <w:p>
      <w:pPr>
        <w:spacing w:before="0" w:after="120"/>
      </w:pPr>
      <w:r>
        <w:rPr>
          <w:b/>
        </w:rPr>
        <w:t xml:space="preserve">Source: </w:t>
      </w:r>
      <w:r>
        <w:t>Nature Sustainability</w:t>
      </w:r>
      <w:r>
        <w:t xml:space="preserve">    </w:t>
      </w:r>
      <w:r>
        <w:rPr>
          <w:b/>
        </w:rPr>
        <w:t xml:space="preserve">Pub date: </w:t>
      </w:r>
      <w:r>
        <w:t>2026-06-08 00:00:00+00:00</w:t>
      </w:r>
      <w:r>
        <w:t xml:space="preserve">    </w:t>
      </w:r>
      <w:r>
        <w:rPr>
          <w:b/>
        </w:rPr>
        <w:t xml:space="preserve">DOI: </w:t>
      </w:r>
      <w:hyperlink r:id="rId107">
        <w:r>
          <w:rPr>
            <w:color w:val="1155CC"/>
            <w:u w:val="single"/>
          </w:rPr>
          <w:t>10.1038/s41893-026-01851-6</w:t>
        </w:r>
      </w:hyperlink>
    </w:p>
    <w:p>
      <w:pPr>
        <w:spacing w:before="0" w:after="120"/>
      </w:pPr>
      <w:r>
        <w:rPr>
          <w:b/>
        </w:rPr>
        <w:t xml:space="preserve">Notes: </w:t>
      </w:r>
      <w:r>
        <w:t>abstract_source=nature_html</w:t>
      </w:r>
    </w:p>
    <w:p>
      <w:pPr>
        <w:spacing w:before="0" w:after="80" w:lineRule="auto" w:line="276"/>
      </w:pPr>
      <w:r>
        <w:rPr>
          <w:b/>
        </w:rPr>
        <w:t xml:space="preserve">摘要（ZH）: </w:t>
      </w:r>
      <w:r>
        <w:t>报废 (EOL) 电池回收对于可持续能源转型至关重要，但现有系统经常面临空间、技术和政策不匹配的问题，从而限制了环境效益。在这里，我们提出了一个多尺度分析框架，集成了机器学习、生命周期评估和空间集成场景建模，以评估电池回收系统的环境足迹和资源回收潜力。该框架能够对电池报废趋势进行高分辨率预测、回收技术评估和供需策略优化。我们以中国为案例研究，分析了 364 个城市的停产电池流和涉及 24 种电池化学品的 300 多个回收项目。结果表明，2020-2030年期间，EOL电池总量为16.67-19.99 Mt，热点迁移格局为东北-西南-西北。省际协调可以提高处理能力利用率67.12%，但不能消除EOL电池供应与可用处理能力之间的空间错配。我们的优化情景表明，供需规划可以减少高达 44% 的排放量，并将锂回收率提高 53%。这项工作为设计低碳、高效的电池回收系统提供了一个可扩展的工具，有助于循环经济和能源转型。</w:t>
      </w:r>
    </w:p>
    <w:p>
      <w:pPr>
        <w:spacing w:before="0" w:after="200" w:lineRule="auto" w:line="276"/>
      </w:pPr>
      <w:r>
        <w:rPr>
          <w:b/>
        </w:rPr>
        <w:t xml:space="preserve">Abstract (EN): </w:t>
      </w:r>
      <w:r>
        <w:t>End-of-life (EOL) battery recycling is crucial for sustainable energy transition, yet existing systems often suffer from spatial, technological and policy mismatches that limit environmental benefits. Here we present a multi-scale analytical framework that integrates machine learning, life-cycle assessment and spatial integrated scenario modelling to evaluate the environmental footprint and resource recovery potential of battery recycling systems. This framework enables high-resolution projections of battery retirement trends, assessment of recycling technologies and optimization of supply–demand strategies. Using China as a case study, we analysed EOL battery flows across 364 cities and over 300 recycling projects involving 24 battery chemistries. The results reveal that, during 2020–2030, total EOL battery volumes amount to 16.67–19.99 Mt, with a northeast–southwest–northwest hotspot migration pattern. Interprovincial coordination can increase treatment capacity utilization by 67.12% but cannot eliminate spatial mismatches between EOL battery supply and available treatment capacity. Our optimization scenarios show that supply–demand planning could reduce emissions by up to 44% and increase lithium recovery by 53%. This work provides a scalable tool for designing low-carbon, high-efficiency battery recycling systems, contributing to the circular economy and energy transitions.</w:t>
      </w:r>
    </w:p>
    <w:p>
      <w:pPr>
        <w:spacing w:before="120" w:after="120"/>
      </w:pPr>
      <w:r>
        <w:rPr>
          <w:sz w:val="18"/>
        </w:rPr>
        <w:t>——————————————————————————————————————————————————————————————————————</w:t>
      </w:r>
    </w:p>
    <w:p>
      <w:pPr>
        <w:spacing w:before="160" w:after="40" w:line="240" w:lineRule="auto"/>
      </w:pPr>
      <w:r>
        <w:rPr>
          <w:b/>
        </w:rPr>
        <w:t xml:space="preserve">[10] </w:t>
      </w:r>
      <w:hyperlink r:id="rId43">
        <w:r>
          <w:rPr>
            <w:color w:val="1155CC"/>
            <w:u w:val="single"/>
          </w:rPr>
          <w:t>打破无阳极锂软包电池的能量密度与应力之间的权衡</w:t>
        </w:r>
      </w:hyperlink>
    </w:p>
    <w:p>
      <w:pPr>
        <w:spacing w:before="0" w:after="80"/>
      </w:pPr>
      <w:r>
        <w:rPr>
          <w:i/>
          <w:sz w:val="20"/>
        </w:rPr>
        <w:t>EN: Breaking Energy Density‐Stress Trade‐Off in Anode‐Free Lithium Pouch Cells</w:t>
      </w:r>
    </w:p>
    <w:p>
      <w:pPr>
        <w:spacing w:before="0" w:after="120"/>
      </w:pPr>
      <w:r>
        <w:rPr>
          <w:b/>
        </w:rPr>
        <w:t xml:space="preserve">Source: </w:t>
      </w:r>
      <w:r>
        <w:t>Wiley: Advanced Materials: Table of Contents</w:t>
      </w:r>
      <w:r>
        <w:t xml:space="preserve">    </w:t>
      </w:r>
      <w:r>
        <w:rPr>
          <w:b/>
        </w:rPr>
        <w:t xml:space="preserve">Pub date: </w:t>
      </w:r>
      <w:r>
        <w:t>2026-06-08 07:08:01+00:00</w:t>
      </w:r>
      <w:r>
        <w:t xml:space="preserve">    </w:t>
      </w:r>
      <w:r>
        <w:rPr>
          <w:b/>
        </w:rPr>
        <w:t xml:space="preserve">DOI: </w:t>
      </w:r>
      <w:hyperlink r:id="rId44">
        <w:r>
          <w:rPr>
            <w:color w:val="1155CC"/>
            <w:u w:val="single"/>
          </w:rPr>
          <w:t>10.1002/adma.73652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负极的膨胀及其不利影响阻碍了锂金属电池（LMB）的实际应用。由于对能量密度与应力之间的权衡认识不足，目前还没有出现可行的解决方案来阻止其膨胀或减少其内应力积累（SA），同时保持其卓越的能量密度。我们提出了基于原理的标准，通过定义应变缓冲技术的边界参数来指导高能和低膨胀LMB的开发。我们以典型的空间自适应缓冲（SAB）层为例，具体化了这一标准，并验证了其科学性和前瞻性，有效降低了SA，缓解了局部应力集中（SC）。结果，Ah级NCM9（LiNi</w:t>
      </w:r>
      <w:r>
        <w:t xml:space="preserve"> </w:t>
      </w:r>
      <w:r>
        <w:t>x</w:t>
      </w:r>
      <w:r>
        <w:t xml:space="preserve"> </w:t>
      </w:r>
      <w:r>
        <w:t>钴</w:t>
      </w:r>
      <w:r>
        <w:t xml:space="preserve"> </w:t>
      </w:r>
      <w:r>
        <w:t>y</w:t>
      </w:r>
      <w:r>
        <w:t xml:space="preserve"> </w:t>
      </w:r>
      <w:r>
        <w:t>锰</w:t>
      </w:r>
      <w:r>
        <w:t xml:space="preserve"> </w:t>
      </w:r>
      <w:r>
        <w:t>1-x-y</w:t>
      </w:r>
      <w:r>
        <w:t xml:space="preserve"> </w:t>
      </w:r>
      <w:r>
        <w:t>氧</w:t>
      </w:r>
      <w:r>
        <w:rPr>
          <w:vertAlign w:val="subscript"/>
        </w:rPr>
        <w:t>2</w:t>
      </w:r>
      <w:r>
        <w:t>, x ≥ 0.9)||SAB-Cu软包电池原型具有465 Wh/kg和1330 Wh/L的高裸电池能量密度，表现出均匀的应力分布和低SC（局部压力极端差异&lt;2 MPa），避免了锂枝晶击穿的失败。此外，Ah级NCM811(Li</w:t>
      </w:r>
      <w:r>
        <w:t xml:space="preserve"> </w:t>
      </w:r>
      <w:r>
        <w:t>1.2</w:t>
      </w:r>
      <w:r>
        <w:t xml:space="preserve"> </w:t>
      </w:r>
      <w:r>
        <w:t>镍</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)||SAB-Cu 软包电池展示了每</w:t>
      </w:r>
    </w:p>
    <w:p>
      <w:pPr>
        <w:spacing w:before="0" w:after="200" w:lineRule="auto" w:line="276"/>
      </w:pPr>
      <w:r>
        <w:rPr>
          <w:b/>
        </w:rPr>
        <w:t xml:space="preserve">Abstract (EN): </w:t>
      </w:r>
      <w:r>
        <w:t>The swelling of the Li metal anode and its adverse impacts have barred lithium metal batteries (LMBs) from practical applications. Owing to insufficient recognition of the energy density–stress trade‐off, no viable solution has emerged to halt their expansion or diminish their internal stress accumulation (SA) while preserving their exceptional energy density. We proposed principle‐based criteria to guide the development of high‐energy and low‐swelling LMBs by defining the boundary parameters of strain‐buffering techniques. Taking a typical space‐adaptive buffering (SAB) layer as an example, we have materialized this criterion and verified its scientific validity and forward‐looking nature, effectively reducing SA and mitigating the local stress concentration (SC). As a result, the Ah‐level NCM9 (LiNi</w:t>
      </w:r>
      <w:r>
        <w:t xml:space="preserve"> </w:t>
      </w:r>
      <w:r>
        <w:t>x</w:t>
      </w:r>
      <w:r>
        <w:t xml:space="preserve"> </w:t>
      </w:r>
      <w:r>
        <w:t>Co</w:t>
      </w:r>
      <w:r>
        <w:t xml:space="preserve"> </w:t>
      </w:r>
      <w:r>
        <w:t>y</w:t>
      </w:r>
      <w:r>
        <w:t xml:space="preserve"> </w:t>
      </w:r>
      <w:r>
        <w:t>Mn</w:t>
      </w:r>
      <w:r>
        <w:t xml:space="preserve"> </w:t>
      </w:r>
      <w:r>
        <w:t>1‐x‐y</w:t>
      </w:r>
      <w:r>
        <w:t xml:space="preserve"> </w:t>
      </w:r>
      <w:r>
        <w:t>O</w:t>
      </w:r>
      <w:r>
        <w:rPr>
          <w:vertAlign w:val="subscript"/>
        </w:rPr>
        <w:t>2</w:t>
      </w:r>
      <w:r>
        <w:t>, x ≥ 0.9)||SAB‐Cu pouch cell prototype with the high bare‐cell energy densities of 465 Wh/kg and 1330 Wh/L exhibits the uniform stress distribution and low SC (extreme difference in local pressure&amp;lt;2 MPa), avoiding the failure of Li dendrite puncture. Furthermore, the Ah‐level NCM811(Li</w:t>
      </w:r>
      <w:r>
        <w:t xml:space="preserve"> </w:t>
      </w:r>
      <w:r>
        <w:t>1.2</w:t>
      </w:r>
      <w:r>
        <w:t xml:space="preserve"> </w:t>
      </w:r>
      <w:r>
        <w:t>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)||SAB‐Cu pouch cell demonstrates a perfect trade‐off among energy densities (418 Wh/kg and 1061 Wh/L), cycle life (164 cycles with 77% capacity retention), SA (&amp;lt;2 MPa), and swelling ratio (3.6%), underscoring the practical feasibility of the SAB‐AF‐LMB.</w:t>
      </w:r>
    </w:p>
    <w:p>
      <w:pPr>
        <w:spacing w:before="120" w:after="120"/>
      </w:pPr>
      <w:r>
        <w:rPr>
          <w:sz w:val="18"/>
        </w:rPr>
        <w:t>——————————————————————————————————————————————————————————————————————</w:t>
      </w:r>
    </w:p>
    <w:p>
      <w:pPr>
        <w:spacing w:before="160" w:after="40" w:line="240" w:lineRule="auto"/>
      </w:pPr>
      <w:r>
        <w:rPr>
          <w:b/>
        </w:rPr>
        <w:t xml:space="preserve">[11] </w:t>
      </w:r>
      <w:hyperlink r:id="rId108">
        <w:r>
          <w:rPr>
            <w:color w:val="1155CC"/>
            <w:u w:val="single"/>
          </w:rPr>
          <w:t>通过电极-电解质界面溶解对报废电池进行直接电极对电极再生</w:t>
        </w:r>
      </w:hyperlink>
    </w:p>
    <w:p>
      <w:pPr>
        <w:spacing w:before="0" w:after="80"/>
      </w:pPr>
      <w:r>
        <w:rPr>
          <w:i/>
          <w:sz w:val="20"/>
        </w:rPr>
        <w:t>EN: Direct electrode-to-electrode regeneration of end-of-life batteries via electrode–electrolyte interphase dissolution</w:t>
      </w:r>
    </w:p>
    <w:p>
      <w:pPr>
        <w:spacing w:before="0" w:after="120"/>
      </w:pPr>
      <w:r>
        <w:rPr>
          <w:b/>
        </w:rPr>
        <w:t xml:space="preserve">Source: </w:t>
      </w:r>
      <w:r>
        <w:t>RSC - Energy Environ. Sci. latest articles</w:t>
      </w:r>
      <w:r>
        <w:t xml:space="preserve">    </w:t>
      </w:r>
      <w:r>
        <w:rPr>
          <w:b/>
        </w:rPr>
        <w:t xml:space="preserve">Pub date: </w:t>
      </w:r>
      <w:r>
        <w:t>2026-06-08 23:00:00+00:00</w:t>
      </w:r>
    </w:p>
    <w:p>
      <w:pPr>
        <w:spacing w:before="0" w:after="120"/>
      </w:pPr>
      <w:r>
        <w:rPr>
          <w:b/>
        </w:rPr>
        <w:t xml:space="preserve">Notes: </w:t>
      </w:r>
      <w:r>
        <w:t>abstract_source=rsc_html</w:t>
      </w:r>
    </w:p>
    <w:p>
      <w:pPr>
        <w:spacing w:before="0" w:after="80" w:lineRule="auto" w:line="276"/>
      </w:pPr>
      <w:r>
        <w:rPr>
          <w:b/>
        </w:rPr>
        <w:t xml:space="preserve">摘要（ZH）: </w:t>
      </w:r>
      <w:r>
        <w:t>锂离子电池的回收仍然受到以牺牲电极完整性为代价回收金属的工艺的限制，而即使是直接回收通常也需要粉碎成黑色物质，然后去除粘合剂、分离和完全重新制造电极。在这里，我们介绍了直接电极到电极再生（DEER），通过溶解钝化电极-电解质界面（EEI），以完整形式同时电化学再生报废电池中使用过的 NMC 和石墨电极。 DEER 采用 1,3-二甲基-2-咪唑啉酮 (DMI)，这是一种高供体数溶剂，可创造有利于溶解氧化还原非活性 EEI 组分的热力学环境。 DEER 溶解了两个使用过的电极上较厚的 EEI，同时保持电极完整性，从而实现高达 95% 的容量恢复，并通过残留的富含 LiF 的界面提高了循环稳定性。 Operando 拉曼、operando IR 和事后 NMR 直接跟踪电化学驱动的碳酸盐衍生 EEI 物质在使用过的基于 DMI 的回收电解质中的溶解情况。技术经济和生命周期分析表明，相对于火法冶金和湿法冶金，DEER 可将回收电池的制造成本降低 56%，同时降低能源消耗和温室气体排放。总体而言，DEER 建立了第一个经过验证的途径，可以直接再生和再利用从真正报废的电池中获取的电极，将关键的界面瓶颈转化为可控的溶解过程，并为实现电极级循环开辟了一条实用途径。</w:t>
      </w:r>
    </w:p>
    <w:p>
      <w:pPr>
        <w:spacing w:before="0" w:after="200" w:lineRule="auto" w:line="276"/>
      </w:pPr>
      <w:r>
        <w:rPr>
          <w:b/>
        </w:rPr>
        <w:t xml:space="preserve">Abstract (EN): </w:t>
      </w:r>
      <w:r>
        <w:t>Lithium-ion battery recycling remains constrained by processes that recover metals at the expense of electrode integrity, while even direct recycling typically requires shredding to black mass followed by binder removal, separation, and full electrode refabrication. Here, we introduce direct electrode-to-electrode regeneration (DEER), a simultaneous electrochemical regeneration of used NMC and graphite electrodes from end-of-life batteries in their intact form by dissolving the passivating electrode–electrolyte interphase (EEI). DEER employs 1,3-dimethyl-2-imidazolidinone (DMI), a high donor number solvent that creates a thermodynamic environment favorable for solubilizing redox inactive EEI components. DEER dissolves the thick EEI on both used electrodes while preserving electrode integrity, enabling up to 95% capacity regain and improved cycling stability with a residual LiF-rich interphase. Operando Raman, operando IR, and post-mortem NMR directly track the electrochemically driven dissolution of carbonate-derived EEI species in the used DMI-based recycling electrolyte. Technoeconomic and life-cycle analyses show that DEER reduces the cost of recycled cell manufacturing by 56% relative to pyro- and hydrometallurgy, while lowering energy use and greenhouse gas emissions. Overall, DEER establishes the first validated pathway to directly regenerate and reuse electrodes harvested from truly end-of-life batteries, converting the key interfacial bottleneck into a controllable dissolution process and opening a practical route toward electrode level circularity.</w:t>
      </w:r>
    </w:p>
    <w:p>
      <w:pPr>
        <w:spacing w:before="120" w:after="120"/>
      </w:pPr>
      <w:r>
        <w:rPr>
          <w:sz w:val="18"/>
        </w:rPr>
        <w:t>——————————————————————————————————————————————————————————————————————</w:t>
      </w:r>
    </w:p>
    <w:p>
      <w:pPr>
        <w:spacing w:before="160" w:after="40" w:line="240" w:lineRule="auto"/>
      </w:pPr>
      <w:r>
        <w:rPr>
          <w:b/>
        </w:rPr>
        <w:t xml:space="preserve">[12] </w:t>
      </w:r>
      <w:hyperlink r:id="rId109">
        <w:r>
          <w:rPr>
            <w:color w:val="1155CC"/>
            <w:u w:val="single"/>
          </w:rPr>
          <w:t>使用绿色溶剂高效、可持续地回收废旧锂离子电池：综述</w:t>
        </w:r>
      </w:hyperlink>
    </w:p>
    <w:p>
      <w:pPr>
        <w:spacing w:before="0" w:after="80"/>
      </w:pPr>
      <w:r>
        <w:rPr>
          <w:i/>
          <w:sz w:val="20"/>
        </w:rPr>
        <w:t>EN: Efficient and sustainable recycling of spent Lithium-ion batteries using green solvents: A review</w:t>
      </w:r>
    </w:p>
    <w:p>
      <w:pPr>
        <w:spacing w:before="0" w:after="120"/>
      </w:pPr>
      <w:r>
        <w:rPr>
          <w:b/>
        </w:rPr>
        <w:t xml:space="preserve">Source: </w:t>
      </w:r>
      <w:r>
        <w:t>ScienceDirect Publication: Applied Energy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10">
        <w:r>
          <w:rPr>
            <w:color w:val="1155CC"/>
            <w:u w:val="single"/>
          </w:rPr>
          <w:t>电力系统弹性储能综述：功能、指标和应用</w:t>
        </w:r>
      </w:hyperlink>
    </w:p>
    <w:p>
      <w:pPr>
        <w:spacing w:before="0" w:after="80"/>
      </w:pPr>
      <w:r>
        <w:rPr>
          <w:i/>
          <w:sz w:val="20"/>
        </w:rPr>
        <w:t>EN: A review of energy storage for power system resilience: Functions, metrics, and applications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1">
        <w:r>
          <w:rPr>
            <w:color w:val="1155CC"/>
            <w:u w:val="single"/>
          </w:rPr>
          <w:t>构建耦合离子电子路径以实现固态锂氧电池中的高效氧化学</w:t>
        </w:r>
      </w:hyperlink>
    </w:p>
    <w:p>
      <w:pPr>
        <w:spacing w:before="0" w:after="80"/>
      </w:pPr>
      <w:r>
        <w:rPr>
          <w:i/>
          <w:sz w:val="20"/>
        </w:rPr>
        <w:t>EN: Constructing Coupled Ion‐Electron Pathways for Efficient Oxygen Chemistry in Solid‐State Lithium‐Oxygen Batteries</w:t>
      </w:r>
    </w:p>
    <w:p>
      <w:pPr>
        <w:spacing w:before="0" w:after="120"/>
      </w:pPr>
      <w:r>
        <w:rPr>
          <w:b/>
        </w:rPr>
        <w:t xml:space="preserve">Source: </w:t>
      </w:r>
      <w:r>
        <w:t>Wiley: Advanced Materials: Table of Contents</w:t>
      </w:r>
      <w:r>
        <w:t xml:space="preserve">    </w:t>
      </w:r>
      <w:r>
        <w:rPr>
          <w:b/>
        </w:rPr>
        <w:t xml:space="preserve">Pub date: </w:t>
      </w:r>
      <w:r>
        <w:t>2026-06-06 06:18:41+00:00</w:t>
      </w:r>
      <w:r>
        <w:t xml:space="preserve">    </w:t>
      </w:r>
      <w:r>
        <w:rPr>
          <w:b/>
        </w:rPr>
        <w:t xml:space="preserve">DOI: </w:t>
      </w:r>
      <w:hyperlink r:id="rId112">
        <w:r>
          <w:rPr>
            <w:color w:val="1155CC"/>
            <w:u w:val="single"/>
          </w:rPr>
          <w:t>10.1002/adma.73552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锂氧电池（SSLOB）因其本质安全性和超高理论能量密度而成为理想的储能系统。然而，固态空气阴极缓慢的氧氧化还原动力学严重阻碍了实际实施，同时实现快速离子/电子传输和高催化活性仍然是一个艰巨的挑战。在这里，我们展示了一种在整体混合离子电子催化剂（MMIEC）阴极内构建耦合离子电子路径的策略。使用钴酸锂</w:t>
      </w:r>
      <w:r>
        <w:rPr>
          <w:vertAlign w:val="subscript"/>
        </w:rPr>
        <w:t>2</w:t>
      </w:r>
      <w:r>
        <w:t>（LCO）作为模型系统，通过超快热集成过程与固体电解质建立无缝界面，为锂和锂离子电池创建连续的渗滤网络。</w:t>
      </w:r>
      <w:r>
        <w:t xml:space="preserve"> </w:t>
      </w:r>
      <w:r>
        <w:t>+</w:t>
      </w:r>
      <w:r>
        <w:t xml:space="preserve"> </w:t>
      </w:r>
      <w:r>
        <w:t>和电子。这些耦合途径确保电化学界面上的电荷传输不受阻碍，同时表面富集的 Co</w:t>
      </w:r>
      <w:r>
        <w:t xml:space="preserve"> </w:t>
      </w:r>
      <w:r>
        <w:t>3+</w:t>
      </w:r>
      <w:r>
        <w:t xml:space="preserve"> </w:t>
      </w:r>
      <w:r>
        <w:t>/钴</w:t>
      </w:r>
      <w:r>
        <w:t xml:space="preserve"> </w:t>
      </w:r>
      <w:r>
        <w:t>4+</w:t>
      </w:r>
      <w:r>
        <w:t xml:space="preserve"> </w:t>
      </w:r>
      <w:r>
        <w:t>氧化还原对充当本质活性催化中心。这种结构通过加速 Li2O 介导氧氧化还原反应</w:t>
      </w:r>
      <w:r>
        <w:rPr>
          <w:vertAlign w:val="subscript"/>
        </w:rPr>
        <w:t>2</w:t>
      </w:r>
      <w:r>
        <w:t>*</w:t>
      </w:r>
      <w:r>
        <w:t xml:space="preserve"> </w:t>
      </w:r>
      <w:r>
        <w:t>放电过程中形成并促进Li的可逆分解</w:t>
      </w:r>
      <w:r>
        <w:rPr>
          <w:vertAlign w:val="subscript"/>
        </w:rPr>
        <w:t>2</w:t>
      </w:r>
      <w:r>
        <w:t>氧</w:t>
      </w:r>
      <w:r>
        <w:rPr>
          <w:vertAlign w:val="subscript"/>
        </w:rPr>
        <w:t>2</w:t>
      </w:r>
      <w:r>
        <w:t>充电时。因此，基于 MMIEC 的 SSLOB 具有 12970 mAh g 的超高放电容量</w:t>
      </w:r>
      <w:r>
        <w:t xml:space="preserve"> </w:t>
      </w:r>
      <w:r>
        <w:t>−1</w:t>
      </w:r>
      <w:r>
        <w:t xml:space="preserve"> </w:t>
      </w:r>
      <w:r>
        <w:t>, 马</w:t>
      </w:r>
    </w:p>
    <w:p>
      <w:pPr>
        <w:spacing w:before="0" w:after="200" w:lineRule="auto" w:line="276"/>
      </w:pPr>
      <w:r>
        <w:rPr>
          <w:b/>
        </w:rPr>
        <w:t xml:space="preserve">Abstract (EN): </w:t>
      </w:r>
      <w:r>
        <w:t>Solid‐state lithium‐oxygen batteries (SSLOBs) are ideal energy storage systems because of their intrinsic safety and ultrahigh theoretical energy density. However, practical implementation is severely hindered by sluggish oxygen‐redox kinetics at solid‐state air cathodes, where achieving fast ionic/electronic transport and high catalytic activity concurrently remains a formidable challenge. Here, we demonstrate a strategy to construct coupled ion‐electron pathways within a monolithic mixed ionic‐electronic catalyst (MMIEC) cathode. Using LiCoO</w:t>
      </w:r>
      <w:r>
        <w:rPr>
          <w:vertAlign w:val="subscript"/>
        </w:rPr>
        <w:t>2</w:t>
      </w:r>
      <w:r>
        <w:t>(LCO) as a model system, a seamless interface with the solid electrolyte is established via an ultrafast thermal integration process, creating continuous percolation networks for both Li</w:t>
      </w:r>
      <w:r>
        <w:t xml:space="preserve"> </w:t>
      </w:r>
      <w:r>
        <w:t>+</w:t>
      </w:r>
      <w:r>
        <w:t xml:space="preserve"> </w:t>
      </w:r>
      <w:r>
        <w:t>and electrons. These coupled pathways ensure unimpeded charge transport at the electrochemical interface, while surface‐enriched Co</w:t>
      </w:r>
      <w:r>
        <w:t xml:space="preserve"> </w:t>
      </w:r>
      <w:r>
        <w:t>3+</w:t>
      </w:r>
      <w:r>
        <w:t xml:space="preserve"> </w:t>
      </w:r>
      <w:r>
        <w:t>/Co</w:t>
      </w:r>
      <w:r>
        <w:t xml:space="preserve"> </w:t>
      </w:r>
      <w:r>
        <w:t>4+</w:t>
      </w:r>
      <w:r>
        <w:t xml:space="preserve"> </w:t>
      </w:r>
      <w:r>
        <w:t>redox couples act as intrinsically active catalytic centers. This architecture mediates oxygen‐redox reactions by accelerating LiO</w:t>
      </w:r>
      <w:r>
        <w:rPr>
          <w:vertAlign w:val="subscript"/>
        </w:rPr>
        <w:t>2</w:t>
      </w:r>
      <w:r>
        <w:t>*</w:t>
      </w:r>
      <w:r>
        <w:t xml:space="preserve"> </w:t>
      </w:r>
      <w:r>
        <w:t>formation during discharge and promoting the reversible decomposition of Li</w:t>
      </w:r>
      <w:r>
        <w:rPr>
          <w:vertAlign w:val="subscript"/>
        </w:rPr>
        <w:t>2</w:t>
      </w:r>
      <w:r>
        <w:t>O</w:t>
      </w:r>
      <w:r>
        <w:rPr>
          <w:vertAlign w:val="subscript"/>
        </w:rPr>
        <w:t>2</w:t>
      </w:r>
      <w:r>
        <w:t>upon charge. Consequently, the MMIEC‐based SSLOB delivers an ultrahigh discharge capacity of 12970 mAh g</w:t>
      </w:r>
      <w:r>
        <w:t xml:space="preserve"> </w:t>
      </w:r>
      <w:r>
        <w:t>−1</w:t>
      </w:r>
      <w:r>
        <w:t xml:space="preserve"> </w:t>
      </w:r>
      <w:r>
        <w:t>, maintains stable cycling for more than 400 cycles, and exhibits a reduced voltage polarization of 1.0 V. This work demonstrates that coupling catalytic activity with robust ionic‐electronic pathways is crucial for advancing high‐performance SSLOBs.</w:t>
      </w:r>
    </w:p>
    <w:p>
      <w:pPr>
        <w:spacing w:before="120" w:after="120"/>
      </w:pPr>
      <w:r>
        <w:rPr>
          <w:sz w:val="18"/>
        </w:rPr>
        <w:t>——————————————————————————————————————————————————————————————————————</w:t>
      </w:r>
    </w:p>
    <w:p>
      <w:pPr>
        <w:spacing w:before="160" w:after="40" w:line="240" w:lineRule="auto"/>
      </w:pPr>
      <w:r>
        <w:rPr>
          <w:b/>
        </w:rPr>
        <w:t xml:space="preserve">[3] </w:t>
      </w:r>
      <w:hyperlink r:id="rId113">
        <w:r>
          <w:rPr>
            <w:color w:val="1155CC"/>
            <w:u w:val="single"/>
          </w:rPr>
          <w:t>实现先进性能：非传统可充电锌空气电池的进展与前景</w:t>
        </w:r>
      </w:hyperlink>
    </w:p>
    <w:p>
      <w:pPr>
        <w:spacing w:before="0" w:after="80"/>
      </w:pPr>
      <w:r>
        <w:rPr>
          <w:i/>
          <w:sz w:val="20"/>
        </w:rPr>
        <w:t>EN: Achieving Advanced Performance: Progress and Prospects on Non‐Traditional Rechargeable Zinc–Air Batteries</w:t>
      </w:r>
    </w:p>
    <w:p>
      <w:pPr>
        <w:spacing w:before="0" w:after="120"/>
      </w:pPr>
      <w:r>
        <w:rPr>
          <w:b/>
        </w:rPr>
        <w:t xml:space="preserve">Source: </w:t>
      </w:r>
      <w:r>
        <w:t>Wiley: Advanced Materials: Table of Contents</w:t>
      </w:r>
      <w:r>
        <w:t xml:space="preserve">    </w:t>
      </w:r>
      <w:r>
        <w:rPr>
          <w:b/>
        </w:rPr>
        <w:t xml:space="preserve">Pub date: </w:t>
      </w:r>
      <w:r>
        <w:t>2026-06-06 06:22:54+00:00</w:t>
      </w:r>
      <w:r>
        <w:t xml:space="preserve">    </w:t>
      </w:r>
      <w:r>
        <w:rPr>
          <w:b/>
        </w:rPr>
        <w:t xml:space="preserve">DOI: </w:t>
      </w:r>
      <w:hyperlink r:id="rId114">
        <w:r>
          <w:rPr>
            <w:color w:val="1155CC"/>
            <w:u w:val="single"/>
          </w:rPr>
          <w:t>10.1002/adma.73605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可充电锌空气电池（R-ZAB）已成为下一代能源技术的典型代表，由于其固有的安全性、高能量密度和可持续的材料供应，在可再生能源存储、电动汽车和电子设备中的应用极具吸引力。尽管如此，传统 R-ZAB 的商业化仍受到循环寿命不足、过电位过高和倍率性能不佳等限制的阻碍。本综述概述了克服这些障碍的最新创新策略，重点关注成本效益和性能驱动的设计。首先分析传统 R-ZAB 的基本限制。随后，我们系统地分类和评估了八种不同类型的新兴 R-ZAB 配置，包括准固态、中性、不对称酸/碱、金属杂化、小分子杂化、海水基、光辅助和双阴极 R-ZAB，强调了旨在实现卓越功能的电池结构和材料成分的设计创新。具体案例研究说明了结构设计和电化学性能之间的关键联系，以及优化电解质和空气阴极催化剂的基本原理。最后，我们提供了 R-ZAB 的前瞻性视角，确定了关键研究方向，以弥合实验室成果和可行的市场应用之间的差距。本综述旨在揭示 R-ZAB 进步的有趣潜力，并指导对高性能的追求</w:t>
      </w:r>
    </w:p>
    <w:p>
      <w:pPr>
        <w:spacing w:before="0" w:after="200" w:lineRule="auto" w:line="276"/>
      </w:pPr>
      <w:r>
        <w:rPr>
          <w:b/>
        </w:rPr>
        <w:t xml:space="preserve">Abstract (EN): </w:t>
      </w:r>
      <w:r>
        <w:t>Rechargeable zinc–air batteries (R‐ZABs) have surfaced as a quintessential representative for next‐generation energy technologies, appealing for applications in renewable energy storage, electric vehicles, and electronic devices, owing to their inherent safety, high energy density, and sustainable material supply. Nonetheless, the commercialization of traditional R‐ZABs has been hindered by limitations such as insufficient cycle life, excessive overpotential, and subpar rate performance. This review outlines recent innovative strategies overcoming these barriers, with a focus on cost‐effective and performance‐driven designs. It begins by analyzing the fundamental constraints of traditional R‐ZABs. Subsequently, we systematically categorize and evaluate eight distinct classes of emerging R‐ZAB configurations including quasi‐solid‐state, neutral, asymmetric acid/alkali, metal hybrid, small‐molecule hybrid, seawater‐based, light‐assisted, and dual‐cathode R‐ZABs, highlighting design innovations in cell architecture and material composition aimed at achieving superior functionality. Specific cases studies illustrate the critical link between structural design and electrochemical performance, alongside rationales for optimizing electrolytes and air‐cathode catalysts. Finally, we provide a forward‐looking perspective on R‐ZABs, identifying key research directions to bridge the gap between laboratory achievements and viable market applications. This review aims to light on the intriguing potential for R‐ZAB advancements and directs the pursuit of high‐performance R‐ZABs toward commercialization.</w:t>
      </w:r>
    </w:p>
    <w:p>
      <w:pPr>
        <w:spacing w:before="120" w:after="120"/>
      </w:pPr>
      <w:r>
        <w:rPr>
          <w:sz w:val="18"/>
        </w:rPr>
        <w:t>——————————————————————————————————————————————————————————————————————</w:t>
      </w:r>
    </w:p>
    <w:p>
      <w:pPr>
        <w:spacing w:before="160" w:after="40" w:line="240" w:lineRule="auto"/>
      </w:pPr>
      <w:r>
        <w:rPr>
          <w:b/>
        </w:rPr>
        <w:t xml:space="preserve">[4] </w:t>
      </w:r>
      <w:hyperlink r:id="rId79">
        <w:r>
          <w:rPr>
            <w:color w:val="1155CC"/>
            <w:u w:val="single"/>
          </w:rPr>
          <w:t>调节阴离子交换膜受限通道中的电荷分布可实现高效的离子传输</w:t>
        </w:r>
      </w:hyperlink>
    </w:p>
    <w:p>
      <w:pPr>
        <w:spacing w:before="0" w:after="80"/>
      </w:pPr>
      <w:r>
        <w:rPr>
          <w:i/>
          <w:sz w:val="20"/>
        </w:rPr>
        <w:t>EN: Regulation of the Charge Distribution in the Confined Channels of Anion Exchange Membranes Enables Efficient Ion Transport</w:t>
      </w:r>
    </w:p>
    <w:p>
      <w:pPr>
        <w:spacing w:before="0" w:after="120"/>
      </w:pPr>
      <w:r>
        <w:rPr>
          <w:b/>
        </w:rPr>
        <w:t xml:space="preserve">Source: </w:t>
      </w:r>
      <w:r>
        <w:t>Wiley: Advanced Energy Materials: Table of Contents</w:t>
      </w:r>
      <w:r>
        <w:t xml:space="preserve">    </w:t>
      </w:r>
      <w:r>
        <w:rPr>
          <w:b/>
        </w:rPr>
        <w:t xml:space="preserve">Pub date: </w:t>
      </w:r>
      <w:r>
        <w:t>2026-06-07 13:19:14+00:00</w:t>
      </w:r>
      <w:r>
        <w:t xml:space="preserve">    </w:t>
      </w:r>
      <w:r>
        <w:rPr>
          <w:b/>
        </w:rPr>
        <w:t xml:space="preserve">DOI: </w:t>
      </w:r>
      <w:hyperlink r:id="rId80">
        <w:r>
          <w:rPr>
            <w:color w:val="1155CC"/>
            <w:u w:val="single"/>
          </w:rPr>
          <w:t>10.1002/aenm.71164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离子交换膜可实现电化学装置（例如燃料电池、液流电池、水电解）中的离子传输，其中离子电导率对于高效运行至关重要。依赖于微相分离的传统膜面临选择性与电导率的权衡。然而，目前的设计主要将电荷引入到亚纳米通道的壁上，这可能会导致由于过度吸水而形成过强的氢键网络，从而降低水分子和离子的自扩散系数。这项工作提出了一种通过刚性侧链将电荷引入亚纳米通道中间的策略，并开发了一种膜（QPAEPi-3）来形成连续的氢键网络，同时保持水和离子的高扩散系数。同时，还并行设计和研究了无侧链的膜（QPAEPi-1）和具有柔性侧链的膜（QPAEPi-2）。远离孔壁的电荷减少了水分子的吸收，但诱导形成更类似于散装水的氢键网络，从而增加了水和离子的自扩散系数。这实现了最高的氯离子电导率（42 mS cm</w:t>
      </w:r>
      <w:r>
        <w:t xml:space="preserve"> </w:t>
      </w:r>
      <w:r>
        <w:t>−1</w:t>
      </w:r>
      <w:r>
        <w:t xml:space="preserve"> </w:t>
      </w:r>
      <w:r>
        <w:t>@ 30°C）和 pH 中性水性有机氧化还原液流电池的能源效率（55% @ 500 mA cm</w:t>
      </w:r>
      <w:r>
        <w:t xml:space="preserve"> </w:t>
      </w:r>
      <w:r>
        <w:t>−2</w:t>
      </w:r>
      <w:r>
        <w:t xml:space="preserve"> </w:t>
      </w:r>
      <w:r>
        <w:t>）。</w:t>
      </w:r>
    </w:p>
    <w:p>
      <w:pPr>
        <w:spacing w:before="0" w:after="200" w:lineRule="auto" w:line="276"/>
      </w:pPr>
      <w:r>
        <w:rPr>
          <w:b/>
        </w:rPr>
        <w:t xml:space="preserve">Abstract (EN): </w:t>
      </w:r>
      <w:r>
        <w:t>Ion exchange membranes enable ion transport in electrochemical devices (such as fuel cells, flow batteries, water electrolysis), where ion conductivity is critical for efficient operation. Conventional membranes relying on microphase separation face a selectivity‐conductivity trade‐off. However, current designs primarily introduce charges onto the walls of sub‐nanometer channels, which may lead to the formation of an excessively strong hydrogen‐bond network due to excessive water uptake, thereby reducing the self‐diffusion coefficients of water molecules and ions. This work proposes a strategy for introducing charge into the middle of sub‐nano channels via rigid side chains and has developed a membrane (QPAEPi‐3) to form a continuous hydrogen‐bond network while maintaining high diffusion coefficients for water and ions. Concurrently, membranes without side chains (QPAEPi‐1) and with flexible side chains (QPAEPi‐2) were also designed and investigated in parallel. Charges located far from the pore walls reduce the uptake of water molecules but induce the formation of hydrogen‐bond network more similar to that of bulk water, thereby increasing the self‐diffusion coefficients of water and ions. This achieves the highest chloride ion conductivity (42 mS cm</w:t>
      </w:r>
      <w:r>
        <w:t xml:space="preserve"> </w:t>
      </w:r>
      <w:r>
        <w:t>−1</w:t>
      </w:r>
      <w:r>
        <w:t xml:space="preserve"> </w:t>
      </w:r>
      <w:r>
        <w:t>@ 30°C) and energy efficiency of pH‐neutral aqueous organic redox flow battery (55% @ 500 mA cm</w:t>
      </w:r>
      <w:r>
        <w:t xml:space="preserve"> </w:t>
      </w:r>
      <w:r>
        <w:t>−2</w:t>
      </w:r>
      <w:r>
        <w:t xml:space="preserve"> </w:t>
      </w:r>
      <w:r>
        <w:t>).</w:t>
      </w:r>
    </w:p>
    <w:p>
      <w:pPr>
        <w:spacing w:before="120" w:after="120"/>
      </w:pPr>
      <w:r>
        <w:rPr>
          <w:sz w:val="18"/>
        </w:rPr>
        <w:t>——————————————————————————————————————————————————————————————————————</w:t>
      </w:r>
    </w:p>
    <w:p>
      <w:pPr>
        <w:spacing w:before="160" w:after="40" w:line="240" w:lineRule="auto"/>
      </w:pPr>
      <w:r>
        <w:rPr>
          <w:b/>
        </w:rPr>
        <w:t xml:space="preserve">[5] </w:t>
      </w:r>
      <w:hyperlink r:id="rId115">
        <w:r>
          <w:rPr>
            <w:color w:val="1155CC"/>
            <w:u w:val="single"/>
          </w:rPr>
          <w:t>用于高性能氧还原反应的原子调控对称性破缺硫桥双铁位催化剂</w:t>
        </w:r>
      </w:hyperlink>
    </w:p>
    <w:p>
      <w:pPr>
        <w:spacing w:before="0" w:after="80"/>
      </w:pPr>
      <w:r>
        <w:rPr>
          <w:i/>
          <w:sz w:val="20"/>
        </w:rPr>
        <w:t>EN: Atomically Regulated Symmetry‐Breaking Sulfur‐Bridged Dual Iron Sites Catalyst for High‐Performance Oxygen Reduction Reaction</w:t>
      </w:r>
    </w:p>
    <w:p>
      <w:pPr>
        <w:spacing w:before="0" w:after="120"/>
      </w:pPr>
      <w:r>
        <w:rPr>
          <w:b/>
        </w:rPr>
        <w:t xml:space="preserve">Source: </w:t>
      </w:r>
      <w:r>
        <w:t>Wiley: Angewandte Chemie International Edition: Table of Contents</w:t>
      </w:r>
      <w:r>
        <w:t xml:space="preserve">    </w:t>
      </w:r>
      <w:r>
        <w:rPr>
          <w:b/>
        </w:rPr>
        <w:t xml:space="preserve">Pub date: </w:t>
      </w:r>
      <w:r>
        <w:t>2026-06-07 16:35:39+00:00</w:t>
      </w:r>
      <w:r>
        <w:t xml:space="preserve">    </w:t>
      </w:r>
      <w:r>
        <w:rPr>
          <w:b/>
        </w:rPr>
        <w:t xml:space="preserve">DOI: </w:t>
      </w:r>
      <w:hyperlink r:id="rId116">
        <w:r>
          <w:rPr>
            <w:color w:val="1155CC"/>
            <w:u w:val="single"/>
          </w:rPr>
          <w:t>10.1002/anie.8655767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金属-N单原子催化剂</w:t>
      </w:r>
      <w:r>
        <w:rPr>
          <w:vertAlign w:val="subscript"/>
        </w:rPr>
        <w:t>4</w:t>
      </w:r>
      <w:r>
        <w:t>部分在促进氧还原反应（ORR）方面具有广阔的前景。然而，它们的对称活性位点通常会导致电子结构和中间吸附不理想，从而限制了固有的 ORR 性能。在这项工作中，我们构建了一种具有 Fe-S-Fe 部分（Fe</w:t>
      </w:r>
      <w:r>
        <w:rPr>
          <w:vertAlign w:val="subscript"/>
        </w:rPr>
        <w:t>2</w:t>
      </w:r>
      <w:r>
        <w:t>–S@NHCS）通过精确调节配位环境和电子结构。相邻 Fe 原子和桥接 S 原子之间的相互作用赋予催化剂 0.912 V 的高半波电势和 1.45 s 的周转频率</w:t>
      </w:r>
      <w:r>
        <w:t xml:space="preserve"> </w:t>
      </w:r>
      <w:r>
        <w:t>−1</w:t>
      </w:r>
      <w:r>
        <w:t xml:space="preserve"> </w:t>
      </w:r>
      <w:r>
        <w:t>0.85 V，明显超过其他铁基催化剂。经过 20,000 个 CV 循环或 100,000 秒的连续测试后，性能没有明显下降。结合理论和原位光谱分析表明，相邻的双Fe原子作为活性中心平行吸附氧分子。由于S的电负性相对较低，电子从Fe转移到O</w:t>
      </w:r>
      <w:r>
        <w:rPr>
          <w:vertAlign w:val="subscript"/>
        </w:rPr>
        <w:t>2</w:t>
      </w:r>
      <w:r>
        <w:t>增强，导致更强的共价键和更低的吸附能。使用铁的锌空气电池</w:t>
      </w:r>
      <w:r>
        <w:rPr>
          <w:vertAlign w:val="subscript"/>
        </w:rPr>
        <w:t>2</w:t>
      </w:r>
      <w:r>
        <w:t>–S@NHCS 作为阴极催化剂，表现出 210.66 mW cm 的高功率密度</w:t>
      </w:r>
      <w:r>
        <w:t xml:space="preserve"> </w:t>
      </w:r>
      <w:r>
        <w:t>−2</w:t>
      </w:r>
      <w:r>
        <w:t xml:space="preserve"> </w:t>
      </w:r>
      <w:r>
        <w:t>900 次充放电循环后具有出色的稳定性。这种催化剂</w:t>
      </w:r>
    </w:p>
    <w:p>
      <w:pPr>
        <w:spacing w:before="0" w:after="200" w:lineRule="auto" w:line="276"/>
      </w:pPr>
      <w:r>
        <w:rPr>
          <w:b/>
        </w:rPr>
        <w:t xml:space="preserve">Abstract (EN): </w:t>
      </w:r>
      <w:r>
        <w:t>Single‐atom catalysts featuring metal‐N</w:t>
      </w:r>
      <w:r>
        <w:rPr>
          <w:vertAlign w:val="subscript"/>
        </w:rPr>
        <w:t>4</w:t>
      </w:r>
      <w:r>
        <w:t>moieties hold great promise for promoting oxygen reduction reaction (ORR). However, their symmetric active sites often lead to suboptimal electronic structure and intermediate adsorption, thereby limiting intrinsic ORR performance. In this work, we construct a symmetry‐breaking dual‐atom site catalyst featuring Fe–S–Fe moieties (Fe</w:t>
      </w:r>
      <w:r>
        <w:rPr>
          <w:vertAlign w:val="subscript"/>
        </w:rPr>
        <w:t>2</w:t>
      </w:r>
      <w:r>
        <w:t>–S@NHCS) through precise modulation of the coordination environment and electronic structure. The interaction between adjacent Fe atoms and the bridging S atom endows the catalyst with a high half‐wave potential of 0.912 V and a turnover frequency of 1.45 s</w:t>
      </w:r>
      <w:r>
        <w:t xml:space="preserve"> </w:t>
      </w:r>
      <w:r>
        <w:t>−1</w:t>
      </w:r>
      <w:r>
        <w:t xml:space="preserve"> </w:t>
      </w:r>
      <w:r>
        <w:t>at 0.85 V, significantly surpassing other Fe‐based catalysts. There is no significant performance degradation after 20,000 CV cycles or 100,000 s continuous testing. Combined theoretical and in situ spectroscopic analyses reveal that adjacent dual Fe atoms act as the active center to parallel adsorb oxygen molecule. Owing to the relatively low electronegativity of S, electron transfer from Fe to O</w:t>
      </w:r>
      <w:r>
        <w:rPr>
          <w:vertAlign w:val="subscript"/>
        </w:rPr>
        <w:t>2</w:t>
      </w:r>
      <w:r>
        <w:t>is enhanced, resulting in stronger covalent bonding and lower adsorption energy. Zinc–air batteries employing Fe</w:t>
      </w:r>
      <w:r>
        <w:rPr>
          <w:vertAlign w:val="subscript"/>
        </w:rPr>
        <w:t>2</w:t>
      </w:r>
      <w:r>
        <w:t>–S@NHCS as the cathode catalyst demonstrate high power density of 210.66 mW cm</w:t>
      </w:r>
      <w:r>
        <w:t xml:space="preserve"> </w:t>
      </w:r>
      <w:r>
        <w:t>−2</w:t>
      </w:r>
      <w:r>
        <w:t xml:space="preserve"> </w:t>
      </w:r>
      <w:r>
        <w:t>and excellent stability over 900 charge–discharge cycling. This catalyst offers new insights into the design of atomic‐scale catalysts and highlights their potential for electrocatalysis applications.</w:t>
      </w:r>
    </w:p>
    <w:p>
      <w:pPr>
        <w:spacing w:before="120" w:after="120"/>
      </w:pPr>
      <w:r>
        <w:rPr>
          <w:sz w:val="18"/>
        </w:rPr>
        <w:t>——————————————————————————————————————————————————————————————————————</w:t>
      </w:r>
    </w:p>
    <w:p>
      <w:pPr>
        <w:spacing w:before="160" w:after="40" w:line="240" w:lineRule="auto"/>
      </w:pPr>
      <w:r>
        <w:rPr>
          <w:b/>
        </w:rPr>
        <w:t xml:space="preserve">[6] </w:t>
      </w:r>
      <w:hyperlink r:id="rId117">
        <w:r>
          <w:rPr>
            <w:color w:val="1155CC"/>
            <w:u w:val="single"/>
          </w:rPr>
          <w:t>通过基于深度学习的虚拟筛选实现 250°C 操作的氢键工程聚合物电介质</w:t>
        </w:r>
      </w:hyperlink>
    </w:p>
    <w:p>
      <w:pPr>
        <w:spacing w:before="0" w:after="80"/>
      </w:pPr>
      <w:r>
        <w:rPr>
          <w:i/>
          <w:sz w:val="20"/>
        </w:rPr>
        <w:t>EN: Hydrogen-Bond-Engineered Polymer Dielectrics for 250 °C Operation Enabled by Deep-Learning-Based Virtual Screening</w:t>
      </w:r>
    </w:p>
    <w:p>
      <w:pPr>
        <w:spacing w:before="0" w:after="120"/>
      </w:pPr>
      <w:r>
        <w:rPr>
          <w:b/>
        </w:rPr>
        <w:t xml:space="preserve">Source: </w:t>
      </w:r>
      <w:r>
        <w:t>RSC - Energy Environ. Sci. latest articles</w:t>
      </w:r>
      <w:r>
        <w:t xml:space="preserve">    </w:t>
      </w:r>
      <w:r>
        <w:rPr>
          <w:b/>
        </w:rPr>
        <w:t xml:space="preserve">Pub date: </w:t>
      </w:r>
      <w:r>
        <w:t>2026-06-07 23:00:00+00:00</w:t>
      </w:r>
    </w:p>
    <w:p>
      <w:pPr>
        <w:spacing w:before="0" w:after="120"/>
      </w:pPr>
      <w:r>
        <w:rPr>
          <w:b/>
        </w:rPr>
        <w:t xml:space="preserve">Notes: </w:t>
      </w:r>
      <w:r>
        <w:t>abstract_source=rsc_html</w:t>
      </w:r>
    </w:p>
    <w:p>
      <w:pPr>
        <w:spacing w:before="0" w:after="80" w:lineRule="auto" w:line="276"/>
      </w:pPr>
      <w:r>
        <w:rPr>
          <w:b/>
        </w:rPr>
        <w:t xml:space="preserve">摘要（ZH）: </w:t>
      </w:r>
      <w:r>
        <w:t>聚合物电介质在介电常数、绝缘性和 140 °C 以上的热稳定性之间面临固有的权衡，严重限制了高温电容储能。为了克服这一挑战，我们部署了一个深度学习框架来筛选聚酰亚胺 (PI) 复合材料中的氢键分子指纹。我们的模型破译了 1,200 个候选者的静电势和供体/受体分布，预测每个晶胞的氢键数量、氢键概率、每个单体单元的氢键能量和电子带隙。在这些预测的指导下，合成了性能最佳的候选物（4-（3-氨基-4甲氧基苯氧基）苯基）（对甲苯基）甲酮（O-PU），并将其与PI混合。至关重要的是，引入的氢键直接形成低熵纳米晶体网络，同时增强机械强度（杨氏模量：6.06 GPa），抑制300 MV/m（1.67 × 10 -7 A/cm 2 ），加宽光学带隙（从2.92 eV到4.62 eV），并提高热导率。因此，最佳复合材料在 250 °C 下实现了创纪录的高性能：威布尔击穿强度为 587.1 MV/m，能量密度为 5.99 J/cm3，在 400 MV/m 下效率 &gt; 90%。这项工作展示了一种利用深度学习优化的氢键进行极端条件介电设计的全新策略。</w:t>
      </w:r>
    </w:p>
    <w:p>
      <w:pPr>
        <w:spacing w:before="0" w:after="200" w:lineRule="auto" w:line="276"/>
      </w:pPr>
      <w:r>
        <w:rPr>
          <w:b/>
        </w:rPr>
        <w:t xml:space="preserve">Abstract (EN): </w:t>
      </w:r>
      <w:r>
        <w:t>Polymer dielectrics face inherent trade-offs among permittivity, insulation, and thermal stability above 140 °C, severely limiting high-temperature capacitive energy storage. To overcome this challenge, we deployed a deep learning framework that screens hydrogen-bonding molecular fingerprints within polyimide (PI) composites. Our model deciphers electrostatic potentials and donor/acceptor distributions across 1,200 candidates, predicting number of hydrogen bonds per unit cell, the hydrogen bond probability, the hydrogen bond energy, per monomer unit, and the electronic bandgap. Guided by these predictions, the top-performing candidate, (4-(3-amino-4methoxyphenoxy)phenyl)(p-tolyl)methanone (O-PU), was synthesized and blended with PI.Critically, the introduced hydrogen bonds direct the formation of low-entropy nanocrystalline networks, which simultaneously enhance mechanical strength (Young's modulus: 6.06 GPa), suppress conduction current at 300 MV/m (1.67 × 10 -7 A/cm 2 ),widen optical bandgaps (from 2.92 eV to 4.62 eV), and improve thermal conductivity. Consequently, the optimal composite achieves record-high performance at 250 °C: a Weibull breakdown strength of 587.1 MV/m and an energy density of 5.99 J/cm3 with &gt; 90% efficiency under 400 MV/m. This work demonstrates a fundamentally new strategy for extreme-condition dielectric design using deep-learning-optimized hydrogen bonds.</w:t>
      </w:r>
    </w:p>
    <w:p>
      <w:pPr>
        <w:spacing w:before="120" w:after="120"/>
      </w:pPr>
      <w:r>
        <w:rPr>
          <w:sz w:val="18"/>
        </w:rPr>
        <w:t>——————————————————————————————————————————————————————————————————————</w:t>
      </w:r>
    </w:p>
    <w:p>
      <w:pPr>
        <w:spacing w:before="160" w:after="40" w:line="240" w:lineRule="auto"/>
      </w:pPr>
      <w:r>
        <w:rPr>
          <w:b/>
        </w:rPr>
        <w:t xml:space="preserve">[7] </w:t>
      </w:r>
      <w:hyperlink r:id="rId118">
        <w:r>
          <w:rPr>
            <w:color w:val="1155CC"/>
            <w:u w:val="single"/>
          </w:rPr>
          <w:t>软离子和电子摩擦纳米发电机：走向可附着和可植入的生物医学应用（Adv. Mater. 32/2026）</w:t>
        </w:r>
      </w:hyperlink>
    </w:p>
    <w:p>
      <w:pPr>
        <w:spacing w:before="0" w:after="80"/>
      </w:pPr>
      <w:r>
        <w:rPr>
          <w:i/>
          <w:sz w:val="20"/>
        </w:rPr>
        <w:t>EN: Soft Ionic and Electronic Triboelectric Nanogenerators: Toward Attachable and Implantable Biomedical Applications (Adv. Mater. 32/2026)</w:t>
      </w:r>
    </w:p>
    <w:p>
      <w:pPr>
        <w:spacing w:before="0" w:after="120"/>
      </w:pPr>
      <w:r>
        <w:rPr>
          <w:b/>
        </w:rPr>
        <w:t xml:space="preserve">Source: </w:t>
      </w:r>
      <w:r>
        <w:t>Wiley: Advanced Materials: Table of Contents</w:t>
      </w:r>
      <w:r>
        <w:t xml:space="preserve">    </w:t>
      </w:r>
      <w:r>
        <w:rPr>
          <w:b/>
        </w:rPr>
        <w:t xml:space="preserve">Pub date: </w:t>
      </w:r>
      <w:r>
        <w:t>2026-06-08 12:34:24+00:00</w:t>
      </w:r>
      <w:r>
        <w:t xml:space="preserve">    </w:t>
      </w:r>
      <w:r>
        <w:rPr>
          <w:b/>
        </w:rPr>
        <w:t xml:space="preserve">DOI: </w:t>
      </w:r>
      <w:hyperlink r:id="rId119">
        <w:r>
          <w:rPr>
            <w:color w:val="1155CC"/>
            <w:u w:val="single"/>
          </w:rPr>
          <w:t>10.1002/adma.73429</w:t>
        </w:r>
      </w:hyperlink>
    </w:p>
    <w:p>
      <w:pPr>
        <w:spacing w:before="0" w:after="120"/>
      </w:pPr>
      <w:r>
        <w:rPr>
          <w:b/>
        </w:rPr>
        <w:t xml:space="preserve">Notes: </w:t>
      </w:r>
      <w:r>
        <w:t>abstract_source=openalex</w:t>
      </w:r>
    </w:p>
    <w:p>
      <w:pPr>
        <w:spacing w:before="0" w:after="80" w:lineRule="auto" w:line="276"/>
      </w:pPr>
      <w:r>
        <w:rPr>
          <w:b/>
        </w:rPr>
        <w:t xml:space="preserve">摘要（ZH）: </w:t>
      </w:r>
      <w:r>
        <w:t>软离子和电子摩擦纳米发电机生物集成摩擦纳米发电机（TENG）的快速发展加速了可持续电源和自供电生物医学传感器的发展。本综述系统地将电子和离子 TENG 平台分为可附着和可植入配置，分析了它们共同的局限性，并提出了六个战略研究方向，为指导下一代临床可翻译生物界面提供了一个全面的框架。更多详细信息，请参阅 Sangyul Baik、Gwang-Bum Im、Younghoon Lee 及其同事的评论（DOI：10.1002/adma.202517321）。</w:t>
      </w:r>
    </w:p>
    <w:p>
      <w:pPr>
        <w:spacing w:before="0" w:after="200" w:lineRule="auto" w:line="276"/>
      </w:pPr>
      <w:r>
        <w:rPr>
          <w:b/>
        </w:rPr>
        <w:t xml:space="preserve">Abstract (EN): </w:t>
      </w:r>
      <w:r>
        <w:t>Soft Ionic and Electronic Triboelectric Nanogenerators The rapid expansion of bio-integrated triboelectric nanogenerators (TENG) has accelerated the development of sustainable power sources and self-powered biomedical sensors. This review systematically categorizes electronic and ionic TENG platforms into attachable and implantable configurations, analyzes their shared limitations, and proposes six strategic research directions, offering a comprehensive framework to guide next-generation clinically translatable biointerfaces. More details can be found in the Review by Sangyul Baik, Gwang-Bum Im, Younghoon Lee, and co-workers (DOI: 10.1002/adma.202517321).</w:t>
      </w:r>
    </w:p>
    <w:p>
      <w:pPr>
        <w:spacing w:before="120" w:after="120"/>
      </w:pPr>
      <w:r>
        <w:rPr>
          <w:sz w:val="18"/>
        </w:rPr>
        <w:t>——————————————————————————————————————————————————————————————————————</w:t>
      </w:r>
    </w:p>
    <w:p>
      <w:pPr>
        <w:spacing w:before="160" w:after="40" w:line="240" w:lineRule="auto"/>
      </w:pPr>
      <w:r>
        <w:rPr>
          <w:b/>
        </w:rPr>
        <w:t xml:space="preserve">[8] </w:t>
      </w:r>
      <w:hyperlink r:id="rId120">
        <w:r>
          <w:rPr>
            <w:color w:val="1155CC"/>
            <w:u w:val="single"/>
          </w:rPr>
          <w:t>超薄氧化物原子层沉积对钙钛矿氧电极反应性和耐久性的影响（Adv. Mater. 32/2026）</w:t>
        </w:r>
      </w:hyperlink>
    </w:p>
    <w:p>
      <w:pPr>
        <w:spacing w:before="0" w:after="80"/>
      </w:pPr>
      <w:r>
        <w:rPr>
          <w:i/>
          <w:sz w:val="20"/>
        </w:rPr>
        <w:t>EN: Effect of Atomic Layer Deposition of Ultra‐Thin Oxide on Reactivity and Durability of Perovskite Oxygen Electrodes (Adv. Mater. 32/2026)</w:t>
      </w:r>
    </w:p>
    <w:p>
      <w:pPr>
        <w:spacing w:before="0" w:after="120"/>
      </w:pPr>
      <w:r>
        <w:rPr>
          <w:b/>
        </w:rPr>
        <w:t xml:space="preserve">Source: </w:t>
      </w:r>
      <w:r>
        <w:t>Wiley: Advanced Materials: Table of Contents</w:t>
      </w:r>
      <w:r>
        <w:t xml:space="preserve">    </w:t>
      </w:r>
      <w:r>
        <w:rPr>
          <w:b/>
        </w:rPr>
        <w:t xml:space="preserve">Pub date: </w:t>
      </w:r>
      <w:r>
        <w:t>2026-06-08 12:34:24+00:00</w:t>
      </w:r>
      <w:r>
        <w:t xml:space="preserve">    </w:t>
      </w:r>
      <w:r>
        <w:rPr>
          <w:b/>
        </w:rPr>
        <w:t xml:space="preserve">DOI: </w:t>
      </w:r>
      <w:hyperlink r:id="rId121">
        <w:r>
          <w:rPr>
            <w:color w:val="1155CC"/>
            <w:u w:val="single"/>
          </w:rPr>
          <w:t>10.1002/adma.73485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22">
        <w:r>
          <w:rPr>
            <w:color w:val="1155CC"/>
            <w:u w:val="single"/>
          </w:rPr>
          <w:t>基于水凝胶的湿气发电机：材料、机制和可持续设备设计</w:t>
        </w:r>
      </w:hyperlink>
    </w:p>
    <w:p>
      <w:pPr>
        <w:spacing w:before="0" w:after="80"/>
      </w:pPr>
      <w:r>
        <w:rPr>
          <w:i/>
          <w:sz w:val="20"/>
        </w:rPr>
        <w:t>EN: Hydrogel-Based Moisture Electricity Generators: Materials, Mechanisms, and Sustainable Device Design</w:t>
      </w:r>
    </w:p>
    <w:p>
      <w:pPr>
        <w:spacing w:before="0" w:after="120"/>
      </w:pPr>
      <w:r>
        <w:rPr>
          <w:b/>
        </w:rPr>
        <w:t xml:space="preserve">Source: </w:t>
      </w:r>
      <w:r>
        <w:t>RSC - Energy Environ. Sci. latest articles</w:t>
      </w:r>
      <w:r>
        <w:t xml:space="preserve">    </w:t>
      </w:r>
      <w:r>
        <w:rPr>
          <w:b/>
        </w:rPr>
        <w:t xml:space="preserve">Pub date: </w:t>
      </w:r>
      <w:r>
        <w:t>2026-06-08 23:00:00+00:00</w:t>
      </w:r>
    </w:p>
    <w:p>
      <w:pPr>
        <w:spacing w:before="0" w:after="120"/>
      </w:pPr>
      <w:r>
        <w:rPr>
          <w:b/>
        </w:rPr>
        <w:t xml:space="preserve">Notes: </w:t>
      </w:r>
      <w:r>
        <w:t>abstract_source=rsc_html</w:t>
      </w:r>
    </w:p>
    <w:p>
      <w:pPr>
        <w:spacing w:before="0" w:after="80" w:lineRule="auto" w:line="276"/>
      </w:pPr>
      <w:r>
        <w:rPr>
          <w:b/>
        </w:rPr>
        <w:t xml:space="preserve">摘要（ZH）: </w:t>
      </w:r>
      <w:r>
        <w:t>全球环境危机和能源短缺对人类社会构成严重威胁。广泛的水分为可持续电力生产提供了源源不断的动力。然而，传统的湿气发电装置（MEG）遇到功率输出低、不稳定和可扩展性有限等问题。水凝胶具有优异的吸湿和保留性能、高效的离子传输通道以及出色的灵活性和适应性，为构建高性能、高稳定性和可扩展的MEG提供了理想的材料平台。本文系统概述了基于水凝胶的水分发电装置（HMEG）的最新进展。首先，全面描述了 HMEG 的基本机制，包括水分-水凝胶相互作用和发电。随后介绍了HMEG材料的选择。然后讨论了提高 HMEG 性能的策略，包括多孔传输路径的构建、不对称梯度的设计、电极的修改以及利用多源能量收集的协同效应。还回顾了高性能 HMEG 在自供电和可穿戴电子产品、环境监测和传感中的应用。最后，我们总结了 HMEG 的优势，并对当前挑战和未来前景进行了批判性分析，旨在为下一代可持续 HMEG 的发展提供基本见解。</w:t>
      </w:r>
    </w:p>
    <w:p>
      <w:pPr>
        <w:spacing w:before="0" w:after="200" w:lineRule="auto" w:line="276"/>
      </w:pPr>
      <w:r>
        <w:rPr>
          <w:b/>
        </w:rPr>
        <w:t xml:space="preserve">Abstract (EN): </w:t>
      </w:r>
      <w:r>
        <w:t>Global environmental crises and energy shortages pose a grave threat to human society. The widespread moisture offers an endless source of power for sustainable electricity production. However, traditional moisture electricity generation devices (MEGs) encounter issues such as low power output, instability, and limited scalability. Hydrogels, with their exceptional moisture absorption and retention properties, efficient ionic transport channels, and outstanding flexibility and adaptability, provide an ideal material platform for constructing high-performance, high-stability, and scalable MEGs.Herein, a systematic overview of recent advances in hydrogel-based moisture electricity generation devices (HMEGs) is presented. First, the fundamental mechanisms of HMEG are described thoroughly, including moisture-hydrogel interactions and power generation. Subsequently, the selection of materials for HMEGs is introduced. Strategies to improve HMEG performance are then discussed, including the construction of porous transport pathways, the design of asymmetric gradients, the modification of electrodes, and the exploitation of synergistic effects for multi-source energy harvesting. Applications of high-performance HMEGs in self-powered and wearable electronics, environmental monitoring, and sensing are also reviewed. Finally, we summarize the advantages of HMEGs and provide a critical analysis of current challenges and future perspectives, aiming to offer fundamental insights for the development of nextgeneration sustainable HMEGs.</w:t>
      </w:r>
    </w:p>
    <w:p>
      <w:pPr>
        <w:spacing w:before="120" w:after="120"/>
      </w:pPr>
      <w:r>
        <w:rPr>
          <w:sz w:val="18"/>
        </w:rPr>
        <w:t>——————————————————————————————————————————————————————————————————————</w:t>
      </w:r>
    </w:p>
    <w:p>
      <w:pPr>
        <w:spacing w:before="160" w:after="40" w:line="240" w:lineRule="auto"/>
      </w:pPr>
      <w:r>
        <w:rPr>
          <w:b/>
        </w:rPr>
        <w:t xml:space="preserve">[10] </w:t>
      </w:r>
      <w:hyperlink r:id="rId123">
        <w:r>
          <w:rPr>
            <w:color w:val="1155CC"/>
            <w:u w:val="single"/>
          </w:rPr>
          <w:t>一种统一的聚合物水凝胶电解质，在柔性中性锌空气电池中集强大的附着力、自修复性和透氧性于一体</w:t>
        </w:r>
      </w:hyperlink>
    </w:p>
    <w:p>
      <w:pPr>
        <w:spacing w:before="0" w:after="80"/>
      </w:pPr>
      <w:r>
        <w:rPr>
          <w:i/>
          <w:sz w:val="20"/>
        </w:rPr>
        <w:t>EN: A Unified Polymer Hydrogel Electrolyte Integrating Robust Adhesion, Self‐Healing, and Oxygen Permeability in Flexible Neutral Zn‐Air Batteries</w:t>
      </w:r>
    </w:p>
    <w:p>
      <w:pPr>
        <w:spacing w:before="0" w:after="120"/>
      </w:pPr>
      <w:r>
        <w:rPr>
          <w:b/>
        </w:rPr>
        <w:t xml:space="preserve">Source: </w:t>
      </w:r>
      <w:r>
        <w:t>Wiley: Advanced Materials: Table of Contents</w:t>
      </w:r>
      <w:r>
        <w:t xml:space="preserve">    </w:t>
      </w:r>
      <w:r>
        <w:rPr>
          <w:b/>
        </w:rPr>
        <w:t xml:space="preserve">Pub date: </w:t>
      </w:r>
      <w:r>
        <w:t>2026-06-09 08:22:22+00:00</w:t>
      </w:r>
      <w:r>
        <w:t xml:space="preserve">    </w:t>
      </w:r>
      <w:r>
        <w:rPr>
          <w:b/>
        </w:rPr>
        <w:t xml:space="preserve">DOI: </w:t>
      </w:r>
      <w:hyperlink r:id="rId124">
        <w:r>
          <w:rPr>
            <w:color w:val="1155CC"/>
            <w:u w:val="single"/>
          </w:rPr>
          <w:t>10.1002/adma.73665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水凝胶电解质由于其优异的柔韧性、不易燃性和防漏性，在锌空气电池中具有广阔的应用前景。然而，它们的实际应用仍然受到锌枝晶生长以及离子电导率、透氧性、机械强度以及界面和环境稳定性之间的内在权衡的限制。在此，我们报告了一种中性的、3D物理交联的PFCD水凝胶，该水凝胶是通过小Fe的紧密配位网络的协同组合而设计的</w:t>
      </w:r>
      <w:r>
        <w:rPr>
          <w:vertAlign w:val="subscript"/>
        </w:rPr>
        <w:t>3</w:t>
      </w:r>
      <w:r>
        <w:t>+</w:t>
      </w:r>
      <w:r>
        <w:t xml:space="preserve"> </w:t>
      </w:r>
      <w:r>
        <w:t>离子和更广泛的β-环糊精氢键网络，并原位掺入N-羧乙基壳聚糖。这种分层结构赋予 PFCD 水凝胶高粘附力 (50 kPa)、优异的离子电导率 (113.2 mS cm</w:t>
      </w:r>
      <w:r>
        <w:t xml:space="preserve"> </w:t>
      </w:r>
      <w:r>
        <w:t>-</w:t>
      </w:r>
      <w:r>
        <w:rPr>
          <w:vertAlign w:val="subscript"/>
        </w:rPr>
        <w:t>1</w:t>
      </w:r>
      <w:r>
        <w:t>）和显着的透氧性（4.1 Barrer）。此外，该水凝胶还具有自主自愈能力（3小时内效率达到99%）、卓越的拉伸性（1600%伸长率）和强大的界面接触（可承受1000次折叠/拉伸循环），同时有效抑制锌枝晶生长并抵抗CO2</w:t>
      </w:r>
      <w:r>
        <w:rPr>
          <w:vertAlign w:val="subscript"/>
        </w:rPr>
        <w:t>2</w:t>
      </w:r>
      <w:r>
        <w:t>退化。组装式柔性中性锌空气电池 (FNZAB) 实现高功率密度 (59 mW cm</w:t>
      </w:r>
      <w:r>
        <w:t xml:space="preserve"> </w:t>
      </w:r>
      <w:r>
        <w:t>-</w:t>
      </w:r>
      <w:r>
        <w:rPr>
          <w:vertAlign w:val="subscript"/>
        </w:rPr>
        <w:t>2</w:t>
      </w:r>
      <w:r>
        <w:t>）稳定运行超过3000次。此外，无泄漏、封闭系统 FNZAB 的制造</w:t>
      </w:r>
    </w:p>
    <w:p>
      <w:pPr>
        <w:spacing w:before="0" w:after="200" w:lineRule="auto" w:line="276"/>
      </w:pPr>
      <w:r>
        <w:rPr>
          <w:b/>
        </w:rPr>
        <w:t xml:space="preserve">Abstract (EN): </w:t>
      </w:r>
      <w:r>
        <w:t>Polymer hydrogel electrolytes hold significant promise for Zn–air batteries due to their excellent flexibility, non‐flammability, and leak resistance. However, their practical application remains constrained by zinc dendrite growth and intrinsic trade‐offs among ionic conductivity, oxygen permeability, mechanical strength, and both interfacial and environmental stability. Herein, we report a neutral, 3D physically cross‐linked PFCD hydrogel engineered via the synergistic combination of a tight coordination network of small Fe</w:t>
      </w:r>
      <w:r>
        <w:rPr>
          <w:vertAlign w:val="subscript"/>
        </w:rPr>
        <w:t>3</w:t>
      </w:r>
      <w:r>
        <w:t>+</w:t>
      </w:r>
      <w:r>
        <w:t xml:space="preserve"> </w:t>
      </w:r>
      <w:r>
        <w:t>ions and a broader hydrogen‐bonding network of β‐cyclodextrin, with in situ incorporated N‐carboxyethyl chitosan. This hierarchical architecture endows the PFCD hydrogel with high adhesion (50 kPa), superior ionic conductivity (113.2 mS cm</w:t>
      </w:r>
      <w:r>
        <w:t xml:space="preserve"> </w:t>
      </w:r>
      <w:r>
        <w:t>−</w:t>
      </w:r>
      <w:r>
        <w:rPr>
          <w:vertAlign w:val="subscript"/>
        </w:rPr>
        <w:t>1</w:t>
      </w:r>
      <w:r>
        <w:t>), and significant oxygen permeability (4.1 Barrer). Additionally, the hydrogel exhibits autonomous self‐healing (99% efficiency in 3 h), exceptional stretchability (1600% elongation), and robust interfacial contact (withstanding 1000 folding/stretching cycles), while effectively suppressing zinc dendrite growth and resisting CO</w:t>
      </w:r>
      <w:r>
        <w:rPr>
          <w:vertAlign w:val="subscript"/>
        </w:rPr>
        <w:t>2</w:t>
      </w:r>
      <w:r>
        <w:t>degradation. Assembled flexible neutral Zn–air batteries (FNZABs) achieve high power density (59 mW cm</w:t>
      </w:r>
      <w:r>
        <w:t xml:space="preserve"> </w:t>
      </w:r>
      <w:r>
        <w:t>−</w:t>
      </w:r>
      <w:r>
        <w:rPr>
          <w:vertAlign w:val="subscript"/>
        </w:rPr>
        <w:t>2</w:t>
      </w:r>
      <w:r>
        <w:t>) with stable operation over 3000 cycles. Furthermore, the fabrication of leakage‐free, closed‐system FNZABs demonstrates the hydrogel's dual role as both an electrolyte and an oxygen‐permeable encapsulation membrane. This integrated strategy effectively addresses critical interfacial and stability challenges essential for advanced flexible energy storage systems development.</w:t>
      </w:r>
    </w:p>
    <w:p>
      <w:pPr>
        <w:spacing w:before="120" w:after="120"/>
      </w:pPr>
      <w:r>
        <w:rPr>
          <w:sz w:val="18"/>
        </w:rPr>
        <w:t>——————————————————————————————————————————————————————————————————————</w:t>
      </w:r>
    </w:p>
    <w:p>
      <w:pPr>
        <w:spacing w:before="160" w:after="40" w:line="240" w:lineRule="auto"/>
      </w:pPr>
      <w:r>
        <w:rPr>
          <w:b/>
        </w:rPr>
        <w:t xml:space="preserve">[11] </w:t>
      </w:r>
      <w:hyperlink r:id="rId125">
        <w:r>
          <w:rPr>
            <w:color w:val="1155CC"/>
            <w:u w:val="single"/>
          </w:rPr>
          <w:t>解锁耐用的高功率锌空气电池：{Fe3O}分子炉锻造的双位点催化剂可在碱性介质中实现协同氧还原</w:t>
        </w:r>
      </w:hyperlink>
    </w:p>
    <w:p>
      <w:pPr>
        <w:spacing w:before="0" w:after="80"/>
      </w:pPr>
      <w:r>
        <w:rPr>
          <w:i/>
          <w:sz w:val="20"/>
        </w:rPr>
        <w:t>EN: Unlocking Durable High‐Power Zn‐Air Batteries: {Fe3O} Molecular Furnace‐Forged Dual‐Site Catalysts Enabling Synergistic Oxygen Reduction in Alkaline Media</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06:02:41+00:00</w:t>
      </w:r>
      <w:r>
        <w:t xml:space="preserve">    </w:t>
      </w:r>
      <w:r>
        <w:rPr>
          <w:b/>
        </w:rPr>
        <w:t xml:space="preserve">DOI: </w:t>
      </w:r>
      <w:hyperlink r:id="rId126">
        <w:r>
          <w:rPr>
            <w:color w:val="1155CC"/>
            <w:u w:val="single"/>
          </w:rPr>
          <w:t>10.1002/anie.6643887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原子级精密金属氧簇作为连接单个原子和纳米颗粒的独特桥梁。它们高度有序的准分子结构有效促进电子转移并优化电荷沉积动力学，从而显着增强电化学氧还原反应的催化活性和稳定性。在这里，我们构建了一种单原子纳米颗粒双引擎催化剂（Fe</w:t>
      </w:r>
      <w:r>
        <w:rPr>
          <w:vertAlign w:val="subscript"/>
        </w:rPr>
        <w:t>3</w:t>
      </w:r>
      <w:r>
        <w:t>C/Fe-NC</w:t>
      </w:r>
      <w:r>
        <w:rPr>
          <w:vertAlign w:val="subscript"/>
        </w:rPr>
        <w:t>1050</w:t>
      </w:r>
      <w:r>
        <w:t>）通过使用 {Fe</w:t>
      </w:r>
      <w:r>
        <w:rPr>
          <w:vertAlign w:val="subscript"/>
        </w:rPr>
        <w:t>3</w:t>
      </w:r>
      <w:r>
        <w:t>O}作为核心金属-氧簇。 {Fe 的独特柔性配体-羧酸根基团</w:t>
      </w:r>
      <w:r>
        <w:rPr>
          <w:vertAlign w:val="subscript"/>
        </w:rPr>
        <w:t>3</w:t>
      </w:r>
      <w:r>
        <w:t>O}簇为热解过程中的金属原子分布提供了保护屏障，与ZIF-8框架协同作用以提供导电基底。精确暴露的铁</w:t>
      </w:r>
      <w:r>
        <w:rPr>
          <w:vertAlign w:val="subscript"/>
        </w:rPr>
        <w:t>3</w:t>
      </w:r>
      <w:r>
        <w:t>C(110)晶面调节邻近Fe-N的电子结构</w:t>
      </w:r>
      <w:r>
        <w:rPr>
          <w:vertAlign w:val="subscript"/>
        </w:rPr>
        <w:t>4</w:t>
      </w:r>
      <w:r>
        <w:t>活性位点，从而降低关键步骤O的吸附能</w:t>
      </w:r>
      <w:r>
        <w:rPr>
          <w:vertAlign w:val="subscript"/>
        </w:rPr>
        <w:t>2</w:t>
      </w:r>
      <w:r>
        <w:t>→*OOH，赋予材料优异的耐甲醇性和稳定性。结构表征和理论计算表明，{Fe</w:t>
      </w:r>
      <w:r>
        <w:rPr>
          <w:vertAlign w:val="subscript"/>
        </w:rPr>
        <w:t>3</w:t>
      </w:r>
      <w:r>
        <w:t>O}团簇和碳基底提供了稳定的导电网络和活性位点，实现了</w:t>
      </w:r>
    </w:p>
    <w:p>
      <w:pPr>
        <w:spacing w:before="0" w:after="200" w:lineRule="auto" w:line="276"/>
      </w:pPr>
      <w:r>
        <w:rPr>
          <w:b/>
        </w:rPr>
        <w:t xml:space="preserve">Abstract (EN): </w:t>
      </w:r>
      <w:r>
        <w:t>Atomic‐level precision metal‐oxo clusters serve as a unique bridge linking single atoms and nanoparticles. Their highly ordered, quasi‐molecular structure effectively promotes electron transfer and optimizes charge deposition kinetics, thereby significantly enhancing the catalytic activity and stability of electrochemical oxygen reduction reactions. Here, we constructed a single‐atom‐nanoparticle dual‐engine catalyst (Fe</w:t>
      </w:r>
      <w:r>
        <w:rPr>
          <w:vertAlign w:val="subscript"/>
        </w:rPr>
        <w:t>3</w:t>
      </w:r>
      <w:r>
        <w:t>C/Fe‐NC</w:t>
      </w:r>
      <w:r>
        <w:rPr>
          <w:vertAlign w:val="subscript"/>
        </w:rPr>
        <w:t>1050</w:t>
      </w:r>
      <w:r>
        <w:t>) by in situ domain‐confined complexation of ZIF‐8(Zn) using {Fe</w:t>
      </w:r>
      <w:r>
        <w:rPr>
          <w:vertAlign w:val="subscript"/>
        </w:rPr>
        <w:t>3</w:t>
      </w:r>
      <w:r>
        <w:t>O} as a core metal‐oxo cluster. The unique flexible ligand‐carboxylate group of {Fe</w:t>
      </w:r>
      <w:r>
        <w:rPr>
          <w:vertAlign w:val="subscript"/>
        </w:rPr>
        <w:t>3</w:t>
      </w:r>
      <w:r>
        <w:t>O} clusters provide a protective barrier for the metal atoms distribution during pyrolysis, work in synergy with the ZIF‐8 framework to provide a conductive substrate. The precisely exposed Fe</w:t>
      </w:r>
      <w:r>
        <w:rPr>
          <w:vertAlign w:val="subscript"/>
        </w:rPr>
        <w:t>3</w:t>
      </w:r>
      <w:r>
        <w:t>C (110) crystal plane modulates the electronic structure of neighboring Fe‐N</w:t>
      </w:r>
      <w:r>
        <w:rPr>
          <w:vertAlign w:val="subscript"/>
        </w:rPr>
        <w:t>4</w:t>
      </w:r>
      <w:r>
        <w:t>active sites, thus reducing the adsorption energy of key step O</w:t>
      </w:r>
      <w:r>
        <w:rPr>
          <w:vertAlign w:val="subscript"/>
        </w:rPr>
        <w:t>2</w:t>
      </w:r>
      <w:r>
        <w:t>→*OOH and endowing the material with excellent methanol resistance and stability. Structural characterization and theoretical calculations reveal that the synergistic interaction between {Fe</w:t>
      </w:r>
      <w:r>
        <w:rPr>
          <w:vertAlign w:val="subscript"/>
        </w:rPr>
        <w:t>3</w:t>
      </w:r>
      <w:r>
        <w:t>O} clusters and the carbon substrate provides a stable conductive network and active sites, achieving a maximum power density of 249.0 mW cm</w:t>
      </w:r>
      <w:r>
        <w:t xml:space="preserve"> </w:t>
      </w:r>
      <w:r>
        <w:t>−2</w:t>
      </w:r>
      <w:r>
        <w:t xml:space="preserve"> </w:t>
      </w:r>
      <w:r>
        <w:t>in alkaline zinc‐air batteries and demonstrates exceptionally long cycle life of 700 h at the current density of 2.0 mA cm</w:t>
      </w:r>
      <w:r>
        <w:t xml:space="preserve"> </w:t>
      </w:r>
      <w:r>
        <w:t>−2</w:t>
      </w:r>
      <w:r>
        <w:t xml:space="preserve"> </w:t>
      </w:r>
      <w:r>
        <w:t>. This design provides crucial insights for the nanoengineering of metal‐oxo clusters and atomic‐scale design of catalysts.</w:t>
      </w:r>
    </w:p>
    <w:p>
      <w:pPr>
        <w:spacing w:before="120" w:after="120"/>
      </w:pPr>
      <w:r>
        <w:rPr>
          <w:sz w:val="18"/>
        </w:rPr>
        <w:t>——————————————————————————————————————————————————————————————————————</w:t>
      </w:r>
    </w:p>
    <w:p>
      <w:pPr>
        <w:spacing w:before="160" w:after="40" w:line="240" w:lineRule="auto"/>
      </w:pPr>
      <w:r>
        <w:rPr>
          <w:b/>
        </w:rPr>
        <w:t xml:space="preserve">[12] </w:t>
      </w:r>
      <w:hyperlink r:id="rId127">
        <w:r>
          <w:rPr>
            <w:color w:val="1155CC"/>
            <w:u w:val="single"/>
          </w:rPr>
          <w:t>钙介导的 Fe─N 键强化超稳定氧还原反应</w:t>
        </w:r>
      </w:hyperlink>
    </w:p>
    <w:p>
      <w:pPr>
        <w:spacing w:before="0" w:after="80"/>
      </w:pPr>
      <w:r>
        <w:rPr>
          <w:i/>
          <w:sz w:val="20"/>
        </w:rPr>
        <w:t>EN: Calcium‐Mediated Fe─N Bond Reinforcement for Ultra‐Stable Oxygen Reduction Reaction</w:t>
      </w:r>
    </w:p>
    <w:p>
      <w:pPr>
        <w:spacing w:before="0" w:after="120"/>
      </w:pPr>
      <w:r>
        <w:rPr>
          <w:b/>
        </w:rPr>
        <w:t xml:space="preserve">Source: </w:t>
      </w:r>
      <w:r>
        <w:t>Wiley-Online-Library: Advanced Materials: Table of Contents</w:t>
      </w:r>
      <w:r>
        <w:t xml:space="preserve">    </w:t>
      </w:r>
      <w:r>
        <w:rPr>
          <w:b/>
        </w:rPr>
        <w:t xml:space="preserve">Pub date: </w:t>
      </w:r>
      <w:r>
        <w:t>2026-06-11 06:50:01+00:00</w:t>
      </w:r>
      <w:r>
        <w:t xml:space="preserve">    </w:t>
      </w:r>
      <w:r>
        <w:rPr>
          <w:b/>
        </w:rPr>
        <w:t xml:space="preserve">DOI: </w:t>
      </w:r>
      <w:hyperlink r:id="rId128">
        <w:r>
          <w:rPr>
            <w:color w:val="1155CC"/>
            <w:u w:val="single"/>
          </w:rPr>
          <w:t>10.1002/adma.73684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Fe活性位点的电化学浸出严重阻碍了用于氧还原反应（ORR）的原子分散Fe-N-C催化剂的实际部署。受到 Ca 的稳定作用的启发</w:t>
      </w:r>
      <w:r>
        <w:t xml:space="preserve"> </w:t>
      </w:r>
      <w:r>
        <w:t>2+</w:t>
      </w:r>
      <w:r>
        <w:t xml:space="preserve"> </w:t>
      </w:r>
      <w:r>
        <w:t>在金属酶活性位点中，一种新型的Fe-Ca双原子位点催化剂（Ca/Fe-N-C）构建在无定形多孔碳纳米片上。引入的Ca原子充当“电子调节剂”和“结构稳定剂”，有效降低Fe的氧化态并增强Fe-N配位键。这种巧妙的设计产生了一种特殊的 ORR 催化剂，在碱性介质中半波电位为 0.912 V，具有前所未有的耐用性，在 80000 次循环后表现出可忽略不计的衰减。当集成到锌空气电池 (ZAB) 中时，Ca/Fe-N-C 基阴极可提供 215 mW cm-2 的峰值功率密度</w:t>
      </w:r>
      <w:r>
        <w:t xml:space="preserve"> </w:t>
      </w:r>
      <w:r>
        <w:t>−2</w:t>
      </w:r>
      <w:r>
        <w:t xml:space="preserve"> </w:t>
      </w:r>
      <w:r>
        <w:t>并维持运行超过 1110 小时，明显优于基准 Pt/C。这项工作不仅揭示了碱土金属在稳定过渡金属位点方面的关键作用，而且还为设计用于先进能量转换装置的耐用原子分散催化剂建立了通用范例。</w:t>
      </w:r>
    </w:p>
    <w:p>
      <w:pPr>
        <w:spacing w:before="0" w:after="200" w:lineRule="auto" w:line="276"/>
      </w:pPr>
      <w:r>
        <w:rPr>
          <w:b/>
        </w:rPr>
        <w:t xml:space="preserve">Abstract (EN): </w:t>
      </w:r>
      <w:r>
        <w:t>The practical deployment of atomically dispersed Fe–N–C catalysts for the oxygen reduction reaction (ORR) is severely hampered by the electrochemical leaching of Fe active sites. Inspired by the stabilizing role of Ca</w:t>
      </w:r>
      <w:r>
        <w:t xml:space="preserve"> </w:t>
      </w:r>
      <w:r>
        <w:t>2+</w:t>
      </w:r>
      <w:r>
        <w:t xml:space="preserve"> </w:t>
      </w:r>
      <w:r>
        <w:t>in metalloenzyme active sites, a novel Fe–Ca dual‐atom sites catalyst (Ca/Fe–N–C) is constructed on amorphous porous carbon nanosheets. The introduced Ca atom acts as an “electronic modulator” and “structural stabilizer,” which effectively lowers the oxidation state of Fe and reinforces Fe–N coordination bond. This ingenious design results in an exceptional ORR catalyst with the half‐wave potential of 0.912 V in alkaline media and unprecedented durability, exhibiting negligible decay after 80000 cycles. When integrated into Zn‐air batteries (ZABs), the Ca/Fe–N–C‐based cathode delivers a peak power density of 215 mW cm</w:t>
      </w:r>
      <w:r>
        <w:t xml:space="preserve"> </w:t>
      </w:r>
      <w:r>
        <w:t>−2</w:t>
      </w:r>
      <w:r>
        <w:t xml:space="preserve"> </w:t>
      </w:r>
      <w:r>
        <w:t>and sustains operation for exceeding 1110 h, markedly superior to benchmark Pt/C. This work not only unveils the pivotal role of alkaline‐earth metals in stabilizing transition‐metal sites but also establishes a general paradigm for designing durable atomically dispersed catalysts for advanced energy conversion devices.</w:t>
      </w:r>
    </w:p>
    <w:p>
      <w:pPr>
        <w:spacing w:before="120" w:after="120"/>
      </w:pPr>
      <w:r>
        <w:rPr>
          <w:sz w:val="18"/>
        </w:rPr>
        <w:t>——————————————————————————————————————————————————————————————————————</w:t>
      </w:r>
    </w:p>
    <w:p>
      <w:pPr>
        <w:spacing w:before="160" w:after="40" w:line="240" w:lineRule="auto"/>
      </w:pPr>
      <w:r>
        <w:rPr>
          <w:b/>
        </w:rPr>
        <w:t xml:space="preserve">[13] </w:t>
      </w:r>
      <w:hyperlink r:id="rId129">
        <w:r>
          <w:rPr>
            <w:color w:val="1155CC"/>
            <w:u w:val="single"/>
          </w:rPr>
          <w:t>在纳米流体粘土膜中构建连续层间氢键网络，用于快速阳离子传导和抗膨胀渗透能发生器</w:t>
        </w:r>
      </w:hyperlink>
    </w:p>
    <w:p>
      <w:pPr>
        <w:spacing w:before="0" w:after="80"/>
      </w:pPr>
      <w:r>
        <w:rPr>
          <w:i/>
          <w:sz w:val="20"/>
        </w:rPr>
        <w:t>EN: Constructing Continuous Interlayer Hydrogen‐Bond Network in Nanofluidic Clay Membranes for Fast Cation Conduction and Anti‐Swelling Osmotic Energy Generators</w:t>
      </w:r>
    </w:p>
    <w:p>
      <w:pPr>
        <w:spacing w:before="0" w:after="120"/>
      </w:pPr>
      <w:r>
        <w:rPr>
          <w:b/>
        </w:rPr>
        <w:t xml:space="preserve">Source: </w:t>
      </w:r>
      <w:r>
        <w:t>Wiley-Online-Library: Advanced Materials: Table of Contents</w:t>
      </w:r>
      <w:r>
        <w:t xml:space="preserve">    </w:t>
      </w:r>
      <w:r>
        <w:rPr>
          <w:b/>
        </w:rPr>
        <w:t xml:space="preserve">Pub date: </w:t>
      </w:r>
      <w:r>
        <w:t>2026-06-11 11:05:09+00:00</w:t>
      </w:r>
      <w:r>
        <w:t xml:space="preserve">    </w:t>
      </w:r>
      <w:r>
        <w:rPr>
          <w:b/>
        </w:rPr>
        <w:t xml:space="preserve">DOI: </w:t>
      </w:r>
      <w:hyperlink r:id="rId130">
        <w:r>
          <w:rPr>
            <w:color w:val="1155CC"/>
            <w:u w:val="single"/>
          </w:rPr>
          <w:t>10.1002/adma.73660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二维粘土纳米流体膜在获取可持续渗透能方面具有广阔的前景，但其实际应用受到两个核心挑战的限制。 （1）堆叠纳米片结构内固有的曲折且低效的离子传输路径限制了阳离子通量，（2）水环境中层间纳米通道的严重膨胀损害了离子选择性和长期稳定性。为了同时应对这些挑战，我们通过顺序交联策略在层状膜（CHM）的夹层内构建了连续的氢键网络。这种工程网络具有双重功能：（1）建立低能垒路径以促进阳离子传输，同时（2）充当动态而坚固的交联基质来锚定粘土纳米片以抑制层间膨胀。实验和理论结果证实，带负电的表面与氢键网络协同作用，能够实现选择性和快速的阳离子传输。面内输运离子电导率高达22 S m</w:t>
      </w:r>
      <w:r>
        <w:t xml:space="preserve"> </w:t>
      </w:r>
      <w:r>
        <w:t>−1</w:t>
      </w:r>
      <w:r>
        <w:t xml:space="preserve"> </w:t>
      </w:r>
      <w:r>
        <w:t>在 1</w:t>
      </w:r>
      <w:r>
        <w:t xml:space="preserve"> </w:t>
      </w:r>
      <w:r>
        <w:t>米</w:t>
      </w:r>
      <w:r>
        <w:t xml:space="preserve"> </w:t>
      </w:r>
      <w:r>
        <w:t>电解质。当用于从人造海水和河水中收集渗透能量时，CHM 可提供令人印象深刻的 22.7 W m 的高功率密度</w:t>
      </w:r>
      <w:r>
        <w:t xml:space="preserve"> </w:t>
      </w:r>
      <w:r>
        <w:t>−2</w:t>
      </w:r>
      <w:r>
        <w:t xml:space="preserve"> </w:t>
      </w:r>
      <w:r>
        <w:t>并保持30天以上稳定功率输出。此外，集成渗透发电机成功驱动多个电子设备，证明</w:t>
      </w:r>
    </w:p>
    <w:p>
      <w:pPr>
        <w:spacing w:before="0" w:after="200" w:lineRule="auto" w:line="276"/>
      </w:pPr>
      <w:r>
        <w:rPr>
          <w:b/>
        </w:rPr>
        <w:t xml:space="preserve">Abstract (EN): </w:t>
      </w:r>
      <w:r>
        <w:t>Two‐dimensional clay nanofluidic membranes hold great promise for harvesting sustainable osmotic energy, yet their practical application is constrained by two core challenges. (1) The inherently tortuous and inefficient ion transport pathways within stacked nanosheet structures limit cation flux, and (2) the severe swelling of interlayer nanochannels in aqueous environments impairs ion selectivity and long‐term stability. To simultaneously tackle these challenges, we construct a continuous hydrogen‐bond network within the interlayer of a lamellar membrane (CHM) via a sequential crosslinking strategy. This engineered network serves a dual function: (1) establishing low‐energy barrier pathways to facilitate cation transport while (2) acting as a dynamic yet robust crosslinked matrix to anchor clay nanosheets for suppressing interlayer expansion. Experimental and theoretical results confirm that the negatively charged surface, in synergy with the hydrogen‐bond network, enables selective and rapid cation transport. The ionic conductivity of in‐plane transport reaches as high as 22 S m</w:t>
      </w:r>
      <w:r>
        <w:t xml:space="preserve"> </w:t>
      </w:r>
      <w:r>
        <w:t>−1</w:t>
      </w:r>
      <w:r>
        <w:t xml:space="preserve"> </w:t>
      </w:r>
      <w:r>
        <w:t>in 1</w:t>
      </w:r>
      <w:r>
        <w:t xml:space="preserve"> </w:t>
      </w:r>
      <w:r>
        <w:t>m</w:t>
      </w:r>
      <w:r>
        <w:t xml:space="preserve"> </w:t>
      </w:r>
      <w:r>
        <w:t>electrolyte. When employed for osmotic energy harvesting from artificial seawater and river water, the CHM delivers an impressive high‐power density of 22.7 W m</w:t>
      </w:r>
      <w:r>
        <w:t xml:space="preserve"> </w:t>
      </w:r>
      <w:r>
        <w:t>−2</w:t>
      </w:r>
      <w:r>
        <w:t xml:space="preserve"> </w:t>
      </w:r>
      <w:r>
        <w:t>and maintains stable power output for over 30 days. Furthermore, an integrated osmotic power generator successfully drives multiple electronic devices, demonstrating its real‐world applicability.</w:t>
      </w:r>
    </w:p>
    <w:p>
      <w:pPr>
        <w:spacing w:before="120" w:after="120"/>
      </w:pPr>
      <w:r>
        <w:rPr>
          <w:sz w:val="18"/>
        </w:rPr>
        <w:t>——————————————————————————————————————————————————————————————————————</w:t>
      </w:r>
    </w:p>
    <w:p>
      <w:pPr>
        <w:spacing w:before="160" w:after="40" w:line="240" w:lineRule="auto"/>
      </w:pPr>
      <w:r>
        <w:rPr>
          <w:b/>
        </w:rPr>
        <w:t xml:space="preserve">[14] </w:t>
      </w:r>
      <w:hyperlink r:id="rId131">
        <w:r>
          <w:rPr>
            <w:color w:val="1155CC"/>
            <w:u w:val="single"/>
          </w:rPr>
          <w:t>用于高温摩擦电传感和电磁屏蔽的柔性聚合物薄膜的解耦和从头设计</w:t>
        </w:r>
      </w:hyperlink>
    </w:p>
    <w:p>
      <w:pPr>
        <w:spacing w:before="0" w:after="80"/>
      </w:pPr>
      <w:r>
        <w:rPr>
          <w:i/>
          <w:sz w:val="20"/>
        </w:rPr>
        <w:t>EN: Decoupling and De Novo Design of Flexible Polymeric Films for High‐Temperature Triboelectric Sensing and Electromagnetic Shielding</w:t>
      </w:r>
    </w:p>
    <w:p>
      <w:pPr>
        <w:spacing w:before="0" w:after="120"/>
      </w:pPr>
      <w:r>
        <w:rPr>
          <w:b/>
        </w:rPr>
        <w:t xml:space="preserve">Source: </w:t>
      </w:r>
      <w:r>
        <w:t>Wiley-Online-Library: Advanced Materials: Table of Contents</w:t>
      </w:r>
      <w:r>
        <w:t xml:space="preserve">    </w:t>
      </w:r>
      <w:r>
        <w:rPr>
          <w:b/>
        </w:rPr>
        <w:t xml:space="preserve">Pub date: </w:t>
      </w:r>
      <w:r>
        <w:t>2026-06-11 11:06:35+00:00</w:t>
      </w:r>
      <w:r>
        <w:t xml:space="preserve">    </w:t>
      </w:r>
      <w:r>
        <w:rPr>
          <w:b/>
        </w:rPr>
        <w:t xml:space="preserve">DOI: </w:t>
      </w:r>
      <w:hyperlink r:id="rId132">
        <w:r>
          <w:rPr>
            <w:color w:val="1155CC"/>
            <w:u w:val="single"/>
          </w:rPr>
          <w:t>10.1002/adma.73667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聚合物的摩擦纳米发电机（TENG）凭借其灵活性和可加工性，在微能量收集和主动传感领域大放异彩。然而，热电子发射和热变形会减少摩擦电输出并使传感信号失真，从而限制了在高温环境中的实际应用。在此，聚合物TENG的电荷产生和收集单元被解耦以用于单独的</w:t>
      </w:r>
      <w:r>
        <w:t xml:space="preserve"> </w:t>
      </w:r>
      <w:r>
        <w:t>从头</w:t>
      </w:r>
      <w:r>
        <w:t xml:space="preserve"> </w:t>
      </w:r>
      <w:r>
        <w:t>设计。偶极玻璃聚合物 Cardo 聚芳基醚 (CPAE) 是由交替的侧链偶极子和主链偶极子以及庞大、刚性的 Cardo 取代基合成的。芳香族多酚锚定的 MXene 纳米片随后交联并夹在耐热 CPAE 薄膜中，从而提高了耐高温氧化性。由于 MXene 的层间调制，所得薄膜的总电磁屏蔽效能和吸收电磁屏蔽效能比原始 MXene 薄膜分别提高了 55% 和 195%。即使在 250°C 退火 24 小时后，屏蔽效能仅下降约 1.5%。此外，所得的 TENG 表现出不寻常的热诱导摩擦电增强，输出电压为 472.2 ± 0.9 V，功率密度为 2250.6 ± 27.7 mW/m</w:t>
      </w:r>
      <w:r>
        <w:rPr>
          <w:vertAlign w:val="subscript"/>
        </w:rPr>
        <w:t>2</w:t>
      </w:r>
      <w:r>
        <w:t>在 250°C 下，这与大多数报道的基于聚合物的 TENG 相比毫不逊色。这项工作为极端条件下的灵活电磁保护和自供电传感提供了一种新颖的技术途径</w:t>
      </w:r>
    </w:p>
    <w:p>
      <w:pPr>
        <w:spacing w:before="0" w:after="200" w:lineRule="auto" w:line="276"/>
      </w:pPr>
      <w:r>
        <w:rPr>
          <w:b/>
        </w:rPr>
        <w:t xml:space="preserve">Abstract (EN): </w:t>
      </w:r>
      <w:r>
        <w:t>Polymer‐based triboelectric nanogenerators (TENGs) are shining in fields of micro‐energy harvesting and active sensing by virtue of their flexibility and processability. However, thermionic emission and thermal deformation reduce triboelectric output and distort sensing signals, thereby limiting practical applications in high‐temperature environments. Herein, the charge generation and collection units of polymeric TENGs are decoupled for separate</w:t>
      </w:r>
      <w:r>
        <w:t xml:space="preserve"> </w:t>
      </w:r>
      <w:r>
        <w:t>de novo</w:t>
      </w:r>
      <w:r>
        <w:t xml:space="preserve"> </w:t>
      </w:r>
      <w:r>
        <w:t>design. A dipolar glass polymer, cardo poly(aryl ether) (CPAE), is synthesized with alternating pendant and main‐chain dipoles and bulky, rigid cardo substituent. Aromatic polyphenol‐anchored MXene nanosheets are subsequently crosslinked and sandwiched within thermostable CPAE films, which improves resistance to high‐temperature oxidation. Thanks to the interlayer modulation of MXenes, the total and absorption electromagnetic shielding effectiveness of the resulting film rises by 55% and 195% compared to pristine MXene films, respectively. Even after annealing at 250°C for 24 h, the shielding effectiveness decreases by only ∼1.5%. Moreover, the resulting TENG exhibits an unusual heat‐induced triboelectric enhancement, with an output voltage of 472.2 ± 0.9 V and a power density of 2250.6 ± 27.7 mW/m</w:t>
      </w:r>
      <w:r>
        <w:rPr>
          <w:vertAlign w:val="subscript"/>
        </w:rPr>
        <w:t>2</w:t>
      </w:r>
      <w:r>
        <w:t>at 250°C, which compares favorably with most reported polymer‐based TENGs. This work provides a novel technical pathway for flexible electromagnetic protection and self‐powered sensing under extreme operating conditions.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33">
        <w:r>
          <w:rPr>
            <w:color w:val="1155CC"/>
            <w:u w:val="single"/>
          </w:rPr>
          <w:t>制冷剂循环建模如何对城区集中供热系统与分散供热系统进行技术经济分析</w:t>
        </w:r>
      </w:hyperlink>
    </w:p>
    <w:p>
      <w:pPr>
        <w:spacing w:before="0" w:after="80"/>
      </w:pPr>
      <w:r>
        <w:rPr>
          <w:i/>
          <w:sz w:val="20"/>
        </w:rPr>
        <w:t>EN: How refrigerant cycle modeling shapes the techno-economic analysis of centralized vs. decentralized heat supply systems for city districts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4">
        <w:r>
          <w:rPr>
            <w:color w:val="1155CC"/>
            <w:u w:val="single"/>
          </w:rPr>
          <w:t>使用基于 GIS 的适宜性测绘、XAI 驱动的机器学习和网络约束物流对沼气厂选址进行多目标优化</w:t>
        </w:r>
      </w:hyperlink>
    </w:p>
    <w:p>
      <w:pPr>
        <w:spacing w:before="0" w:after="80"/>
      </w:pPr>
      <w:r>
        <w:rPr>
          <w:i/>
          <w:sz w:val="20"/>
        </w:rPr>
        <w:t>EN: Multi-objective optimization of biogas plant siting using GIS-based suitability mapping, XAI-driven machine learning and network-constrained logistics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5">
        <w:r>
          <w:rPr>
            <w:color w:val="1155CC"/>
            <w:u w:val="single"/>
          </w:rPr>
          <w:t>不凝气体对太阳能驱动蒸发的影响</w:t>
        </w:r>
      </w:hyperlink>
    </w:p>
    <w:p>
      <w:pPr>
        <w:spacing w:before="0" w:after="80"/>
      </w:pPr>
      <w:r>
        <w:rPr>
          <w:i/>
          <w:sz w:val="20"/>
        </w:rPr>
        <w:t>EN: Impact of Noncondensable Gases on Solar‐Driven Evaporation</w:t>
      </w:r>
    </w:p>
    <w:p>
      <w:pPr>
        <w:spacing w:before="0" w:after="120"/>
      </w:pPr>
      <w:r>
        <w:rPr>
          <w:b/>
        </w:rPr>
        <w:t xml:space="preserve">Source: </w:t>
      </w:r>
      <w:r>
        <w:t>Wiley: Advanced Materials: Table of Contents</w:t>
      </w:r>
      <w:r>
        <w:t xml:space="preserve">    </w:t>
      </w:r>
      <w:r>
        <w:rPr>
          <w:b/>
        </w:rPr>
        <w:t xml:space="preserve">Pub date: </w:t>
      </w:r>
      <w:r>
        <w:t>2026-06-06 15:24:04+00:00</w:t>
      </w:r>
      <w:r>
        <w:t xml:space="preserve">    </w:t>
      </w:r>
      <w:r>
        <w:rPr>
          <w:b/>
        </w:rPr>
        <w:t xml:space="preserve">DOI: </w:t>
      </w:r>
      <w:hyperlink r:id="rId136">
        <w:r>
          <w:rPr>
            <w:color w:val="1155CC"/>
            <w:u w:val="single"/>
          </w:rPr>
          <w:t>10.1002/adma.73586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太阳能驱动的界面蒸发（SDIE）通过利用光热传导将热能限制在水蒸气界面，已成为可持续清洁水收集、废水处理和资源回收的一种有前景的方法。尽管产水量超过 5.0 L.m</w:t>
      </w:r>
      <w:r>
        <w:t xml:space="preserve"> </w:t>
      </w:r>
      <w:r>
        <w:t>−2</w:t>
      </w:r>
      <w:r>
        <w:t xml:space="preserve"> </w:t>
      </w:r>
      <w:r>
        <w:t>.h</w:t>
      </w:r>
      <w:r>
        <w:t xml:space="preserve"> </w:t>
      </w:r>
      <w:r>
        <w:t>−1</w:t>
      </w:r>
      <w:r>
        <w:t xml:space="preserve"> </w:t>
      </w:r>
      <w:r>
        <w:t>尽管光热材料和设备架构的重大进步使这些技术成为可能，但不凝性气体（NCG）的积累仍然阻碍着实际部署。 NCG 源自溶解的空气、有机分解和生物活动，在液-气界面处汇聚，形成传质屏障，抑制蒸气扩散并导致冷凝室内部起雾。这种现象不仅会抑制产水量，还会损害光学透明度和长期系统稳定性。在这篇综述中，我们讨论了 NCG 积累的来源、传输机制以及对蒸发效率、冷凝动力学和水质的影响。我们总结了减轻 NCG 引起的雾化的最新策略，包括室设计优化、气体净化技术、膜辅助分离和催化分解。此外，我们强调了在操作条件下量化 NCG 浓度方面的知识差距，并提出了评估防雾性能的标准化测试方案。最后，我们概述了未来的研究方向</w:t>
      </w:r>
    </w:p>
    <w:p>
      <w:pPr>
        <w:spacing w:before="0" w:after="200" w:lineRule="auto" w:line="276"/>
      </w:pPr>
      <w:r>
        <w:rPr>
          <w:b/>
        </w:rPr>
        <w:t xml:space="preserve">Abstract (EN): </w:t>
      </w:r>
      <w:r>
        <w:t>Solar‐driven interfacial evaporation (SDIE) has emerged as a promising approach for sustainable clean water harvesting, wastewater treatment, and resource recovery by leveraging photothermal transduction to confine heat energy at the water‐vapor interface. Although remarkable water production rates above 5.0 L.m</w:t>
      </w:r>
      <w:r>
        <w:t xml:space="preserve"> </w:t>
      </w:r>
      <w:r>
        <w:t>−2</w:t>
      </w:r>
      <w:r>
        <w:t xml:space="preserve"> </w:t>
      </w:r>
      <w:r>
        <w:t>.h</w:t>
      </w:r>
      <w:r>
        <w:t xml:space="preserve"> </w:t>
      </w:r>
      <w:r>
        <w:t>−1</w:t>
      </w:r>
      <w:r>
        <w:t xml:space="preserve"> </w:t>
      </w:r>
      <w:r>
        <w:t>have been made possible by substantial advancements in photothermal materials and device architectures, the buildup of non‐condensable gases (NCGs) continues to hinder practical deployment. NCGs, originating from dissolved air, organic decomposition, and biological activity, converge at the liquid‐vapor interface, forming a mass‐transfer barrier that inhibits vapor diffusion and leads to fogging inside the condensation chamber. This phenomenon not only suppresses water yield but also compromises optical transparency and long‐term system stability. In this review, we discuss the sources, transport mechanisms, and impacts of NCG accumulation on evaporation efficiency, condensation dynamics, and water quality. We summarize recent strategies to mitigate NCG‐induced fogging, including chamber design optimization, gas‐purging techniques, membrane‐assisted separation, and catalytic decomposition. Furthermore, we highlight knowledge gaps in quantifying NCG concentration under operating conditions and propose standardized testing protocols for evaluating anti‐fogging performance. Finally, we outline future research directions for developing fouling‐resistant, self‐purging, and gas‐selective solar evaporators that remain efficient under realistic, fluctuating outdoor conditions. Addressing NCG accumulation is crucial to unlock the full potential of SDIE technologies for decentralized, energy‐efficient clean water generation in both low‐resource and industrial settings.</w:t>
      </w:r>
    </w:p>
    <w:p>
      <w:pPr>
        <w:spacing w:before="120" w:after="120"/>
      </w:pPr>
      <w:r>
        <w:rPr>
          <w:sz w:val="18"/>
        </w:rPr>
        <w:t>——————————————————————————————————————————————————————————————————————</w:t>
      </w:r>
    </w:p>
    <w:p>
      <w:pPr>
        <w:spacing w:before="160" w:after="40" w:line="240" w:lineRule="auto"/>
      </w:pPr>
      <w:r>
        <w:rPr>
          <w:b/>
        </w:rPr>
        <w:t xml:space="preserve">[4] </w:t>
      </w:r>
      <w:hyperlink r:id="rId137">
        <w:r>
          <w:rPr>
            <w:color w:val="1155CC"/>
            <w:u w:val="single"/>
          </w:rPr>
          <w:t>从归因和后果角度对家禽垫料热化学转化途径进行能源和环境可持续性评估</w:t>
        </w:r>
      </w:hyperlink>
    </w:p>
    <w:p>
      <w:pPr>
        <w:spacing w:before="0" w:after="80"/>
      </w:pPr>
      <w:r>
        <w:rPr>
          <w:i/>
          <w:sz w:val="20"/>
        </w:rPr>
        <w:t>EN: Energy and environmental sustainability assessment of thermochemical conversion pathways for poultry litter from the attributional and consequential perspectives</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8">
        <w:r>
          <w:rPr>
            <w:color w:val="1155CC"/>
            <w:u w:val="single"/>
          </w:rPr>
          <w:t>基于元扩散模型的极不平衡场景下HVAC系统新故障类别数据的自适应增强框架</w:t>
        </w:r>
      </w:hyperlink>
    </w:p>
    <w:p>
      <w:pPr>
        <w:spacing w:before="0" w:after="80"/>
      </w:pPr>
      <w:r>
        <w:rPr>
          <w:i/>
          <w:sz w:val="20"/>
        </w:rPr>
        <w:t>EN: An adaptive augmentation framework for new fault category data in HVAC systems under extremely imbalanced scenarios based on the meta-diffusion model</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39">
        <w:r>
          <w:rPr>
            <w:color w:val="1155CC"/>
            <w:u w:val="single"/>
          </w:rPr>
          <w:t>调节层间化学键异质性以实现电子声子解耦：释放层状 CuCrTi2Se6 的高热电性能</w:t>
        </w:r>
      </w:hyperlink>
    </w:p>
    <w:p>
      <w:pPr>
        <w:spacing w:before="0" w:after="80"/>
      </w:pPr>
      <w:r>
        <w:rPr>
          <w:i/>
          <w:sz w:val="20"/>
        </w:rPr>
        <w:t>EN: Modulating Interlayer Chemical Bonding Heterogeneity for Electron‐Phonon Decoupling: Unlocking High Thermoelectric Performance in Layered CuCrTi2Se6</w:t>
      </w:r>
    </w:p>
    <w:p>
      <w:pPr>
        <w:spacing w:before="0" w:after="120"/>
      </w:pPr>
      <w:r>
        <w:rPr>
          <w:b/>
        </w:rPr>
        <w:t xml:space="preserve">Source: </w:t>
      </w:r>
      <w:r>
        <w:t>Wiley: Advanced Energy Materials: Table of Contents</w:t>
      </w:r>
      <w:r>
        <w:t xml:space="preserve">    </w:t>
      </w:r>
      <w:r>
        <w:rPr>
          <w:b/>
        </w:rPr>
        <w:t xml:space="preserve">Pub date: </w:t>
      </w:r>
      <w:r>
        <w:t>2026-06-07 12:55:14+00:00</w:t>
      </w:r>
      <w:r>
        <w:t xml:space="preserve">    </w:t>
      </w:r>
      <w:r>
        <w:rPr>
          <w:b/>
        </w:rPr>
        <w:t xml:space="preserve">DOI: </w:t>
      </w:r>
      <w:hyperlink r:id="rId140">
        <w:r>
          <w:rPr>
            <w:color w:val="1155CC"/>
            <w:u w:val="single"/>
          </w:rPr>
          <w:t>10.1002/aenm.71173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层状铜铬钛合金</w:t>
      </w:r>
      <w:r>
        <w:rPr>
          <w:vertAlign w:val="subscript"/>
        </w:rPr>
        <w:t>2</w:t>
      </w:r>
      <w:r>
        <w:t>硒</w:t>
      </w:r>
      <w:r>
        <w:rPr>
          <w:vertAlign w:val="subscript"/>
        </w:rPr>
        <w:t>6</w:t>
      </w:r>
      <w:r>
        <w:t>是一种结构定制的过渡金属二硫属化物（TMD）衍生物，表现出本质上较低的晶格热导率，但由于层间电子耦合较弱而受到较差的载流子迁移率的限制。在这里，我们通过电荷平衡的“一铬替代三铜”策略来调节层间键合异质性以形成（Cu</w:t>
      </w:r>
      <w:r>
        <w:t xml:space="preserve"> </w:t>
      </w:r>
      <w:r>
        <w:t>1-3</w:t>
      </w:r>
      <w:r>
        <w:t xml:space="preserve"> </w:t>
      </w:r>
      <w:r>
        <w:t>x</w:t>
      </w:r>
      <w:r>
        <w:t xml:space="preserve"> </w:t>
      </w:r>
      <w:r>
        <w:t>铬</w:t>
      </w:r>
      <w:r>
        <w:t xml:space="preserve"> </w:t>
      </w:r>
      <w:r>
        <w:t>x</w:t>
      </w:r>
      <w:r>
        <w:t xml:space="preserve"> </w:t>
      </w:r>
      <w:r>
        <w:t>)铬钛</w:t>
      </w:r>
      <w:r>
        <w:rPr>
          <w:vertAlign w:val="subscript"/>
        </w:rPr>
        <w:t>2</w:t>
      </w:r>
      <w:r>
        <w:t>硒</w:t>
      </w:r>
      <w:r>
        <w:rPr>
          <w:vertAlign w:val="subscript"/>
        </w:rPr>
        <w:t>6</w:t>
      </w:r>
      <w:r>
        <w:t>，实现电子声子解耦。结构表征和密度泛函理论计算证实Cr掺入层间八面体位点，从而产生两种协同效应：（i）用更多的共价Cr─Se键取代离子层间Cu─Se键，有利于快速层间电荷转移，并将载流子迁移率提高约60％，而不改变电子能带结构； (ii) 非等原子 Cr/Cu 取代引起的层间原子密度降低削弱了层间机械耦合，剪切模量和横向声速受到抑制就证明了这一点。当与 Cr/Cu 点缺陷的声子散射相结合时，这种协同效应可将室温晶格热导率降低 22%。优化后的（铜</w:t>
      </w:r>
      <w:r>
        <w:t xml:space="preserve"> </w:t>
      </w:r>
      <w:r>
        <w:t>0.79</w:t>
      </w:r>
    </w:p>
    <w:p>
      <w:pPr>
        <w:spacing w:before="0" w:after="200" w:lineRule="auto" w:line="276"/>
      </w:pPr>
      <w:r>
        <w:rPr>
          <w:b/>
        </w:rPr>
        <w:t xml:space="preserve">Abstract (EN): </w:t>
      </w:r>
      <w:r>
        <w:t>Layered CuCrTi</w:t>
      </w:r>
      <w:r>
        <w:rPr>
          <w:vertAlign w:val="subscript"/>
        </w:rPr>
        <w:t>2</w:t>
      </w:r>
      <w:r>
        <w:t>Se</w:t>
      </w:r>
      <w:r>
        <w:rPr>
          <w:vertAlign w:val="subscript"/>
        </w:rPr>
        <w:t>6</w:t>
      </w:r>
      <w:r>
        <w:t>, a structurally tailored transition‐metal dichalcogenide (TMD) derivative, exhibits intrinsically low lattice thermal conductivity but is limited by inferior carrier mobility arising from weak interlayer electronic coupling. Here, we modulate interlayer bonding heterogeneity via a charge‐balanced “one Cr replaces three Cu” strategy to form (Cu</w:t>
      </w:r>
      <w:r>
        <w:t xml:space="preserve"> </w:t>
      </w:r>
      <w:r>
        <w:t>1‐3</w:t>
      </w:r>
      <w:r>
        <w:t xml:space="preserve"> </w:t>
      </w:r>
      <w:r>
        <w:t>x</w:t>
      </w:r>
      <w:r>
        <w:t xml:space="preserve"> </w:t>
      </w:r>
      <w:r>
        <w:t>Cr</w:t>
      </w:r>
      <w:r>
        <w:t xml:space="preserve"> </w:t>
      </w:r>
      <w:r>
        <w:t>x</w:t>
      </w:r>
      <w:r>
        <w:t xml:space="preserve"> </w:t>
      </w:r>
      <w:r>
        <w:t>)CrTi</w:t>
      </w:r>
      <w:r>
        <w:rPr>
          <w:vertAlign w:val="subscript"/>
        </w:rPr>
        <w:t>2</w:t>
      </w:r>
      <w:r>
        <w:t>Se</w:t>
      </w:r>
      <w:r>
        <w:rPr>
          <w:vertAlign w:val="subscript"/>
        </w:rPr>
        <w:t>6</w:t>
      </w:r>
      <w:r>
        <w:t>, achieving electron–phonon decoupling. Structural characterizations and density functional theory calculations confirm Cr incorporation into interlayer octahedral sites, inducing two synergistic effects: (i) Replacing ionic interlayer Cu─Se bonds with more covalent Cr─Se bonds facilitates rapid interlayer charge transfer and enhances carrier mobility by ∼60% without altering the electronic band structure; (ii) The reduced interlayer atomic density induced by non‐equiatomic Cr/Cu substitution weakens interlayer mechanical coupling, as evidenced by a suppressed shear modulus and transverse sound velocity. When combined with phonon scattering from Cr/Cu point defects, this synergistic effect reduces the room‐temperature lattice thermal conductivity by 22%. The optimized (Cu</w:t>
      </w:r>
      <w:r>
        <w:t xml:space="preserve"> </w:t>
      </w:r>
      <w:r>
        <w:t>0.79</w:t>
      </w:r>
      <w:r>
        <w:t xml:space="preserve"> </w:t>
      </w:r>
      <w:r>
        <w:t>Cr</w:t>
      </w:r>
      <w:r>
        <w:t xml:space="preserve"> </w:t>
      </w:r>
      <w:r>
        <w:t>0.07</w:t>
      </w:r>
      <w:r>
        <w:t xml:space="preserve"> </w:t>
      </w:r>
      <w:r>
        <w:t>)CrTi</w:t>
      </w:r>
      <w:r>
        <w:rPr>
          <w:vertAlign w:val="subscript"/>
        </w:rPr>
        <w:t>2</w:t>
      </w:r>
      <w:r>
        <w:t>Se</w:t>
      </w:r>
      <w:r>
        <w:rPr>
          <w:vertAlign w:val="subscript"/>
        </w:rPr>
        <w:t>6</w:t>
      </w:r>
      <w:r>
        <w:t>achieves a peak thermoelectric figure of merit</w:t>
      </w:r>
      <w:r>
        <w:t xml:space="preserve"> </w:t>
      </w:r>
      <w:r>
        <w:t>ZT</w:t>
      </w:r>
      <w:r>
        <w:t xml:space="preserve"> </w:t>
      </w:r>
      <w:r>
        <w:t>≈ 1.0 at 673 K (a record for TiSe</w:t>
      </w:r>
      <w:r>
        <w:rPr>
          <w:vertAlign w:val="subscript"/>
        </w:rPr>
        <w:t>2</w:t>
      </w:r>
      <w:r>
        <w:t>‐based TMDs), and its single‐leg device reaches ∼6.1% efficiency at Δ</w:t>
      </w:r>
      <w:r>
        <w:t xml:space="preserve"> </w:t>
      </w:r>
      <w:r>
        <w:t>T</w:t>
      </w:r>
      <w:r>
        <w:t xml:space="preserve"> </w:t>
      </w:r>
      <w:r>
        <w:t>= 500 K. This work establishes interlayer chemical bonding modulation as a paradigm for high‐performance layered thermoelectric materials via electron‐phonon decoupling.</w:t>
      </w:r>
    </w:p>
    <w:p>
      <w:pPr>
        <w:spacing w:before="120" w:after="120"/>
      </w:pPr>
      <w:r>
        <w:rPr>
          <w:sz w:val="18"/>
        </w:rPr>
        <w:t>——————————————————————————————————————————————————————————————————————</w:t>
      </w:r>
    </w:p>
    <w:p>
      <w:pPr>
        <w:spacing w:before="160" w:after="40" w:line="240" w:lineRule="auto"/>
      </w:pPr>
      <w:r>
        <w:rPr>
          <w:b/>
        </w:rPr>
        <w:t xml:space="preserve">[7] </w:t>
      </w:r>
      <w:hyperlink r:id="rId82">
        <w:r>
          <w:rPr>
            <w:color w:val="1155CC"/>
            <w:u w:val="single"/>
          </w:rPr>
          <w:t>作者更正：银银矿 Ag8SnSe6 中的极端声子非谐性是超离子扩散和超低热导率的基础</w:t>
        </w:r>
      </w:hyperlink>
    </w:p>
    <w:p>
      <w:pPr>
        <w:spacing w:before="0" w:after="80"/>
      </w:pPr>
      <w:r>
        <w:rPr>
          <w:i/>
          <w:sz w:val="20"/>
        </w:rPr>
        <w:t>EN: Author Correction: Extreme phonon anharmonicity underpins superionic diffusion and ultralow thermal conductivity in argyrodite Ag8SnSe6</w:t>
      </w:r>
    </w:p>
    <w:p>
      <w:pPr>
        <w:spacing w:before="0" w:after="120"/>
      </w:pPr>
      <w:r>
        <w:rPr>
          <w:b/>
        </w:rPr>
        <w:t xml:space="preserve">Source: </w:t>
      </w:r>
      <w:r>
        <w:t>Nature Materials</w:t>
      </w:r>
      <w:r>
        <w:t xml:space="preserve">    </w:t>
      </w:r>
      <w:r>
        <w:rPr>
          <w:b/>
        </w:rPr>
        <w:t xml:space="preserve">Pub date: </w:t>
      </w:r>
      <w:r>
        <w:t>2026-06-08 00:00:00+00:00</w:t>
      </w:r>
      <w:r>
        <w:t xml:space="preserve">    </w:t>
      </w:r>
      <w:r>
        <w:rPr>
          <w:b/>
        </w:rPr>
        <w:t xml:space="preserve">DOI: </w:t>
      </w:r>
      <w:hyperlink r:id="rId83">
        <w:r>
          <w:rPr>
            <w:color w:val="1155CC"/>
            <w:u w:val="single"/>
          </w:rPr>
          <w:t>10.1038/s41563-026-02644-0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41">
        <w:r>
          <w:rPr>
            <w:color w:val="1155CC"/>
            <w:u w:val="single"/>
          </w:rPr>
          <w:t>作者更正：原子级精确的光热纳米机器</w:t>
        </w:r>
      </w:hyperlink>
    </w:p>
    <w:p>
      <w:pPr>
        <w:spacing w:before="0" w:after="80"/>
      </w:pPr>
      <w:r>
        <w:rPr>
          <w:i/>
          <w:sz w:val="20"/>
        </w:rPr>
        <w:t>EN: Author Correction: Atomically precise photothermal nanomachines</w:t>
      </w:r>
    </w:p>
    <w:p>
      <w:pPr>
        <w:spacing w:before="0" w:after="120"/>
      </w:pPr>
      <w:r>
        <w:rPr>
          <w:b/>
        </w:rPr>
        <w:t xml:space="preserve">Source: </w:t>
      </w:r>
      <w:r>
        <w:t>Nature Materials</w:t>
      </w:r>
      <w:r>
        <w:t xml:space="preserve">    </w:t>
      </w:r>
      <w:r>
        <w:rPr>
          <w:b/>
        </w:rPr>
        <w:t xml:space="preserve">Pub date: </w:t>
      </w:r>
      <w:r>
        <w:t>2026-06-08 00:00:00+00:00</w:t>
      </w:r>
      <w:r>
        <w:t xml:space="preserve">    </w:t>
      </w:r>
      <w:r>
        <w:rPr>
          <w:b/>
        </w:rPr>
        <w:t xml:space="preserve">DOI: </w:t>
      </w:r>
      <w:hyperlink r:id="rId142">
        <w:r>
          <w:rPr>
            <w:color w:val="1155CC"/>
            <w:u w:val="single"/>
          </w:rPr>
          <w:t>10.1038/s41563-026-02655-x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43">
        <w:r>
          <w:rPr>
            <w:color w:val="1155CC"/>
            <w:u w:val="single"/>
          </w:rPr>
          <w:t>基于二次规划的熔盐蓄热一体化燃煤电厂非线性模型预测控制提高灵活性</w:t>
        </w:r>
      </w:hyperlink>
    </w:p>
    <w:p>
      <w:pPr>
        <w:spacing w:before="0" w:after="80"/>
      </w:pPr>
      <w:r>
        <w:rPr>
          <w:i/>
          <w:sz w:val="20"/>
        </w:rPr>
        <w:t>EN: Quadratic programming-based nonlinear model predictive control of coal-fired power plant integrated with molten salt thermal storage system for its flexibility improvement</w:t>
      </w:r>
    </w:p>
    <w:p>
      <w:pPr>
        <w:spacing w:before="0" w:after="120"/>
      </w:pPr>
      <w:r>
        <w:rPr>
          <w:b/>
        </w:rPr>
        <w:t xml:space="preserve">Source: </w:t>
      </w:r>
      <w:r>
        <w:t>ScienceDirect Publication: Applied Energy</w:t>
      </w:r>
      <w:r>
        <w:t xml:space="preserve">    </w:t>
      </w:r>
      <w:r>
        <w:rPr>
          <w:b/>
        </w:rPr>
        <w:t xml:space="preserve">Pub date: </w:t>
      </w:r>
      <w:r>
        <w:t>2026-06-08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44">
        <w:r>
          <w:rPr>
            <w:color w:val="1155CC"/>
            <w:u w:val="single"/>
          </w:rPr>
          <w:t>具有巨大可编程正或负热膨胀的 4D 打印自旋交叉超材料（Adv. Mater. 32//2026）</w:t>
        </w:r>
      </w:hyperlink>
    </w:p>
    <w:p>
      <w:pPr>
        <w:spacing w:before="0" w:after="80"/>
      </w:pPr>
      <w:r>
        <w:rPr>
          <w:i/>
          <w:sz w:val="20"/>
        </w:rPr>
        <w:t>EN: 4D‐Printed Spin Crossover Metamaterials with Giant Programmable Positive or Negative Thermal Expansion (Adv. Mater. 32//2026)</w:t>
      </w:r>
    </w:p>
    <w:p>
      <w:pPr>
        <w:spacing w:before="0" w:after="120"/>
      </w:pPr>
      <w:r>
        <w:rPr>
          <w:b/>
        </w:rPr>
        <w:t xml:space="preserve">Source: </w:t>
      </w:r>
      <w:r>
        <w:t>Wiley: Advanced Materials: Table of Contents</w:t>
      </w:r>
      <w:r>
        <w:t xml:space="preserve">    </w:t>
      </w:r>
      <w:r>
        <w:rPr>
          <w:b/>
        </w:rPr>
        <w:t xml:space="preserve">Pub date: </w:t>
      </w:r>
      <w:r>
        <w:t>2026-06-08 12:34:24+00:00</w:t>
      </w:r>
      <w:r>
        <w:t xml:space="preserve">    </w:t>
      </w:r>
      <w:r>
        <w:rPr>
          <w:b/>
        </w:rPr>
        <w:t xml:space="preserve">DOI: </w:t>
      </w:r>
      <w:hyperlink r:id="rId145">
        <w:r>
          <w:rPr>
            <w:color w:val="1155CC"/>
            <w:u w:val="single"/>
          </w:rPr>
          <w:t>10.1002/adma.73426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46">
        <w:r>
          <w:rPr>
            <w:color w:val="1155CC"/>
            <w:u w:val="single"/>
          </w:rPr>
          <w:t>阴离子孤对电子在产生最小晶格热导率中的作用</w:t>
        </w:r>
      </w:hyperlink>
    </w:p>
    <w:p>
      <w:pPr>
        <w:spacing w:before="0" w:after="80"/>
      </w:pPr>
      <w:r>
        <w:rPr>
          <w:i/>
          <w:sz w:val="20"/>
        </w:rPr>
        <w:t>EN: Role of Anionic Lone-Pair-Like Electrons in Producing Minimum Lattice Thermal Conductivity</w:t>
      </w:r>
    </w:p>
    <w:p>
      <w:pPr>
        <w:spacing w:before="0" w:after="120"/>
      </w:pPr>
      <w:r>
        <w:rPr>
          <w:b/>
        </w:rPr>
        <w:t xml:space="preserve">Source: </w:t>
      </w:r>
      <w:r>
        <w:t>Recent Articles in Phys. Rev. Lett.</w:t>
      </w:r>
      <w:r>
        <w:t xml:space="preserve">    </w:t>
      </w:r>
      <w:r>
        <w:rPr>
          <w:b/>
        </w:rPr>
        <w:t xml:space="preserve">Pub date: </w:t>
      </w:r>
      <w:r>
        <w:t>2026-06-10 10:00:00+00:00</w:t>
      </w:r>
      <w:r>
        <w:t xml:space="preserve">    </w:t>
      </w:r>
      <w:r>
        <w:rPr>
          <w:b/>
        </w:rPr>
        <w:t xml:space="preserve">DOI: </w:t>
      </w:r>
      <w:hyperlink r:id="rId147">
        <w:r>
          <w:rPr>
            <w:color w:val="1155CC"/>
            <w:u w:val="single"/>
          </w:rPr>
          <w:t>10.1103/2pdy-5c6k</w:t>
        </w:r>
      </w:hyperlink>
    </w:p>
    <w:p>
      <w:pPr>
        <w:spacing w:before="0" w:after="120"/>
      </w:pPr>
      <w:r>
        <w:rPr>
          <w:b/>
        </w:rPr>
        <w:t xml:space="preserve">Notes: </w:t>
      </w:r>
      <w:r>
        <w:t>abstract_source=rss_description</w:t>
      </w:r>
    </w:p>
    <w:p>
      <w:pPr>
        <w:spacing w:before="0" w:after="80" w:lineRule="auto" w:line="276"/>
      </w:pPr>
      <w:r>
        <w:rPr>
          <w:b/>
        </w:rPr>
        <w:t xml:space="preserve">摘要（ZH）: </w:t>
      </w:r>
      <w:r>
        <w:t>作者：洪伟明、王家辉、徐世科、Bushra Jabar、郑云鹏、罗中振和邹志刚阳离子孤对电子通常与独特的声子特性（例如强晶格非谐性）相关，从而导致低晶格热导率（${κ}_{\mathrm{L}}$）。然而，对特定阳离子（例如 ${\mathrm{Sb}}^{3+}$ 或 ${\mathrm{Ge}}^{2+}$）的依赖严重限制了……[Phys.莱特牧师。 136, 236301] 2026 年 6 月 10 日星期三发布</w:t>
      </w:r>
    </w:p>
    <w:p>
      <w:pPr>
        <w:spacing w:before="0" w:after="200" w:lineRule="auto" w:line="276"/>
      </w:pPr>
      <w:r>
        <w:rPr>
          <w:b/>
        </w:rPr>
        <w:t xml:space="preserve">Abstract (EN): </w:t>
      </w:r>
      <w:r>
        <w:t>Author(s): Hongwei Ming, Jiahui Wang, Shike Xu, Bushra Jabar, Yunpeng Zheng, Zhong-Zhen Luo, and Zhigang ZouCationic lone-pair electrons are often associated with distinctive phonon properties (e.g., strong lattice anharmonicity) that lead to low lattice thermal conductivity (${κ}_{\mathrm{L}}$). However, the reliance on specific cations (e.g., ${\mathrm{Sb}}^{3+}$ or ${\mathrm{Ge}}^{2+}$) severely restri…[Phys. Rev. Lett. 136, 236301] Published Wed Jun 10, 2026</w:t>
      </w:r>
    </w:p>
    <w:p>
      <w:pPr>
        <w:spacing w:before="120" w:after="120"/>
      </w:pPr>
      <w:r>
        <w:rPr>
          <w:sz w:val="18"/>
        </w:rPr>
        <w:t>——————————————————————————————————————————————————————————————————————</w:t>
      </w:r>
    </w:p>
    <w:p>
      <w:pPr>
        <w:spacing w:before="160" w:after="40" w:line="240" w:lineRule="auto"/>
      </w:pPr>
      <w:r>
        <w:rPr>
          <w:b/>
        </w:rPr>
        <w:t xml:space="preserve">[12] </w:t>
      </w:r>
      <w:hyperlink r:id="rId148">
        <w:r>
          <w:rPr>
            <w:color w:val="1155CC"/>
            <w:u w:val="single"/>
          </w:rPr>
          <w:t>聚合物半导体中层状副晶控制的热传输</w:t>
        </w:r>
      </w:hyperlink>
    </w:p>
    <w:p>
      <w:pPr>
        <w:spacing w:before="0" w:after="80"/>
      </w:pPr>
      <w:r>
        <w:rPr>
          <w:i/>
          <w:sz w:val="20"/>
        </w:rPr>
        <w:t>EN: Lamellar‐Paracrystallinity‐Controlled Thermal Transport in Polymer Semiconductors</w:t>
      </w:r>
    </w:p>
    <w:p>
      <w:pPr>
        <w:spacing w:before="0" w:after="120"/>
      </w:pPr>
      <w:r>
        <w:rPr>
          <w:b/>
        </w:rPr>
        <w:t xml:space="preserve">Source: </w:t>
      </w:r>
      <w:r>
        <w:t>Wiley-Online-Library: Advanced Materials: Table of Contents</w:t>
      </w:r>
      <w:r>
        <w:t xml:space="preserve">    </w:t>
      </w:r>
      <w:r>
        <w:rPr>
          <w:b/>
        </w:rPr>
        <w:t xml:space="preserve">Pub date: </w:t>
      </w:r>
      <w:r>
        <w:t>2026-06-11 08:14:57+00:00</w:t>
      </w:r>
      <w:r>
        <w:t xml:space="preserve">    </w:t>
      </w:r>
      <w:r>
        <w:rPr>
          <w:b/>
        </w:rPr>
        <w:t xml:space="preserve">DOI: </w:t>
      </w:r>
      <w:hyperlink r:id="rId149">
        <w:r>
          <w:rPr>
            <w:color w:val="1155CC"/>
            <w:u w:val="single"/>
          </w:rPr>
          <w:t>10.1002/adma.73680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聚合物半导体中的热传输对于有机电子和能量收集设备的热管理至关重要，直接影响其性能、安全性和长期稳定性。然而，结构-性能关系和潜在的热传输物理学在很大程度上仍未得到探索。在此，使用改进的悬浮 3 测量了 11 种代表性聚合物半导体的热导率</w:t>
      </w:r>
      <w:r>
        <w:t xml:space="preserve"> </w:t>
      </w:r>
      <w:r>
        <w:t>ω</w:t>
      </w:r>
      <w:r>
        <w:t xml:space="preserve"> </w:t>
      </w:r>
      <w:r>
        <w:t>技术，揭示了热导率与层状堆积的副晶无序之间的密切相关性。据观察，聚合物半导体薄膜的面内本征热导率主要由层状准晶性控制，而不是主链化学或 π-π 堆叠。将同一聚合物内的层状准结晶度调节至高达~40%。我们的工作表明，层状堆积是主要的链间热传输途径，其振动耦合比 π-π 堆积更有效，分子动力学模拟证明了这一点。该物理图片揭示了聚合物半导体中电荷和热传输的独特链间路径，为在不影响先进有机材料和器件的电性能的情况下操纵热导率提供了指导。</w:t>
      </w:r>
    </w:p>
    <w:p>
      <w:pPr>
        <w:spacing w:before="0" w:after="200" w:lineRule="auto" w:line="276"/>
      </w:pPr>
      <w:r>
        <w:rPr>
          <w:b/>
        </w:rPr>
        <w:t xml:space="preserve">Abstract (EN): </w:t>
      </w:r>
      <w:r>
        <w:t>Understanding thermal transport in polymer semiconductors is crucial for thermal management in organic electronic and energy‐harvesting devices, directly affecting their performance, safety and long‐term stability. However, the structure‐property relationship and underlying thermal transport physics remain largely unexplored. Herein, thermal conductivities of 11 representative polymer semiconductors were measured using an improved suspended‑3</w:t>
      </w:r>
      <w:r>
        <w:t xml:space="preserve"> </w:t>
      </w:r>
      <w:r>
        <w:t>ω</w:t>
      </w:r>
      <w:r>
        <w:t xml:space="preserve"> </w:t>
      </w:r>
      <w:r>
        <w:t>technique, revealing a strong correlation between thermal conductivity and the paracrystalline disorder of lamellar packing. It is observed that the in‑plane intrinsic thermal conductivity of polymer semiconductor films is predominantly controlled by lamellar paracrystallinity, rather than backbone chemistry or π–π stacking. Tuning lamellar paracrystallinity within the same polymer modulated thermal conductivity by up to ∼40%. Our work shows that lamellar packing is the primary interchain thermal transport pathway, with more efficient vibrational coupling than π–π stacking as evidenced by molecular dynamics simulations. This physical picture reveals distinct interchain pathways for charge and thermal transport in polymer semiconductors, providing guidelines for manipulating thermal conductivity without affecting electrical performance in advanced organic materials and devices.</w:t>
      </w:r>
    </w:p>
    <w:p>
      <w:pPr>
        <w:spacing w:before="120" w:after="120"/>
      </w:pPr>
      <w:r>
        <w:rPr>
          <w:sz w:val="18"/>
        </w:rPr>
        <w:t>——————————————————————————————————————————————————————————————————————</w:t>
      </w:r>
    </w:p>
    <w:p>
      <w:pPr>
        <w:spacing w:before="160" w:after="40" w:line="240" w:lineRule="auto"/>
      </w:pPr>
      <w:r>
        <w:rPr>
          <w:b/>
        </w:rPr>
        <w:t xml:space="preserve">[13] </w:t>
      </w:r>
      <w:hyperlink r:id="rId150">
        <w:r>
          <w:rPr>
            <w:color w:val="1155CC"/>
            <w:u w:val="single"/>
          </w:rPr>
          <w:t>通过同位素富集定制 α-MoO3 中的声子驱动响应</w:t>
        </w:r>
      </w:hyperlink>
    </w:p>
    <w:p>
      <w:pPr>
        <w:spacing w:before="0" w:after="80"/>
      </w:pPr>
      <w:r>
        <w:rPr>
          <w:i/>
          <w:sz w:val="20"/>
        </w:rPr>
        <w:t>EN: Tailoring Phonon‐Driven Responses in α‐MoO3 through Isotopic Enrichment</w:t>
      </w:r>
    </w:p>
    <w:p>
      <w:pPr>
        <w:spacing w:before="0" w:after="120"/>
      </w:pPr>
      <w:r>
        <w:rPr>
          <w:b/>
        </w:rPr>
        <w:t xml:space="preserve">Source: </w:t>
      </w:r>
      <w:r>
        <w:t>Wiley-Online-Library: Advanced Materials: Table of Contents</w:t>
      </w:r>
      <w:r>
        <w:t xml:space="preserve">    </w:t>
      </w:r>
      <w:r>
        <w:rPr>
          <w:b/>
        </w:rPr>
        <w:t xml:space="preserve">Pub date: </w:t>
      </w:r>
      <w:r>
        <w:t>2026-06-11 09:01:19+00:00</w:t>
      </w:r>
      <w:r>
        <w:t xml:space="preserve">    </w:t>
      </w:r>
      <w:r>
        <w:rPr>
          <w:b/>
        </w:rPr>
        <w:t xml:space="preserve">DOI: </w:t>
      </w:r>
      <w:hyperlink r:id="rId151">
        <w:r>
          <w:rPr>
            <w:color w:val="1155CC"/>
            <w:u w:val="single"/>
          </w:rPr>
          <w:t>10.1002/adma.73629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将极化子材料应用到纳米级器件中需要选择性地调整参数以实现所需的光谱或热响应。一种坚固的材料，α-MoO</w:t>
      </w:r>
      <w:r>
        <w:rPr>
          <w:vertAlign w:val="subscript"/>
        </w:rPr>
        <w:t>3</w:t>
      </w:r>
      <w:r>
        <w:t>是一种具有三种不同声子色散的斜方晶体，可在中红外 (MIR) 范围内提供双曲声子极化子 (HPhP) 的三种极化子色散。在这里，同位素富集的 α-MoO 中光学和热响应的可调性</w:t>
      </w:r>
      <w:r>
        <w:rPr>
          <w:vertAlign w:val="subscript"/>
        </w:rPr>
        <w:t>3</w:t>
      </w:r>
      <w:r>
        <w:t>（</w:t>
      </w:r>
      <w:r>
        <w:rPr>
          <w:vertAlign w:val="subscript"/>
        </w:rPr>
        <w:t>98</w:t>
      </w:r>
      <w:r>
        <w:t>氧化钼</w:t>
      </w:r>
      <w:r>
        <w:t xml:space="preserve"> </w:t>
      </w:r>
      <w:r>
        <w:t>3、</w:t>
      </w:r>
      <w:r>
        <w:t xml:space="preserve"> </w:t>
      </w:r>
      <w:r>
        <w:t>莫</w:t>
      </w:r>
      <w:r>
        <w:rPr>
          <w:vertAlign w:val="subscript"/>
        </w:rPr>
        <w:t>18</w:t>
      </w:r>
      <w:r>
        <w:t>氧</w:t>
      </w:r>
      <w:r>
        <w:rPr>
          <w:vertAlign w:val="subscript"/>
        </w:rPr>
        <w:t>3</w:t>
      </w:r>
      <w:r>
        <w:t>, 和</w:t>
      </w:r>
      <w:r>
        <w:rPr>
          <w:vertAlign w:val="subscript"/>
        </w:rPr>
        <w:t>98</w:t>
      </w:r>
      <w:r>
        <w:t>莫</w:t>
      </w:r>
      <w:r>
        <w:rPr>
          <w:vertAlign w:val="subscript"/>
        </w:rPr>
        <w:t>18</w:t>
      </w:r>
      <w:r>
        <w:t>氧</w:t>
      </w:r>
      <w:r>
        <w:rPr>
          <w:vertAlign w:val="subscript"/>
        </w:rPr>
        <w:t>3</w:t>
      </w:r>
      <w:r>
        <w:t>）进行了探索。均匀~5%的光谱红移</w:t>
      </w:r>
      <w:r>
        <w:rPr>
          <w:vertAlign w:val="subscript"/>
        </w:rPr>
        <w:t>18</w:t>
      </w:r>
      <w:r>
        <w:t>在拉曼和红外活性 TO 声子中均观察到 O 富集。报告了同位素变化的面内和面外热导率。从头算计算既复制了实验结果，又分析了选择模式三声子散射的贡献。使用 s-SNOM 探测每个同位素变异的 HPhP，并报告 HPhP</w:t>
      </w:r>
      <w:r>
        <w:t xml:space="preserve"> </w:t>
      </w:r>
      <w:r>
        <w:t>问</w:t>
      </w:r>
      <w:r>
        <w:t xml:space="preserve"> </w:t>
      </w:r>
      <w:r>
        <w:t>‐因子最大增加</w:t>
      </w:r>
      <w:r>
        <w:rPr>
          <w:vertAlign w:val="subscript"/>
        </w:rPr>
        <w:t>98</w:t>
      </w:r>
      <w:r>
        <w:t>莫</w:t>
      </w:r>
      <w:r>
        <w:rPr>
          <w:vertAlign w:val="subscript"/>
        </w:rPr>
        <w:t>18</w:t>
      </w:r>
      <w:r>
        <w:t>氧</w:t>
      </w:r>
      <w:r>
        <w:rPr>
          <w:vertAlign w:val="subscript"/>
        </w:rPr>
        <w:t>3</w:t>
      </w:r>
      <w:r>
        <w:t>沿 [100] 的 ∼50%</w:t>
      </w:r>
    </w:p>
    <w:p>
      <w:pPr>
        <w:spacing w:before="0" w:after="200" w:lineRule="auto" w:line="276"/>
      </w:pPr>
      <w:r>
        <w:rPr>
          <w:b/>
        </w:rPr>
        <w:t xml:space="preserve">Abstract (EN): </w:t>
      </w:r>
      <w:r>
        <w:t>The implementation of polaritonic materials into nanoscale devices requires selective tuning of parameters to realize desired spectral or thermal responses. One robust material, α‐MoO</w:t>
      </w:r>
      <w:r>
        <w:rPr>
          <w:vertAlign w:val="subscript"/>
        </w:rPr>
        <w:t>3</w:t>
      </w:r>
      <w:r>
        <w:t>, an orthorhombic crystal boasting three distinct phonon dispersions, provides three polaritonic dispersions of hyperbolic phonon polaritons (HPhPs) across the mid‐infrared (MIR). Here, the tunability of both optical and thermal responses in isotopically enriched α‐MoO</w:t>
      </w:r>
      <w:r>
        <w:rPr>
          <w:vertAlign w:val="subscript"/>
        </w:rPr>
        <w:t>3</w:t>
      </w:r>
      <w:r>
        <w:t>(</w:t>
      </w:r>
      <w:r>
        <w:rPr>
          <w:vertAlign w:val="subscript"/>
        </w:rPr>
        <w:t>98</w:t>
      </w:r>
      <w:r>
        <w:t>MoO</w:t>
      </w:r>
      <w:r>
        <w:t xml:space="preserve"> </w:t>
      </w:r>
      <w:r>
        <w:t>3,</w:t>
      </w:r>
      <w:r>
        <w:t xml:space="preserve"> </w:t>
      </w:r>
      <w:r>
        <w:t>Mo</w:t>
      </w:r>
      <w:r>
        <w:rPr>
          <w:vertAlign w:val="subscript"/>
        </w:rPr>
        <w:t>18</w:t>
      </w:r>
      <w:r>
        <w:t>O</w:t>
      </w:r>
      <w:r>
        <w:rPr>
          <w:vertAlign w:val="subscript"/>
        </w:rPr>
        <w:t>3</w:t>
      </w:r>
      <w:r>
        <w:t>, and</w:t>
      </w:r>
      <w:r>
        <w:rPr>
          <w:vertAlign w:val="subscript"/>
        </w:rPr>
        <w:t>98</w:t>
      </w:r>
      <w:r>
        <w:t>Mo</w:t>
      </w:r>
      <w:r>
        <w:rPr>
          <w:vertAlign w:val="subscript"/>
        </w:rPr>
        <w:t>18</w:t>
      </w:r>
      <w:r>
        <w:t>O</w:t>
      </w:r>
      <w:r>
        <w:rPr>
          <w:vertAlign w:val="subscript"/>
        </w:rPr>
        <w:t>3</w:t>
      </w:r>
      <w:r>
        <w:t>) is explored. A uniform ∼5% spectral redshift from</w:t>
      </w:r>
      <w:r>
        <w:rPr>
          <w:vertAlign w:val="subscript"/>
        </w:rPr>
        <w:t>18</w:t>
      </w:r>
      <w:r>
        <w:t>O enrichment is observed in both Raman‐ and IR‐active TO phonons. Both the in‐ and out‐of‐plane thermal conductivities for the isotopic variations are reported. Ab initio calculations both replicate experimental findings and analyze the select‐mode three‐phonon scattering contributions. The HPhPs from each isotopic variation are probed with s‐SNOM, and we report an HPhP</w:t>
      </w:r>
      <w:r>
        <w:t xml:space="preserve"> </w:t>
      </w:r>
      <w:r>
        <w:t>Q</w:t>
      </w:r>
      <w:r>
        <w:t xml:space="preserve"> </w:t>
      </w:r>
      <w:r>
        <w:t>‐factor maxima increase in</w:t>
      </w:r>
      <w:r>
        <w:rPr>
          <w:vertAlign w:val="subscript"/>
        </w:rPr>
        <w:t>98</w:t>
      </w:r>
      <w:r>
        <w:t>Mo</w:t>
      </w:r>
      <w:r>
        <w:rPr>
          <w:vertAlign w:val="subscript"/>
        </w:rPr>
        <w:t>18</w:t>
      </w:r>
      <w:r>
        <w:t>O</w:t>
      </w:r>
      <w:r>
        <w:rPr>
          <w:vertAlign w:val="subscript"/>
        </w:rPr>
        <w:t>3</w:t>
      </w:r>
      <w:r>
        <w:t>of ∼50% along the [100] in the RB</w:t>
      </w:r>
      <w:r>
        <w:rPr>
          <w:vertAlign w:val="subscript"/>
        </w:rPr>
        <w:t>2</w:t>
      </w:r>
      <w:r>
        <w:t>and ∼100% along the [001] in the RB</w:t>
      </w:r>
      <w:r>
        <w:rPr>
          <w:vertAlign w:val="subscript"/>
        </w:rPr>
        <w:t>3</w:t>
      </w:r>
      <w:r>
        <w:t>with respect to</w:t>
      </w:r>
      <w:r>
        <w:rPr>
          <w:vertAlign w:val="subscript"/>
        </w:rPr>
        <w:t>98</w:t>
      </w:r>
      <w:r>
        <w:t>MoO</w:t>
      </w:r>
      <w:r>
        <w:rPr>
          <w:vertAlign w:val="subscript"/>
        </w:rPr>
        <w:t>3</w:t>
      </w:r>
      <w:r>
        <w:t>. Observations in both real and Fourier space of higher‐order HPhP modes propagating in slabs of isotopically enriched α‐MoO</w:t>
      </w:r>
      <w:r>
        <w:rPr>
          <w:vertAlign w:val="subscript"/>
        </w:rPr>
        <w:t>3</w:t>
      </w:r>
      <w:r>
        <w:t>without the use of a subdiffractional surface scatterer are presented here. This work establishes the dual‐element isotope enrichment of α‐MoO</w:t>
      </w:r>
      <w:r>
        <w:rPr>
          <w:vertAlign w:val="subscript"/>
        </w:rPr>
        <w:t>3</w:t>
      </w:r>
      <w:r>
        <w:t>as an intrinsic strategy to design optical, thermal, and polaritonic properties.</w:t>
      </w:r>
    </w:p>
    <w:p>
      <w:pPr>
        <w:spacing w:before="120" w:after="120"/>
      </w:pPr>
      <w:r>
        <w:rPr>
          <w:sz w:val="18"/>
        </w:rPr>
        <w:t>——————————————————————————————————————————————————————————————————————</w:t>
      </w:r>
    </w:p>
    <w:p>
      <w:pPr>
        <w:spacing w:before="160" w:after="40" w:line="240" w:lineRule="auto"/>
      </w:pPr>
      <w:r>
        <w:rPr>
          <w:b/>
        </w:rPr>
        <w:t xml:space="preserve">[14] </w:t>
      </w:r>
      <w:hyperlink r:id="rId152">
        <w:r>
          <w:rPr>
            <w:color w:val="1155CC"/>
            <w:u w:val="single"/>
          </w:rPr>
          <w:t>多金属酚醛网络工程低密度聚合物烧蚀剂，可实现高达 2900K 的热保护和绝缘</w:t>
        </w:r>
      </w:hyperlink>
    </w:p>
    <w:p>
      <w:pPr>
        <w:spacing w:before="0" w:after="80"/>
      </w:pPr>
      <w:r>
        <w:rPr>
          <w:i/>
          <w:sz w:val="20"/>
        </w:rPr>
        <w:t>EN: Multi‐Metal Phenolic Network Engineered Low Density Polymeric Ablator for Thermal Protection and Insulation up to 2900K</w:t>
      </w:r>
    </w:p>
    <w:p>
      <w:pPr>
        <w:spacing w:before="0" w:after="120"/>
      </w:pPr>
      <w:r>
        <w:rPr>
          <w:b/>
        </w:rPr>
        <w:t xml:space="preserve">Source: </w:t>
      </w:r>
      <w:r>
        <w:t>Wiley-Online-Library: Advanced Materials: Table of Contents</w:t>
      </w:r>
      <w:r>
        <w:t xml:space="preserve">    </w:t>
      </w:r>
      <w:r>
        <w:rPr>
          <w:b/>
        </w:rPr>
        <w:t xml:space="preserve">Pub date: </w:t>
      </w:r>
      <w:r>
        <w:t>2026-06-11 11:04:58+00:00</w:t>
      </w:r>
      <w:r>
        <w:t xml:space="preserve">    </w:t>
      </w:r>
      <w:r>
        <w:rPr>
          <w:b/>
        </w:rPr>
        <w:t xml:space="preserve">DOI: </w:t>
      </w:r>
      <w:hyperlink r:id="rId153">
        <w:r>
          <w:rPr>
            <w:color w:val="1155CC"/>
            <w:u w:val="single"/>
          </w:rPr>
          <w:t>10.1002/adma.73655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行星进入和样本返回任务需要热防护材料，同时最大限度地减少质量、抑制衰退并承受长时间暴露在超高温氧化环境中。在这里，我们报告了一种金属酚网络（MPN）设计的低密度烧蚀剂，它通过分子可编程多金属陶瓷化解决了这一长期存在的权衡问题。该材料是通过准线性 Ti/Zr/Hf 多金属聚合物和酚类配体之间的受控配体交换而构建的，然后聚合成具有低密度、低导热性和可扩展加工性能的纳米多孔气凝胶状基体。多金属物质的分子级分散控制着分级陶瓷结构在极端加热过程中的原位演化：表面转变为致密的互穿氧化物保护层，其中(Hf, Zr)O形成刚性骨架，而(Ti, Si)O填充晶间空间以抑制氧渗透和向外的传质；与此同时，内部形成了一个质量分形碳陶瓷网络，可以扰乱热通量的传播。该复合材料在超高温下表现出接近零的衰退，线性烧蚀率为 0.0017 mm s</w:t>
      </w:r>
      <w:r>
        <w:t xml:space="preserve"> </w:t>
      </w:r>
      <w:r>
        <w:t>−1</w:t>
      </w:r>
      <w:r>
        <w:t xml:space="preserve"> </w:t>
      </w:r>
      <w:r>
        <w:t>在 2800 K 和 0.0031 mm s 下</w:t>
      </w:r>
      <w:r>
        <w:t xml:space="preserve"> </w:t>
      </w:r>
      <w:r>
        <w:t>−1</w:t>
      </w:r>
      <w:r>
        <w:t xml:space="preserve"> </w:t>
      </w:r>
      <w:r>
        <w:t>在 2900 K 下，同时维持 2500 K 1500 秒，背面温升仅为 369 K。这项工作为轻质热防护系统建立了一个基于 MPN 的材料平台，</w:t>
      </w:r>
    </w:p>
    <w:p>
      <w:pPr>
        <w:spacing w:before="0" w:after="200" w:lineRule="auto" w:line="276"/>
      </w:pPr>
      <w:r>
        <w:rPr>
          <w:b/>
        </w:rPr>
        <w:t xml:space="preserve">Abstract (EN): </w:t>
      </w:r>
      <w:r>
        <w:t>Planetary‐entry and sample‐return missions demand thermal protection materials that simultaneously minimize mass, suppress recession, and withstand prolonged exposure to ultrahigh‐temperature oxidative environments. Here, we report a metal‐phenolic‐network (MPN) engineered low‐density‐ablator that resolves this longstanding trade‐off through molecularly programmable multimetal ceramization. The material is constructed by controlled ligand exchange between a quasi‐linear Ti/Zr/Hf multimetal polymer and phenolic ligands, followed by polymerization into a nanoporous aerogel‐like‐matrix with low density, low thermal conductivity, and scalable processability. The molecular‐level dispersion of multimetal species governs the in situ evolution of hierarchical ceramic architectures during extreme heating: the surface transforms into a dense interpenetrating oxide protection layer, in which (Hf, Zr)O form a rigid skeleton while (Ti, Si)O fill the intergranular space to suppress oxygen penetration and outward mass transport; meanwhile, the interior develops a mass‐fractal carbon–ceramic network that disrupts heat‐flux propagation. The composite exhibits near‐zero recession at ultrahigh temperatures, with linear ablation rates of 0.0017 mm s</w:t>
      </w:r>
      <w:r>
        <w:t xml:space="preserve"> </w:t>
      </w:r>
      <w:r>
        <w:t>−1</w:t>
      </w:r>
      <w:r>
        <w:t xml:space="preserve"> </w:t>
      </w:r>
      <w:r>
        <w:t>at 2800 K and 0.0031 mm s</w:t>
      </w:r>
      <w:r>
        <w:t xml:space="preserve"> </w:t>
      </w:r>
      <w:r>
        <w:t>−1</w:t>
      </w:r>
      <w:r>
        <w:t xml:space="preserve"> </w:t>
      </w:r>
      <w:r>
        <w:t>at 2900 K, while sustaining 2500 K for 1500 s with a back‐temperature‐rise of only 369 K. This work establishes an MPN‐based materials platform for lightweight thermal protection systems that integrate ultrahigh‐temperature stability, oxidation resistance, and effective thermal insulation.</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54">
        <w:r>
          <w:rPr>
            <w:color w:val="1155CC"/>
            <w:u w:val="single"/>
          </w:rPr>
          <w:t>美国墨西哥湾沿岸炼油厂利用核能和化石能源固碳的技术经济和环境比较分析</w:t>
        </w:r>
      </w:hyperlink>
    </w:p>
    <w:p>
      <w:pPr>
        <w:spacing w:before="0" w:after="80"/>
      </w:pPr>
      <w:r>
        <w:rPr>
          <w:i/>
          <w:sz w:val="20"/>
        </w:rPr>
        <w:t>EN: Comparative techno-economic and environmental analysis of using nuclear energy and fossil energy with carbon sequestration in U.S. Gulf Coast petroleum refineries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55">
        <w:r>
          <w:rPr>
            <w:color w:val="1155CC"/>
            <w:u w:val="single"/>
          </w:rPr>
          <w:t>钚被关在笼子里</w:t>
        </w:r>
      </w:hyperlink>
    </w:p>
    <w:p>
      <w:pPr>
        <w:spacing w:before="0" w:after="80"/>
      </w:pPr>
      <w:r>
        <w:rPr>
          <w:i/>
          <w:sz w:val="20"/>
        </w:rPr>
        <w:t>EN: Plutonium Gets a Cage</w:t>
      </w:r>
    </w:p>
    <w:p>
      <w:pPr>
        <w:spacing w:before="0" w:after="120"/>
      </w:pPr>
      <w:r>
        <w:rPr>
          <w:b/>
        </w:rPr>
        <w:t xml:space="preserve">Source: </w:t>
      </w:r>
      <w:r>
        <w:t>Wiley: Angewandte Chemie International Edition: Table of Contents</w:t>
      </w:r>
      <w:r>
        <w:t xml:space="preserve">    </w:t>
      </w:r>
      <w:r>
        <w:rPr>
          <w:b/>
        </w:rPr>
        <w:t xml:space="preserve">Pub date: </w:t>
      </w:r>
      <w:r>
        <w:t>2026-06-07 16:57:23+00:00</w:t>
      </w:r>
      <w:r>
        <w:t xml:space="preserve">    </w:t>
      </w:r>
      <w:r>
        <w:rPr>
          <w:b/>
        </w:rPr>
        <w:t xml:space="preserve">DOI: </w:t>
      </w:r>
      <w:hyperlink r:id="rId156">
        <w:r>
          <w:rPr>
            <w:color w:val="1155CC"/>
            <w:u w:val="single"/>
          </w:rPr>
          <w:t>10.1002/anie.6747202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费尔豪尔等人。报告了第一个钚基笼簇，{Pu60}，标志着钚化学的重大进步（DOI：</w:t>
      </w:r>
      <w:r>
        <w:t xml:space="preserve"> </w:t>
      </w:r>
      <w:r>
        <w:t>10.1002/anov.70018</w:t>
      </w:r>
      <w:r>
        <w:t xml:space="preserve"> </w:t>
      </w:r>
      <w:r>
        <w:t>）。其独特的扭曲截断十二面体拓扑扩展了已知的水性锕系元素库，并指向通过可调笼结构、反阳离子和配体取代对钚进行纳米级控制。</w:t>
      </w:r>
    </w:p>
    <w:p>
      <w:pPr>
        <w:spacing w:before="0" w:after="200" w:lineRule="auto" w:line="276"/>
      </w:pPr>
      <w:r>
        <w:rPr>
          <w:b/>
        </w:rPr>
        <w:t xml:space="preserve">Abstract (EN): </w:t>
      </w:r>
      <w:r>
        <w:t>Fellhauer et al. report the first plutonyl cage cluster, {Pu60}, marking a major advance in plutonium chemistry (DOI:</w:t>
      </w:r>
      <w:r>
        <w:t xml:space="preserve"> </w:t>
      </w:r>
      <w:r>
        <w:t>10.1002/anov.70018</w:t>
      </w:r>
      <w:r>
        <w:t xml:space="preserve"> </w:t>
      </w:r>
      <w:r>
        <w:t>). Its unique distorted truncated dodecahedral topology expands the known library of aqueous actinide species and points toward nanoscale control of plutonium through tunable cage structures, counter‐cations, and ligand substitutions.</w:t>
      </w:r>
    </w:p>
    <w:p>
      <w:pPr>
        <w:spacing w:before="120" w:after="120"/>
      </w:pPr>
      <w:r>
        <w:rPr>
          <w:sz w:val="18"/>
        </w:rPr>
        <w:t>——————————————————————————————————————————————————————————————————————</w:t>
      </w:r>
    </w:p>
    <w:p>
      <w:pPr>
        <w:spacing w:before="160" w:after="40" w:line="240" w:lineRule="auto"/>
      </w:pPr>
      <w:r>
        <w:rPr>
          <w:b/>
        </w:rPr>
        <w:t xml:space="preserve">[3] </w:t>
      </w:r>
      <w:hyperlink r:id="rId157">
        <w:r>
          <w:rPr>
            <w:color w:val="1155CC"/>
            <w:u w:val="single"/>
          </w:rPr>
          <w:t>ST40 中合并/压缩等离子体启动期间通过磁重联加热离子和电子</w:t>
        </w:r>
      </w:hyperlink>
    </w:p>
    <w:p>
      <w:pPr>
        <w:spacing w:before="0" w:after="80"/>
      </w:pPr>
      <w:r>
        <w:rPr>
          <w:i/>
          <w:sz w:val="20"/>
        </w:rPr>
        <w:t>EN: Ion and electron heating via magnetic reconnection during merging/compression plasma startup in ST40</w:t>
      </w:r>
    </w:p>
    <w:p>
      <w:pPr>
        <w:spacing w:before="0" w:after="120"/>
      </w:pPr>
      <w:r>
        <w:rPr>
          <w:b/>
        </w:rPr>
        <w:t xml:space="preserve">Source: </w:t>
      </w:r>
      <w:r>
        <w:t>Nuclear Fusion - latest papers</w:t>
      </w:r>
      <w:r>
        <w:t xml:space="preserve">    </w:t>
      </w:r>
      <w:r>
        <w:rPr>
          <w:b/>
        </w:rPr>
        <w:t xml:space="preserve">Pub date: </w:t>
      </w:r>
      <w:r>
        <w:t>2026-06-07 23:00:00+00:00</w:t>
      </w:r>
      <w:r>
        <w:t xml:space="preserve">    </w:t>
      </w:r>
      <w:r>
        <w:rPr>
          <w:b/>
        </w:rPr>
        <w:t xml:space="preserve">DOI: </w:t>
      </w:r>
      <w:hyperlink r:id="rId158">
        <w:r>
          <w:rPr>
            <w:color w:val="1155CC"/>
            <w:u w:val="single"/>
          </w:rPr>
          <w:t>10.1088/1741-4326/ae6f2e</w:t>
        </w:r>
      </w:hyperlink>
    </w:p>
    <w:p>
      <w:pPr>
        <w:spacing w:before="0" w:after="120"/>
      </w:pPr>
      <w:r>
        <w:rPr>
          <w:b/>
        </w:rPr>
        <w:t xml:space="preserve">Notes: </w:t>
      </w:r>
      <w:r>
        <w:t>abstract_source=rss_description</w:t>
      </w:r>
    </w:p>
    <w:p>
      <w:pPr>
        <w:spacing w:before="0" w:after="80" w:lineRule="auto" w:line="276"/>
      </w:pPr>
      <w:r>
        <w:rPr>
          <w:b/>
        </w:rPr>
        <w:t xml:space="preserve">摘要（ZH）: </w:t>
      </w:r>
      <w:r>
        <w:t>在这里，我们报告了 ST40 球形托卡马克中合并/压缩 (M/C) 等离子体启动的高场应用的最新结果，使用过去三年安装的 96 通道 2D 离子多普勒断层扫描和 30 通道汤姆逊散射诊断仪。新发现和成果总结如下：（i）新型96通道2D离子多普勒断层扫描清楚地揭示了重联JET下游的离子加热及其限制/传输过程。 (ii) 电子密度在同一区域也增加，同时电子在 点（或磁轴）周围被加热，并且电子温度分布形成峰值分布。 (iii) 已经证明了 M/C 启动等离子体电流和离子温度的准稳态维持/限制。 (iv) 基于一系列 M/C 实验，缩放比例增加至 kA。 (v)全压力分布测量导致了耗散磁能与重联场的能量转换比的评估，并且发现释放的磁能被转换为离子热能。 (vi) 先前展示的扩展已首次成功升级，比 MAST 探索的先前记录高出 10 倍。</w:t>
      </w:r>
    </w:p>
    <w:p>
      <w:pPr>
        <w:spacing w:before="0" w:after="200" w:lineRule="auto" w:line="276"/>
      </w:pPr>
      <w:r>
        <w:rPr>
          <w:b/>
        </w:rPr>
        <w:t xml:space="preserve">Abstract (EN): </w:t>
      </w:r>
      <w:r>
        <w:t>Here, we report the latest results on the high-field application of a merging/compression (M/C) plasma startup in the ST40 spherical tokamak, using 96-channel 2D ion Doppler tomography and 30-channel Thomson scattering diagnostics installed over the past three years. The new findings and achievements are summarised as follows: (i) the new 96-channel 2D ion Doppler tomography clearly revealed ion heating in the downstream of the reconnection JET and its confinement/transport process. (ii) Electron density also increases in the same region, while electrons are heated around the -point (or magnetic axis) and the electron temperature profile forms a peaked profile. (iii) Quasi-steady sustainment/confinement of M/C startup plasma current and ion temperature has been demonstrated. (iv) Based on a series of M/C experiments, scaling was increased to kA. (v) Full pressure profile measurements lead to the evaluation of the energy conversion ratio of the dissipated magnetic energy to the reconnecting field and it was found that of released magnetic energy was converted to ion thermal energy. (vi) The previously demonstrated scaling has been successfully upgraded to for the first time and which was 10 times higher than the previous record in MAST was explored.</w:t>
      </w:r>
    </w:p>
    <w:p>
      <w:pPr>
        <w:spacing w:before="120" w:after="120"/>
      </w:pPr>
      <w:r>
        <w:rPr>
          <w:sz w:val="18"/>
        </w:rPr>
        <w:t>——————————————————————————————————————————————————————————————————————</w:t>
      </w:r>
    </w:p>
    <w:p>
      <w:pPr>
        <w:spacing w:before="160" w:after="40" w:line="240" w:lineRule="auto"/>
      </w:pPr>
      <w:r>
        <w:rPr>
          <w:b/>
        </w:rPr>
        <w:t xml:space="preserve">[4] </w:t>
      </w:r>
      <w:hyperlink r:id="rId159">
        <w:r>
          <w:rPr>
            <w:color w:val="1155CC"/>
            <w:u w:val="single"/>
          </w:rPr>
          <w:t>钨等离子元件释放分子特性的分子动力学研究</w:t>
        </w:r>
      </w:hyperlink>
    </w:p>
    <w:p>
      <w:pPr>
        <w:spacing w:before="0" w:after="80"/>
      </w:pPr>
      <w:r>
        <w:rPr>
          <w:i/>
          <w:sz w:val="20"/>
        </w:rPr>
        <w:t>EN: A molecular dynamics study on the characteristics of molecules released from tungsten plasma-facing components</w:t>
      </w:r>
    </w:p>
    <w:p>
      <w:pPr>
        <w:spacing w:before="0" w:after="120"/>
      </w:pPr>
      <w:r>
        <w:rPr>
          <w:b/>
        </w:rPr>
        <w:t xml:space="preserve">Source: </w:t>
      </w:r>
      <w:r>
        <w:t>Nuclear Fusion - latest papers</w:t>
      </w:r>
      <w:r>
        <w:t xml:space="preserve">    </w:t>
      </w:r>
      <w:r>
        <w:rPr>
          <w:b/>
        </w:rPr>
        <w:t xml:space="preserve">Pub date: </w:t>
      </w:r>
      <w:r>
        <w:t>2026-06-07 23:00:00+00:00</w:t>
      </w:r>
      <w:r>
        <w:t xml:space="preserve">    </w:t>
      </w:r>
      <w:r>
        <w:rPr>
          <w:b/>
        </w:rPr>
        <w:t xml:space="preserve">DOI: </w:t>
      </w:r>
      <w:hyperlink r:id="rId160">
        <w:r>
          <w:rPr>
            <w:color w:val="1155CC"/>
            <w:u w:val="single"/>
          </w:rPr>
          <w:t>10.1088/1741-4326/ae6d15</w:t>
        </w:r>
      </w:hyperlink>
    </w:p>
    <w:p>
      <w:pPr>
        <w:spacing w:before="0" w:after="120"/>
      </w:pPr>
      <w:r>
        <w:rPr>
          <w:b/>
        </w:rPr>
        <w:t xml:space="preserve">Notes: </w:t>
      </w:r>
      <w:r>
        <w:t>abstract_source=rss_description</w:t>
      </w:r>
    </w:p>
    <w:p>
      <w:pPr>
        <w:spacing w:before="0" w:after="80" w:lineRule="auto" w:line="276"/>
      </w:pPr>
      <w:r>
        <w:rPr>
          <w:b/>
        </w:rPr>
        <w:t xml:space="preserve">摘要（ZH）: </w:t>
      </w:r>
      <w:r>
        <w:t>杂质和中性传输过程以及等离子体-分子相互作用影响等离子体边缘的粒子和能量流入和流出，从而影响反应器的稳定性和性能。这些传输和相互作用现象反过来又受到所涉及粒子特性的影响，包括分子物种各自的旋转和振动状态。在这项工作中，我们采用分子动力学模拟来研究从面向等离子体的组件表面释放的分子的特征。通过将我们的发现与从 JET 托卡马克内的铍限制器获得的光谱数据进行比较，我们对预测发射铍分子振动状态的方法进行了实验验证。在此基础上，我们应用该方法来研究从钨表面释放的分子的特性，因为 ITER 中的第一壁选择了钨。我们的结果表明，除了表面温度之外，溅射钨分子的旋转和振动状态还受到等离子体粒子的冲击能量、入射角和同位素类型的显着影响。此外，我们阐明了冲击能量对钨表面 D 释放量的影响，详细说明了分子各自的旋转和振动状态，以及它们的能量和角度分布。这项工作的结果为中性和杂质运输代码提供了输入，例如EIRENE 和 ERO2.0，提高其准确性并实现更详细的调查</w:t>
      </w:r>
    </w:p>
    <w:p>
      <w:pPr>
        <w:spacing w:before="0" w:after="200" w:lineRule="auto" w:line="276"/>
      </w:pPr>
      <w:r>
        <w:rPr>
          <w:b/>
        </w:rPr>
        <w:t xml:space="preserve">Abstract (EN): </w:t>
      </w:r>
      <w:r>
        <w:t>Impurity and neutral transport processes, together with plasma–molecule interactions, affect the particle and energy influx and outflow at the plasma edge, hence influencing reactor stability and performance. These transport and interaction phenomena are, in turn, affected by the properties of the particles involved, including, for molecular species, their respective rotational and vibrational states. In this work, we employ molecular dynamics simulations to investigate the characteristics of molecules released from the surfaces of plasma-facing components. We provide an experimental validation of our methodology for predicting the vibrational states of emitted beryllium molecules by comparing our findings with spectroscopic data obtained from the beryllium limiters within JET tokamak. Building on this, we apply the method to investigate the properties of molecules released from tungsten surfaces, since tungsten is selected for the first wall in ITER. Our results indicate that the rotational and vibrational states of sputtered tungsten molecules are significantly affected by the impact energy, incidence angle, and isotope type of plasma particles, in addition to surface temperature. Furthermore, we elucidate the effect of impact energy on D release yield from tungsten surfaces, detailing the respective rotational and vibrational states of the molecules, as well as their energy and angular distributions. The results of this work provide input for neutral and impurity transport codes, e.g. EIRENE and ERO2.0, enhancing their accuracy and enabling more detailed investigations of plasma characteristics.</w:t>
      </w:r>
    </w:p>
    <w:p>
      <w:pPr>
        <w:spacing w:before="120" w:after="120"/>
      </w:pPr>
      <w:r>
        <w:rPr>
          <w:sz w:val="18"/>
        </w:rPr>
        <w:t>——————————————————————————————————————————————————————————————————————</w:t>
      </w:r>
    </w:p>
    <w:p>
      <w:pPr>
        <w:spacing w:before="160" w:after="40" w:line="240" w:lineRule="auto"/>
      </w:pPr>
      <w:r>
        <w:rPr>
          <w:b/>
        </w:rPr>
        <w:t xml:space="preserve">[5] </w:t>
      </w:r>
      <w:hyperlink r:id="rId161">
        <w:r>
          <w:rPr>
            <w:color w:val="1155CC"/>
            <w:u w:val="single"/>
          </w:rPr>
          <w:t>剥离限制基座中的密度极限等于或高于 DIII-D 高极向 β 等离子体中的 Greenwald 值</w:t>
        </w:r>
      </w:hyperlink>
    </w:p>
    <w:p>
      <w:pPr>
        <w:spacing w:before="0" w:after="80"/>
      </w:pPr>
      <w:r>
        <w:rPr>
          <w:i/>
          <w:sz w:val="20"/>
        </w:rPr>
        <w:t>EN: Density limit in peeling-limited pedestals at and above the Greenwald value in DIII-D high poloidal beta plasmas</w:t>
      </w:r>
    </w:p>
    <w:p>
      <w:pPr>
        <w:spacing w:before="0" w:after="120"/>
      </w:pPr>
      <w:r>
        <w:rPr>
          <w:b/>
        </w:rPr>
        <w:t xml:space="preserve">Source: </w:t>
      </w:r>
      <w:r>
        <w:t>Nuclear Fusion - latest papers</w:t>
      </w:r>
      <w:r>
        <w:t xml:space="preserve">    </w:t>
      </w:r>
      <w:r>
        <w:rPr>
          <w:b/>
        </w:rPr>
        <w:t xml:space="preserve">Pub date: </w:t>
      </w:r>
      <w:r>
        <w:t>2026-06-07 23:00:00+00:00</w:t>
      </w:r>
      <w:r>
        <w:t xml:space="preserve">    </w:t>
      </w:r>
      <w:r>
        <w:rPr>
          <w:b/>
        </w:rPr>
        <w:t xml:space="preserve">DOI: </w:t>
      </w:r>
      <w:hyperlink r:id="rId162">
        <w:r>
          <w:rPr>
            <w:color w:val="1155CC"/>
            <w:u w:val="single"/>
          </w:rPr>
          <w:t>10.1088/1741-4326/ae712d</w:t>
        </w:r>
      </w:hyperlink>
    </w:p>
    <w:p>
      <w:pPr>
        <w:spacing w:before="0" w:after="120"/>
      </w:pPr>
      <w:r>
        <w:rPr>
          <w:b/>
        </w:rPr>
        <w:t xml:space="preserve">Notes: </w:t>
      </w:r>
      <w:r>
        <w:t>abstract_source=rss_description</w:t>
      </w:r>
    </w:p>
    <w:p>
      <w:pPr>
        <w:spacing w:before="0" w:after="80" w:lineRule="auto" w:line="276"/>
      </w:pPr>
      <w:r>
        <w:rPr>
          <w:b/>
        </w:rPr>
        <w:t xml:space="preserve">摘要（ZH）: </w:t>
      </w:r>
      <w:r>
        <w:t>在 DIII-D 高极向 β 等离子体中已经实现了高压、剥离限制基座，其基座归一化 βN,ped &gt; 2 和基座顶部密度 nped 等于或高于格林沃尔德密度 nG，以及高全局归一化 βN &gt; 3 和能量限制 H98 ∼ 1.2–1.7。较高的 βN 允许高于格林沃尔德值的较高基座密度和较高的基座压力，即使注入扭矩较低也是如此。 MHD 建模证实，实验剖面位于剥离模式不稳定边界附近，具有高归一化压力梯度 α 和高边缘电流密度。实验分析和稳定性计算表明，具有强Shafranov位移、高α、高边缘q和弱/负磁剪切的高极向β通过解耦剥离和气球化模式并稳定气球化模式来提高基座稳定性，从而有助于进入剥离-气球化模式的第二稳定区。进入第二个稳定状态可打开类似 Super-H 的通道，而不需要极强的成形或强扭矩注入。高压剥离基座允许基座密度超出格林沃尔德极限，同时保持强 E ×B 剪切：即使当 nped &gt; nG 时，基座压力也会随着基座密度的增加而增加，直到达到理想的 MHD 不稳定边界，此时出现巨型 ELM。巨型 ELM 由强 n = 1 分量主导，导致边缘压力大幅降低，但核心压力的变化可以忽略不计，这与扭结/剥离模式引起的不稳定性一致。佩</w:t>
      </w:r>
    </w:p>
    <w:p>
      <w:pPr>
        <w:spacing w:before="0" w:after="200" w:lineRule="auto" w:line="276"/>
      </w:pPr>
      <w:r>
        <w:rPr>
          <w:b/>
        </w:rPr>
        <w:t xml:space="preserve">Abstract (EN): </w:t>
      </w:r>
      <w:r>
        <w:t>High-pressure, peeling-limited pedestals with pedestal normalized beta βN,ped &gt; 2 and pedestal top density nped at or above the Greenwald density nG have been achieved in DIII-D high poloidal beta plasmas, together with high global normalized beta βN &gt; 3 and energy confinement H98 ∼ 1.2–1.7. A higher βN allows higher pedestal density above the Greenwald value and higher pedestal pressure, even with low injected torque. MHD modeling confirms that the experimental profiles lie near the peeling-mode instability boundary with high normalized pressure gradient α and high edge current density. Experimental analysis and stability calculations indicate that the high poloidal beta with strong Shafranov shift, high α, high edge q, and weak/negative magnetic shear improves the pedestal stability by decoupling the peeling and ballooning modes and stabilizing the ballooning modes, thus facilitating access to the second stability region of peeling–ballooning mode. Access to this second stability regime opens Super-H-like channels without requiring extremely strong shaping or strong torque injection. The high-pressure peeling pedestal allows the pedestal density to go beyond the Greenwald limit with strong E ×B shear maintained: the pedestal pressure increases with pedestal density even when nped &gt; nG, until the ideal MHD instability boundary is reached, where giant ELMs occur. The giant ELMs are dominated by a strong n = 1 component and cause a large reduction of the edge pressure, but a negligible change of the core pressure, consistent with kink/peeling-mode induced instability. The pedestal recovers from the collapse and typically sustains a high baseline density, around the Greenwald limit, during the whole discharge duration. Experiments also found that internal transport barriers and peeling-limited pedestal with nped ∼ 0.9nG can be simultaneously achieved in high βN plasmas, revealing a feedback interaction between ITB strength and pedestal performance.</w:t>
      </w:r>
    </w:p>
    <w:p>
      <w:pPr>
        <w:spacing w:before="120" w:after="120"/>
      </w:pPr>
      <w:r>
        <w:rPr>
          <w:sz w:val="18"/>
        </w:rPr>
        <w:t>——————————————————————————————————————————————————————————————————————</w:t>
      </w:r>
    </w:p>
    <w:p>
      <w:pPr>
        <w:spacing w:before="160" w:after="40" w:line="240" w:lineRule="auto"/>
      </w:pPr>
      <w:r>
        <w:rPr>
          <w:b/>
        </w:rPr>
        <w:t xml:space="preserve">[6] </w:t>
      </w:r>
      <w:hyperlink r:id="rId163">
        <w:r>
          <w:rPr>
            <w:color w:val="1155CC"/>
            <w:u w:val="single"/>
          </w:rPr>
          <w:t>热波驱动惯性聚变能快速点火方案的高增益激光聚变设计</w:t>
        </w:r>
      </w:hyperlink>
    </w:p>
    <w:p>
      <w:pPr>
        <w:spacing w:before="0" w:after="80"/>
      </w:pPr>
      <w:r>
        <w:rPr>
          <w:i/>
          <w:sz w:val="20"/>
        </w:rPr>
        <w:t>EN: Design of high-gain laser fusion with heatwave-driven fast ignition scheme for inertial fusion energy</w:t>
      </w:r>
    </w:p>
    <w:p>
      <w:pPr>
        <w:spacing w:before="0" w:after="120"/>
      </w:pPr>
      <w:r>
        <w:rPr>
          <w:b/>
        </w:rPr>
        <w:t xml:space="preserve">Source: </w:t>
      </w:r>
      <w:r>
        <w:t>Nuclear Fusion - latest papers</w:t>
      </w:r>
      <w:r>
        <w:t xml:space="preserve">    </w:t>
      </w:r>
      <w:r>
        <w:rPr>
          <w:b/>
        </w:rPr>
        <w:t xml:space="preserve">Pub date: </w:t>
      </w:r>
      <w:r>
        <w:t>2026-06-07 23:00:00+00:00</w:t>
      </w:r>
      <w:r>
        <w:t xml:space="preserve">    </w:t>
      </w:r>
      <w:r>
        <w:rPr>
          <w:b/>
        </w:rPr>
        <w:t xml:space="preserve">DOI: </w:t>
      </w:r>
      <w:hyperlink r:id="rId164">
        <w:r>
          <w:rPr>
            <w:color w:val="1155CC"/>
            <w:u w:val="single"/>
          </w:rPr>
          <w:t>10.1088/1741-4326/ae70a3</w:t>
        </w:r>
      </w:hyperlink>
    </w:p>
    <w:p>
      <w:pPr>
        <w:spacing w:before="0" w:after="120"/>
      </w:pPr>
      <w:r>
        <w:rPr>
          <w:b/>
        </w:rPr>
        <w:t xml:space="preserve">Notes: </w:t>
      </w:r>
      <w:r>
        <w:t>abstract_source=rss_description</w:t>
      </w:r>
    </w:p>
    <w:p>
      <w:pPr>
        <w:spacing w:before="0" w:after="80" w:lineRule="auto" w:line="276"/>
      </w:pPr>
      <w:r>
        <w:rPr>
          <w:b/>
        </w:rPr>
        <w:t xml:space="preserve">摘要（ZH）: </w:t>
      </w:r>
      <w:r>
        <w:t>我们设计了一种高增益激光聚变，采用惯性聚变能量快速点火方案，总激光能量小于1兆焦耳。采用对水不稳定性具有鲁棒性的实心球靶，而不是中央点火中使用的易碎壳靶。在使用精确定制的激光脉冲进行内爆之后，高密度燃料核心将在核心等离子体塌陷之前通过拍瓦激光在 10 皮秒内立即加热到点火温度。为了实现高效的激光聚变，我们必须克服挑战：如何实现致密的燃料核心，如何通过燃料核心周围的电晕等离子体有效地传递加热激光，如何有效地将加热激光能量耦合到燃料核心等离子体中，以及如何实现DT燃料的高燃耗分数。为了应对这些挑战，我们的设计采用250 kJ的内爆激光能量和30-40 kJ的强度大于10 W cm的加热激光来实现热波的高效核心加热，产生约15 MJ（增益）。</w:t>
      </w:r>
    </w:p>
    <w:p>
      <w:pPr>
        <w:spacing w:before="0" w:after="200" w:lineRule="auto" w:line="276"/>
      </w:pPr>
      <w:r>
        <w:rPr>
          <w:b/>
        </w:rPr>
        <w:t xml:space="preserve">Abstract (EN): </w:t>
      </w:r>
      <w:r>
        <w:t>We design a high-gain laser fusion employing a fast ignition scheme for inertial fusion energy with a total laser energy less than 1 megajoule. A solid-sphere target which is robust to hydro instabilities is utilized instead of a fragile shell target used in the central ignition. Following the implosion with precisely tailored laser pulses, the high-density fuel core will be heated immediately to the ignition temperature in 10 picoseconds by petawatt laser lights before the core plasma collapses. To achieve efficient laser fusion, we have to overcome challenges: how to achieve the dense fuel core, how to efficiently deliver heating lasers through the corona plasma surrounding the fuel core, how to efficiently couple the heating laser energy into the fuel core plasma, and how to achieve high burn-up fraction of DT fuel. To address these challenges, our design employs 250 kJ of implosion laser energy and 30–40 kJ of heating laser with intensity greater than 10 W cm to realize the efficient core heating with heatwave, yielding about 15 MJ (gain ).</w:t>
      </w:r>
    </w:p>
    <w:p>
      <w:pPr>
        <w:spacing w:before="120" w:after="120"/>
      </w:pPr>
      <w:r>
        <w:rPr>
          <w:sz w:val="18"/>
        </w:rPr>
        <w:t>——————————————————————————————————————————————————————————————————————</w:t>
      </w:r>
    </w:p>
    <w:p>
      <w:pPr>
        <w:spacing w:before="160" w:after="40" w:line="240" w:lineRule="auto"/>
      </w:pPr>
      <w:r>
        <w:rPr>
          <w:b/>
        </w:rPr>
        <w:t xml:space="preserve">[7] </w:t>
      </w:r>
      <w:hyperlink r:id="rId165">
        <w:r>
          <w:rPr>
            <w:color w:val="1155CC"/>
            <w:u w:val="single"/>
          </w:rPr>
          <w:t>核聚变公司表示工厂将向电网输送电力——但仍存在大问题</w:t>
        </w:r>
      </w:hyperlink>
    </w:p>
    <w:p>
      <w:pPr>
        <w:spacing w:before="0" w:after="80"/>
      </w:pPr>
      <w:r>
        <w:rPr>
          <w:i/>
          <w:sz w:val="20"/>
        </w:rPr>
        <w:t>EN: Nuclear-fusion firm says plant will deliver electricity to grid – but big questions remain</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166">
        <w:r>
          <w:rPr>
            <w:color w:val="1155CC"/>
            <w:u w:val="single"/>
          </w:rPr>
          <w:t>10.1038/d41586-026-01795-z</w:t>
        </w:r>
      </w:hyperlink>
    </w:p>
    <w:p>
      <w:pPr>
        <w:spacing w:before="0" w:after="120"/>
      </w:pPr>
      <w:r>
        <w:rPr>
          <w:b/>
        </w:rPr>
        <w:t xml:space="preserve">Notes: </w:t>
      </w:r>
      <w:r>
        <w:t>abstract_source=nature_html</w:t>
      </w:r>
    </w:p>
    <w:p>
      <w:pPr>
        <w:spacing w:before="0" w:after="80" w:lineRule="auto" w:line="276"/>
      </w:pPr>
      <w:r>
        <w:rPr>
          <w:b/>
        </w:rPr>
        <w:t xml:space="preserve">摘要（ZH）: </w:t>
      </w:r>
      <w:r>
        <w:t>联邦聚变系统公司发表了多篇论文，详细介绍了其 ARC 聚变发电厂的设计。联邦聚变系统公司发表了多篇论文，详细介绍了其 ARC 聚变发电厂的设计。</w:t>
      </w:r>
    </w:p>
    <w:p>
      <w:pPr>
        <w:spacing w:before="0" w:after="200" w:lineRule="auto" w:line="276"/>
      </w:pPr>
      <w:r>
        <w:rPr>
          <w:b/>
        </w:rPr>
        <w:t xml:space="preserve">Abstract (EN): </w:t>
      </w:r>
      <w:r>
        <w:t>Commonwealth Fusion Systems published several papers detailing the design of its ARC fusion power plant. Commonwealth Fusion Systems published several papers detailing the design of its ARC fusion power plant.</w:t>
      </w:r>
    </w:p>
    <w:p>
      <w:pPr>
        <w:spacing w:before="120" w:after="120"/>
      </w:pPr>
      <w:r>
        <w:rPr>
          <w:sz w:val="18"/>
        </w:rPr>
        <w:t>——————————————————————————————————————————————————————————————————————</w:t>
      </w:r>
    </w:p>
    <w:p>
      <w:pPr>
        <w:spacing w:before="160" w:after="40" w:line="240" w:lineRule="auto"/>
      </w:pPr>
      <w:r>
        <w:rPr>
          <w:b/>
        </w:rPr>
        <w:t xml:space="preserve">[8] </w:t>
      </w:r>
      <w:hyperlink r:id="rId167">
        <w:r>
          <w:rPr>
            <w:color w:val="1155CC"/>
            <w:u w:val="single"/>
          </w:rPr>
          <w:t>实时跟踪最小湍流状态以优化 LHD 中的等离子体约束</w:t>
        </w:r>
      </w:hyperlink>
    </w:p>
    <w:p>
      <w:pPr>
        <w:spacing w:before="0" w:after="80"/>
      </w:pPr>
      <w:r>
        <w:rPr>
          <w:i/>
          <w:sz w:val="20"/>
        </w:rPr>
        <w:t>EN: Real-time tracking of the turbulence-minimum state for optimizing plasma confinement in LHD</w:t>
      </w:r>
    </w:p>
    <w:p>
      <w:pPr>
        <w:spacing w:before="0" w:after="120"/>
      </w:pPr>
      <w:r>
        <w:rPr>
          <w:b/>
        </w:rPr>
        <w:t xml:space="preserve">Source: </w:t>
      </w:r>
      <w:r>
        <w:t>Nuclear Fusion - latest papers</w:t>
      </w:r>
      <w:r>
        <w:t xml:space="preserve">    </w:t>
      </w:r>
      <w:r>
        <w:rPr>
          <w:b/>
        </w:rPr>
        <w:t xml:space="preserve">Pub date: </w:t>
      </w:r>
      <w:r>
        <w:t>2026-06-08 23:00:00+00:00</w:t>
      </w:r>
      <w:r>
        <w:t xml:space="preserve">    </w:t>
      </w:r>
      <w:r>
        <w:rPr>
          <w:b/>
        </w:rPr>
        <w:t xml:space="preserve">DOI: </w:t>
      </w:r>
      <w:hyperlink r:id="rId168">
        <w:r>
          <w:rPr>
            <w:color w:val="1155CC"/>
            <w:u w:val="single"/>
          </w:rPr>
          <w:t>10.1088/1741-4326/ae70a2</w:t>
        </w:r>
      </w:hyperlink>
    </w:p>
    <w:p>
      <w:pPr>
        <w:spacing w:before="0" w:after="120"/>
      </w:pPr>
      <w:r>
        <w:rPr>
          <w:b/>
        </w:rPr>
        <w:t xml:space="preserve">Notes: </w:t>
      </w:r>
      <w:r>
        <w:t>abstract_source=rss_description</w:t>
      </w:r>
    </w:p>
    <w:p>
      <w:pPr>
        <w:spacing w:before="0" w:after="80" w:lineRule="auto" w:line="276"/>
      </w:pPr>
      <w:r>
        <w:rPr>
          <w:b/>
        </w:rPr>
        <w:t xml:space="preserve">摘要（ZH）: </w:t>
      </w:r>
      <w:r>
        <w:t>湍流驱动的异常传输是降低等离子体约束性能的主要因素之一，并且仍然是托卡马克和仿星器/日光管中的常见挑战。在大型螺旋装置中，主要的湍流模式（离子温度梯度或电阻交换）根据等离子体运行状态而变化，从而确定限制特性（Kinoshita 等人 2024 Phys. Rev. Lett.132 235101）。特别是，当湍流模式切换时，湍流和异常传输都会最小化。在这项研究中，通过采用穷举搜索与支持向量机相结合，我们成功地确定了这种湍流转变发生的条件，作为外部可控参数的函数。结果表明，过渡边界（代表湍流最小化的状态）可以通过线性关系有效地表征： 。通过实施实时反馈控制来主动跟踪该边界，实现了持续的湍流抑制状态。该策略为优化未来聚变装置中的等离子体性能提供了坚实的基础，其中实时边界跟踪和传输特性开发之间的协同作用可以自动引导等离子体达到其最高的限制潜力。</w:t>
      </w:r>
    </w:p>
    <w:p>
      <w:pPr>
        <w:spacing w:before="0" w:after="200" w:lineRule="auto" w:line="276"/>
      </w:pPr>
      <w:r>
        <w:rPr>
          <w:b/>
        </w:rPr>
        <w:t xml:space="preserve">Abstract (EN): </w:t>
      </w:r>
      <w:r>
        <w:t>Turbulence-driven anomalous transport is one of the primary factors that degrade plasma confinement performance and remains a common challenge in both tokamaks and stellarators/heliotrons. In the Large Helical Device, the dominant turbulence mode—either ion temperature gradient or resistive interchange—varies according to the plasma operational regime, thereby determining the confinement characteristics (Kinoshita et al 2024 Phys. Rev. Lett.132 235101). In particular, when the turbulent mode switches, both turbulence and anomalous transport are minimized. In this study, by employing an exhaustive search combined with a support vector machine, we successfully identified the condition under which this turbulence transition occurs as a function of externally controllable parameters. The results demonstrate that the transition boundary—representing the state where turbulence is minimized—can be effectively characterized by a linear relationship: . By implementing real-time feedback control to actively track this boundary, a sustained turbulence-suppressed state was achieved. This strategy provides a robust foundation for optimizing plasma performance in future fusion devices, where the synergy between real-time boundary tracking and transport-property exploitation can autonomously guide the plasma toward its highest confinement potential.</w:t>
      </w:r>
    </w:p>
    <w:p>
      <w:pPr>
        <w:spacing w:before="120" w:after="120"/>
      </w:pPr>
      <w:r>
        <w:rPr>
          <w:sz w:val="18"/>
        </w:rPr>
        <w:t>——————————————————————————————————————————————————————————————————————</w:t>
      </w:r>
    </w:p>
    <w:p>
      <w:pPr>
        <w:spacing w:before="160" w:after="40" w:line="240" w:lineRule="auto"/>
      </w:pPr>
      <w:r>
        <w:rPr>
          <w:b/>
        </w:rPr>
        <w:t xml:space="preserve">[9] </w:t>
      </w:r>
      <w:hyperlink r:id="rId169">
        <w:r>
          <w:rPr>
            <w:color w:val="1155CC"/>
            <w:u w:val="single"/>
          </w:rPr>
          <w:t>聚变环境中控制钨氧化的多维参数空间的演化优化</w:t>
        </w:r>
      </w:hyperlink>
    </w:p>
    <w:p>
      <w:pPr>
        <w:spacing w:before="0" w:after="80"/>
      </w:pPr>
      <w:r>
        <w:rPr>
          <w:i/>
          <w:sz w:val="20"/>
        </w:rPr>
        <w:t>EN: Evolutionary optimization of the multidimensional parameter space governing tungsten oxidation in fusion environments</w:t>
      </w:r>
    </w:p>
    <w:p>
      <w:pPr>
        <w:spacing w:before="0" w:after="120"/>
      </w:pPr>
      <w:r>
        <w:rPr>
          <w:b/>
        </w:rPr>
        <w:t xml:space="preserve">Source: </w:t>
      </w:r>
      <w:r>
        <w:t>Nuclear Fusion - latest papers</w:t>
      </w:r>
      <w:r>
        <w:t xml:space="preserve">    </w:t>
      </w:r>
      <w:r>
        <w:rPr>
          <w:b/>
        </w:rPr>
        <w:t xml:space="preserve">Pub date: </w:t>
      </w:r>
      <w:r>
        <w:t>2026-06-08 23:00:00+00:00</w:t>
      </w:r>
      <w:r>
        <w:t xml:space="preserve">    </w:t>
      </w:r>
      <w:r>
        <w:rPr>
          <w:b/>
        </w:rPr>
        <w:t xml:space="preserve">DOI: </w:t>
      </w:r>
      <w:hyperlink r:id="rId170">
        <w:r>
          <w:rPr>
            <w:color w:val="1155CC"/>
            <w:u w:val="single"/>
          </w:rPr>
          <w:t>10.1088/1741-4326/ae72a2</w:t>
        </w:r>
      </w:hyperlink>
    </w:p>
    <w:p>
      <w:pPr>
        <w:spacing w:before="0" w:after="120"/>
      </w:pPr>
      <w:r>
        <w:rPr>
          <w:b/>
        </w:rPr>
        <w:t xml:space="preserve">Notes: </w:t>
      </w:r>
      <w:r>
        <w:t>abstract_source=rss_description</w:t>
      </w:r>
    </w:p>
    <w:p>
      <w:pPr>
        <w:spacing w:before="0" w:after="80" w:lineRule="auto" w:line="276"/>
      </w:pPr>
      <w:r>
        <w:rPr>
          <w:b/>
        </w:rPr>
        <w:t xml:space="preserve">摘要（ZH）: </w:t>
      </w:r>
      <w:r>
        <w:t>钨是聚变装置中面向等离子体的元件的主要候选材料，但它在空气意外进入时容​​易快速氧化，带来重大的安全风险。现有的钨氧化模型通常依赖于从第一原理模拟中得出的各个参数（例如氧扩散率和吸附能），这些参数常常远远不能准确解释实验氧化速率趋势。本研究使用改进的多层界面跟踪模型，将氧化皮视为 WO 、WO 、WO 和 WO 层的动态系统。为了解决许多层特定参数的未知性质，我们采用差分进化遗传算法根据实验生长常数的综合数据库来优化 13 维参数空间。由此产生的优化模型准确地再现了实验氧化动力学，并正确预测了特定氧化物相随温度的变化，为评估极端条件下聚变材料的性能提供了更可靠的工具。该模型可以通过合并可用的实验数据来动态改进，从而得到反映氧化测量和表征最新技术水平的参数。</w:t>
      </w:r>
    </w:p>
    <w:p>
      <w:pPr>
        <w:spacing w:before="0" w:after="200" w:lineRule="auto" w:line="276"/>
      </w:pPr>
      <w:r>
        <w:rPr>
          <w:b/>
        </w:rPr>
        <w:t xml:space="preserve">Abstract (EN): </w:t>
      </w:r>
      <w:r>
        <w:t>Tungsten is a primary candidate for plasma-facing components in fusion devices, but its susceptibility to rapid oxidation during accidental air ingress poses significant safety risks. Existing models of tungsten oxidation often rely on individual parameters (such as oxygen diffusivity and adsorption energies) derived from first principles simulations, which frequently fall far from accurately explaining experimental oxidation rate trends. This study uses an improved multilayer interface tracking model that treats the oxide scale as a dynamic system of WO , WO , WO , and WO layers. To address the unknown nature of many layer-specific parameters, we employ a Differential Evolution genetic algorithm to optimize a 13-dimensional parameter space against a comprehensive database of experimental growth constants. The resulting optimized model accurately reproduces experimental oxidation kinetics and correctly predicts the temperature-dependent evolution of specific oxide phases, providing a more reliable tool for assessing the performance of fusion materials under extreme conditions. The model can be dynamically improved by incorporating experimental data as they become available, leading to parameters that reflect the state of the art in oxidation measurements and characterization.</w:t>
      </w:r>
    </w:p>
    <w:p>
      <w:pPr>
        <w:spacing w:before="120" w:after="120"/>
      </w:pPr>
      <w:r>
        <w:rPr>
          <w:sz w:val="18"/>
        </w:rPr>
        <w:t>——————————————————————————————————————————————————————————————————————</w:t>
      </w:r>
    </w:p>
    <w:p>
      <w:pPr>
        <w:spacing w:before="160" w:after="40" w:line="240" w:lineRule="auto"/>
      </w:pPr>
      <w:r>
        <w:rPr>
          <w:b/>
        </w:rPr>
        <w:t xml:space="preserve">[10] </w:t>
      </w:r>
      <w:hyperlink r:id="rId171">
        <w:r>
          <w:rPr>
            <w:color w:val="1155CC"/>
            <w:u w:val="single"/>
          </w:rPr>
          <w:t>ICRF 加热托卡马克等离子体中爆发和非爆发剪切阿尔文波的综合模拟</w:t>
        </w:r>
      </w:hyperlink>
    </w:p>
    <w:p>
      <w:pPr>
        <w:spacing w:before="0" w:after="80"/>
      </w:pPr>
      <w:r>
        <w:rPr>
          <w:i/>
          <w:sz w:val="20"/>
        </w:rPr>
        <w:t>EN: Comprehensive simulations of bursting and non-bursting shear Alfvén waves in ICRF heated tokamak plasmas</w:t>
      </w:r>
    </w:p>
    <w:p>
      <w:pPr>
        <w:spacing w:before="0" w:after="120"/>
      </w:pPr>
      <w:r>
        <w:rPr>
          <w:b/>
        </w:rPr>
        <w:t xml:space="preserve">Source: </w:t>
      </w:r>
      <w:r>
        <w:t>Nuclear Fusion - latest papers</w:t>
      </w:r>
      <w:r>
        <w:t xml:space="preserve">    </w:t>
      </w:r>
      <w:r>
        <w:rPr>
          <w:b/>
        </w:rPr>
        <w:t xml:space="preserve">Pub date: </w:t>
      </w:r>
      <w:r>
        <w:t>2026-06-08 23:00:00+00:00</w:t>
      </w:r>
      <w:r>
        <w:t xml:space="preserve">    </w:t>
      </w:r>
      <w:r>
        <w:rPr>
          <w:b/>
        </w:rPr>
        <w:t xml:space="preserve">DOI: </w:t>
      </w:r>
      <w:hyperlink r:id="rId172">
        <w:r>
          <w:rPr>
            <w:color w:val="1155CC"/>
            <w:u w:val="single"/>
          </w:rPr>
          <w:t>10.1088/1741-4326/ae72a4</w:t>
        </w:r>
      </w:hyperlink>
    </w:p>
    <w:p>
      <w:pPr>
        <w:spacing w:before="0" w:after="120"/>
      </w:pPr>
      <w:r>
        <w:rPr>
          <w:b/>
        </w:rPr>
        <w:t xml:space="preserve">Notes: </w:t>
      </w:r>
      <w:r>
        <w:t>abstract_source=rss_description</w:t>
      </w:r>
    </w:p>
    <w:p>
      <w:pPr>
        <w:spacing w:before="0" w:after="80" w:lineRule="auto" w:line="276"/>
      </w:pPr>
      <w:r>
        <w:rPr>
          <w:b/>
        </w:rPr>
        <w:t xml:space="preserve">摘要（ZH）: </w:t>
      </w:r>
      <w:r>
        <w:t>这项工作报告了使用动力学-MHD混合代码MEGA在减速时间尺度上对离子回旋共振加热（IC​​RH）驱动的托卡马克等离子体的首次全面模拟，其中剪切阿尔文波引起的少数离子输运在高能尾部形成过程中自洽地包括在内。在具有相对较低磁场 ( ) 和位于磁轴或内侧的离子回旋加速器频率范围 (ICRF) 共振层的等离子体的多 n 和单 n 模拟中观察到爆发环形阿尔文本征模 (TAE)，而外侧加热总是导致非爆发 TAE，其中 是环形模式数。在爆发事件期间，每个环形谐波会出现一系列具有不同频率的离散 TAE，相邻模式之间存在空间重叠。相反，在非突发情况下，具有相同环形模数但集中在不同径向位置的谐波形成具有几乎相同频率的单个宽结构。结果进一步表明，在爆发情况下，少数粒子仍然远离射频（RF）共振层，而在非爆发情况下，它们靠近射频共振层并经历强烈的 ICRF 驱动的速度空间扩散。这表明 ICRF 驱动的速度空间扩散可以帮助抑制爆发 TAE 并维持更高能量的粒子 beta，突出了阿尔文本征模 (AE) 动力学对 ICRF 共振位置的敏感性，这可用于未来的 AE 控制策略。</w:t>
      </w:r>
    </w:p>
    <w:p>
      <w:pPr>
        <w:spacing w:before="0" w:after="200" w:lineRule="auto" w:line="276"/>
      </w:pPr>
      <w:r>
        <w:rPr>
          <w:b/>
        </w:rPr>
        <w:t xml:space="preserve">Abstract (EN): </w:t>
      </w:r>
      <w:r>
        <w:t>This work reports the first comprehensive simulations of ion cyclotron resonance heating (ICRH) driven tokamak plasmas on the slowing-down timescale using the kinetic-MHD hybrid code MEGA, where shear Alfvén wave induced minority ion transport is self-consistently included during the high-energy tail formation. Bursting toroidal Alfvén eigenmodes (TAEs) are observed in both multi-n and single-n simulations of plasmas with a relatively low magnetic field ( ) and an ion-cyclotron-range-of-frequency (ICRF) resonance layer located at the magnetic axis or on the inboard side, while outboard heating always leads to non-bursting TAEs, where is the toroidal mode number. During bursting events, a series of discrete TAEs with distinct frequencies emerges for each toroidal harmonic, with spatial overlap between adjacent modes. In contrast, in non-bursting cases, harmonics with the same toroidal mode number but centered at different radial locations form a single broad structure with nearly identical frequencies. The results further show that, in the bursting case, minority particles remain far from the radio-frequency (RF) resonance layer, whereas in the non-bursting case they stay close to it and experience strong ICRF-driven velocity-space diffusion. This indicates that ICRF-driven velocity-space diffusion can help suppress bursting TAEs and sustain higher energetic particle beta, highlighting the sensitivity of Alfvén eigenmode (AE) dynamics to the ICRF resonance location, which may be utilized for future AE control strategies.</w:t>
      </w:r>
    </w:p>
    <w:p>
      <w:pPr>
        <w:spacing w:before="120" w:after="120"/>
      </w:pPr>
      <w:r>
        <w:rPr>
          <w:sz w:val="18"/>
        </w:rPr>
        <w:t>——————————————————————————————————————————————————————————————————————</w:t>
      </w:r>
    </w:p>
    <w:p>
      <w:pPr>
        <w:spacing w:before="160" w:after="40" w:line="240" w:lineRule="auto"/>
      </w:pPr>
      <w:r>
        <w:rPr>
          <w:b/>
        </w:rPr>
        <w:t xml:space="preserve">[11] </w:t>
      </w:r>
      <w:hyperlink r:id="rId173">
        <w:r>
          <w:rPr>
            <w:color w:val="1155CC"/>
            <w:u w:val="single"/>
          </w:rPr>
          <w:t>通过偏滤器热负荷对称化补偿 Wendelstein 7-X 中的 1/1 和 2/2 误差场</w:t>
        </w:r>
      </w:hyperlink>
    </w:p>
    <w:p>
      <w:pPr>
        <w:spacing w:before="0" w:after="80"/>
      </w:pPr>
      <w:r>
        <w:rPr>
          <w:i/>
          <w:sz w:val="20"/>
        </w:rPr>
        <w:t>EN: Compensation of 1/1 and 2/2 error field in Wendelstein 7-X via divertor heat load symmetrization</w:t>
      </w:r>
    </w:p>
    <w:p>
      <w:pPr>
        <w:spacing w:before="0" w:after="120"/>
      </w:pPr>
      <w:r>
        <w:rPr>
          <w:b/>
        </w:rPr>
        <w:t xml:space="preserve">Source: </w:t>
      </w:r>
      <w:r>
        <w:t>Nuclear Fusion - latest papers</w:t>
      </w:r>
      <w:r>
        <w:t xml:space="preserve">    </w:t>
      </w:r>
      <w:r>
        <w:rPr>
          <w:b/>
        </w:rPr>
        <w:t xml:space="preserve">Pub date: </w:t>
      </w:r>
      <w:r>
        <w:t>2026-06-08 23:00:00+00:00</w:t>
      </w:r>
      <w:r>
        <w:t xml:space="preserve">    </w:t>
      </w:r>
      <w:r>
        <w:rPr>
          <w:b/>
        </w:rPr>
        <w:t xml:space="preserve">DOI: </w:t>
      </w:r>
      <w:hyperlink r:id="rId174">
        <w:r>
          <w:rPr>
            <w:color w:val="1155CC"/>
            <w:u w:val="single"/>
          </w:rPr>
          <w:t>10.1088/1741-4326/ae738e</w:t>
        </w:r>
      </w:hyperlink>
    </w:p>
    <w:p>
      <w:pPr>
        <w:spacing w:before="0" w:after="120"/>
      </w:pPr>
      <w:r>
        <w:rPr>
          <w:b/>
        </w:rPr>
        <w:t xml:space="preserve">Notes: </w:t>
      </w:r>
      <w:r>
        <w:t>abstract_source=rss_description</w:t>
      </w:r>
    </w:p>
    <w:p>
      <w:pPr>
        <w:spacing w:before="0" w:after="80" w:lineRule="auto" w:line="276"/>
      </w:pPr>
      <w:r>
        <w:rPr>
          <w:b/>
        </w:rPr>
        <w:t xml:space="preserve">摘要（ZH）: </w:t>
      </w:r>
      <w:r>
        <w:t>最近对 Wendelstein 7-X (W7-X) 仿星器的水冷、高热通量偏滤器进行的实验表明，误差场补偿方面取得了重大进展。数值模拟揭示了偏滤器热负荷分布对误差场的显着敏感性。实验上，监控所有十个偏滤器单元的广角红外摄像机显示，当分别采用微调线圈和控制线圈来补偿固有的 1/1 和 2/2 误差场时，偏滤器热足迹的对称性显着改善。尽管诊断、偏滤器组件和磁性配置略有不同，但通过实验确定的固有 1/1 误差场的幅度与七年前获得的结果一致。首次通过使用控制线圈电流的相位扫描实验补偿固有 2/2 误差场，并通过仿真进行支持和验证。</w:t>
      </w:r>
    </w:p>
    <w:p>
      <w:pPr>
        <w:spacing w:before="0" w:after="200" w:lineRule="auto" w:line="276"/>
      </w:pPr>
      <w:r>
        <w:rPr>
          <w:b/>
        </w:rPr>
        <w:t xml:space="preserve">Abstract (EN): </w:t>
      </w:r>
      <w:r>
        <w:t>Recent experiments with the water-cooled, high-heat-flux divertor of the Wendelstein 7-X (W7-X) stellarator demonstrate substantial progress in error-field compensation. Numerical simulations reveal a pronounced sensitivity of divertor heat load distributions to error fields. Experimentally, wide-angle infrared cameras monitoring all ten divertor units show significant improvements in the symmetry of divertor thermal footprints when trim coils and control coils are employed to compensate intrinsic 1/1 and 2/2 error fields, respectively. The experimentally determined amplitude of the intrinsic 1/1 error field is consistent with results obtained seven years ago, despite different diagnostics, divertor components, and slight variation in magnetic configurations. For the first time, the intrinsic 2/2 error field has been compensated through a phase-scan experiment using control coil currents, supported and validated by simulations.</w:t>
      </w:r>
    </w:p>
    <w:p>
      <w:pPr>
        <w:spacing w:before="120" w:after="120"/>
      </w:pPr>
      <w:r>
        <w:rPr>
          <w:sz w:val="18"/>
        </w:rPr>
        <w:t>——————————————————————————————————————————————————————————————————————</w:t>
      </w:r>
    </w:p>
    <w:p>
      <w:pPr>
        <w:spacing w:before="160" w:after="40" w:line="240" w:lineRule="auto"/>
      </w:pPr>
      <w:r>
        <w:rPr>
          <w:b/>
        </w:rPr>
        <w:t xml:space="preserve">[12] </w:t>
      </w:r>
      <w:hyperlink r:id="rId175">
        <w:r>
          <w:rPr>
            <w:color w:val="1155CC"/>
            <w:u w:val="single"/>
          </w:rPr>
          <w:t>球形托卡马克等离子体合并启动中的电流重排</w:t>
        </w:r>
      </w:hyperlink>
    </w:p>
    <w:p>
      <w:pPr>
        <w:spacing w:before="0" w:after="80"/>
      </w:pPr>
      <w:r>
        <w:rPr>
          <w:i/>
          <w:sz w:val="20"/>
        </w:rPr>
        <w:t>EN: Current rearrangement in merging start-up of spherical tokamak plasmas</w:t>
      </w:r>
    </w:p>
    <w:p>
      <w:pPr>
        <w:spacing w:before="0" w:after="120"/>
      </w:pPr>
      <w:r>
        <w:rPr>
          <w:b/>
        </w:rPr>
        <w:t xml:space="preserve">Source: </w:t>
      </w:r>
      <w:r>
        <w:t>Nuclear Fusion - latest papers</w:t>
      </w:r>
      <w:r>
        <w:t xml:space="preserve">    </w:t>
      </w:r>
      <w:r>
        <w:rPr>
          <w:b/>
        </w:rPr>
        <w:t xml:space="preserve">Pub date: </w:t>
      </w:r>
      <w:r>
        <w:t>2026-06-08 23:00:00+00:00</w:t>
      </w:r>
      <w:r>
        <w:t xml:space="preserve">    </w:t>
      </w:r>
      <w:r>
        <w:rPr>
          <w:b/>
        </w:rPr>
        <w:t xml:space="preserve">DOI: </w:t>
      </w:r>
      <w:hyperlink r:id="rId176">
        <w:r>
          <w:rPr>
            <w:color w:val="1155CC"/>
            <w:u w:val="single"/>
          </w:rPr>
          <w:t>10.1088/1741-4326/ae729f</w:t>
        </w:r>
      </w:hyperlink>
    </w:p>
    <w:p>
      <w:pPr>
        <w:spacing w:before="0" w:after="120"/>
      </w:pPr>
      <w:r>
        <w:rPr>
          <w:b/>
        </w:rPr>
        <w:t xml:space="preserve">Notes: </w:t>
      </w:r>
      <w:r>
        <w:t>abstract_source=rss_description</w:t>
      </w:r>
    </w:p>
    <w:p>
      <w:pPr>
        <w:spacing w:before="0" w:after="80" w:lineRule="auto" w:line="276"/>
      </w:pPr>
      <w:r>
        <w:rPr>
          <w:b/>
        </w:rPr>
        <w:t xml:space="preserve">摘要（ZH）: </w:t>
      </w:r>
      <w:r>
        <w:t>通过磁重联提供高功率离子加热的环面等离子体合并技术有望显着扩展球形托卡马克（ST）聚变反应堆的运行场景。当两个等离子体电流方向相同的环面等离子体合并时，磁通量的变化会在它们之间感应出方向相反的片状电流。为了在合并后建立ST平衡，这个相反的电流必须迅速反向。在UTST等离子体合并实验中研究了等离子体合并期间/之后的等离子体电流重排机制。在下游区域，形成比稳态下预期更大的静电场，并反转沿磁场线的平行电场。平行电场的径向分布与环形电流密度和软x射线发射分布表现出良好的一致性，表明平行电场控制下游区域电子的行为，并有助于形成维持合并ST平衡的等离子体电流分布。</w:t>
      </w:r>
    </w:p>
    <w:p>
      <w:pPr>
        <w:spacing w:before="0" w:after="200" w:lineRule="auto" w:line="276"/>
      </w:pPr>
      <w:r>
        <w:rPr>
          <w:b/>
        </w:rPr>
        <w:t xml:space="preserve">Abstract (EN): </w:t>
      </w:r>
      <w:r>
        <w:t>Torus plasma merging technique that provides high power ion heating by magnetic reconnection is expected to significantly expand the operation scenarios of spherical tokamak (ST) fusion reactors. When two torus plasmas with plasma currents in the same direction are merged, magnetic flux change induces a sheet current in the opposite direction between them. In order to establish ST equilibrium after merging, this opposite current must be reversed quickly. The plasma current rearrangement mechanism during/after plasma merging was investigated in the UTST plasma merging experiment. In the downstream region, a larger electrostatic field than that expected in the steady state is formed, and reversed the parallel electric field along the magnetic field lines. The radial profile of the parallel electric field shows good agreement with the toroidal current density and the soft x-ray emission distribution, indicating that the parallel electric field governs the behavior of electrons in the downstream region and contributes to form the plasma current distribution that sustain the equilibrium of the merged ST.</w:t>
      </w:r>
    </w:p>
    <w:p>
      <w:pPr>
        <w:spacing w:before="120" w:after="120"/>
      </w:pPr>
      <w:r>
        <w:rPr>
          <w:sz w:val="18"/>
        </w:rPr>
        <w:t>——————————————————————————————————————————————————————————————————————</w:t>
      </w:r>
    </w:p>
    <w:p>
      <w:pPr>
        <w:spacing w:before="160" w:after="40" w:line="240" w:lineRule="auto"/>
      </w:pPr>
      <w:r>
        <w:rPr>
          <w:b/>
        </w:rPr>
        <w:t xml:space="preserve">[13] </w:t>
      </w:r>
      <w:hyperlink r:id="rId177">
        <w:r>
          <w:rPr>
            <w:color w:val="1155CC"/>
            <w:u w:val="single"/>
          </w:rPr>
          <w:t>嵌入金属硫化物中的构象自适应冠醚可实现出色的锶捕获</w:t>
        </w:r>
      </w:hyperlink>
    </w:p>
    <w:p>
      <w:pPr>
        <w:spacing w:before="0" w:after="80"/>
      </w:pPr>
      <w:r>
        <w:rPr>
          <w:i/>
          <w:sz w:val="20"/>
        </w:rPr>
        <w:t>EN: Conformationally Adaptive Crown Ether Embedded in a Metal Sulfide for Exceptional Strontium Capture</w:t>
      </w:r>
    </w:p>
    <w:p>
      <w:pPr>
        <w:spacing w:before="0" w:after="120"/>
      </w:pPr>
      <w:r>
        <w:rPr>
          <w:b/>
        </w:rPr>
        <w:t xml:space="preserve">Source: </w:t>
      </w:r>
      <w:r>
        <w:t>Wiley: Angewandte Chemie International Edition: Table of Contents</w:t>
      </w:r>
      <w:r>
        <w:t xml:space="preserve">    </w:t>
      </w:r>
      <w:r>
        <w:rPr>
          <w:b/>
        </w:rPr>
        <w:t xml:space="preserve">Pub date: </w:t>
      </w:r>
      <w:r>
        <w:t>2026-06-09 01:04:08+00:00</w:t>
      </w:r>
      <w:r>
        <w:t xml:space="preserve">    </w:t>
      </w:r>
      <w:r>
        <w:rPr>
          <w:b/>
        </w:rPr>
        <w:t xml:space="preserve">DOI: </w:t>
      </w:r>
      <w:hyperlink r:id="rId178">
        <w:r>
          <w:rPr>
            <w:color w:val="1155CC"/>
            <w:u w:val="single"/>
          </w:rPr>
          <w:t>10.1002/anie.9159294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晶态吸附剂中柔性超分子部分（例如冠醚）的精确构象控制对于有效的主客体识别至关重要。依赖共价化学的传统策略通常受到繁琐的合成或构象灵活性牺牲的限制。在这里，我们介绍了一种简单的非共价锚定策略，其中 18-crown-6 (18Cr6) 分子是</w:t>
      </w:r>
      <w:r>
        <w:t xml:space="preserve"> </w:t>
      </w:r>
      <w:r>
        <w:t>原位</w:t>
      </w:r>
      <w:r>
        <w:t xml:space="preserve"> </w:t>
      </w:r>
      <w:r>
        <w:t>在一锅合成中嵌入穿孔硫锡酸盐框架（18Cr6-SnS）的层间画廊之间。这种结构不仅确保了冠醚的有序排列，而且保留了内在的配位自由度，从而实现了卓越的 Sr</w:t>
      </w:r>
      <w:r>
        <w:t xml:space="preserve"> </w:t>
      </w:r>
      <w:r>
        <w:t>2+</w:t>
      </w:r>
      <w:r>
        <w:t xml:space="preserve"> </w:t>
      </w:r>
      <w:r>
        <w:t>结合亲和力。 18Cr6-SnS 表现出创纪录的高分配系数（</w:t>
      </w:r>
      <w:r>
        <w:t xml:space="preserve"> </w:t>
      </w:r>
      <w:r>
        <w:t>K</w:t>
      </w:r>
      <w:r>
        <w:t xml:space="preserve"> </w:t>
      </w:r>
      <w:r>
        <w:t>d</w:t>
      </w:r>
      <w:r>
        <w:t xml:space="preserve"> </w:t>
      </w:r>
      <w:r>
        <w:t>= 4.9 × 10</w:t>
      </w:r>
      <w:r>
        <w:rPr>
          <w:vertAlign w:val="subscript"/>
        </w:rPr>
        <w:t>6</w:t>
      </w:r>
      <w:r>
        <w:t>mL/g）在中性条件下和模拟酸性高放废液中具有优异的选择性，显示出高分离因子（</w:t>
      </w:r>
      <w:r>
        <w:t xml:space="preserve"> </w:t>
      </w:r>
      <w:r>
        <w:t>K</w:t>
      </w:r>
      <w:r>
        <w:t xml:space="preserve"> </w:t>
      </w:r>
      <w:r>
        <w:t>d</w:t>
      </w:r>
      <w:r>
        <w:t xml:space="preserve"> </w:t>
      </w:r>
      <w:r>
        <w:t>锶</w:t>
      </w:r>
      <w:r>
        <w:t xml:space="preserve"> </w:t>
      </w:r>
      <w:r>
        <w:t>/</w:t>
      </w:r>
      <w:r>
        <w:t>K</w:t>
      </w:r>
      <w:r>
        <w:t xml:space="preserve"> </w:t>
      </w:r>
      <w:r>
        <w:t>d</w:t>
      </w:r>
      <w:r>
        <w:t xml:space="preserve"> </w:t>
      </w:r>
      <w:r>
        <w:t>中号</w:t>
      </w:r>
      <w:r>
        <w:t xml:space="preserve"> </w:t>
      </w:r>
      <w:r>
        <w:t>) 对于铯</w:t>
      </w:r>
      <w:r>
        <w:t xml:space="preserve"> </w:t>
      </w:r>
      <w:r>
        <w:t>+</w:t>
      </w:r>
      <w:r>
        <w:t xml:space="preserve"> </w:t>
      </w:r>
      <w:r>
        <w:t>(96)，欧盟</w:t>
      </w:r>
      <w:r>
        <w:t xml:space="preserve"> </w:t>
      </w:r>
      <w:r>
        <w:t>3+</w:t>
      </w:r>
      <w:r>
        <w:t xml:space="preserve"> </w:t>
      </w:r>
      <w:r>
        <w:t>（245），和镍</w:t>
      </w:r>
      <w:r>
        <w:t xml:space="preserve"> </w:t>
      </w:r>
      <w:r>
        <w:t>2+</w:t>
      </w:r>
      <w:r>
        <w:t xml:space="preserve"> </w:t>
      </w:r>
      <w:r>
        <w:t>(621) 溶于 1 M HNO</w:t>
      </w:r>
      <w:r>
        <w:rPr>
          <w:vertAlign w:val="subscript"/>
        </w:rPr>
        <w:t>3</w:t>
      </w:r>
      <w:r>
        <w:t>。实验和理论分析表明</w:t>
      </w:r>
    </w:p>
    <w:p>
      <w:pPr>
        <w:spacing w:before="0" w:after="200" w:lineRule="auto" w:line="276"/>
      </w:pPr>
      <w:r>
        <w:rPr>
          <w:b/>
        </w:rPr>
        <w:t xml:space="preserve">Abstract (EN): </w:t>
      </w:r>
      <w:r>
        <w:t>Precise conformational control of flexible supramolecular moieties (e.g., crown ethers) in crystalline‐state adsorbents is essential for efficient host–guest recognition. Traditional strategies relying on covalent chemistry are often limited by either tedious synthesis or a sacrifice of conformational flexibility. Here, we introduce a simple non‐covalent anchoring strategy where 18‐crown‐6 (18Cr6) molecules are</w:t>
      </w:r>
      <w:r>
        <w:t xml:space="preserve"> </w:t>
      </w:r>
      <w:r>
        <w:t>in‐situ</w:t>
      </w:r>
      <w:r>
        <w:t xml:space="preserve"> </w:t>
      </w:r>
      <w:r>
        <w:t>embedded between the interlayer galleries of a perforated thiostannate framework (18Cr6‐SnS) in one‐pot synthesis. This architecture not only ensures ordered alignment of crown ethers but also preserves the intrinsic coordination freedom, thereby enabling exceptional Sr</w:t>
      </w:r>
      <w:r>
        <w:t xml:space="preserve"> </w:t>
      </w:r>
      <w:r>
        <w:t>2+</w:t>
      </w:r>
      <w:r>
        <w:t xml:space="preserve"> </w:t>
      </w:r>
      <w:r>
        <w:t>binding affinity. 18Cr6‐SnS exhibits a record‐high distribution coefficient (</w:t>
      </w:r>
      <w:r>
        <w:t xml:space="preserve"> </w:t>
      </w:r>
      <w:r>
        <w:t>K</w:t>
      </w:r>
      <w:r>
        <w:t xml:space="preserve"> </w:t>
      </w:r>
      <w:r>
        <w:t>d</w:t>
      </w:r>
      <w:r>
        <w:t xml:space="preserve"> </w:t>
      </w:r>
      <w:r>
        <w:t>= 4.9 × 10</w:t>
      </w:r>
      <w:r>
        <w:rPr>
          <w:vertAlign w:val="subscript"/>
        </w:rPr>
        <w:t>6</w:t>
      </w:r>
      <w:r>
        <w:t>mL/g) under neutral conditions and excellent selectivity in simulated acidic high‐level liquid waste, displaying high separation factors (</w:t>
      </w:r>
      <w:r>
        <w:t xml:space="preserve"> </w:t>
      </w:r>
      <w:r>
        <w:t>K</w:t>
      </w:r>
      <w:r>
        <w:t xml:space="preserve"> </w:t>
      </w:r>
      <w:r>
        <w:t>d</w:t>
      </w:r>
      <w:r>
        <w:t xml:space="preserve"> </w:t>
      </w:r>
      <w:r>
        <w:t>Sr</w:t>
      </w:r>
      <w:r>
        <w:t xml:space="preserve"> </w:t>
      </w:r>
      <w:r>
        <w:t>/</w:t>
      </w:r>
      <w:r>
        <w:t>K</w:t>
      </w:r>
      <w:r>
        <w:t xml:space="preserve"> </w:t>
      </w:r>
      <w:r>
        <w:t>d</w:t>
      </w:r>
      <w:r>
        <w:t xml:space="preserve"> </w:t>
      </w:r>
      <w:r>
        <w:t>M</w:t>
      </w:r>
      <w:r>
        <w:t xml:space="preserve"> </w:t>
      </w:r>
      <w:r>
        <w:t>) for Cs</w:t>
      </w:r>
      <w:r>
        <w:t xml:space="preserve"> </w:t>
      </w:r>
      <w:r>
        <w:t>+</w:t>
      </w:r>
      <w:r>
        <w:t xml:space="preserve"> </w:t>
      </w:r>
      <w:r>
        <w:t>(96), Eu</w:t>
      </w:r>
      <w:r>
        <w:t xml:space="preserve"> </w:t>
      </w:r>
      <w:r>
        <w:t>3+</w:t>
      </w:r>
      <w:r>
        <w:t xml:space="preserve"> </w:t>
      </w:r>
      <w:r>
        <w:t>(245), and Ni</w:t>
      </w:r>
      <w:r>
        <w:t xml:space="preserve"> </w:t>
      </w:r>
      <w:r>
        <w:t>2+</w:t>
      </w:r>
      <w:r>
        <w:t xml:space="preserve"> </w:t>
      </w:r>
      <w:r>
        <w:t>(621) in 1 M HNO</w:t>
      </w:r>
      <w:r>
        <w:rPr>
          <w:vertAlign w:val="subscript"/>
        </w:rPr>
        <w:t>3</w:t>
      </w:r>
      <w:r>
        <w:t>. Experimental and theoretical analyses reveal that the superior Sr</w:t>
      </w:r>
      <w:r>
        <w:t xml:space="preserve"> </w:t>
      </w:r>
      <w:r>
        <w:t>2+</w:t>
      </w:r>
      <w:r>
        <w:t xml:space="preserve"> </w:t>
      </w:r>
      <w:r>
        <w:t>recognition arises from the conformational adaptability of intercalated crown ethers, coupled with adjustable interlayer spacing. This work establishes a cost‐effective and scalable route to develop advanced adsorbents by synergizing host materials with flexible supramolecular receptors for critical energy and environmental applications.</w:t>
      </w:r>
    </w:p>
    <w:p>
      <w:pPr>
        <w:spacing w:before="120" w:after="120"/>
      </w:pPr>
      <w:r>
        <w:rPr>
          <w:sz w:val="18"/>
        </w:rPr>
        <w:t>——————————————————————————————————————————————————————————————————————</w:t>
      </w:r>
    </w:p>
    <w:p>
      <w:pPr>
        <w:spacing w:before="160" w:after="40" w:line="240" w:lineRule="auto"/>
      </w:pPr>
      <w:r>
        <w:rPr>
          <w:b/>
        </w:rPr>
        <w:t xml:space="preserve">[14] </w:t>
      </w:r>
      <w:hyperlink r:id="rId179">
        <w:r>
          <w:rPr>
            <w:color w:val="1155CC"/>
            <w:u w:val="single"/>
          </w:rPr>
          <w:t>核废料处理骨架材料</w:t>
        </w:r>
      </w:hyperlink>
    </w:p>
    <w:p>
      <w:pPr>
        <w:spacing w:before="0" w:after="80"/>
      </w:pPr>
      <w:r>
        <w:rPr>
          <w:i/>
          <w:sz w:val="20"/>
        </w:rPr>
        <w:t>EN: Framework materials for nuclear waste treatment</w:t>
      </w:r>
    </w:p>
    <w:p>
      <w:pPr>
        <w:spacing w:before="0" w:after="120"/>
      </w:pPr>
      <w:r>
        <w:rPr>
          <w:b/>
        </w:rPr>
        <w:t xml:space="preserve">Source: </w:t>
      </w:r>
      <w:r>
        <w:t>RSC - Chem. Soc. Rev. latest articles</w:t>
      </w:r>
      <w:r>
        <w:t xml:space="preserve">    </w:t>
      </w:r>
      <w:r>
        <w:rPr>
          <w:b/>
        </w:rPr>
        <w:t xml:space="preserve">Pub date: </w:t>
      </w:r>
      <w:r>
        <w:t>2026-06-09 23:00:00+00:00</w:t>
      </w:r>
    </w:p>
    <w:p>
      <w:pPr>
        <w:spacing w:before="0" w:after="120"/>
      </w:pPr>
      <w:r>
        <w:rPr>
          <w:b/>
        </w:rPr>
        <w:t xml:space="preserve">Notes: </w:t>
      </w:r>
      <w:r>
        <w:t>abstract_source=rsc_html</w:t>
      </w:r>
    </w:p>
    <w:p>
      <w:pPr>
        <w:spacing w:before="0" w:after="80" w:lineRule="auto" w:line="276"/>
      </w:pPr>
      <w:r>
        <w:rPr>
          <w:b/>
        </w:rPr>
        <w:t xml:space="preserve">摘要（ZH）: </w:t>
      </w:r>
      <w:r>
        <w:t>在能源需求和环境安全的推动下，人们寻求处理和处置核废料的能力，以满足可持续核电的需求。核裂变产生的放射性副产物，包括阳离子放射性核素（235UO22+、137Cs+、90Sr2+、贵金属和部分锕系元素）、阴离子放射性核素（99TcO4−、129/131I3−、129/131I−等）、气态流出物（129/131I2、 85Kr、127Xe、222Rn 等）和氚应得到安全有效的管理，强调需要强有力的科学解决方案来最大程度地减少环境污染并增强公众信心。为此，金属有机框架（MOF）、共价有机框架（COF）、氢键有机框架（HOF）、超分子组装框架（SAF）和多孔芳香框架（PAF）等框架材料凭借其丰富的结构、可定制的功能、可调的孔径和高比表面积的独特性质，已成为非常有前途的放射性核素提取和去除平台。迄今为止，还缺乏系统地整合材料设计、研究进展和实际应用以实现放射性核素全面分离的全面综述。本文首先全面概述了框架材料的科学意义和结构特征，然后总结了其设计原理、合成策略和功能多样性。然后详细审查了各种放射性核素的最新应用</w:t>
      </w:r>
    </w:p>
    <w:p>
      <w:pPr>
        <w:spacing w:before="0" w:after="200" w:lineRule="auto" w:line="276"/>
      </w:pPr>
      <w:r>
        <w:rPr>
          <w:b/>
        </w:rPr>
        <w:t xml:space="preserve">Abstract (EN): </w:t>
      </w:r>
      <w:r>
        <w:t>Driven by energy demand and environmental safety, the ability to treat and dispose of nuclear waste is sought to fulfil the demand for sustainable nuclear power. Radioactive byproducts generated by nuclear fission, including cationic radionuclides (235UO22+, 137Cs+, 90Sr2+, noble metals and partial actinide elements), anionic radionuclides (99TcO4−, 129/131I3−, 129/131I−, etc.), gaseous effluents (129/131I2, 85Kr, 127Xe, 222Rn, etc.), and tritium, should be managed safely and efficiently, underscoring the need for robust scientific solutions to minimize environmental contamination and foster public confidence. For this purpose, framework materials like metal–organic frameworks (MOFs), covalent organic frameworks (COFs), hydrogen-bonded organic frameworks (HOFs), supramolecular assembly frameworks (SAFs) and porous aromatic frameworks (PAFs) have emerged as highly promising platforms for radionuclide extraction and removal relying on their unique properties of abundant structures, customizable functionality, tunable pore sizes, and high specific surface area. Thus far, there is a lack of a comprehensive review that systematically integrates materials design, research progress, and practical applications for achieving comprehensive radionuclide separation. This review begins with a comprehensive overview of the scientific significance and structural characteristics of framework materials, followed by a summary of their design principles, synthetic strategies, and functional versatility. It then presents a detailed examination of recent applications across various radionuclide classes, with an in-depth discussion of advanced design paradigms, performance across diverse scenarios, and mechanisms. Finally, future perspectives are outlined to address unresolved scientific and technical challenges and to accelerate the practical implementation of next-generation framework materials. This work provides a foundational platform for engineering innovation and the broader application of framework materials, which is crucial for the effective and sustainable management of nuclear waste.</w:t>
      </w:r>
    </w:p>
    <w:p>
      <w:pPr>
        <w:spacing w:before="120" w:after="120"/>
      </w:pPr>
      <w:r>
        <w:rPr>
          <w:sz w:val="18"/>
        </w:rPr>
        <w:t>——————————————————————————————————————————————————————————————————————</w:t>
      </w:r>
    </w:p>
    <w:p>
      <w:pPr>
        <w:spacing w:before="160" w:after="40" w:line="240" w:lineRule="auto"/>
      </w:pPr>
      <w:r>
        <w:rPr>
          <w:b/>
        </w:rPr>
        <w:t xml:space="preserve">[15] </w:t>
      </w:r>
      <w:hyperlink r:id="rId180">
        <w:r>
          <w:rPr>
            <w:color w:val="1155CC"/>
            <w:u w:val="single"/>
          </w:rPr>
          <w:t>在 DIII-D 和 KSTAR 中开发混合方案以实现 W 兼容的长脉冲操作</w:t>
        </w:r>
      </w:hyperlink>
    </w:p>
    <w:p>
      <w:pPr>
        <w:spacing w:before="0" w:after="80"/>
      </w:pPr>
      <w:r>
        <w:rPr>
          <w:i/>
          <w:sz w:val="20"/>
        </w:rPr>
        <w:t>EN: Developing the hybrid scenario in DIII-D and KSTAR for W-compatible long-pulse operation</w:t>
      </w:r>
    </w:p>
    <w:p>
      <w:pPr>
        <w:spacing w:before="0" w:after="120"/>
      </w:pPr>
      <w:r>
        <w:rPr>
          <w:b/>
        </w:rPr>
        <w:t xml:space="preserve">Source: </w:t>
      </w:r>
      <w:r>
        <w:t>Nuclear Fusion - latest papers</w:t>
      </w:r>
      <w:r>
        <w:t xml:space="preserve">    </w:t>
      </w:r>
      <w:r>
        <w:rPr>
          <w:b/>
        </w:rPr>
        <w:t xml:space="preserve">Pub date: </w:t>
      </w:r>
      <w:r>
        <w:t>2026-06-09 23:00:00+00:00</w:t>
      </w:r>
      <w:r>
        <w:t xml:space="preserve">    </w:t>
      </w:r>
      <w:r>
        <w:rPr>
          <w:b/>
        </w:rPr>
        <w:t xml:space="preserve">DOI: </w:t>
      </w:r>
      <w:hyperlink r:id="rId181">
        <w:r>
          <w:rPr>
            <w:color w:val="1155CC"/>
            <w:u w:val="single"/>
          </w:rPr>
          <w:t>10.1088/1741-4326/ae6f2c</w:t>
        </w:r>
      </w:hyperlink>
    </w:p>
    <w:p>
      <w:pPr>
        <w:spacing w:before="0" w:after="120"/>
      </w:pPr>
      <w:r>
        <w:rPr>
          <w:b/>
        </w:rPr>
        <w:t xml:space="preserve">Notes: </w:t>
      </w:r>
      <w:r>
        <w:t>abstract_source=rss_description</w:t>
      </w:r>
    </w:p>
    <w:p>
      <w:pPr>
        <w:spacing w:before="0" w:after="80" w:lineRule="auto" w:line="276"/>
      </w:pPr>
      <w:r>
        <w:rPr>
          <w:b/>
        </w:rPr>
        <w:t xml:space="preserve">摘要（ZH）: </w:t>
      </w:r>
      <w:r>
        <w:t>使用面向钨等离子体的组件进行长脉冲、高性能运行是实现 ITER 和未来聚变装置稳态 (SS) 目标的关键挑战。本文介绍了 DIII-D 和 KSTAR 托卡马克之间的国际联合努力，旨在证明高混合方案与钨偏滤器和超导线圈的兼容性。 A DIII-D hybrid scenario recipe is successfully tailored to KSTAR’s operational constraints, which facilitates cross-device studies.结果表明，KSTAR 在归一化 beta (= 2.4) 下成功进行了 30 秒长脉冲操作，具有良性 4/3 模式，并有效缓解了钨积累。尽管取得了这一成功，但与 DIII-D 参考相比，KSTAR 方案的热约束减少了 25% 以上。为了研究这种差异，我们进行了预测性 TGYRO 验证研究，该研究表明，这种差异可能是由于 KSTAR 放电中较高且较窄的密度基座而导致较弱的温度基座造成的。此外，这种较低的热约束导致更高的杂质积累，可能是由于新古典输运的变化以及向内收缩的增加，这进一步降低了全局约束。我们还报告说，具有持续热限制的固定、长脉冲操作需要一致的燃料和壁调节。这些发现强调了优化燃料供给和实时壁调节对于在稳定的长脉冲运行期间实现高温基座和强大的全局限制的重要性。</w:t>
      </w:r>
    </w:p>
    <w:p>
      <w:pPr>
        <w:spacing w:before="0" w:after="200" w:lineRule="auto" w:line="276"/>
      </w:pPr>
      <w:r>
        <w:rPr>
          <w:b/>
        </w:rPr>
        <w:t xml:space="preserve">Abstract (EN): </w:t>
      </w:r>
      <w:r>
        <w:t>Long-pulse, high-performance operation with tungsten plasma-facing components is a crucial challenge for achieving steady-state (SS) goals in ITER and future fusion devices. This paper presents a joint international effort between the DIII-D and KSTAR tokamaks aimed at demonstrating the compatibility of the high hybrid scenario with a tungsten divertor and superconducting coils. A DIII-D hybrid scenario recipe is successfully tailored to KSTAR’s operational constraints, which facilitates cross-device studies. The results show successful 30 s long-pulse operation in KSTAR at a normalized beta ( = 2.4) with a benign 4/3 mode and effective mitigation of tungsten accumulation. Despite this success, the KSTAR scenario exhibits a greater than 25% reduction in thermal confinement compared to the DIII-D reference. To investigate this discrepancy, we performed a predictive TGYRO validation study, which suggests that the difference is likely caused by a weaker temperature pedestal in the KSTAR discharge due to a higher and narrower density pedestal. In addition, such lower thermal confinement leads to higher impurity accumulation, possibly due to a change in neoclassical transport with increased inward pinch, which further degrades global confinement. We also report that stationary, long-pulse operation with sustained thermal confinement requires consistent fueling and wall conditioning. These findings highlight the importance of optimized fueling and real-time wall conditioning in achieving a high temperature pedestal and strong global confinement during stable long-pulse operation. We propose potential approaches toward fully SS, long-pulse operation, including real-time wall conditioning using an impurity dropper in KSTAR and future tokamaks.</w:t>
      </w:r>
    </w:p>
    <w:p>
      <w:pPr>
        <w:spacing w:before="120" w:after="120"/>
      </w:pPr>
      <w:r>
        <w:rPr>
          <w:sz w:val="18"/>
        </w:rPr>
        <w:t>——————————————————————————————————————————————————————————————————————</w:t>
      </w:r>
    </w:p>
    <w:p>
      <w:pPr>
        <w:spacing w:before="160" w:after="40" w:line="240" w:lineRule="auto"/>
      </w:pPr>
      <w:r>
        <w:rPr>
          <w:b/>
        </w:rPr>
        <w:t xml:space="preserve">[16] </w:t>
      </w:r>
      <w:hyperlink r:id="rId182">
        <w:r>
          <w:rPr>
            <w:color w:val="1155CC"/>
            <w:u w:val="single"/>
          </w:rPr>
          <w:t>基于深度学习的等离子体对 EAST 3D 外部磁场扰动的响应模型</w:t>
        </w:r>
      </w:hyperlink>
    </w:p>
    <w:p>
      <w:pPr>
        <w:spacing w:before="0" w:after="80"/>
      </w:pPr>
      <w:r>
        <w:rPr>
          <w:i/>
          <w:sz w:val="20"/>
        </w:rPr>
        <w:t>EN: Deep learning based plasma response models to 3D external magnetic field perturbations in EAST</w:t>
      </w:r>
    </w:p>
    <w:p>
      <w:pPr>
        <w:spacing w:before="0" w:after="120"/>
      </w:pPr>
      <w:r>
        <w:rPr>
          <w:b/>
        </w:rPr>
        <w:t xml:space="preserve">Source: </w:t>
      </w:r>
      <w:r>
        <w:t>Nuclear Fusion - latest papers</w:t>
      </w:r>
      <w:r>
        <w:t xml:space="preserve">    </w:t>
      </w:r>
      <w:r>
        <w:rPr>
          <w:b/>
        </w:rPr>
        <w:t xml:space="preserve">Pub date: </w:t>
      </w:r>
      <w:r>
        <w:t>2026-06-09 23:00:00+00:00</w:t>
      </w:r>
      <w:r>
        <w:t xml:space="preserve">    </w:t>
      </w:r>
      <w:r>
        <w:rPr>
          <w:b/>
        </w:rPr>
        <w:t xml:space="preserve">DOI: </w:t>
      </w:r>
      <w:hyperlink r:id="rId183">
        <w:r>
          <w:rPr>
            <w:color w:val="1155CC"/>
            <w:u w:val="single"/>
          </w:rPr>
          <w:t>10.1088/1741-4326/ae70c0</w:t>
        </w:r>
      </w:hyperlink>
    </w:p>
    <w:p>
      <w:pPr>
        <w:spacing w:before="0" w:after="120"/>
      </w:pPr>
      <w:r>
        <w:rPr>
          <w:b/>
        </w:rPr>
        <w:t xml:space="preserve">Notes: </w:t>
      </w:r>
      <w:r>
        <w:t>abstract_source=rss_description</w:t>
      </w:r>
    </w:p>
    <w:p>
      <w:pPr>
        <w:spacing w:before="0" w:after="80" w:lineRule="auto" w:line="276"/>
      </w:pPr>
      <w:r>
        <w:rPr>
          <w:b/>
        </w:rPr>
        <w:t xml:space="preserve">摘要（ZH）: </w:t>
      </w:r>
      <w:r>
        <w:t>使用三种深度学习模型在 EAST 上提出了实时响应监控模型和基于物理特征的响应优化模型。与广泛使用的全连接神经网络（FNN）和卷积神经网络-长短期记忆（CNN-LSTM）模型相比，使用注意力机制更自然地捕获多元依赖关系的反向变压器（iTransformer）模型表现出最佳的整体性能。为了实时响应监控，iTransformer 模型在 133157 个实验样本上进行训练，并具有 4 倍环形相位对称性增强。该模型建立了从谐振磁扰 (RMP) 线圈和电磁测量传感器到等离子体响应的直接非线性映射。每次放电的推理时间小于 ，可以在灵活的三维（3D）场下提供实时响应监控。为了优化实验响应，基于物理特征的 iTransformer 模型在 12080 个经过过滤的实验样本上进行训练。该模型捕获了响应幅度对关键参数的依赖性，包括 、 、 、 、 、 和 。与 SHapley Additive exPlanations (SHAP) 分析相结合，它提供了对参数影响的可解释的见解，并直接指导 3D 现场实验放电的优化。这项工作建立了一个全面的框架，用于基于大数据集中的统计模式的等离子体响应的实时监测和基于物理特征的优化，从而为主动控制误差铺平了道路。</w:t>
      </w:r>
    </w:p>
    <w:p>
      <w:pPr>
        <w:spacing w:before="0" w:after="200" w:lineRule="auto" w:line="276"/>
      </w:pPr>
      <w:r>
        <w:rPr>
          <w:b/>
        </w:rPr>
        <w:t xml:space="preserve">Abstract (EN): </w:t>
      </w:r>
      <w:r>
        <w:t>The real-time response monitoring model and the physics feature based response optimization model are proposed on EAST using three deep learning models. Compared with the widely used fully connected neural network (FNN) and convolutional neural network—long short-term memory (CNN–LSTM) models, the inverted transformer (iTransformer) model, which uses the attention mechanism to more naturally capture multivariate dependencies, demonstrates the best overall performance. For real-time response monitoring, the iTransformer model is trained on 133157 experimental samples with 4-fold toroidal phase symmetry augmentation. This model establishes a direct nonlinear mapping from resonant magnetic perturbation (RMP) coils and electromagnetic measurement sensors to the plasma response. With an inference time per discharge of less than , it can provide real-time response monitoring under flexible three-dimensional (3D) fields. For experimental response optimization, the physics feature based iTransformer model is trained on 12080 filtered experimental samples. This model captures the dependence of the response amplitude on key parameters, including , , , , , , and . Combined with SHapley Additive exPlanations (SHAP) analysis, it provides interpretable insights into parameter influences and directly guides the optimization of 3D field experimental discharges. This work establishes a comprehensive framework for real-time monitoring and physics feature based optimization of plasma responses based on statistical patterns in large datasets, thereby paving the way for active control of error-field locked mode and edge localized mode (ELM).</w:t>
      </w:r>
    </w:p>
    <w:p>
      <w:pPr>
        <w:spacing w:before="120" w:after="120"/>
      </w:pPr>
      <w:r>
        <w:rPr>
          <w:sz w:val="18"/>
        </w:rPr>
        <w:t>——————————————————————————————————————————————————————————————————————</w:t>
      </w:r>
    </w:p>
    <w:p>
      <w:pPr>
        <w:spacing w:before="160" w:after="40" w:line="240" w:lineRule="auto"/>
      </w:pPr>
      <w:r>
        <w:rPr>
          <w:b/>
        </w:rPr>
        <w:t xml:space="preserve">[17] </w:t>
      </w:r>
      <w:hyperlink r:id="rId184">
        <w:r>
          <w:rPr>
            <w:color w:val="1155CC"/>
            <w:u w:val="single"/>
          </w:rPr>
          <w:t>EXL-50U 实验概述：解决未来球形环面反应堆的关键物理问题</w:t>
        </w:r>
      </w:hyperlink>
    </w:p>
    <w:p>
      <w:pPr>
        <w:spacing w:before="0" w:after="80"/>
      </w:pPr>
      <w:r>
        <w:rPr>
          <w:i/>
          <w:sz w:val="20"/>
        </w:rPr>
        <w:t>EN: Overview of EXL-50U experiments: addressing key physics issues for future spherical torus reactors</w:t>
      </w:r>
    </w:p>
    <w:p>
      <w:pPr>
        <w:spacing w:before="0" w:after="120"/>
      </w:pPr>
      <w:r>
        <w:rPr>
          <w:b/>
        </w:rPr>
        <w:t xml:space="preserve">Source: </w:t>
      </w:r>
      <w:r>
        <w:t>Nuclear Fusion - latest papers</w:t>
      </w:r>
      <w:r>
        <w:t xml:space="preserve">    </w:t>
      </w:r>
      <w:r>
        <w:rPr>
          <w:b/>
        </w:rPr>
        <w:t xml:space="preserve">Pub date: </w:t>
      </w:r>
      <w:r>
        <w:t>2026-06-10 23:00:00+00:00</w:t>
      </w:r>
      <w:r>
        <w:t xml:space="preserve">    </w:t>
      </w:r>
      <w:r>
        <w:rPr>
          <w:b/>
        </w:rPr>
        <w:t xml:space="preserve">DOI: </w:t>
      </w:r>
      <w:hyperlink r:id="rId185">
        <w:r>
          <w:rPr>
            <w:color w:val="1155CC"/>
            <w:u w:val="single"/>
          </w:rPr>
          <w:t>10.1088/1741-4326/ae738d</w:t>
        </w:r>
      </w:hyperlink>
    </w:p>
    <w:p>
      <w:pPr>
        <w:spacing w:before="0" w:after="120"/>
      </w:pPr>
      <w:r>
        <w:rPr>
          <w:b/>
        </w:rPr>
        <w:t xml:space="preserve">Notes: </w:t>
      </w:r>
      <w:r>
        <w:t>abstract_source=rss_description</w:t>
      </w:r>
    </w:p>
    <w:p>
      <w:pPr>
        <w:spacing w:before="0" w:after="80" w:lineRule="auto" w:line="276"/>
      </w:pPr>
      <w:r>
        <w:rPr>
          <w:b/>
        </w:rPr>
        <w:t xml:space="preserve">摘要（ZH）: </w:t>
      </w:r>
      <w:r>
        <w:t>新奥的玄龙50U（EXL-50U）是世界上第一个完全由私人资助和运营的MA级磁约束聚变实验装置。 EXL-50U也是全球首款在实际运行中实现磁场超过1特斯拉、脉冲宽度达到秒级的球面环面装置（ST）。 EXL-50U的主半径范围为0.6 m至0.8 m，长径比为1.4至1.8。 EXL-50U与未来ST反应堆相关的实验的关键物理问题是：无感电流启动和驱动、ST稳定高密度热离子模式场景的开发（Ti0 = 3 keV ∼ 10 keV），以及通过长径比（1.4 ∼ 1.8）和BT（0.5 T ∼ 1.2 T）的大范围扫描研究能量约束尺度。 EXL-50U的另一个重点研究重点是氢硼（p-B）等离子体和氢硼聚变的物理性质，这与新奥的p-B聚变路线图密切相关。在2025年的实验中，EXL-50U实现了1MA的p-B等离子体放电（离子分数中硼离子超过10%），这标志着全球首次实现MA级高浓度p-B等离子体放电。通过 380 kW 电子回旋共振加热 (ECRH) 还实现了记录 270 kA 全无感电流。 EXL-50U 中金属壁的初始实时硼功率注入实验证明了硼对等离子体性能的积极影响。通过中性束注入 (NBI) 加热，EXL-50U 还首次实现了稳定的质子硼等离子体 H 模式。另一方面，实验结果也表明</w:t>
      </w:r>
    </w:p>
    <w:p>
      <w:pPr>
        <w:spacing w:before="0" w:after="200" w:lineRule="auto" w:line="276"/>
      </w:pPr>
      <w:r>
        <w:rPr>
          <w:b/>
        </w:rPr>
        <w:t xml:space="preserve">Abstract (EN): </w:t>
      </w:r>
      <w:r>
        <w:t>ENN’s Xuanlong-50U (EXL-50U) is the world’s first fully privately funded and operated MA-level magnetic confinement fusion experimental facility. EXL-50U is also the world’s first spherical torus device (ST) to achieve a magnetic field exceeding 1 Tesla and a pulse width reaching the seconds level in actual operation. The major radius of EXL-50U ranges from 0.6 m to 0.8 m, with an aspect ratio of 1.4–1.8. The key physics issues of EXL-50U’s experiments related to the future ST reactors are: non-inductive current start-up and drive, development of scenarios for stable high density hot ion mode for ST (Ti0 = 3 keV ∼ 10 keV), and investigation of energy confinement scaling through wide range scans of aspect ratio (1.4 ∼ 1.8) and BT (0.5 T ∼ 1.2 T). Another key research focus of EXL-50U is the physical properties of hydrogen–boron (p-B) plasmas and hydrogen–boron fusion, which is closely aligned with ENN’s p-B fusion roadmap. In the 2025 experiment, EXL-50U achieved a p-B plasma discharge at 1 MA (with boron ions exceeding 10% in the ion fraction), marking the world’s first MA-level discharge of high-concentration p-B plasma. A recording 270 kA fully non-inductive current by 380 kW electron cyclotron resonance heating (ECRH) is also achieved. The initial real-time boron-power injection experiments with metal wall in EXL-50U demonstrates the positive effective of boron on plasma performance. Through neutral beam injection (NBI) heating, a stable proton-boron plasma H-mode has also been achieved for the first time on EXL-50U. On the other hand, experimental results also indicate that simultaneous injection of ECRH and NBI is detrimental to ion temperature enhancement. AI technology was also applied in EXL-50U experiments, achieving stable 500 kA plasma current and displacement control for over 500 ms. Supersonic molecular beam injection was applied for density feedback control for the first time in ST device. ENN researchers plan to achieve all of EXL-50U’s milestone objectives within a three-year timeframe, contributing their efforts toward the rapid commercialization of magnetic confinement fusion.</w:t>
      </w:r>
    </w:p>
    <w:p>
      <w:pPr>
        <w:spacing w:before="120" w:after="120"/>
      </w:pPr>
      <w:r>
        <w:rPr>
          <w:sz w:val="18"/>
        </w:rPr>
        <w:t>——————————————————————————————————————————————————————————————————————</w:t>
      </w:r>
    </w:p>
    <w:p>
      <w:pPr>
        <w:spacing w:before="160" w:after="40" w:line="240" w:lineRule="auto"/>
      </w:pPr>
      <w:r>
        <w:rPr>
          <w:b/>
        </w:rPr>
        <w:t xml:space="preserve">[18] </w:t>
      </w:r>
      <w:hyperlink r:id="rId186">
        <w:r>
          <w:rPr>
            <w:color w:val="1155CC"/>
            <w:u w:val="single"/>
          </w:rPr>
          <w:t>环形旋转托卡马克等离子体中测地线声模和纬向流的一致动力学</w:t>
        </w:r>
      </w:hyperlink>
    </w:p>
    <w:p>
      <w:pPr>
        <w:spacing w:before="0" w:after="80"/>
      </w:pPr>
      <w:r>
        <w:rPr>
          <w:i/>
          <w:sz w:val="20"/>
        </w:rPr>
        <w:t>EN: Consistent dynamics of geodesic acoustic modes and zonal flows in toroidally rotating tokamak plasmas</w:t>
      </w:r>
    </w:p>
    <w:p>
      <w:pPr>
        <w:spacing w:before="0" w:after="120"/>
      </w:pPr>
      <w:r>
        <w:rPr>
          <w:b/>
        </w:rPr>
        <w:t xml:space="preserve">Source: </w:t>
      </w:r>
      <w:r>
        <w:t>Nuclear Fusion - latest papers</w:t>
      </w:r>
      <w:r>
        <w:t xml:space="preserve">    </w:t>
      </w:r>
      <w:r>
        <w:rPr>
          <w:b/>
        </w:rPr>
        <w:t xml:space="preserve">Pub date: </w:t>
      </w:r>
      <w:r>
        <w:t>2026-06-10 23:00:00+00:00</w:t>
      </w:r>
      <w:r>
        <w:t xml:space="preserve">    </w:t>
      </w:r>
      <w:r>
        <w:rPr>
          <w:b/>
        </w:rPr>
        <w:t xml:space="preserve">DOI: </w:t>
      </w:r>
      <w:hyperlink r:id="rId187">
        <w:r>
          <w:rPr>
            <w:color w:val="1155CC"/>
            <w:u w:val="single"/>
          </w:rPr>
          <w:t>10.1088/1741-4326/ae72a3</w:t>
        </w:r>
      </w:hyperlink>
    </w:p>
    <w:p>
      <w:pPr>
        <w:spacing w:before="0" w:after="120"/>
      </w:pPr>
      <w:r>
        <w:rPr>
          <w:b/>
        </w:rPr>
        <w:t xml:space="preserve">Notes: </w:t>
      </w:r>
      <w:r>
        <w:t>abstract_source=rss_description</w:t>
      </w:r>
    </w:p>
    <w:p>
      <w:pPr>
        <w:spacing w:before="0" w:after="80" w:lineRule="auto" w:line="276"/>
      </w:pPr>
      <w:r>
        <w:rPr>
          <w:b/>
        </w:rPr>
        <w:t xml:space="preserve">摘要（ZH）: </w:t>
      </w:r>
      <w:r>
        <w:t>实验观察到的托卡马克测地声波模式（GAM）的频谱特征，如GAM的调制、峰值分裂、间歇性等，在标准理论框架内还没有令人满意的解释。为了填补这一空白，开发了描述 GAM 和低频层流 (ZF) 一致动力学的流体模型。该模型的线性近似表现出两种频率截然不同的本征模：GAM 和 ZF，而非线性则产生更丰富的频谱模式，这在质量上与实验观察结果相对应。</w:t>
      </w:r>
    </w:p>
    <w:p>
      <w:pPr>
        <w:spacing w:before="0" w:after="200" w:lineRule="auto" w:line="276"/>
      </w:pPr>
      <w:r>
        <w:rPr>
          <w:b/>
        </w:rPr>
        <w:t xml:space="preserve">Abstract (EN): </w:t>
      </w:r>
      <w:r>
        <w:t>The experimentally observed features of the spectra of the geodesic acoustic modes (GAMs) in tokamaks, such as GAM’s modulation, peak splitting, intermittency and other, have no satisfactory explanations within the framework of standard theory. To fill in this gap, the fluid model, which describes the consistent dynamics of the GAMs and low-frequency zonal flow (ZF), is developed. The linear approximation of the model exhibits two eigenmodes of vastly different frequencies, GAM and ZF, while the nonlinearity results in a much richer spectral pattern, which qualitatively corresponds to the experimental observations.</w:t>
      </w:r>
    </w:p>
    <w:p>
      <w:pPr>
        <w:spacing w:before="120" w:after="120"/>
      </w:pPr>
      <w:r>
        <w:rPr>
          <w:sz w:val="18"/>
        </w:rPr>
        <w:t>——————————————————————————————————————————————————————————————————————</w:t>
      </w:r>
    </w:p>
    <w:p>
      <w:pPr>
        <w:spacing w:before="160" w:after="40" w:line="240" w:lineRule="auto"/>
      </w:pPr>
      <w:r>
        <w:rPr>
          <w:b/>
        </w:rPr>
        <w:t xml:space="preserve">[19] </w:t>
      </w:r>
      <w:hyperlink r:id="rId188">
        <w:r>
          <w:rPr>
            <w:color w:val="1155CC"/>
            <w:u w:val="single"/>
          </w:rPr>
          <w:t>使用 DIII-D 电荷交换成像诊断系统对 H 型基座湍流进行实验研究</w:t>
        </w:r>
      </w:hyperlink>
    </w:p>
    <w:p>
      <w:pPr>
        <w:spacing w:before="0" w:after="80"/>
      </w:pPr>
      <w:r>
        <w:rPr>
          <w:i/>
          <w:sz w:val="20"/>
        </w:rPr>
        <w:t>EN: Experimental investigation of H-mode pedestal turbulence using a charge exchange imaging diagnostic system at DIII-D</w:t>
      </w:r>
    </w:p>
    <w:p>
      <w:pPr>
        <w:spacing w:before="0" w:after="120"/>
      </w:pPr>
      <w:r>
        <w:rPr>
          <w:b/>
        </w:rPr>
        <w:t xml:space="preserve">Source: </w:t>
      </w:r>
      <w:r>
        <w:t>Nuclear Fusion - latest papers</w:t>
      </w:r>
      <w:r>
        <w:t xml:space="preserve">    </w:t>
      </w:r>
      <w:r>
        <w:rPr>
          <w:b/>
        </w:rPr>
        <w:t xml:space="preserve">Pub date: </w:t>
      </w:r>
      <w:r>
        <w:t>2026-06-10 23:00:00+00:00</w:t>
      </w:r>
      <w:r>
        <w:t xml:space="preserve">    </w:t>
      </w:r>
      <w:r>
        <w:rPr>
          <w:b/>
        </w:rPr>
        <w:t xml:space="preserve">DOI: </w:t>
      </w:r>
      <w:hyperlink r:id="rId189">
        <w:r>
          <w:rPr>
            <w:color w:val="1155CC"/>
            <w:u w:val="single"/>
          </w:rPr>
          <w:t>10.1088/1741-4326/ae72a0</w:t>
        </w:r>
      </w:hyperlink>
    </w:p>
    <w:p>
      <w:pPr>
        <w:spacing w:before="0" w:after="120"/>
      </w:pPr>
      <w:r>
        <w:rPr>
          <w:b/>
        </w:rPr>
        <w:t xml:space="preserve">Notes: </w:t>
      </w:r>
      <w:r>
        <w:t>abstract_source=rss_description</w:t>
      </w:r>
    </w:p>
    <w:p>
      <w:pPr>
        <w:spacing w:before="0" w:after="80" w:lineRule="auto" w:line="276"/>
      </w:pPr>
      <w:r>
        <w:rPr>
          <w:b/>
        </w:rPr>
        <w:t xml:space="preserve">摘要（ZH）: </w:t>
      </w:r>
      <w:r>
        <w:t>微撕裂模式 (MTM) ( 、 、 ) 预计会在 H 模式基座中引起大量电子热传输，从而限制高功率器件的聚变性能。 DIII-D H 模式等离子体边缘的低到中波数密度波动的局部二维测量表明，在陡峭梯度区域的 ELM 间循环期间，存在暂时间歇或“爆发”的 MTM。这些测量结果是使用新型中间径向分辨率多通道电荷交换成像 (CXI) 诊断技术获得的，该诊断技术可分析 529 nm 处 CVI 发射的强度。该模式的峰值接近径向全宽半最大值为 1.5-2.0 cm，归一化密度波动幅度峰值为 ，在实验室框架中峰值接近 60 kHz。该模式还具有 30 至 180 kHz 的宽谱宽度，并在等离子体框架中沿电子反磁性方向传播。在高密度放电和电流斜坡期间进行的 CXI 测量提供了证据，表明 MTM 在有限碰撞性下变得不稳定，并且尽管扫描了合理的表面位置，但仍保持在空间中几乎相同的位置。这表明电子抗磁频率的峰值位置比单个有理面具有更强的驱动力。</w:t>
      </w:r>
    </w:p>
    <w:p>
      <w:pPr>
        <w:spacing w:before="0" w:after="200" w:lineRule="auto" w:line="276"/>
      </w:pPr>
      <w:r>
        <w:rPr>
          <w:b/>
        </w:rPr>
        <w:t xml:space="preserve">Abstract (EN): </w:t>
      </w:r>
      <w:r>
        <w:t>Microtearing modes (MTMs) ( , , ) are predicted to cause substantial electron thermal transport in the H-mode pedestal, limiting fusion performance on high-power devices. Localized 2D measurements of low-to-intermediate wavenumber density fluctuations in the edge of DIII-D H-mode plasmas suggest the presence of temporally intermittent or ‘bursting’ MTMs during the inter-ELM cycle in the steep gradient region. These measurements are obtained using a new intermediate radial resolution multichannel Charge eXchange Imaging (CXI) diagnostic that analyzes the intensity of the CVI emission at 529 nm. The mode is peaked near with a radial full-width half maximum of 1.5–2.0 cm and a normalized density fluctuation amplitude peak of , peaking near 60 kHz in the lab frame. The mode additionally features a broad spectral width from 30 to 180 kHz and propagates in the electron diamagnetic direction in the plasma frame. CXI measurements taken during discharges with high density and current ramps provide evidence that MTMs become unstable at finite collisionality and remain at nearly the same location in -space despite scanning of rational surface position. This indicates that the location of the peak in the electron diamagnetic frequency is a stronger driving force than individual rational surfaces.</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90">
        <w:r>
          <w:rPr>
            <w:color w:val="1155CC"/>
            <w:u w:val="single"/>
          </w:rPr>
          <w:t>蓝氢和美国税收抵免政策：联邦政策变化下 45Q 和 45V 激励措施的经济评估</w:t>
        </w:r>
      </w:hyperlink>
    </w:p>
    <w:p>
      <w:pPr>
        <w:spacing w:before="0" w:after="80"/>
      </w:pPr>
      <w:r>
        <w:rPr>
          <w:i/>
          <w:sz w:val="20"/>
        </w:rPr>
        <w:t>EN: Blue hydrogen and U.S. tax credit policy: An economic assessment of 45Q and 45V incentives under a changing federal policy</w:t>
      </w:r>
    </w:p>
    <w:p>
      <w:pPr>
        <w:spacing w:before="0" w:after="120"/>
      </w:pPr>
      <w:r>
        <w:rPr>
          <w:b/>
        </w:rPr>
        <w:t xml:space="preserve">Source: </w:t>
      </w:r>
      <w:r>
        <w:t>ScienceDirect Publication: Energy Policy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91">
        <w:r>
          <w:rPr>
            <w:color w:val="1155CC"/>
            <w:u w:val="single"/>
          </w:rPr>
          <w:t>氮还原反应中仿生催化剂的机器学习加速计算设计</w:t>
        </w:r>
      </w:hyperlink>
    </w:p>
    <w:p>
      <w:pPr>
        <w:spacing w:before="0" w:after="80"/>
      </w:pPr>
      <w:r>
        <w:rPr>
          <w:i/>
          <w:sz w:val="20"/>
        </w:rPr>
        <w:t>EN: Machine Learning Accelerated Computational Design of Bio‐Inspired Catalysts in the Nitrogen Reduction Reaction</w:t>
      </w:r>
    </w:p>
    <w:p>
      <w:pPr>
        <w:spacing w:before="0" w:after="120"/>
      </w:pPr>
      <w:r>
        <w:rPr>
          <w:b/>
        </w:rPr>
        <w:t xml:space="preserve">Source: </w:t>
      </w:r>
      <w:r>
        <w:t>Wiley: Advanced Materials: Table of Contents</w:t>
      </w:r>
      <w:r>
        <w:t xml:space="preserve">    </w:t>
      </w:r>
      <w:r>
        <w:rPr>
          <w:b/>
        </w:rPr>
        <w:t xml:space="preserve">Pub date: </w:t>
      </w:r>
      <w:r>
        <w:t>2026-06-06 15:24:58+00:00</w:t>
      </w:r>
      <w:r>
        <w:t xml:space="preserve">    </w:t>
      </w:r>
      <w:r>
        <w:rPr>
          <w:b/>
        </w:rPr>
        <w:t xml:space="preserve">DOI: </w:t>
      </w:r>
      <w:hyperlink r:id="rId192">
        <w:r>
          <w:rPr>
            <w:color w:val="1155CC"/>
            <w:u w:val="single"/>
          </w:rPr>
          <w:t>10.1002/adma.73603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将氮转化为氨的高效催化剂对于能源密集型哈伯-博世工艺的可持续替代至关重要。然而，合理的催化剂设计仍然极具挑战性，而且现实条件下复杂的结构-功能关系更加复杂。在此，我们提出了一个集成的计算框架，将量子化学计算与 27 个机器学习模型相结合，以预测金属-配体配合物中的实验催化指标。这些模型在大型实验数据库上进行了训练和验证，并在多个任务中表现出较高的预测准确性。对于分类，系列 1 和系列 2 催化剂的测试精度高达 1。 回归模型产量测试</w:t>
      </w:r>
      <w:r>
        <w:t xml:space="preserve"> </w:t>
      </w:r>
      <w:r>
        <w:t>右</w:t>
      </w:r>
      <w:r>
        <w:rPr>
          <w:vertAlign w:val="subscript"/>
        </w:rPr>
        <w:t>2</w:t>
      </w:r>
      <w:r>
        <w:t>在家族 1 中，周转频率 (TOF) 和周转数 (TON) 预测的值为 0.91 和 0.88，在家族 2 中为 0.96 和 0.99。值得注意的是，这些模型准确地捕获了新复合物的 TOF 和 TON 的时间依赖性变异性，预测值与实验结果非常匹配。此外，对于结构不同的协调架构，观察到强大的迁移学习能力。特征解释揭示了最佳催化剂的清晰设计原则，涉及金属自旋状态、配体几何形状、电荷分布和实验条件。总之，这项研究为现实条件下高性能催化剂的发现和逆向设计建立了一个高效实用的框架</w:t>
      </w:r>
    </w:p>
    <w:p>
      <w:pPr>
        <w:spacing w:before="0" w:after="200" w:lineRule="auto" w:line="276"/>
      </w:pPr>
      <w:r>
        <w:rPr>
          <w:b/>
        </w:rPr>
        <w:t xml:space="preserve">Abstract (EN): </w:t>
      </w:r>
      <w:r>
        <w:t>The development of efficient catalysts for nitrogen conversion to ammonia is critical for a sustainable alternative to the energy‐intensive Haber–Bosch process. Yet, rational catalyst design remains highly challenging, compounded by complex structure–function relationships within realistic conditions. Herein, we present an integrated computational framework combining quantum chemical calculations with 27 machine learning models to predict experimental catalytic metrics in metal–ligand complexes. The models are trained and validated on a large experimental database and demonstrate high predictive accuracy across multiple tasks. For classification, family 1 and family 2 catalysts achieved test accuracies up to 1. Regression models yield test</w:t>
      </w:r>
      <w:r>
        <w:t xml:space="preserve"> </w:t>
      </w:r>
      <w:r>
        <w:t>R</w:t>
      </w:r>
      <w:r>
        <w:rPr>
          <w:vertAlign w:val="subscript"/>
        </w:rPr>
        <w:t>2</w:t>
      </w:r>
      <w:r>
        <w:t>values of 0.91 and 0.88 for turnover frequency (TOF) and turnover number (TON) predictions in family 1, and 0.96 and 0.99 in family 2. Notably, the models accurately capture time‐dependent variability of TOF and TON for new complexes, with predicted values closely matching experimental results. Moreover, strong transfer learning capability is observed for structurally distinct coordination architectures. Feature interpretation reveals clear design principles for optimal catalysts involving metal spin state, ligand geometry, charge distribution, and experimental conditions. Together, this study established an efficient and practical framework for discovery and inverse design of high‐performance catalysts under realistic conditions, with broader relevance to electrocatalysis.</w:t>
      </w:r>
    </w:p>
    <w:p>
      <w:pPr>
        <w:spacing w:before="120" w:after="120"/>
      </w:pPr>
      <w:r>
        <w:rPr>
          <w:sz w:val="18"/>
        </w:rPr>
        <w:t>——————————————————————————————————————————————————————————————————————</w:t>
      </w:r>
    </w:p>
    <w:p>
      <w:pPr>
        <w:spacing w:before="160" w:after="40" w:line="240" w:lineRule="auto"/>
      </w:pPr>
      <w:r>
        <w:rPr>
          <w:b/>
        </w:rPr>
        <w:t xml:space="preserve">[3] </w:t>
      </w:r>
      <w:hyperlink r:id="rId193">
        <w:r>
          <w:rPr>
            <w:color w:val="1155CC"/>
            <w:u w:val="single"/>
          </w:rPr>
          <w:t>考虑频率储备市场中生产调度和电解槽灵活性的氢加热钢厂部门耦合联合优化</w:t>
        </w:r>
      </w:hyperlink>
    </w:p>
    <w:p>
      <w:pPr>
        <w:spacing w:before="0" w:after="80"/>
      </w:pPr>
      <w:r>
        <w:rPr>
          <w:i/>
          <w:sz w:val="20"/>
        </w:rPr>
        <w:t>EN: Sector-coupled co-optimization for hydrogen-heated steel plants considering production scheduling and electrolyzer flexibility in frequency reserve market</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94">
        <w:r>
          <w:rPr>
            <w:color w:val="1155CC"/>
            <w:u w:val="single"/>
          </w:rPr>
          <w:t>热压对 PEM 燃料电池超声波喷涂膜电极的 Pt 负载依赖性影响</w:t>
        </w:r>
      </w:hyperlink>
    </w:p>
    <w:p>
      <w:pPr>
        <w:spacing w:before="0" w:after="80"/>
      </w:pPr>
      <w:r>
        <w:rPr>
          <w:i/>
          <w:sz w:val="20"/>
        </w:rPr>
        <w:t>EN: Pt loading-dependent effects of hot pressing on ultrasonic-sprayed membrane electrodes for PEM fuel cells</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95">
        <w:r>
          <w:rPr>
            <w:color w:val="1155CC"/>
            <w:u w:val="single"/>
          </w:rPr>
          <w:t>解码质子陶瓷膜：用于快速材料选择和电池设计的代数模型</w:t>
        </w:r>
      </w:hyperlink>
    </w:p>
    <w:p>
      <w:pPr>
        <w:spacing w:before="0" w:after="80"/>
      </w:pPr>
      <w:r>
        <w:rPr>
          <w:i/>
          <w:sz w:val="20"/>
        </w:rPr>
        <w:t>EN: Decoding protonic ceramic membranes: An algebraic model for rapid material selection and cell design</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96">
        <w:r>
          <w:rPr>
            <w:color w:val="1155CC"/>
            <w:u w:val="single"/>
          </w:rPr>
          <w:t>金属间化合物的高自旋铂位点通过钉扎效应提高氧还原性能</w:t>
        </w:r>
      </w:hyperlink>
    </w:p>
    <w:p>
      <w:pPr>
        <w:spacing w:before="0" w:after="80"/>
      </w:pPr>
      <w:r>
        <w:rPr>
          <w:i/>
          <w:sz w:val="20"/>
        </w:rPr>
        <w:t>EN: High‐Spin Pt Sites of Intermetallic Compound via Pinning Effect Boost Oxygen Reduction Performance</w:t>
      </w:r>
    </w:p>
    <w:p>
      <w:pPr>
        <w:spacing w:before="0" w:after="120"/>
      </w:pPr>
      <w:r>
        <w:rPr>
          <w:b/>
        </w:rPr>
        <w:t xml:space="preserve">Source: </w:t>
      </w:r>
      <w:r>
        <w:t>Wiley: Angewandte Chemie International Edition: Table of Contents</w:t>
      </w:r>
      <w:r>
        <w:t xml:space="preserve">    </w:t>
      </w:r>
      <w:r>
        <w:rPr>
          <w:b/>
        </w:rPr>
        <w:t xml:space="preserve">Pub date: </w:t>
      </w:r>
      <w:r>
        <w:t>2026-06-07 16:23:53+00:00</w:t>
      </w:r>
      <w:r>
        <w:t xml:space="preserve">    </w:t>
      </w:r>
      <w:r>
        <w:rPr>
          <w:b/>
        </w:rPr>
        <w:t xml:space="preserve">DOI: </w:t>
      </w:r>
      <w:hyperlink r:id="rId197">
        <w:r>
          <w:rPr>
            <w:color w:val="1155CC"/>
            <w:u w:val="single"/>
          </w:rPr>
          <w:t>10.1002/anie.8222953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质子交换膜燃料电池（PEMFC）的商业化受到阴极氧还原反应（ORR）动力学缓慢的阻碍，需要高性能的铂基催化剂。 ORR 效率主要取决于 Pt 位点的自旋构型，但由于其固有的顺磁性，调节 Pt 自旋态仍然具有挑战性。在这里，我们报告核-壳 L1</w:t>
      </w:r>
      <w:r>
        <w:rPr>
          <w:vertAlign w:val="subscript"/>
        </w:rPr>
        <w:t>0</w:t>
      </w:r>
      <w:r>
        <w:t>‐Pt</w:t>
      </w:r>
      <w:r>
        <w:rPr>
          <w:vertAlign w:val="subscript"/>
        </w:rPr>
        <w:t>2</w:t>
      </w:r>
      <w:r>
        <w:t>钴铁/铂</w:t>
      </w:r>
      <w:r>
        <w:rPr>
          <w:vertAlign w:val="subscript"/>
        </w:rPr>
        <w:t>2</w:t>
      </w:r>
      <w:r>
        <w:t>FeNi 金属间化合物通过自旋钉扎效应实现稳定的高自旋 Pt 位点。去除外部磁场后，铁磁芯的剩磁会在 Pt 壳中引起持续的高自旋构型。这种自旋工程策略优化了 Pt 5d 轨道分裂，降低了电子转移到 O 的激活势垒</w:t>
      </w:r>
      <w:r>
        <w:rPr>
          <w:vertAlign w:val="subscript"/>
        </w:rPr>
        <w:t>2</w:t>
      </w:r>
      <w:r>
        <w:t>并促进其激活。磁化L1</w:t>
      </w:r>
      <w:r>
        <w:rPr>
          <w:vertAlign w:val="subscript"/>
        </w:rPr>
        <w:t>0</w:t>
      </w:r>
      <w:r>
        <w:t>‐Pt</w:t>
      </w:r>
      <w:r>
        <w:rPr>
          <w:vertAlign w:val="subscript"/>
        </w:rPr>
        <w:t>2</w:t>
      </w:r>
      <w:r>
        <w:t>CoFe 的质量活性比非磁化对应物高 8 倍，比活性高 31 倍，优于商用 Pt/C。该催化剂在 50,000 次循环后还保留了 90% 的初始活性，并在储存 6 个月后保持性能，表现出优异的稳定性。这种无场自旋钉扎策略为设计先进的 Pt 基 ORR 催化剂提供了一种实用的、可推广的途径。</w:t>
      </w:r>
    </w:p>
    <w:p>
      <w:pPr>
        <w:spacing w:before="0" w:after="200" w:lineRule="auto" w:line="276"/>
      </w:pPr>
      <w:r>
        <w:rPr>
          <w:b/>
        </w:rPr>
        <w:t xml:space="preserve">Abstract (EN): </w:t>
      </w:r>
      <w:r>
        <w:t>The commercialization of proton exchange membrane fuel cells (PEMFCs) is hindered by sluggish oxygen reduction reaction (ORR) kinetics at the cathode, demanding high‐performance Pt‐based catalysts. The ORR efficiency is critically governed by the spin configuration of Pt sites, yet regulating Pt spin states remains challenging due to their inherently paramagnetic nature. Here, we report core–shell L1</w:t>
      </w:r>
      <w:r>
        <w:rPr>
          <w:vertAlign w:val="subscript"/>
        </w:rPr>
        <w:t>0</w:t>
      </w:r>
      <w:r>
        <w:t>‐Pt</w:t>
      </w:r>
      <w:r>
        <w:rPr>
          <w:vertAlign w:val="subscript"/>
        </w:rPr>
        <w:t>2</w:t>
      </w:r>
      <w:r>
        <w:t>CoFe/Pt</w:t>
      </w:r>
      <w:r>
        <w:rPr>
          <w:vertAlign w:val="subscript"/>
        </w:rPr>
        <w:t>2</w:t>
      </w:r>
      <w:r>
        <w:t>FeNi intermetallic compounds that achieve stable high‐spin Pt sites via a spin‐pinning effect. The remanent magnetization of the ferromagnetic core induces a persistent high‐spin configuration in the Pt shell after external magnetic field removal. This spin‐engineering strategy optimizes Pt 5d orbital splitting, lowering the activation barrier for electron transfer to O</w:t>
      </w:r>
      <w:r>
        <w:rPr>
          <w:vertAlign w:val="subscript"/>
        </w:rPr>
        <w:t>2</w:t>
      </w:r>
      <w:r>
        <w:t>and facilitating its activation. Magnetized L1</w:t>
      </w:r>
      <w:r>
        <w:rPr>
          <w:vertAlign w:val="subscript"/>
        </w:rPr>
        <w:t>0</w:t>
      </w:r>
      <w:r>
        <w:t>‐Pt</w:t>
      </w:r>
      <w:r>
        <w:rPr>
          <w:vertAlign w:val="subscript"/>
        </w:rPr>
        <w:t>2</w:t>
      </w:r>
      <w:r>
        <w:t>CoFe exhibits 8‐fold higher mass activity and 31‐fold higher specific activity than its nonmagnetized counterpart, outperforming commercial Pt/C. The catalyst also retains 90% of its initial activity after 50 000 cycles and maintains performance after 6 months of storage, demonstrating excellent stability. This field‐free spin‐pinning strategy offers a practical, generalizable route to designing advanced Pt‐based ORR catalysts.</w:t>
      </w:r>
    </w:p>
    <w:p>
      <w:pPr>
        <w:spacing w:before="120" w:after="120"/>
      </w:pPr>
      <w:r>
        <w:rPr>
          <w:sz w:val="18"/>
        </w:rPr>
        <w:t>——————————————————————————————————————————————————————————————————————</w:t>
      </w:r>
    </w:p>
    <w:p>
      <w:pPr>
        <w:spacing w:before="160" w:after="40" w:line="240" w:lineRule="auto"/>
      </w:pPr>
      <w:r>
        <w:rPr>
          <w:b/>
        </w:rPr>
        <w:t xml:space="preserve">[7] </w:t>
      </w:r>
      <w:hyperlink r:id="rId198">
        <w:r>
          <w:rPr>
            <w:color w:val="1155CC"/>
            <w:u w:val="single"/>
          </w:rPr>
          <w:t>Ru/RuO2 异质结构通过界面电荷重新分布和晶格氧参与实现稳定和活性酸性水氧化</w:t>
        </w:r>
      </w:hyperlink>
    </w:p>
    <w:p>
      <w:pPr>
        <w:spacing w:before="0" w:after="80"/>
      </w:pPr>
      <w:r>
        <w:rPr>
          <w:i/>
          <w:sz w:val="20"/>
        </w:rPr>
        <w:t>EN: Ru/RuO2 Heterostructures for Stable and Active Acidic Water Oxidation via Interfacial Charge Redistribution and Lattice‐Oxygen Participation</w:t>
      </w:r>
    </w:p>
    <w:p>
      <w:pPr>
        <w:spacing w:before="0" w:after="120"/>
      </w:pPr>
      <w:r>
        <w:rPr>
          <w:b/>
        </w:rPr>
        <w:t xml:space="preserve">Source: </w:t>
      </w:r>
      <w:r>
        <w:t>Wiley: Angewandte Chemie International Edition: Table of Contents</w:t>
      </w:r>
      <w:r>
        <w:t xml:space="preserve">    </w:t>
      </w:r>
      <w:r>
        <w:rPr>
          <w:b/>
        </w:rPr>
        <w:t xml:space="preserve">Pub date: </w:t>
      </w:r>
      <w:r>
        <w:t>2026-06-07 16:30:04+00:00</w:t>
      </w:r>
      <w:r>
        <w:t xml:space="preserve">    </w:t>
      </w:r>
      <w:r>
        <w:rPr>
          <w:b/>
        </w:rPr>
        <w:t xml:space="preserve">DOI: </w:t>
      </w:r>
      <w:hyperlink r:id="rId199">
        <w:r>
          <w:rPr>
            <w:color w:val="1155CC"/>
            <w:u w:val="single"/>
          </w:rPr>
          <w:t>10.1002/anie.6035082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合理设计和合成兼具高活性和长期耐久性的无铱酸性析氧催化剂仍然是一个艰巨的挑战。这项工作通过构建 Ru/RuO 展示了一种可寻址且无掺杂的策略</w:t>
      </w:r>
      <w:r>
        <w:rPr>
          <w:vertAlign w:val="subscript"/>
        </w:rPr>
        <w:t>2</w:t>
      </w:r>
      <w:r>
        <w:t>纯钌基体系中的异质结构，其中界面电荷重新分布和晶格氧参与共同促进催化增强。该催化剂在 10 mA·cm 电流下可提供 182 mV 的过电势</w:t>
      </w:r>
      <w:r>
        <w:t xml:space="preserve"> </w:t>
      </w:r>
      <w:r>
        <w:t>−2</w:t>
      </w:r>
      <w:r>
        <w:t xml:space="preserve"> </w:t>
      </w:r>
      <w:r>
        <w:t>并在 100 mA·cm 电流下保持超过 270 小时的操作耐久性</w:t>
      </w:r>
      <w:r>
        <w:t xml:space="preserve"> </w:t>
      </w:r>
      <w:r>
        <w:t>−2</w:t>
      </w:r>
      <w:r>
        <w:t xml:space="preserve"> </w:t>
      </w:r>
      <w:r>
        <w:t>0.5 M H 内</w:t>
      </w:r>
      <w:r>
        <w:rPr>
          <w:vertAlign w:val="subscript"/>
        </w:rPr>
        <w:t>2</w:t>
      </w:r>
      <w:r>
        <w:t>SO</w:t>
      </w:r>
      <w:r>
        <w:rPr>
          <w:vertAlign w:val="subscript"/>
        </w:rPr>
        <w:t>4</w:t>
      </w:r>
      <w:r>
        <w:t>。光谱表征，包括 X 射线吸收光谱 (XAS)、拉曼光谱和 X 射线光电子能谱 (XPS)，结合理论计算，阐明了界面电子从金属-Ru 相转移到 RuO</w:t>
      </w:r>
      <w:r>
        <w:rPr>
          <w:vertAlign w:val="subscript"/>
        </w:rPr>
        <w:t>2</w:t>
      </w:r>
      <w:r>
        <w:t>相，在内置电场的形成的帮助下，导致跨异质界面的功函数增加并降低界面Ru氧化态，抑制Ru位点过氧化成可溶性RuO</w:t>
      </w:r>
      <w:r>
        <w:rPr>
          <w:vertAlign w:val="subscript"/>
        </w:rPr>
        <w:t>4</w:t>
      </w:r>
      <w:r>
        <w:t>并考虑到卓越的耐用性。晶格氧参与对应于优异的活性，已通过操作研究得到验证，包括微分电化学质谱分析（</w:t>
      </w:r>
    </w:p>
    <w:p>
      <w:pPr>
        <w:spacing w:before="0" w:after="200" w:lineRule="auto" w:line="276"/>
      </w:pPr>
      <w:r>
        <w:rPr>
          <w:b/>
        </w:rPr>
        <w:t xml:space="preserve">Abstract (EN): </w:t>
      </w:r>
      <w:r>
        <w:t>The rational design and synthesis of Ir‐free acidic oxygen evolution catalysts combining high activity with long‐term durability remains a formidable challenge. This work demonstrates an addressable and dopant‐free strategy through the construction of Ru/RuO</w:t>
      </w:r>
      <w:r>
        <w:rPr>
          <w:vertAlign w:val="subscript"/>
        </w:rPr>
        <w:t>2</w:t>
      </w:r>
      <w:r>
        <w:t>heterostructures in a solely Ru‐based system, wherein interfacial charge redistribution and lattice‐oxygen participation jointly promote catalytic enhancement. The catalyst delivers an overpotential of 182 mV at 10 mA·cm</w:t>
      </w:r>
      <w:r>
        <w:t xml:space="preserve"> </w:t>
      </w:r>
      <w:r>
        <w:t>−2</w:t>
      </w:r>
      <w:r>
        <w:t xml:space="preserve"> </w:t>
      </w:r>
      <w:r>
        <w:t>and retains operational durability for over 270 h at 100 mA·cm</w:t>
      </w:r>
      <w:r>
        <w:t xml:space="preserve"> </w:t>
      </w:r>
      <w:r>
        <w:t>−2</w:t>
      </w:r>
      <w:r>
        <w:t xml:space="preserve"> </w:t>
      </w:r>
      <w:r>
        <w:t>in 0.5 M H</w:t>
      </w:r>
      <w:r>
        <w:rPr>
          <w:vertAlign w:val="subscript"/>
        </w:rPr>
        <w:t>2</w:t>
      </w:r>
      <w:r>
        <w:t>SO</w:t>
      </w:r>
      <w:r>
        <w:rPr>
          <w:vertAlign w:val="subscript"/>
        </w:rPr>
        <w:t>4</w:t>
      </w:r>
      <w:r>
        <w:t>. Spectroscopic characterizations, including X‐ray absorption spectroscopy (XAS), Raman spectroscopy, and X‐ray photoelectron spectroscopy (XPS), coupled with theoretical calculations, elucidate that interfacial electron transfer from metallic‐Ru phase to RuO</w:t>
      </w:r>
      <w:r>
        <w:rPr>
          <w:vertAlign w:val="subscript"/>
        </w:rPr>
        <w:t>2</w:t>
      </w:r>
      <w:r>
        <w:t>phase, assisted by the formation of a built‐in electric field, results in increased work functions across the heterointerface and lowered interfacial Ru oxidation states, suppressing Ru‐site overoxidation into soluble RuO</w:t>
      </w:r>
      <w:r>
        <w:rPr>
          <w:vertAlign w:val="subscript"/>
        </w:rPr>
        <w:t>4</w:t>
      </w:r>
      <w:r>
        <w:t>and accounting for the exceptional durability. Lattice‐oxygen participation, which corresponds to excellent activity, was verified by operando investigations, including differential electrochemical mass spectrometry (DEMS), attenuated total reflection surface‐enhanced infrared absorption spectroscopy (ATR‐SEIRAS), and tetramethylammonium (TMA</w:t>
      </w:r>
      <w:r>
        <w:t xml:space="preserve"> </w:t>
      </w:r>
      <w:r>
        <w:t>+</w:t>
      </w:r>
      <w:r>
        <w:t xml:space="preserve"> </w:t>
      </w:r>
      <w:r>
        <w:t>) chemical probing. The overall findings establish heterointerface engineering as a powerful tool for the simultaneous enhancement of the coupled activity‐stability in Ru‐based acidic OER catalysts.</w:t>
      </w:r>
    </w:p>
    <w:p>
      <w:pPr>
        <w:spacing w:before="120" w:after="120"/>
      </w:pPr>
      <w:r>
        <w:rPr>
          <w:sz w:val="18"/>
        </w:rPr>
        <w:t>——————————————————————————————————————————————————————————————————————</w:t>
      </w:r>
    </w:p>
    <w:p>
      <w:pPr>
        <w:spacing w:before="160" w:after="40" w:line="240" w:lineRule="auto"/>
      </w:pPr>
      <w:r>
        <w:rPr>
          <w:b/>
        </w:rPr>
        <w:t xml:space="preserve">[8] </w:t>
      </w:r>
      <w:hyperlink r:id="rId200">
        <w:r>
          <w:rPr>
            <w:color w:val="1155CC"/>
            <w:u w:val="single"/>
          </w:rPr>
          <w:t>氢键有机框架光催化剂中多晶型控制的激子解离</w:t>
        </w:r>
      </w:hyperlink>
    </w:p>
    <w:p>
      <w:pPr>
        <w:spacing w:before="0" w:after="80"/>
      </w:pPr>
      <w:r>
        <w:rPr>
          <w:i/>
          <w:sz w:val="20"/>
        </w:rPr>
        <w:t>EN: Polymorphism‐Controlled Exciton Dissociation in Hydrogen‐Bonded Organic Framework Photocatalysts</w:t>
      </w:r>
    </w:p>
    <w:p>
      <w:pPr>
        <w:spacing w:before="0" w:after="120"/>
      </w:pPr>
      <w:r>
        <w:rPr>
          <w:b/>
        </w:rPr>
        <w:t xml:space="preserve">Source: </w:t>
      </w:r>
      <w:r>
        <w:t>Wiley: Angewandte Chemie International Edition: Table of Contents</w:t>
      </w:r>
      <w:r>
        <w:t xml:space="preserve">    </w:t>
      </w:r>
      <w:r>
        <w:rPr>
          <w:b/>
        </w:rPr>
        <w:t xml:space="preserve">Pub date: </w:t>
      </w:r>
      <w:r>
        <w:t>2026-06-07 16:35:08+00:00</w:t>
      </w:r>
      <w:r>
        <w:t xml:space="preserve">    </w:t>
      </w:r>
      <w:r>
        <w:rPr>
          <w:b/>
        </w:rPr>
        <w:t xml:space="preserve">DOI: </w:t>
      </w:r>
      <w:hyperlink r:id="rId201">
        <w:r>
          <w:rPr>
            <w:color w:val="1155CC"/>
            <w:u w:val="single"/>
          </w:rPr>
          <w:t>10.1002/anie.8682199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有机光催化剂引起了广泛的关注，而多种相互关联的因素影响光催化活性，因此很难确定控制性能的主要结构特征。在这里，我们报道了两种基于芘的氢键有机骨架多晶型物，H</w:t>
      </w:r>
      <w:r>
        <w:rPr>
          <w:vertAlign w:val="subscript"/>
        </w:rPr>
        <w:t>4</w:t>
      </w:r>
      <w:r>
        <w:t>PTBA-AA 和 H</w:t>
      </w:r>
      <w:r>
        <w:rPr>
          <w:vertAlign w:val="subscript"/>
        </w:rPr>
        <w:t>4</w:t>
      </w:r>
      <w:r>
        <w:t>PTBA-ABC，表现出几乎相同的光吸收、亲水性和分散粒径，但它们表现出明显不同的激发态行为。光谱研究表明 H</w:t>
      </w:r>
      <w:r>
        <w:rPr>
          <w:vertAlign w:val="subscript"/>
        </w:rPr>
        <w:t>4</w:t>
      </w:r>
      <w:r>
        <w:t>PTBA-AA 显示出较小的激子结合能，并优先形成电荷转移（CT）样状态，而 H</w:t>
      </w:r>
      <w:r>
        <w:rPr>
          <w:vertAlign w:val="subscript"/>
        </w:rPr>
        <w:t>4</w:t>
      </w:r>
      <w:r>
        <w:t>PTBA-ABC更容易演变成类准分子状态。因此，光催化 H</w:t>
      </w:r>
      <w:r>
        <w:rPr>
          <w:vertAlign w:val="subscript"/>
        </w:rPr>
        <w:t>2</w:t>
      </w:r>
      <w:r>
        <w:t>H的进化速率</w:t>
      </w:r>
      <w:r>
        <w:rPr>
          <w:vertAlign w:val="subscript"/>
        </w:rPr>
        <w:t>4</w:t>
      </w:r>
      <w:r>
        <w:t>PTBA-AA大约是H的六倍</w:t>
      </w:r>
      <w:r>
        <w:rPr>
          <w:vertAlign w:val="subscript"/>
        </w:rPr>
        <w:t>4</w:t>
      </w:r>
      <w:r>
        <w:t>PTBA-ABC。通过相对良好控制的比较，本研究首次表明分子堆积在HOF框架中的激子解离中发挥着重要作用，并为高效光催化有机框架的合理设计提供了有用的见解。</w:t>
      </w:r>
    </w:p>
    <w:p>
      <w:pPr>
        <w:spacing w:before="0" w:after="200" w:lineRule="auto" w:line="276"/>
      </w:pPr>
      <w:r>
        <w:rPr>
          <w:b/>
        </w:rPr>
        <w:t xml:space="preserve">Abstract (EN): </w:t>
      </w:r>
      <w:r>
        <w:t>Organic photocatalysts have attracted extensive attention, while multiple interrelated factors influence photocatalytic activity, making it challenging to identify the dominant structural features that govern performance. Here, we report two pyrene‐based hydrogen‐bonded organic framework polymorphs, H</w:t>
      </w:r>
      <w:r>
        <w:rPr>
          <w:vertAlign w:val="subscript"/>
        </w:rPr>
        <w:t>4</w:t>
      </w:r>
      <w:r>
        <w:t>PTBA‐AA and H</w:t>
      </w:r>
      <w:r>
        <w:rPr>
          <w:vertAlign w:val="subscript"/>
        </w:rPr>
        <w:t>4</w:t>
      </w:r>
      <w:r>
        <w:t>PTBA‐ABC, which exhibit nearly identical light absorption, hydrophilicity, and dispersed particle sizes, but they show markedly different excited‐state behaviors. Spectroscopic studies reveal that H</w:t>
      </w:r>
      <w:r>
        <w:rPr>
          <w:vertAlign w:val="subscript"/>
        </w:rPr>
        <w:t>4</w:t>
      </w:r>
      <w:r>
        <w:t>PTBA‐AA shows smaller exciton binding energy and preferentially forms a charge‐transfer (CT)‐like state, whereas H</w:t>
      </w:r>
      <w:r>
        <w:rPr>
          <w:vertAlign w:val="subscript"/>
        </w:rPr>
        <w:t>4</w:t>
      </w:r>
      <w:r>
        <w:t>PTBA‐ABC is more prone to evolve into an excimer‐like state. As a result, the photocatalytic H</w:t>
      </w:r>
      <w:r>
        <w:rPr>
          <w:vertAlign w:val="subscript"/>
        </w:rPr>
        <w:t>2</w:t>
      </w:r>
      <w:r>
        <w:t>evolution rate of H</w:t>
      </w:r>
      <w:r>
        <w:rPr>
          <w:vertAlign w:val="subscript"/>
        </w:rPr>
        <w:t>4</w:t>
      </w:r>
      <w:r>
        <w:t>PTBA‐AA is approximately six times higher than that of H</w:t>
      </w:r>
      <w:r>
        <w:rPr>
          <w:vertAlign w:val="subscript"/>
        </w:rPr>
        <w:t>4</w:t>
      </w:r>
      <w:r>
        <w:t>PTBA‐ABC. For the first time, through a relatively well‐controlled comparison, this study shows that molecular packing plays an important role in exciton dissociation in HOF frameworks and provides useful insights for the rational design of efficient photocatalytic organic frameworks.</w:t>
      </w:r>
    </w:p>
    <w:p>
      <w:pPr>
        <w:spacing w:before="120" w:after="120"/>
      </w:pPr>
      <w:r>
        <w:rPr>
          <w:sz w:val="18"/>
        </w:rPr>
        <w:t>——————————————————————————————————————————————————————————————————————</w:t>
      </w:r>
    </w:p>
    <w:p>
      <w:pPr>
        <w:spacing w:before="160" w:after="40" w:line="240" w:lineRule="auto"/>
      </w:pPr>
      <w:r>
        <w:rPr>
          <w:b/>
        </w:rPr>
        <w:t xml:space="preserve">[9] </w:t>
      </w:r>
      <w:hyperlink r:id="rId202">
        <w:r>
          <w:rPr>
            <w:color w:val="1155CC"/>
            <w:u w:val="single"/>
          </w:rPr>
          <w:t>通过配位诱导表面重构和特殊葡萄糖电氧化可回收绿色合成 Cu2O 八面体</w:t>
        </w:r>
      </w:hyperlink>
    </w:p>
    <w:p>
      <w:pPr>
        <w:spacing w:before="0" w:after="80"/>
      </w:pPr>
      <w:r>
        <w:rPr>
          <w:i/>
          <w:sz w:val="20"/>
        </w:rPr>
        <w:t>EN: Recyclable Green Synthesis of Cu2O Octahedra via Coordination‐Induced Surface Reconstruction With Exceptional Glucose Electrooxidation</w:t>
      </w:r>
    </w:p>
    <w:p>
      <w:pPr>
        <w:spacing w:before="0" w:after="120"/>
      </w:pPr>
      <w:r>
        <w:rPr>
          <w:b/>
        </w:rPr>
        <w:t xml:space="preserve">Source: </w:t>
      </w:r>
      <w:r>
        <w:t>Wiley: Angewandte Chemie International Edition: Table of Contents</w:t>
      </w:r>
      <w:r>
        <w:t xml:space="preserve">    </w:t>
      </w:r>
      <w:r>
        <w:rPr>
          <w:b/>
        </w:rPr>
        <w:t xml:space="preserve">Pub date: </w:t>
      </w:r>
      <w:r>
        <w:t>2026-06-07 16:38:18+00:00</w:t>
      </w:r>
      <w:r>
        <w:t xml:space="preserve">    </w:t>
      </w:r>
      <w:r>
        <w:rPr>
          <w:b/>
        </w:rPr>
        <w:t xml:space="preserve">DOI: </w:t>
      </w:r>
      <w:hyperlink r:id="rId203">
        <w:r>
          <w:rPr>
            <w:color w:val="1155CC"/>
            <w:u w:val="single"/>
          </w:rPr>
          <w:t>10.1002/anie.2159450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配位化学驱动的重建提供了一种强大但很大程度上尚未探索的途径，可将块体金属转化为具有编程表面态的功能纳米材料。在此，我们报告了一种绿色、可回收的湿化学方案，该方案将铜的自上而下的氧化溶解与自下而上的结晶相结合，以生产八面体铜</w:t>
      </w:r>
      <w:r>
        <w:rPr>
          <w:vertAlign w:val="subscript"/>
        </w:rPr>
        <w:t>2</w:t>
      </w:r>
      <w:r>
        <w:t>O 亚微米晶体。在强碱性介质中，瞬态 Cu-NH</w:t>
      </w:r>
      <w:r>
        <w:rPr>
          <w:vertAlign w:val="subscript"/>
        </w:rPr>
        <w:t>3</w:t>
      </w:r>
      <w:r>
        <w:t>配位促进配位驱动的废铜氧化溶解，生成亚稳态[Cu(OH)</w:t>
      </w:r>
      <w:r>
        <w:rPr>
          <w:vertAlign w:val="subscript"/>
        </w:rPr>
        <w:t>4</w:t>
      </w:r>
      <w:r>
        <w:t>]</w:t>
      </w:r>
      <w:r>
        <w:t xml:space="preserve"> </w:t>
      </w:r>
      <w:r>
        <w:t>2–</w:t>
      </w:r>
      <w:r>
        <w:t xml:space="preserve"> </w:t>
      </w:r>
      <w:r>
        <w:t>水性前体，而醛功能化葡聚糖（ODex）充当温和还原剂和表面配位配体。自催化加速途径可在几分钟内实现快速室温结晶，ODex 调节的八面体 Cu</w:t>
      </w:r>
      <w:r>
        <w:rPr>
          <w:vertAlign w:val="subscript"/>
        </w:rPr>
        <w:t>2</w:t>
      </w:r>
      <w:r>
        <w:t>O (ODex-Octa-Cu</w:t>
      </w:r>
      <w:r>
        <w:rPr>
          <w:vertAlign w:val="subscript"/>
        </w:rPr>
        <w:t>2</w:t>
      </w:r>
      <w:r>
        <w:t>O) 暴露 {111} 面，用 ODex-Cu 装饰</w:t>
      </w:r>
      <w:r>
        <w:t xml:space="preserve"> </w:t>
      </w:r>
      <w:r>
        <w:t>2+</w:t>
      </w:r>
      <w:r>
        <w:t xml:space="preserve"> </w:t>
      </w:r>
      <w:r>
        <w:t>配合物和稳定的富含铜空位的弛豫原子层。这种配位诱导的表面重建调整了表面电子和缺陷结构；密度泛函理论进一步揭示了ODex-Cu上的前沿轨道理论演化</w:t>
      </w:r>
      <w:r>
        <w:t xml:space="preserve"> </w:t>
      </w:r>
      <w:r>
        <w:t>2+</w:t>
      </w:r>
      <w:r>
        <w:t xml:space="preserve"> </w:t>
      </w:r>
      <w:r>
        <w:t>铜的改性</w:t>
      </w:r>
      <w:r>
        <w:rPr>
          <w:vertAlign w:val="subscript"/>
        </w:rPr>
        <w:t>2</w:t>
      </w:r>
      <w:r>
        <w:t>O(111) 和伴随的工作</w:t>
      </w:r>
    </w:p>
    <w:p>
      <w:pPr>
        <w:spacing w:before="0" w:after="200" w:lineRule="auto" w:line="276"/>
      </w:pPr>
      <w:r>
        <w:rPr>
          <w:b/>
        </w:rPr>
        <w:t xml:space="preserve">Abstract (EN): </w:t>
      </w:r>
      <w:r>
        <w:t>Coordination‐chemistry‐driven reconstruction offers a powerful yet largely unexplored route for transforming bulk metals into functional nanomaterials with programmed surface states. Herein, we report a green, recyclable wet‐chemical protocol that integrates top‐down oxidative dissolution of copper with bottom‐up crystallization to produce octahedral Cu</w:t>
      </w:r>
      <w:r>
        <w:rPr>
          <w:vertAlign w:val="subscript"/>
        </w:rPr>
        <w:t>2</w:t>
      </w:r>
      <w:r>
        <w:t>O submicron crystals. In a strongly alkaline medium, transient Cu–NH</w:t>
      </w:r>
      <w:r>
        <w:rPr>
          <w:vertAlign w:val="subscript"/>
        </w:rPr>
        <w:t>3</w:t>
      </w:r>
      <w:r>
        <w:t>coordination promotes coordination‐driven oxidative dissolution of scrap copper to generate a metastable [Cu(OH)</w:t>
      </w:r>
      <w:r>
        <w:rPr>
          <w:vertAlign w:val="subscript"/>
        </w:rPr>
        <w:t>4</w:t>
      </w:r>
      <w:r>
        <w:t>]</w:t>
      </w:r>
      <w:r>
        <w:t xml:space="preserve"> </w:t>
      </w:r>
      <w:r>
        <w:t>2–</w:t>
      </w:r>
      <w:r>
        <w:t xml:space="preserve"> </w:t>
      </w:r>
      <w:r>
        <w:t>aqueous precursor, while aldehyde‐functionalized dextran (ODex) serves as a mild reductant and a surface‐coordinating ligand. A self‐catalytic acceleration pathway enables rapid room‐temperature crystallization within minutes, ODex‐regulated octahedral Cu</w:t>
      </w:r>
      <w:r>
        <w:rPr>
          <w:vertAlign w:val="subscript"/>
        </w:rPr>
        <w:t>2</w:t>
      </w:r>
      <w:r>
        <w:t>O (ODex‐Octa‐Cu</w:t>
      </w:r>
      <w:r>
        <w:rPr>
          <w:vertAlign w:val="subscript"/>
        </w:rPr>
        <w:t>2</w:t>
      </w:r>
      <w:r>
        <w:t>O) exposing {111} facets, decorated with ODex–Cu</w:t>
      </w:r>
      <w:r>
        <w:t xml:space="preserve"> </w:t>
      </w:r>
      <w:r>
        <w:t>2+</w:t>
      </w:r>
      <w:r>
        <w:t xml:space="preserve"> </w:t>
      </w:r>
      <w:r>
        <w:t>complexes and stabilized Cu‐vacancy‐rich relaxed atomic layers. This coordination‐induced surface reconstruction tailors the surface electronic and defect structure; density functional theory further reveals the Frontier orbital theory evolution upon ODex–Cu</w:t>
      </w:r>
      <w:r>
        <w:t xml:space="preserve"> </w:t>
      </w:r>
      <w:r>
        <w:t>2+</w:t>
      </w:r>
      <w:r>
        <w:t xml:space="preserve"> </w:t>
      </w:r>
      <w:r>
        <w:t>modification of Cu</w:t>
      </w:r>
      <w:r>
        <w:rPr>
          <w:vertAlign w:val="subscript"/>
        </w:rPr>
        <w:t>2</w:t>
      </w:r>
      <w:r>
        <w:t>O(111) and the concomitant work function regulation, which together stabilize the lattice and optimize interfacial adsorption‐desorption kinetics. Meanwhile, ODex‐Octa‐Cu</w:t>
      </w:r>
      <w:r>
        <w:rPr>
          <w:vertAlign w:val="subscript"/>
        </w:rPr>
        <w:t>2</w:t>
      </w:r>
      <w:r>
        <w:t>O exhibits ultrahigh mass‐normalized activity for 4‐nitrophenol hydrogenation (</w:t>
      </w:r>
      <w:r>
        <w:t xml:space="preserve"> </w:t>
      </w:r>
      <w:r>
        <w:t>k</w:t>
      </w:r>
      <w:r>
        <w:t xml:space="preserve"> </w:t>
      </w:r>
      <w:r>
        <w:t>nor</w:t>
      </w:r>
      <w:r>
        <w:t xml:space="preserve"> </w:t>
      </w:r>
      <w:r>
        <w:t>= 32.36 s</w:t>
      </w:r>
      <w:r>
        <w:t xml:space="preserve"> </w:t>
      </w:r>
      <w:r>
        <w:t>−1</w:t>
      </w:r>
      <w:r>
        <w:t xml:space="preserve"> </w:t>
      </w:r>
      <w:r>
        <w:t>mg</w:t>
      </w:r>
      <w:r>
        <w:t xml:space="preserve"> </w:t>
      </w:r>
      <w:r>
        <w:t>−1</w:t>
      </w:r>
      <w:r>
        <w:t xml:space="preserve"> </w:t>
      </w:r>
      <w:r>
        <w:t>mL), benefiting from the in situ generated surface‐active hydrogen, and efficient glucose electrooxidation enabling a bifunctional glucose fuel cell. The fully recyclable alkaline medium further realizes a sustainable “metal‐to‐nanomaterial” conversion route.</w:t>
      </w:r>
    </w:p>
    <w:p>
      <w:pPr>
        <w:spacing w:before="120" w:after="120"/>
      </w:pPr>
      <w:r>
        <w:rPr>
          <w:sz w:val="18"/>
        </w:rPr>
        <w:t>——————————————————————————————————————————————————————————————————————</w:t>
      </w:r>
    </w:p>
    <w:p>
      <w:pPr>
        <w:spacing w:before="160" w:after="40" w:line="240" w:lineRule="auto"/>
      </w:pPr>
      <w:r>
        <w:rPr>
          <w:b/>
        </w:rPr>
        <w:t xml:space="preserve">[10] </w:t>
      </w:r>
      <w:hyperlink r:id="rId204">
        <w:r>
          <w:rPr>
            <w:color w:val="1155CC"/>
            <w:u w:val="single"/>
          </w:rPr>
          <w:t>用于高性能酸性析氧的双作用 V 掺杂 RuO2 的数据和理论指导设计</w:t>
        </w:r>
      </w:hyperlink>
    </w:p>
    <w:p>
      <w:pPr>
        <w:spacing w:before="0" w:after="80"/>
      </w:pPr>
      <w:r>
        <w:rPr>
          <w:i/>
          <w:sz w:val="20"/>
        </w:rPr>
        <w:t>EN: Data‐ and Theory‐Guided Design of Dual‐Role V‐Doped RuO2 for High‐Performance Acidic Oxygen Evolution</w:t>
      </w:r>
    </w:p>
    <w:p>
      <w:pPr>
        <w:spacing w:before="0" w:after="120"/>
      </w:pPr>
      <w:r>
        <w:rPr>
          <w:b/>
        </w:rPr>
        <w:t xml:space="preserve">Source: </w:t>
      </w:r>
      <w:r>
        <w:t>Wiley: Angewandte Chemie International Edition: Table of Contents</w:t>
      </w:r>
      <w:r>
        <w:t xml:space="preserve">    </w:t>
      </w:r>
      <w:r>
        <w:rPr>
          <w:b/>
        </w:rPr>
        <w:t xml:space="preserve">Pub date: </w:t>
      </w:r>
      <w:r>
        <w:t>2026-06-07 16:40:43+00:00</w:t>
      </w:r>
      <w:r>
        <w:t xml:space="preserve">    </w:t>
      </w:r>
      <w:r>
        <w:rPr>
          <w:b/>
        </w:rPr>
        <w:t xml:space="preserve">DOI: </w:t>
      </w:r>
      <w:hyperlink r:id="rId205">
        <w:r>
          <w:rPr>
            <w:color w:val="1155CC"/>
            <w:u w:val="single"/>
          </w:rPr>
          <w:t>10.1002/anie.8887957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开发高效的酸性析氧反应（OER）催化剂对于质子交换膜水电解槽（PEMWE）至关重要。通过挖掘 718 种已报告催化剂的​​数据集，我们统计发现多金属钌基氧化物的性能显着优于单金属对应物（中位过电势：210 与 283 mV）。在这一见解的指导下，微动力学模型筛选了 20 种金属掺杂剂，将钒确定为有前途的候选者。合成的V掺杂RuO</w:t>
      </w:r>
      <w:r>
        <w:rPr>
          <w:vertAlign w:val="subscript"/>
        </w:rPr>
        <w:t>2</w:t>
      </w:r>
      <w:r>
        <w:t>(RV) 在 10 mA cm 时表现出 193 ± 1 mV 的超低过电势</w:t>
      </w:r>
      <w:r>
        <w:t xml:space="preserve"> </w:t>
      </w:r>
      <w:r>
        <w:t>−2</w:t>
      </w:r>
      <w:r>
        <w:t xml:space="preserve"> </w:t>
      </w:r>
      <w:r>
        <w:t>和 3000 小时的稳健稳定性。在实际的PEMWE装置中，RV实现了1 A cm的工业电流密度</w:t>
      </w:r>
      <w:r>
        <w:t xml:space="preserve"> </w:t>
      </w:r>
      <w:r>
        <w:t>−2</w:t>
      </w:r>
      <w:r>
        <w:t xml:space="preserve"> </w:t>
      </w:r>
      <w:r>
        <w:t>电压仅为 1.725 V，在 200 mA cm 电流下可维持运行 140 小时</w:t>
      </w:r>
      <w:r>
        <w:t xml:space="preserve"> </w:t>
      </w:r>
      <w:r>
        <w:t>−2</w:t>
      </w:r>
      <w:r>
        <w:t xml:space="preserve"> </w:t>
      </w:r>
      <w:r>
        <w:t>。机理研究表明 V 掺杂在 RuO 中发挥双重作用</w:t>
      </w:r>
      <w:r>
        <w:rPr>
          <w:vertAlign w:val="subscript"/>
        </w:rPr>
        <w:t>2</w:t>
      </w:r>
      <w:r>
        <w:t>。它诱导路易斯酸性 Ru 位点加速去质子化动力学，同时充当动态氧化还原缓冲剂以防止 Ru 过度氧化。这项工作展示了数据和理论指导的筛选如何与机理研究相结合，可以加速高性能 RuO 的发现和理解</w:t>
      </w:r>
      <w:r>
        <w:rPr>
          <w:vertAlign w:val="subscript"/>
        </w:rPr>
        <w:t>2</w:t>
      </w:r>
      <w:r>
        <w:t>酸性OER催化剂。</w:t>
      </w:r>
    </w:p>
    <w:p>
      <w:pPr>
        <w:spacing w:before="0" w:after="200" w:lineRule="auto" w:line="276"/>
      </w:pPr>
      <w:r>
        <w:rPr>
          <w:b/>
        </w:rPr>
        <w:t xml:space="preserve">Abstract (EN): </w:t>
      </w:r>
      <w:r>
        <w:t>Developing efficient acidic oxygen evolution reaction (OER) catalysts is crucial for proton exchange membrane water electrolyzers (PEMWE). By mining a dataset of 718 reported catalysts, we statistically identified that multi‐metal Ru‐based oxides significantly outperform monometallic counterparts (median overpotential: 210 vs. 283 mV). Guided by this insight, microkinetic modeling screened 20 metal dopants, pinpointing vanadium as a promising candidate. The synthesized V‐doped RuO</w:t>
      </w:r>
      <w:r>
        <w:rPr>
          <w:vertAlign w:val="subscript"/>
        </w:rPr>
        <w:t>2</w:t>
      </w:r>
      <w:r>
        <w:t>(RV) exhibits an ultralow overpotential of 193 ± 1 mV at 10 mA cm</w:t>
      </w:r>
      <w:r>
        <w:t xml:space="preserve"> </w:t>
      </w:r>
      <w:r>
        <w:t>−2</w:t>
      </w:r>
      <w:r>
        <w:t xml:space="preserve"> </w:t>
      </w:r>
      <w:r>
        <w:t>and robust stability for 3000 h. In a practical PEMWE device, RV achieves an industrial current density of 1 A cm</w:t>
      </w:r>
      <w:r>
        <w:t xml:space="preserve"> </w:t>
      </w:r>
      <w:r>
        <w:t>−2</w:t>
      </w:r>
      <w:r>
        <w:t xml:space="preserve"> </w:t>
      </w:r>
      <w:r>
        <w:t>at only 1.725 V and sustains operation for 140 h at 200 mA cm</w:t>
      </w:r>
      <w:r>
        <w:t xml:space="preserve"> </w:t>
      </w:r>
      <w:r>
        <w:t>−2</w:t>
      </w:r>
      <w:r>
        <w:t xml:space="preserve"> </w:t>
      </w:r>
      <w:r>
        <w:t>. Mechanistic studies reveal that V‐doping plays a dual role in RuO</w:t>
      </w:r>
      <w:r>
        <w:rPr>
          <w:vertAlign w:val="subscript"/>
        </w:rPr>
        <w:t>2</w:t>
      </w:r>
      <w:r>
        <w:t>. It induces Lewis acidic Ru sites to accelerate deprotonation kinetics, while simultaneously acting as a dynamic redox buffer to prevent Ru over‐oxidation. This work shows how data‐ and theory‐guided screening, combined with mechanistic investigation, can accelerate the discovery and understanding of high‐performance RuO</w:t>
      </w:r>
      <w:r>
        <w:rPr>
          <w:vertAlign w:val="subscript"/>
        </w:rPr>
        <w:t>2</w:t>
      </w:r>
      <w:r>
        <w:t>‐based acidic OER catalysts.</w:t>
      </w:r>
    </w:p>
    <w:p>
      <w:pPr>
        <w:spacing w:before="120" w:after="120"/>
      </w:pPr>
      <w:r>
        <w:rPr>
          <w:sz w:val="18"/>
        </w:rPr>
        <w:t>——————————————————————————————————————————————————————————————————————</w:t>
      </w:r>
    </w:p>
    <w:p>
      <w:pPr>
        <w:spacing w:before="160" w:after="40" w:line="240" w:lineRule="auto"/>
      </w:pPr>
      <w:r>
        <w:rPr>
          <w:b/>
        </w:rPr>
        <w:t xml:space="preserve">[11] </w:t>
      </w:r>
      <w:hyperlink r:id="rId206">
        <w:r>
          <w:rPr>
            <w:color w:val="1155CC"/>
            <w:u w:val="single"/>
          </w:rPr>
          <w:t>原子设计的 RuOx-Cu 界面可实现安培级亚硝酸盐-乙醇共电解的串联催化</w:t>
        </w:r>
      </w:hyperlink>
    </w:p>
    <w:p>
      <w:pPr>
        <w:spacing w:before="0" w:after="80"/>
      </w:pPr>
      <w:r>
        <w:rPr>
          <w:i/>
          <w:sz w:val="20"/>
        </w:rPr>
        <w:t>EN: Atomically Engineered RuOx‐Cu Interfaces Enabling Tandem Catalysis for Ampere‐Level Nitrite–Ethanol Co‐Electrolysis</w:t>
      </w:r>
    </w:p>
    <w:p>
      <w:pPr>
        <w:spacing w:before="0" w:after="120"/>
      </w:pPr>
      <w:r>
        <w:rPr>
          <w:b/>
        </w:rPr>
        <w:t xml:space="preserve">Source: </w:t>
      </w:r>
      <w:r>
        <w:t>Wiley: Angewandte Chemie International Edition: Table of Contents</w:t>
      </w:r>
      <w:r>
        <w:t xml:space="preserve">    </w:t>
      </w:r>
      <w:r>
        <w:rPr>
          <w:b/>
        </w:rPr>
        <w:t xml:space="preserve">Pub date: </w:t>
      </w:r>
      <w:r>
        <w:t>2026-06-07 16:48:07+00:00</w:t>
      </w:r>
      <w:r>
        <w:t xml:space="preserve">    </w:t>
      </w:r>
      <w:r>
        <w:rPr>
          <w:b/>
        </w:rPr>
        <w:t xml:space="preserve">DOI: </w:t>
      </w:r>
      <w:hyperlink r:id="rId207">
        <w:r>
          <w:rPr>
            <w:color w:val="1155CC"/>
            <w:u w:val="single"/>
          </w:rPr>
          <w:t>10.1002/anie.1451856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设计具有明确界面结构的串联催化剂对于促进多步电化学转化具有重要意义，但在原子水平上实现双活性位点的协同调节仍然是一个艰巨的挑战。在此，我们开发了一种原子级工程策略来构建 RuO</w:t>
      </w:r>
      <w:r>
        <w:t xml:space="preserve"> </w:t>
      </w:r>
      <w:r>
        <w:t>x</w:t>
      </w:r>
      <w:r>
        <w:t xml:space="preserve"> </w:t>
      </w:r>
      <w:r>
        <w:t>具有丰富界面结构的簇改性铜基纳米线阵列电极，可作为有效的串联催化剂，在安培级电流密度下持续进行亚硝酸盐-乙醇配对电解。原位光谱分析结合理论计算表明原子级 RuO</w:t>
      </w:r>
      <w:r>
        <w:t xml:space="preserve"> </w:t>
      </w:r>
      <w:r>
        <w:t>x</w:t>
      </w:r>
      <w:r>
        <w:t xml:space="preserve"> </w:t>
      </w:r>
      <w:r>
        <w:t>簇作为高度活跃的水活化位点，产生丰富的活性氢/氧，随后与吸附的氮和含碳中间体发生反应，从而实现极其有利的共电解动力学。令人印象深刻的是，由 RuO 构建的膜电极组件流动电解槽</w:t>
      </w:r>
      <w:r>
        <w:t xml:space="preserve"> </w:t>
      </w:r>
      <w:r>
        <w:t>x</w:t>
      </w:r>
      <w:r>
        <w:t xml:space="preserve"> </w:t>
      </w:r>
      <w:r>
        <w:t>@R-Cu/CF 作为两个电极，NH 的法拉第效率达到 &gt;90%</w:t>
      </w:r>
      <w:r>
        <w:rPr>
          <w:vertAlign w:val="subscript"/>
        </w:rPr>
        <w:t>3</w:t>
      </w:r>
      <w:r>
        <w:t>和醋酸盐在 0.2–1.0 A cm 的宽电流密度窗口内</w:t>
      </w:r>
      <w:r>
        <w:t xml:space="preserve"> </w:t>
      </w:r>
      <w:r>
        <w:t>−2</w:t>
      </w:r>
      <w:r>
        <w:t xml:space="preserve"> </w:t>
      </w:r>
      <w:r>
        <w:t>，以及 5.86 mmol h 的高产率</w:t>
      </w:r>
      <w:r>
        <w:t xml:space="preserve"> </w:t>
      </w:r>
      <w:r>
        <w:t>−1</w:t>
      </w:r>
      <w:r>
        <w:t xml:space="preserve"> </w:t>
      </w:r>
      <w:r>
        <w:t>厘米</w:t>
      </w:r>
      <w:r>
        <w:t xml:space="preserve"> </w:t>
      </w:r>
      <w:r>
        <w:t>−2</w:t>
      </w:r>
    </w:p>
    <w:p>
      <w:pPr>
        <w:spacing w:before="0" w:after="200" w:lineRule="auto" w:line="276"/>
      </w:pPr>
      <w:r>
        <w:rPr>
          <w:b/>
        </w:rPr>
        <w:t xml:space="preserve">Abstract (EN): </w:t>
      </w:r>
      <w:r>
        <w:t>Designing tandem catalysts with well‐defined interfacial architectures is of great significance for promoting multi‐step electrochemical transformations, yet achieving synergistic regulation of dual active sites at the atomic level remains a formidable challenge. Herein, we develop an atomic‐level engineering strategy to construct RuO</w:t>
      </w:r>
      <w:r>
        <w:t xml:space="preserve"> </w:t>
      </w:r>
      <w:r>
        <w:t>x</w:t>
      </w:r>
      <w:r>
        <w:t xml:space="preserve"> </w:t>
      </w:r>
      <w:r>
        <w:t>cluster‐modified Cu‐based nanowire array electrodes with abundant interfacial structures, which act as efficient tandem catalysts for sustained nitrite–ethanol paired electrolysis at ampere‐level current densities. In situ spectroscopic analysis combined with theoretical calculations reveals that the atomically RuO</w:t>
      </w:r>
      <w:r>
        <w:t xml:space="preserve"> </w:t>
      </w:r>
      <w:r>
        <w:t>x</w:t>
      </w:r>
      <w:r>
        <w:t xml:space="preserve"> </w:t>
      </w:r>
      <w:r>
        <w:t>cluster serves as highly active water‐activation sites, generating abundant active hydrogen/oxygen species that subsequently react with adsorbed nitrogen and carbon‐containing intermediates, thereby enabling exceptionally favorable co‐electrolysis kinetics. Impressively, a membrane electrode assembly flow electrolyzer constructed with RuO</w:t>
      </w:r>
      <w:r>
        <w:t xml:space="preserve"> </w:t>
      </w:r>
      <w:r>
        <w:t>x</w:t>
      </w:r>
      <w:r>
        <w:t xml:space="preserve"> </w:t>
      </w:r>
      <w:r>
        <w:t>@R‐Cu/CF as both electrodes achieves &amp;gt;90% Faradaic efficiencies for NH</w:t>
      </w:r>
      <w:r>
        <w:rPr>
          <w:vertAlign w:val="subscript"/>
        </w:rPr>
        <w:t>3</w:t>
      </w:r>
      <w:r>
        <w:t>and acetate over a wide current density window of 0.2–1.0 A cm</w:t>
      </w:r>
      <w:r>
        <w:t xml:space="preserve"> </w:t>
      </w:r>
      <w:r>
        <w:t>−2</w:t>
      </w:r>
      <w:r>
        <w:t xml:space="preserve"> </w:t>
      </w:r>
      <w:r>
        <w:t>, along with high yields of 5.86 mmol h</w:t>
      </w:r>
      <w:r>
        <w:t xml:space="preserve"> </w:t>
      </w:r>
      <w:r>
        <w:t>−1</w:t>
      </w:r>
      <w:r>
        <w:t xml:space="preserve"> </w:t>
      </w:r>
      <w:r>
        <w:t>cm</w:t>
      </w:r>
      <w:r>
        <w:t xml:space="preserve"> </w:t>
      </w:r>
      <w:r>
        <w:t>−2</w:t>
      </w:r>
      <w:r>
        <w:t xml:space="preserve"> </w:t>
      </w:r>
      <w:r>
        <w:t>(NH</w:t>
      </w:r>
      <w:r>
        <w:rPr>
          <w:vertAlign w:val="subscript"/>
        </w:rPr>
        <w:t>3</w:t>
      </w:r>
      <w:r>
        <w:t>) and 8.65 mmol h</w:t>
      </w:r>
      <w:r>
        <w:t xml:space="preserve"> </w:t>
      </w:r>
      <w:r>
        <w:t>−1</w:t>
      </w:r>
      <w:r>
        <w:t xml:space="preserve"> </w:t>
      </w:r>
      <w:r>
        <w:t>cm</w:t>
      </w:r>
      <w:r>
        <w:t xml:space="preserve"> </w:t>
      </w:r>
      <w:r>
        <w:t>−2</w:t>
      </w:r>
      <w:r>
        <w:t xml:space="preserve"> </w:t>
      </w:r>
      <w:r>
        <w:t>(acetate) at 1.0 A cm</w:t>
      </w:r>
      <w:r>
        <w:t xml:space="preserve"> </w:t>
      </w:r>
      <w:r>
        <w:t>−2</w:t>
      </w:r>
      <w:r>
        <w:t xml:space="preserve"> </w:t>
      </w:r>
      <w:r>
        <w:t>, and outstanding operational stability, significantly surpassing previously reported co‐electrolysis systems.</w:t>
      </w:r>
    </w:p>
    <w:p>
      <w:pPr>
        <w:spacing w:before="120" w:after="120"/>
      </w:pPr>
      <w:r>
        <w:rPr>
          <w:sz w:val="18"/>
        </w:rPr>
        <w:t>——————————————————————————————————————————————————————————————————————</w:t>
      </w:r>
    </w:p>
    <w:p>
      <w:pPr>
        <w:spacing w:before="160" w:after="40" w:line="240" w:lineRule="auto"/>
      </w:pPr>
      <w:r>
        <w:rPr>
          <w:b/>
        </w:rPr>
        <w:t xml:space="preserve">[12] </w:t>
      </w:r>
      <w:hyperlink r:id="rId208">
        <w:r>
          <w:rPr>
            <w:color w:val="1155CC"/>
            <w:u w:val="single"/>
          </w:rPr>
          <w:t>聚三嗪酰亚胺的卤化物离子调制结晶用于高效光催化整体水分解</w:t>
        </w:r>
      </w:hyperlink>
    </w:p>
    <w:p>
      <w:pPr>
        <w:spacing w:before="0" w:after="80"/>
      </w:pPr>
      <w:r>
        <w:rPr>
          <w:i/>
          <w:sz w:val="20"/>
        </w:rPr>
        <w:t>EN: Halide ion-modulated crystallization of poly(triazine imide) for efficient photocatalytic overall water splitting</w:t>
      </w:r>
    </w:p>
    <w:p>
      <w:pPr>
        <w:spacing w:before="0" w:after="120"/>
      </w:pPr>
      <w:r>
        <w:rPr>
          <w:b/>
        </w:rPr>
        <w:t xml:space="preserve">Source: </w:t>
      </w:r>
      <w:r>
        <w:t>Matter</w:t>
      </w:r>
      <w:r>
        <w:t xml:space="preserve">    </w:t>
      </w:r>
      <w:r>
        <w:rPr>
          <w:b/>
        </w:rPr>
        <w:t xml:space="preserve">Pub date: </w:t>
      </w:r>
      <w:r>
        <w:t>2026-06-08 00:00:00+00:00</w:t>
      </w:r>
      <w:r>
        <w:t xml:space="preserve">    </w:t>
      </w:r>
      <w:r>
        <w:rPr>
          <w:b/>
        </w:rPr>
        <w:t xml:space="preserve">DOI: </w:t>
      </w:r>
      <w:hyperlink r:id="rId209">
        <w:r>
          <w:rPr>
            <w:color w:val="1155CC"/>
            <w:u w:val="single"/>
          </w:rPr>
          <w:t>10.1016/j.matt.2026.102861</w:t>
        </w:r>
      </w:hyperlink>
    </w:p>
    <w:p>
      <w:pPr>
        <w:spacing w:before="0" w:after="120"/>
      </w:pPr>
      <w:r>
        <w:rPr>
          <w:b/>
        </w:rPr>
        <w:t xml:space="preserve">Notes: </w:t>
      </w:r>
      <w:r>
        <w:t>abstract_source=rss_cell</w:t>
      </w:r>
    </w:p>
    <w:p>
      <w:pPr>
        <w:spacing w:before="0" w:after="80" w:lineRule="auto" w:line="276"/>
      </w:pPr>
      <w:r>
        <w:rPr>
          <w:b/>
        </w:rPr>
        <w:t xml:space="preserve">摘要（ZH）: </w:t>
      </w:r>
      <w:r>
        <w:t>通过调整熔盐离子组成，开发了卤化物离子调制结晶策略，产生具有高结晶度和部分离子耗尽的聚（三嗪酰亚胺）（PTI）。由此产生的结构有效地调节缺陷态和载流子动力学，抑制多种复合途径，促进电荷传输和分离，并显着提高太阳能到氢的转换效率。</w:t>
      </w:r>
    </w:p>
    <w:p>
      <w:pPr>
        <w:spacing w:before="0" w:after="200" w:lineRule="auto" w:line="276"/>
      </w:pPr>
      <w:r>
        <w:rPr>
          <w:b/>
        </w:rPr>
        <w:t xml:space="preserve">Abstract (EN): </w:t>
      </w:r>
      <w:r>
        <w:t>A halide ion-modulated crystallization strategy is developed by tuning the molten salt ion composition, yielding poly(triazine imide) (PTI) with high crystallinity and partial ion depletion. The resulting structure effectively regulates defect states and charge carrier dynamics, suppresses multiple recombination pathways, facilitates charge transport and separation, and significantly improves solar to hydrogen conversion efficiency.</w:t>
      </w:r>
    </w:p>
    <w:p>
      <w:pPr>
        <w:spacing w:before="120" w:after="120"/>
      </w:pPr>
      <w:r>
        <w:rPr>
          <w:sz w:val="18"/>
        </w:rPr>
        <w:t>——————————————————————————————————————————————————————————————————————</w:t>
      </w:r>
    </w:p>
    <w:p>
      <w:pPr>
        <w:spacing w:before="160" w:after="40" w:line="240" w:lineRule="auto"/>
      </w:pPr>
      <w:r>
        <w:rPr>
          <w:b/>
        </w:rPr>
        <w:t xml:space="preserve">[13] </w:t>
      </w:r>
      <w:hyperlink r:id="rId210">
        <w:r>
          <w:rPr>
            <w:color w:val="1155CC"/>
            <w:u w:val="single"/>
          </w:rPr>
          <w:t>巴西亚马逊和塞拉多地区的乙醇繁荣和玉米价格上涨</w:t>
        </w:r>
      </w:hyperlink>
    </w:p>
    <w:p>
      <w:pPr>
        <w:spacing w:before="0" w:after="80"/>
      </w:pPr>
      <w:r>
        <w:rPr>
          <w:i/>
          <w:sz w:val="20"/>
        </w:rPr>
        <w:t>EN: An ethanol boom and booming corn prices in Brazil's Amazon and Cerrado Regions</w:t>
      </w:r>
    </w:p>
    <w:p>
      <w:pPr>
        <w:spacing w:before="0" w:after="120"/>
      </w:pPr>
      <w:r>
        <w:rPr>
          <w:b/>
        </w:rPr>
        <w:t xml:space="preserve">Source: </w:t>
      </w:r>
      <w:r>
        <w:t>ScienceDirect Publication: Energy Policy</w:t>
      </w:r>
      <w:r>
        <w:t xml:space="preserve">    </w:t>
      </w:r>
      <w:r>
        <w:rPr>
          <w:b/>
        </w:rPr>
        <w:t xml:space="preserve">Pub date: </w:t>
      </w:r>
      <w:r>
        <w:t>2026-06-09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11">
        <w:r>
          <w:rPr>
            <w:color w:val="1155CC"/>
            <w:u w:val="single"/>
          </w:rPr>
          <w:t>界面诱导的内置磁场增强自旋交换相互作用，实现高效氧电催化</w:t>
        </w:r>
      </w:hyperlink>
    </w:p>
    <w:p>
      <w:pPr>
        <w:spacing w:before="0" w:after="80"/>
      </w:pPr>
      <w:r>
        <w:rPr>
          <w:i/>
          <w:sz w:val="20"/>
        </w:rPr>
        <w:t>EN: Interface-induced built-in magnetic field boosted spin exchange interactions to enable high-efficiency oxygen electrocatalysis</w:t>
      </w:r>
    </w:p>
    <w:p>
      <w:pPr>
        <w:spacing w:before="0" w:after="120"/>
      </w:pPr>
      <w:r>
        <w:rPr>
          <w:b/>
        </w:rPr>
        <w:t xml:space="preserve">Source: </w:t>
      </w:r>
      <w:r>
        <w:t>Chem</w:t>
      </w:r>
      <w:r>
        <w:t xml:space="preserve">    </w:t>
      </w:r>
      <w:r>
        <w:rPr>
          <w:b/>
        </w:rPr>
        <w:t xml:space="preserve">Pub date: </w:t>
      </w:r>
      <w:r>
        <w:t>2026-06-09 00:00:00+00:00</w:t>
      </w:r>
      <w:r>
        <w:t xml:space="preserve">    </w:t>
      </w:r>
      <w:r>
        <w:rPr>
          <w:b/>
        </w:rPr>
        <w:t xml:space="preserve">DOI: </w:t>
      </w:r>
      <w:hyperlink r:id="rId212">
        <w:r>
          <w:rPr>
            <w:color w:val="1155CC"/>
            <w:u w:val="single"/>
          </w:rPr>
          <w:t>10.1016/j.chempr.2026.103097</w:t>
        </w:r>
      </w:hyperlink>
    </w:p>
    <w:p>
      <w:pPr>
        <w:spacing w:before="0" w:after="120"/>
      </w:pPr>
      <w:r>
        <w:rPr>
          <w:b/>
        </w:rPr>
        <w:t xml:space="preserve">Notes: </w:t>
      </w:r>
      <w:r>
        <w:t>abstract_source=rss_cell</w:t>
      </w:r>
    </w:p>
    <w:p>
      <w:pPr>
        <w:spacing w:before="0" w:after="80" w:lineRule="auto" w:line="276"/>
      </w:pPr>
      <w:r>
        <w:rPr>
          <w:b/>
        </w:rPr>
        <w:t xml:space="preserve">摘要（ZH）: </w:t>
      </w:r>
      <w:r>
        <w:t>工程化的反铁磁/铁磁异质结构产生界面内置磁场，使电子自旋对齐，这种效应可以通过快速量子自旋交换相互作用实现对自旋依赖性氧电催化的无外部场控制。该策略增强了析氧活性，并揭示了自旋极化在控制反应过程中的关键作用；因此，它为高效能量转换材料提供了通用设计原则。</w:t>
      </w:r>
    </w:p>
    <w:p>
      <w:pPr>
        <w:spacing w:before="0" w:after="200" w:lineRule="auto" w:line="276"/>
      </w:pPr>
      <w:r>
        <w:rPr>
          <w:b/>
        </w:rPr>
        <w:t xml:space="preserve">Abstract (EN): </w:t>
      </w:r>
      <w:r>
        <w:t>Engineered antiferromagnetic/ferromagnetic heterostructures generate an interfacial built-in magnetic field that aligns electron spins, an effect that enables external field-free control of spin-dependent oxygen electrocatalysis via rapid quantum spin exchange interactions. This strategy enhances oxygen evolution activity and reveals the critical role of spin polarization in governing reaction process; thus, it offers a general design principle for efficient energy conversion materials.</w:t>
      </w:r>
    </w:p>
    <w:p>
      <w:pPr>
        <w:spacing w:before="120" w:after="120"/>
      </w:pPr>
      <w:r>
        <w:rPr>
          <w:sz w:val="18"/>
        </w:rPr>
        <w:t>——————————————————————————————————————————————————————————————————————</w:t>
      </w:r>
    </w:p>
    <w:p>
      <w:pPr>
        <w:spacing w:before="160" w:after="40" w:line="240" w:lineRule="auto"/>
      </w:pPr>
      <w:r>
        <w:rPr>
          <w:b/>
        </w:rPr>
        <w:t xml:space="preserve">[15] </w:t>
      </w:r>
      <w:hyperlink r:id="rId213">
        <w:r>
          <w:rPr>
            <w:color w:val="1155CC"/>
            <w:u w:val="single"/>
          </w:rPr>
          <w:t>通过质子辅助吸附演化将氟掺杂 RuO2 锚定在 TiO2 上，实现酸中高效稳定的析氧反应</w:t>
        </w:r>
      </w:hyperlink>
    </w:p>
    <w:p>
      <w:pPr>
        <w:spacing w:before="0" w:after="80"/>
      </w:pPr>
      <w:r>
        <w:rPr>
          <w:i/>
          <w:sz w:val="20"/>
        </w:rPr>
        <w:t>EN: Fluorine‐Doped RuO2 Anchored on TiO2 via Proton‐Assisted Adsorption Evolution for Efficient and Stable Oxygen Evolution Reaction in Acid</w:t>
      </w:r>
    </w:p>
    <w:p>
      <w:pPr>
        <w:spacing w:before="0" w:after="120"/>
      </w:pPr>
      <w:r>
        <w:rPr>
          <w:b/>
        </w:rPr>
        <w:t xml:space="preserve">Source: </w:t>
      </w:r>
      <w:r>
        <w:t>Wiley: Angewandte Chemie International Edition: Table of Contents</w:t>
      </w:r>
      <w:r>
        <w:t xml:space="preserve">    </w:t>
      </w:r>
      <w:r>
        <w:rPr>
          <w:b/>
        </w:rPr>
        <w:t xml:space="preserve">Pub date: </w:t>
      </w:r>
      <w:r>
        <w:t>2026-06-09 01:02:53+00:00</w:t>
      </w:r>
      <w:r>
        <w:t xml:space="preserve">    </w:t>
      </w:r>
      <w:r>
        <w:rPr>
          <w:b/>
        </w:rPr>
        <w:t xml:space="preserve">DOI: </w:t>
      </w:r>
      <w:hyperlink r:id="rId214">
        <w:r>
          <w:rPr>
            <w:color w:val="1155CC"/>
            <w:u w:val="single"/>
          </w:rPr>
          <w:t>10.1002/anie.9750153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虽然RuO</w:t>
      </w:r>
      <w:r>
        <w:rPr>
          <w:vertAlign w:val="subscript"/>
        </w:rPr>
        <w:t>2</w:t>
      </w:r>
      <w:r>
        <w:t>理论上比IrO具有优异的析氧反应（OER）活性和相对较低的价格</w:t>
      </w:r>
      <w:r>
        <w:rPr>
          <w:vertAlign w:val="subscript"/>
        </w:rPr>
        <w:t>2</w:t>
      </w:r>
      <w:r>
        <w:t>，平衡其活性和稳定性仍然是一个重大挑战。 Ru 中心的电子结构在平衡 RuO 的活性和耐久性方面起着至关重要的作用</w:t>
      </w:r>
      <w:r>
        <w:rPr>
          <w:vertAlign w:val="subscript"/>
        </w:rPr>
        <w:t>2</w:t>
      </w:r>
      <w:r>
        <w:t>用于OER的基于电催化剂。本研究开发了 F 掺杂 RuO</w:t>
      </w:r>
      <w:r>
        <w:rPr>
          <w:vertAlign w:val="subscript"/>
        </w:rPr>
        <w:t>2</w:t>
      </w:r>
      <w:r>
        <w:t>负载于TiO</w:t>
      </w:r>
      <w:r>
        <w:rPr>
          <w:vertAlign w:val="subscript"/>
        </w:rPr>
        <w:t>2</w:t>
      </w:r>
      <w:r>
        <w:t>(F-RuO</w:t>
      </w:r>
      <w:r>
        <w:rPr>
          <w:vertAlign w:val="subscript"/>
        </w:rPr>
        <w:t>2</w:t>
      </w:r>
      <w:r>
        <w:t>@二氧化钛</w:t>
      </w:r>
      <w:r>
        <w:rPr>
          <w:vertAlign w:val="subscript"/>
        </w:rPr>
        <w:t>2</w:t>
      </w:r>
      <w:r>
        <w:t>）构建用于电负性介导的电荷重新分布的Ru-O-Ti界面平台。 F-RuO</w:t>
      </w:r>
      <w:r>
        <w:rPr>
          <w:vertAlign w:val="subscript"/>
        </w:rPr>
        <w:t>2</w:t>
      </w:r>
      <w:r>
        <w:t>@二氧化钛</w:t>
      </w:r>
      <w:r>
        <w:rPr>
          <w:vertAlign w:val="subscript"/>
        </w:rPr>
        <w:t>2</w:t>
      </w:r>
      <w:r>
        <w:t>表现出优异的 OER 活性和卓越的耐久性，在 100 和 200 mA cm 下可稳定运行 660 小时和 253 小时</w:t>
      </w:r>
      <w:r>
        <w:t xml:space="preserve"> </w:t>
      </w:r>
      <w:r>
        <w:t>−2</w:t>
      </w:r>
      <w:r>
        <w:t xml:space="preserve"> </w:t>
      </w:r>
      <w:r>
        <w:t>，分别。使用F-RuO组装的质子交换膜水电解槽</w:t>
      </w:r>
      <w:r>
        <w:rPr>
          <w:vertAlign w:val="subscript"/>
        </w:rPr>
        <w:t>2</w:t>
      </w:r>
      <w:r>
        <w:t>@二氧化钛</w:t>
      </w:r>
      <w:r>
        <w:rPr>
          <w:vertAlign w:val="subscript"/>
        </w:rPr>
        <w:t>2</w:t>
      </w:r>
      <w:r>
        <w:t>0.5 和 1 A cm 时仅需要 1.57 和 1.68 V</w:t>
      </w:r>
      <w:r>
        <w:t xml:space="preserve"> </w:t>
      </w:r>
      <w:r>
        <w:t>−2</w:t>
      </w:r>
      <w:r>
        <w:t xml:space="preserve"> </w:t>
      </w:r>
      <w:r>
        <w:t>分别稳定运行 300 小时和 100 小时。实验和理论计算均表明，F的高电负性增强了Ru-O共价键，从而通过</w:t>
      </w:r>
    </w:p>
    <w:p>
      <w:pPr>
        <w:spacing w:before="0" w:after="200" w:lineRule="auto" w:line="276"/>
      </w:pPr>
      <w:r>
        <w:rPr>
          <w:b/>
        </w:rPr>
        <w:t xml:space="preserve">Abstract (EN): </w:t>
      </w:r>
      <w:r>
        <w:t>Although RuO</w:t>
      </w:r>
      <w:r>
        <w:rPr>
          <w:vertAlign w:val="subscript"/>
        </w:rPr>
        <w:t>2</w:t>
      </w:r>
      <w:r>
        <w:t>theoretically has superior oxygen evolution reaction (OER) activity and a relatively lower price than IrO</w:t>
      </w:r>
      <w:r>
        <w:rPr>
          <w:vertAlign w:val="subscript"/>
        </w:rPr>
        <w:t>2</w:t>
      </w:r>
      <w:r>
        <w:t>, balancing its activity and stability remains a significant challenge. The electronic structure of Ru centers plays a critical role in balancing the activity and durability of RuO</w:t>
      </w:r>
      <w:r>
        <w:rPr>
          <w:vertAlign w:val="subscript"/>
        </w:rPr>
        <w:t>2</w:t>
      </w:r>
      <w:r>
        <w:t>‐based electrocatalysts for OER. This study developed an F‐doped RuO</w:t>
      </w:r>
      <w:r>
        <w:rPr>
          <w:vertAlign w:val="subscript"/>
        </w:rPr>
        <w:t>2</w:t>
      </w:r>
      <w:r>
        <w:t>loaded on TiO</w:t>
      </w:r>
      <w:r>
        <w:rPr>
          <w:vertAlign w:val="subscript"/>
        </w:rPr>
        <w:t>2</w:t>
      </w:r>
      <w:r>
        <w:t>(F‐RuO</w:t>
      </w:r>
      <w:r>
        <w:rPr>
          <w:vertAlign w:val="subscript"/>
        </w:rPr>
        <w:t>2</w:t>
      </w:r>
      <w:r>
        <w:t>@TiO</w:t>
      </w:r>
      <w:r>
        <w:rPr>
          <w:vertAlign w:val="subscript"/>
        </w:rPr>
        <w:t>2</w:t>
      </w:r>
      <w:r>
        <w:t>) to construct a Ru–O–Ti interface platform for electronegativity‐mediated charge redistribution. F‐RuO</w:t>
      </w:r>
      <w:r>
        <w:rPr>
          <w:vertAlign w:val="subscript"/>
        </w:rPr>
        <w:t>2</w:t>
      </w:r>
      <w:r>
        <w:t>@TiO</w:t>
      </w:r>
      <w:r>
        <w:rPr>
          <w:vertAlign w:val="subscript"/>
        </w:rPr>
        <w:t>2</w:t>
      </w:r>
      <w:r>
        <w:t>exhibited excellent OER activity and superior durability, operating stably for 660 h and 253 h at 100 and 200 mA cm</w:t>
      </w:r>
      <w:r>
        <w:t xml:space="preserve"> </w:t>
      </w:r>
      <w:r>
        <w:t>−2</w:t>
      </w:r>
      <w:r>
        <w:t xml:space="preserve"> </w:t>
      </w:r>
      <w:r>
        <w:t>, respectively. A proton exchange membrane water electrolyzer assembled using F‐RuO</w:t>
      </w:r>
      <w:r>
        <w:rPr>
          <w:vertAlign w:val="subscript"/>
        </w:rPr>
        <w:t>2</w:t>
      </w:r>
      <w:r>
        <w:t>@TiO</w:t>
      </w:r>
      <w:r>
        <w:rPr>
          <w:vertAlign w:val="subscript"/>
        </w:rPr>
        <w:t>2</w:t>
      </w:r>
      <w:r>
        <w:t>required only 1.57 and 1.68 V at 0.5 and 1 A cm</w:t>
      </w:r>
      <w:r>
        <w:t xml:space="preserve"> </w:t>
      </w:r>
      <w:r>
        <w:t>−2</w:t>
      </w:r>
      <w:r>
        <w:t xml:space="preserve"> </w:t>
      </w:r>
      <w:r>
        <w:t>, respectively, and operated stably for 300 and 100 h, respectively. Both experimental and theoretical calculations showed that the high electronegativity of F enhances the Ru–O covalency, thereby accelerating the deprotonation of *OOH through the proton‐assisted adsorption evolution mechanism (PA‐AEM). Simultaneously, the dynamic charge redistribution established between Ru–O–Ti allowed TiO</w:t>
      </w:r>
      <w:r>
        <w:rPr>
          <w:vertAlign w:val="subscript"/>
        </w:rPr>
        <w:t>2</w:t>
      </w:r>
      <w:r>
        <w:t>to buffer charge fluctuations at Ru sites, thus further effectively mitigating over‐oxidation. These findings underscore the importance of electronegativity‐regulated proton‐transfer kinetics for stabilizing RuO</w:t>
      </w:r>
      <w:r>
        <w:rPr>
          <w:vertAlign w:val="subscript"/>
        </w:rPr>
        <w:t>2</w:t>
      </w:r>
      <w:r>
        <w:t>.</w:t>
      </w:r>
    </w:p>
    <w:p>
      <w:pPr>
        <w:spacing w:before="120" w:after="120"/>
      </w:pPr>
      <w:r>
        <w:rPr>
          <w:sz w:val="18"/>
        </w:rPr>
        <w:t>——————————————————————————————————————————————————————————————————————</w:t>
      </w:r>
    </w:p>
    <w:p>
      <w:pPr>
        <w:spacing w:before="160" w:after="40" w:line="240" w:lineRule="auto"/>
      </w:pPr>
      <w:r>
        <w:rPr>
          <w:b/>
        </w:rPr>
        <w:t xml:space="preserve">[16] </w:t>
      </w:r>
      <w:hyperlink r:id="rId215">
        <w:r>
          <w:rPr>
            <w:color w:val="1155CC"/>
            <w:u w:val="single"/>
          </w:rPr>
          <w:t>调节 NiV 层状双氢氧化物微球中的 Ni-O-V 桥，实现 1,5-戊二醇氧化和硝酸盐还原的稳健电催化耦合</w:t>
        </w:r>
      </w:hyperlink>
    </w:p>
    <w:p>
      <w:pPr>
        <w:spacing w:before="0" w:after="80"/>
      </w:pPr>
      <w:r>
        <w:rPr>
          <w:i/>
          <w:sz w:val="20"/>
        </w:rPr>
        <w:t>EN: Modulating Ni‐O‐V Bridges in NiV‐Layered Double Hydroxides Microspheres for Robust Electrocatalytic Coupling of 1,5‐Pentanediol Oxidation and Nitrate Reduction</w:t>
      </w:r>
    </w:p>
    <w:p>
      <w:pPr>
        <w:spacing w:before="0" w:after="120"/>
      </w:pPr>
      <w:r>
        <w:rPr>
          <w:b/>
        </w:rPr>
        <w:t xml:space="preserve">Source: </w:t>
      </w:r>
      <w:r>
        <w:t>Wiley: Angewandte Chemie International Edition: Table of Contents</w:t>
      </w:r>
      <w:r>
        <w:t xml:space="preserve">    </w:t>
      </w:r>
      <w:r>
        <w:rPr>
          <w:b/>
        </w:rPr>
        <w:t xml:space="preserve">Pub date: </w:t>
      </w:r>
      <w:r>
        <w:t>2026-06-09 01:05:34+00:00</w:t>
      </w:r>
      <w:r>
        <w:t xml:space="preserve">    </w:t>
      </w:r>
      <w:r>
        <w:rPr>
          <w:b/>
        </w:rPr>
        <w:t xml:space="preserve">DOI: </w:t>
      </w:r>
      <w:hyperlink r:id="rId216">
        <w:r>
          <w:rPr>
            <w:color w:val="1155CC"/>
            <w:u w:val="single"/>
          </w:rPr>
          <w:t>10.1002/anie.5292155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将生物质衍生多元醇的阳极氧化与阴极硝酸盐还原反应（NO</w:t>
      </w:r>
      <w:r>
        <w:rPr>
          <w:vertAlign w:val="subscript"/>
        </w:rPr>
        <w:t>3</w:t>
      </w:r>
      <w:r>
        <w:t>RR）代表了一种有前途的生物质增值和高盐废水处理策略。在这里，我们合成了薄的 NiV 层状双氢氧化物 (NiV-LDH) 微球，其具有工程 Ni-O-V 桥结构作为双通道电催化剂。 X射线吸收光谱证实新构建的Ni-O-V桥有效地调节了Ni和V位点的电子结构。这种协同增强提高了阳极 1,5-戊二醇电氧化生产戊二酸 (GA) 和 NO 的性能</w:t>
      </w:r>
      <w:r>
        <w:rPr>
          <w:vertAlign w:val="subscript"/>
        </w:rPr>
        <w:t>3</w:t>
      </w:r>
      <w:r>
        <w:t>RR 为氨。 NiV-LDHs 阳极能够在 1.5 V（相对于 RHE）的低电池电压下进行电解，表现出 98.5% 的 GA 法拉第效率和 2.56 mmol h 的高 GA 产率</w:t>
      </w:r>
      <w:r>
        <w:t xml:space="preserve"> </w:t>
      </w:r>
      <w:r>
        <w:t>−1</w:t>
      </w:r>
      <w:r>
        <w:t xml:space="preserve"> </w:t>
      </w:r>
      <w:r>
        <w:t>厘米</w:t>
      </w:r>
      <w:r>
        <w:t xml:space="preserve"> </w:t>
      </w:r>
      <w:r>
        <w:t>−2</w:t>
      </w:r>
      <w:r>
        <w:t xml:space="preserve"> </w:t>
      </w:r>
      <w:r>
        <w:t>。操作研究和密度泛函理论表明，NiV-LDH 内的强电子耦合优化了催化剂表面上 1,5-戊二醇和 OH* 之间的竞争吸附。此外，NiV-LDHs阴极表现出出色的NO</w:t>
      </w:r>
      <w:r>
        <w:rPr>
          <w:vertAlign w:val="subscript"/>
        </w:rPr>
        <w:t>3</w:t>
      </w:r>
      <w:r>
        <w:t>RR 性能，实现 2.28 mmol h 的高氨产量</w:t>
      </w:r>
      <w:r>
        <w:t xml:space="preserve"> </w:t>
      </w:r>
      <w:r>
        <w:t>−1</w:t>
      </w:r>
      <w:r>
        <w:t xml:space="preserve"> </w:t>
      </w:r>
      <w:r>
        <w:t>厘米</w:t>
      </w:r>
      <w:r>
        <w:t xml:space="preserve"> </w:t>
      </w:r>
      <w:r>
        <w:t>−2</w:t>
      </w:r>
      <w:r>
        <w:t xml:space="preserve"> </w:t>
      </w:r>
      <w:r>
        <w:t>法拉第效率高达 96.1%，超过了大多数报道的电动汽车</w:t>
      </w:r>
    </w:p>
    <w:p>
      <w:pPr>
        <w:spacing w:before="0" w:after="200" w:lineRule="auto" w:line="276"/>
      </w:pPr>
      <w:r>
        <w:rPr>
          <w:b/>
        </w:rPr>
        <w:t xml:space="preserve">Abstract (EN): </w:t>
      </w:r>
      <w:r>
        <w:t>The co‐electrolysis system that couples anodic oxidation of biomass‐derived polyols with cathodic nitrate reduction reaction (NO</w:t>
      </w:r>
      <w:r>
        <w:rPr>
          <w:vertAlign w:val="subscript"/>
        </w:rPr>
        <w:t>3</w:t>
      </w:r>
      <w:r>
        <w:t>RR) represents a promising strategy for biomass valorization and treatment of high‐salinity wastewater. Here, we synthesize thin NiV‐layered double hydroxides (NiV‐LDHs) microspheres featuring engineered Ni‐O‐V bridge structures as dual‐channel electrocatalysts. The newly constructed Ni‐O‐V bridges confirmed by x‐ray absorption spectroscopy effectively modulate the electronic structures of both Ni and V sites. This synergistic enhancement boosts the performance of both anodic 1,5‐pentanediol electrooxidation to produce glutaric acid (GA) and NO</w:t>
      </w:r>
      <w:r>
        <w:rPr>
          <w:vertAlign w:val="subscript"/>
        </w:rPr>
        <w:t>3</w:t>
      </w:r>
      <w:r>
        <w:t>RR to ammonia. The NiV‐LDHs anode enables electrolysis at a low cell voltage of 1.5 V versus RHE, exhibiting a GA Faradaic efficiency of 98.5% and a high GA yield of 2.56 mmol h</w:t>
      </w:r>
      <w:r>
        <w:t xml:space="preserve"> </w:t>
      </w:r>
      <w:r>
        <w:t>−1</w:t>
      </w:r>
      <w:r>
        <w:t xml:space="preserve"> </w:t>
      </w:r>
      <w:r>
        <w:t>cm</w:t>
      </w:r>
      <w:r>
        <w:t xml:space="preserve"> </w:t>
      </w:r>
      <w:r>
        <w:t>−2</w:t>
      </w:r>
      <w:r>
        <w:t xml:space="preserve"> </w:t>
      </w:r>
      <w:r>
        <w:t>. Operando studies and density functional theory reveal that the strong electronic coupling within NiV‐LDHs optimizes the competitive adsorption between 1,5‐pentanediol and OH* on the catalyst surface. Moreover, the NiV‐LDHs cathode exhibits outstanding NO</w:t>
      </w:r>
      <w:r>
        <w:rPr>
          <w:vertAlign w:val="subscript"/>
        </w:rPr>
        <w:t>3</w:t>
      </w:r>
      <w:r>
        <w:t>RR performance, achieving a high ammonia yield of 2.28 mmol h</w:t>
      </w:r>
      <w:r>
        <w:t xml:space="preserve"> </w:t>
      </w:r>
      <w:r>
        <w:t>−1</w:t>
      </w:r>
      <w:r>
        <w:t xml:space="preserve"> </w:t>
      </w:r>
      <w:r>
        <w:t>cm</w:t>
      </w:r>
      <w:r>
        <w:t xml:space="preserve"> </w:t>
      </w:r>
      <w:r>
        <w:t>−2</w:t>
      </w:r>
      <w:r>
        <w:t xml:space="preserve"> </w:t>
      </w:r>
      <w:r>
        <w:t>with a Faradaic efficiency of 96.1%, surpassing most reported electrocatalysts. A continuous paired electrolysis operation over 240 h successfully produced GA (55.98 g) and NH</w:t>
      </w:r>
      <w:r>
        <w:rPr>
          <w:vertAlign w:val="subscript"/>
        </w:rPr>
        <w:t>4</w:t>
      </w:r>
      <w:r>
        <w:t>Cl (23.48 g) powders, demonstrating great potential for industrial application.</w:t>
      </w:r>
    </w:p>
    <w:p>
      <w:pPr>
        <w:spacing w:before="120" w:after="120"/>
      </w:pPr>
      <w:r>
        <w:rPr>
          <w:sz w:val="18"/>
        </w:rPr>
        <w:t>——————————————————————————————————————————————————————————————————————</w:t>
      </w:r>
    </w:p>
    <w:p>
      <w:pPr>
        <w:spacing w:before="160" w:after="40" w:line="240" w:lineRule="auto"/>
      </w:pPr>
      <w:r>
        <w:rPr>
          <w:b/>
        </w:rPr>
        <w:t xml:space="preserve">[17] </w:t>
      </w:r>
      <w:hyperlink r:id="rId217">
        <w:r>
          <w:rPr>
            <w:color w:val="1155CC"/>
            <w:u w:val="single"/>
          </w:rPr>
          <w:t>利用分子级界面接触对有机异质结进行多尺度活性位点调节，实现高效光催化析氢</w:t>
        </w:r>
      </w:hyperlink>
    </w:p>
    <w:p>
      <w:pPr>
        <w:spacing w:before="0" w:after="80"/>
      </w:pPr>
      <w:r>
        <w:rPr>
          <w:i/>
          <w:sz w:val="20"/>
        </w:rPr>
        <w:t>EN: Multiscale Active Site Modulation in Organic Heterojunction with Molecular‐Level Interfacial Contact for Efficient Photocatalytic Hydrogen Evolution</w:t>
      </w:r>
    </w:p>
    <w:p>
      <w:pPr>
        <w:spacing w:before="0" w:after="120"/>
      </w:pPr>
      <w:r>
        <w:rPr>
          <w:b/>
        </w:rPr>
        <w:t xml:space="preserve">Source: </w:t>
      </w:r>
      <w:r>
        <w:t>Wiley: Advanced Energy Materials: Table of Contents</w:t>
      </w:r>
      <w:r>
        <w:t xml:space="preserve">    </w:t>
      </w:r>
      <w:r>
        <w:rPr>
          <w:b/>
        </w:rPr>
        <w:t xml:space="preserve">Pub date: </w:t>
      </w:r>
      <w:r>
        <w:t>2026-06-09 04:12:07+00:00</w:t>
      </w:r>
      <w:r>
        <w:t xml:space="preserve">    </w:t>
      </w:r>
      <w:r>
        <w:rPr>
          <w:b/>
        </w:rPr>
        <w:t xml:space="preserve">DOI: </w:t>
      </w:r>
      <w:hyperlink r:id="rId218">
        <w:r>
          <w:rPr>
            <w:color w:val="1155CC"/>
            <w:u w:val="single"/>
          </w:rPr>
          <w:t>10.1002/aenm.71172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有机光催化剂促进的太阳能水分解产氢的绿色氢生产的商业化受到低效的电荷分离和缓慢的界面动力学的限制。在此，该问题通过冰模板辅助光化学还原策略得到解决，该策略将三叶形供体-受体分子（DTAB）和超薄氮化碳纳米片（UCNS）之间的分子级界面接触与铜单原子（SA）锚定和铂纳米点（ND）沉积相结合。由此产生的 DTAB-UCNS/CuPt 光催化剂中的紧密界面产生内置电场，促进光生载流子的分离。 DTAB 收集可见光并将电子注入 UCNS，这些电子随后通过 Cu SA 输送到 Pt ND。 Cu SA 和 Pt ND 之间的电子耦合影响 Pt 的位置</w:t>
      </w:r>
      <w:r>
        <w:t xml:space="preserve"> </w:t>
      </w:r>
      <w:r>
        <w:t>d</w:t>
      </w:r>
      <w:r>
        <w:t xml:space="preserve"> </w:t>
      </w:r>
      <w:r>
        <w:t>‐带，从而优化 H* 吸附/解吸平衡并增强表面反应动力学。 DTAB-UCNS/CuPt (261.16 mmol g</w:t>
      </w:r>
      <w:r>
        <w:t xml:space="preserve"> </w:t>
      </w:r>
      <w:r>
        <w:t>−1</w:t>
      </w:r>
      <w:r>
        <w:t xml:space="preserve"> </w:t>
      </w:r>
      <w:r>
        <w:t>小时</w:t>
      </w:r>
      <w:r>
        <w:t xml:space="preserve"> </w:t>
      </w:r>
      <w:r>
        <w:t>−1</w:t>
      </w:r>
      <w:r>
        <w:t xml:space="preserve"> </w:t>
      </w:r>
      <w:r>
        <w:t>）比UCNS/Pt（1.05 mmol g</w:t>
      </w:r>
      <w:r>
        <w:t xml:space="preserve"> </w:t>
      </w:r>
      <w:r>
        <w:t>−1</w:t>
      </w:r>
      <w:r>
        <w:t xml:space="preserve"> </w:t>
      </w:r>
      <w:r>
        <w:t>小时</w:t>
      </w:r>
      <w:r>
        <w:t xml:space="preserve"> </w:t>
      </w:r>
      <w:r>
        <w:t>−1</w:t>
      </w:r>
      <w:r>
        <w:t xml:space="preserve"> </w:t>
      </w:r>
      <w:r>
        <w:t>）并在可比条件下跻身氮化碳基光催化剂报道最高的行列，突显了我们的战略在推进光催化析氢方面的巨大潜力</w:t>
      </w:r>
    </w:p>
    <w:p>
      <w:pPr>
        <w:spacing w:before="0" w:after="200" w:lineRule="auto" w:line="276"/>
      </w:pPr>
      <w:r>
        <w:rPr>
          <w:b/>
        </w:rPr>
        <w:t xml:space="preserve">Abstract (EN): </w:t>
      </w:r>
      <w:r>
        <w:t>The commercialization of green hydrogen production through organic photocatalyst‐promoted solar water splitting for hydrogen evolution is limited by inefficient charge separation and sluggish interfacial kinetics. Herein, this problem is addressed using an ice template–assisted photochemical reduction strategy that integrates molecular‐level interfacial contact between a trefoil‐shaped donor–acceptor molecule (DTAB) and ultrathin carbon nitride nanosheets (UCNS) with Cu single atoms (SAs) anchoring and Pt nanodots (NDs) deposition. The intimate interface in the resulting DTAB–UCNS/CuPt photocatalyst generates a built‐in electric field promoting the separation of photogenerated carriers. The DTAB harvests visible light and injects electrons into UCNS, with these electrons subsequently funneled to Pt NDs via Cu SAs. The electronic coupling between Cu SAs and Pt NDs affects the position of the Pt</w:t>
      </w:r>
      <w:r>
        <w:t xml:space="preserve"> </w:t>
      </w:r>
      <w:r>
        <w:t>d</w:t>
      </w:r>
      <w:r>
        <w:t xml:space="preserve"> </w:t>
      </w:r>
      <w:r>
        <w:t>‐band, thus optimizing the H* adsorption/desorption equilibrium and enhancing surface reaction kinetics. The hydrogen evolution rate of DTAB–UCNS/CuPt (261.16 mmol g</w:t>
      </w:r>
      <w:r>
        <w:t xml:space="preserve"> </w:t>
      </w:r>
      <w:r>
        <w:t>−1</w:t>
      </w:r>
      <w:r>
        <w:t xml:space="preserve"> </w:t>
      </w:r>
      <w:r>
        <w:t>h</w:t>
      </w:r>
      <w:r>
        <w:t xml:space="preserve"> </w:t>
      </w:r>
      <w:r>
        <w:t>−1</w:t>
      </w:r>
      <w:r>
        <w:t xml:space="preserve"> </w:t>
      </w:r>
      <w:r>
        <w:t>) is 248.7 times higher than that of UCNS/Pt (1.05 mmol g</w:t>
      </w:r>
      <w:r>
        <w:t xml:space="preserve"> </w:t>
      </w:r>
      <w:r>
        <w:t>−1</w:t>
      </w:r>
      <w:r>
        <w:t xml:space="preserve"> </w:t>
      </w:r>
      <w:r>
        <w:t>h</w:t>
      </w:r>
      <w:r>
        <w:t xml:space="preserve"> </w:t>
      </w:r>
      <w:r>
        <w:t>−1</w:t>
      </w:r>
      <w:r>
        <w:t xml:space="preserve"> </w:t>
      </w:r>
      <w:r>
        <w:t>) and ranks among the highest reported for carbon nitride–based photocatalysts under comparable conditions, highlighting the strong potential of our strategy to advance photocatalytic hydrogen evolution toward practical green hydrogen production.</w:t>
      </w:r>
    </w:p>
    <w:p>
      <w:pPr>
        <w:spacing w:before="120" w:after="120"/>
      </w:pPr>
      <w:r>
        <w:rPr>
          <w:sz w:val="18"/>
        </w:rPr>
        <w:t>——————————————————————————————————————————————————————————————————————</w:t>
      </w:r>
    </w:p>
    <w:p>
      <w:pPr>
        <w:spacing w:before="160" w:after="40" w:line="240" w:lineRule="auto"/>
      </w:pPr>
      <w:r>
        <w:rPr>
          <w:b/>
        </w:rPr>
        <w:t xml:space="preserve">[18] </w:t>
      </w:r>
      <w:hyperlink r:id="rId219">
        <w:r>
          <w:rPr>
            <w:color w:val="1155CC"/>
            <w:u w:val="single"/>
          </w:rPr>
          <w:t>气相金属簇的反应性：解锁小分子的活化和转化机制</w:t>
        </w:r>
      </w:hyperlink>
    </w:p>
    <w:p>
      <w:pPr>
        <w:spacing w:before="0" w:after="80"/>
      </w:pPr>
      <w:r>
        <w:rPr>
          <w:i/>
          <w:sz w:val="20"/>
        </w:rPr>
        <w:t>EN: Reactivity of Gas‐Phase Metal Clusters: Unlocking Mechanisms of Activation and Conversion of Small Molecules</w:t>
      </w:r>
    </w:p>
    <w:p>
      <w:pPr>
        <w:spacing w:before="0" w:after="120"/>
      </w:pPr>
      <w:r>
        <w:rPr>
          <w:b/>
        </w:rPr>
        <w:t xml:space="preserve">Source: </w:t>
      </w:r>
      <w:r>
        <w:t>Wiley: Advanced Materials: Table of Contents</w:t>
      </w:r>
      <w:r>
        <w:t xml:space="preserve">    </w:t>
      </w:r>
      <w:r>
        <w:rPr>
          <w:b/>
        </w:rPr>
        <w:t xml:space="preserve">Pub date: </w:t>
      </w:r>
      <w:r>
        <w:t>2026-06-09 08:20:37+00:00</w:t>
      </w:r>
      <w:r>
        <w:t xml:space="preserve">    </w:t>
      </w:r>
      <w:r>
        <w:rPr>
          <w:b/>
        </w:rPr>
        <w:t xml:space="preserve">DOI: </w:t>
      </w:r>
      <w:hyperlink r:id="rId220">
        <w:r>
          <w:rPr>
            <w:color w:val="1155CC"/>
            <w:u w:val="single"/>
          </w:rPr>
          <w:t>10.1002/adma.73550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非常稳定且丰富的可用分子的激活和转化，例如甲烷 (CH</w:t>
      </w:r>
      <w:r>
        <w:rPr>
          <w:vertAlign w:val="subscript"/>
        </w:rPr>
        <w:t>4</w:t>
      </w:r>
      <w:r>
        <w:t>）、氮气（N</w:t>
      </w:r>
      <w:r>
        <w:rPr>
          <w:vertAlign w:val="subscript"/>
        </w:rPr>
        <w:t>2</w:t>
      </w:r>
      <w:r>
        <w:t>）、二氧化碳（CO</w:t>
      </w:r>
      <w:r>
        <w:rPr>
          <w:vertAlign w:val="subscript"/>
        </w:rPr>
        <w:t>2</w:t>
      </w:r>
      <w:r>
        <w:t>）等在温和条件下转化为增值产品是能源和环境化学中的一个关键问题。在隔离和无干扰的环境中进行的气相簇反应性研究可以为分子水平上惰性化学键的活化和转化提供基本见解，从而为高效催化剂的合理设计提供信息。本文综述了近五年来CH活化与转化方面的研究进展</w:t>
      </w:r>
      <w:r>
        <w:rPr>
          <w:vertAlign w:val="subscript"/>
        </w:rPr>
        <w:t>4</w:t>
      </w:r>
      <w:r>
        <w:t>,N</w:t>
      </w:r>
      <w:r>
        <w:rPr>
          <w:vertAlign w:val="subscript"/>
        </w:rPr>
        <w:t>2</w:t>
      </w:r>
      <w:r>
        <w:t>,一氧化碳</w:t>
      </w:r>
      <w:r>
        <w:t xml:space="preserve"> </w:t>
      </w:r>
      <w:r>
        <w:t>x</w:t>
      </w:r>
      <w:r>
        <w:t xml:space="preserve"> </w:t>
      </w:r>
      <w:r>
        <w:t>（</w:t>
      </w:r>
      <w:r>
        <w:t xml:space="preserve"> </w:t>
      </w:r>
      <w:r>
        <w:t>x</w:t>
      </w:r>
      <w:r>
        <w:t xml:space="preserve"> </w:t>
      </w:r>
      <w:r>
        <w:t>= 1和2），以及通过传统实验/理论方法和基于人工智能的新兴技术研究的气相金属簇介导的其他分子。介绍了涵盖基本反应和催化反应以及控制金属簇反应性的新电子和几何因素的新颖反应途径。为金属簇的定量结构-活性关系构建的机器学习模型，可以快速可靠地预测金属簇的反应性</w:t>
      </w:r>
    </w:p>
    <w:p>
      <w:pPr>
        <w:spacing w:before="0" w:after="200" w:lineRule="auto" w:line="276"/>
      </w:pPr>
      <w:r>
        <w:rPr>
          <w:b/>
        </w:rPr>
        <w:t xml:space="preserve">Abstract (EN): </w:t>
      </w:r>
      <w:r>
        <w:t>Activation and conversion of very stable and abundantly available molecules such as methane (CH</w:t>
      </w:r>
      <w:r>
        <w:rPr>
          <w:vertAlign w:val="subscript"/>
        </w:rPr>
        <w:t>4</w:t>
      </w:r>
      <w:r>
        <w:t>), nitrogen (N</w:t>
      </w:r>
      <w:r>
        <w:rPr>
          <w:vertAlign w:val="subscript"/>
        </w:rPr>
        <w:t>2</w:t>
      </w:r>
      <w:r>
        <w:t>), carbon dioxide (CO</w:t>
      </w:r>
      <w:r>
        <w:rPr>
          <w:vertAlign w:val="subscript"/>
        </w:rPr>
        <w:t>2</w:t>
      </w:r>
      <w:r>
        <w:t>), and so on into value‐added products under mild conditions represents a critical issue in energy and environmental chemistry. Gas‐phase cluster reactivity studies, conducted in isolated and interference‐free environments, can provide fundamental insights into the activation and transformation of inert chemical bonds at a molecular‐level, thereby informing the rational design of efficient catalysts. This perspective article summarizes the research progress over the past five years in the activation and conversion of CH</w:t>
      </w:r>
      <w:r>
        <w:rPr>
          <w:vertAlign w:val="subscript"/>
        </w:rPr>
        <w:t>4</w:t>
      </w:r>
      <w:r>
        <w:t>, N</w:t>
      </w:r>
      <w:r>
        <w:rPr>
          <w:vertAlign w:val="subscript"/>
        </w:rPr>
        <w:t>2</w:t>
      </w:r>
      <w:r>
        <w:t>, CO</w:t>
      </w:r>
      <w:r>
        <w:t xml:space="preserve"> </w:t>
      </w:r>
      <w:r>
        <w:t>x</w:t>
      </w:r>
      <w:r>
        <w:t xml:space="preserve"> </w:t>
      </w:r>
      <w:r>
        <w:t>(</w:t>
      </w:r>
      <w:r>
        <w:t xml:space="preserve"> </w:t>
      </w:r>
      <w:r>
        <w:t>x</w:t>
      </w:r>
      <w:r>
        <w:t xml:space="preserve"> </w:t>
      </w:r>
      <w:r>
        <w:t>= 1 and 2), and other molecules mediated by gas‐phase metal clusters investigated by both the traditional experimental/theoretical methods and the emerging techniques based on artificial intelligence. Novel reaction pathways covering both elementary and catalytic reactions as well as new electronic and geometric factors governing metal cluster reactivity have been introduced. Machine learning models constructed for the quantitative structure‐activity relationship of metal clusters that enable the rapid and reliable reactivity prediction of metal clusters have also been presented. These fruitful results offer fresh perspectives for practical catalytic systems and are helpful to develop advanced catalytic materials for the transformation of CH</w:t>
      </w:r>
      <w:r>
        <w:rPr>
          <w:vertAlign w:val="subscript"/>
        </w:rPr>
        <w:t>4</w:t>
      </w:r>
      <w:r>
        <w:t>, N</w:t>
      </w:r>
      <w:r>
        <w:rPr>
          <w:vertAlign w:val="subscript"/>
        </w:rPr>
        <w:t>2</w:t>
      </w:r>
      <w:r>
        <w:t>, CO</w:t>
      </w:r>
      <w:r>
        <w:t xml:space="preserve"> </w:t>
      </w:r>
      <w:r>
        <w:t>x</w:t>
      </w:r>
      <w:r>
        <w:t xml:space="preserve"> </w:t>
      </w:r>
      <w:r>
        <w:t>, and other molecules under mild conditions.</w:t>
      </w:r>
    </w:p>
    <w:p>
      <w:pPr>
        <w:spacing w:before="120" w:after="120"/>
      </w:pPr>
      <w:r>
        <w:rPr>
          <w:sz w:val="18"/>
        </w:rPr>
        <w:t>——————————————————————————————————————————————————————————————————————</w:t>
      </w:r>
    </w:p>
    <w:p>
      <w:pPr>
        <w:spacing w:before="160" w:after="40" w:line="240" w:lineRule="auto"/>
      </w:pPr>
      <w:r>
        <w:rPr>
          <w:b/>
        </w:rPr>
        <w:t xml:space="preserve">[19] </w:t>
      </w:r>
      <w:hyperlink r:id="rId221">
        <w:r>
          <w:rPr>
            <w:color w:val="1155CC"/>
            <w:u w:val="single"/>
          </w:rPr>
          <w:t>原子分散的 Mn-N-C 负载的有序 Pt3Mn 金属间纳米颗粒作为燃料电池的电催化剂</w:t>
        </w:r>
      </w:hyperlink>
    </w:p>
    <w:p>
      <w:pPr>
        <w:spacing w:before="0" w:after="80"/>
      </w:pPr>
      <w:r>
        <w:rPr>
          <w:i/>
          <w:sz w:val="20"/>
        </w:rPr>
        <w:t>EN: Ordered Pt3Mn Intermetallic Nanoparticles Supported on Atomically Dispersed Mn–N–C as Electrocatalysts for Fuel Cells</w:t>
      </w:r>
    </w:p>
    <w:p>
      <w:pPr>
        <w:spacing w:before="0" w:after="120"/>
      </w:pPr>
      <w:r>
        <w:rPr>
          <w:b/>
        </w:rPr>
        <w:t xml:space="preserve">Source: </w:t>
      </w:r>
      <w:r>
        <w:t>Wiley: Angewandte Chemie International Edition: Table of Contents</w:t>
      </w:r>
      <w:r>
        <w:t xml:space="preserve">    </w:t>
      </w:r>
      <w:r>
        <w:rPr>
          <w:b/>
        </w:rPr>
        <w:t xml:space="preserve">Pub date: </w:t>
      </w:r>
      <w:r>
        <w:t>2026-06-09 11:42:28+00:00</w:t>
      </w:r>
      <w:r>
        <w:t xml:space="preserve">    </w:t>
      </w:r>
      <w:r>
        <w:rPr>
          <w:b/>
        </w:rPr>
        <w:t xml:space="preserve">DOI: </w:t>
      </w:r>
      <w:hyperlink r:id="rId222">
        <w:r>
          <w:rPr>
            <w:color w:val="1155CC"/>
            <w:u w:val="single"/>
          </w:rPr>
          <w:t>10.1002/anie.7818348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具有无序原子结构的传统固溶体合金纳米粒子相比，铂（Pt）基金属间化合物（IMC）由于其长程周期性有序原子排列而被认为是在实际燃料电池应用中非常有前途的电催化剂。然而，合理开发兼具高内在活性和长期耐久性的铂基催化剂仍然是该领域的关键挑战。在这项工作中，通过同时将低电负性的锰（Mn）引入到活性组分和载体中，我们报道了一种有效的氧还原反应（ORR）电催化剂，由L1组成</w:t>
      </w:r>
      <w:r>
        <w:rPr>
          <w:vertAlign w:val="subscript"/>
        </w:rPr>
        <w:t>2</w:t>
      </w:r>
      <w:r>
        <w:t>‐有序 Pt</w:t>
      </w:r>
      <w:r>
        <w:rPr>
          <w:vertAlign w:val="subscript"/>
        </w:rPr>
        <w:t>3</w:t>
      </w:r>
      <w:r>
        <w:t>Mn单原子氮掺杂碳载体上的Mn纳米颗粒（L1</w:t>
      </w:r>
      <w:r>
        <w:rPr>
          <w:vertAlign w:val="subscript"/>
        </w:rPr>
        <w:t>2</w:t>
      </w:r>
      <w:r>
        <w:t>‐Pt</w:t>
      </w:r>
      <w:r>
        <w:rPr>
          <w:vertAlign w:val="subscript"/>
        </w:rPr>
        <w:t>3</w:t>
      </w:r>
      <w:r>
        <w:t>Mn@Mn-N-C）。 Mn的掺入、载体的分级多孔结构产生的强锚定效应以及L1之间的定向界面电子转移</w:t>
      </w:r>
      <w:r>
        <w:rPr>
          <w:vertAlign w:val="subscript"/>
        </w:rPr>
        <w:t>2</w:t>
      </w:r>
      <w:r>
        <w:t>‐Pt</w:t>
      </w:r>
      <w:r>
        <w:rPr>
          <w:vertAlign w:val="subscript"/>
        </w:rPr>
        <w:t>3</w:t>
      </w:r>
      <w:r>
        <w:t>Mn 和 Mn-N-C 协同减轻关键氧中间体的吸附强度并抑制表面 Pt 位点的溶解。卓越的催化性能和耐用性在质子交换膜燃料电池 (PEMFC) 中得到验证，峰值功率密度达到 1.15 W cm</w:t>
      </w:r>
    </w:p>
    <w:p>
      <w:pPr>
        <w:spacing w:before="0" w:after="200" w:lineRule="auto" w:line="276"/>
      </w:pPr>
      <w:r>
        <w:rPr>
          <w:b/>
        </w:rPr>
        <w:t xml:space="preserve">Abstract (EN): </w:t>
      </w:r>
      <w:r>
        <w:t>Compared with conventional solid‐solution alloy nanoparticles with disordered atomic structures, platinum (Pt)‐based intermetallic compounds (IMCs) are recognized as highly promising electrocatalysts for practical fuel cell applications, on account of their long‐range periodically ordered atomic arrangements. Nevertheless, the rational development of Pt‐based catalysts featuring both high intrinsic activity and long‐term durability remains a key challenge in this field. In this work, by simultaneously introducing manganese (Mn) with low‐electronegativity into both the active component and the support, we report an efficient electrocatalyst toward the oxygen reduction reaction (ORR), composed of L1</w:t>
      </w:r>
      <w:r>
        <w:rPr>
          <w:vertAlign w:val="subscript"/>
        </w:rPr>
        <w:t>2</w:t>
      </w:r>
      <w:r>
        <w:t>‐ordered Pt</w:t>
      </w:r>
      <w:r>
        <w:rPr>
          <w:vertAlign w:val="subscript"/>
        </w:rPr>
        <w:t>3</w:t>
      </w:r>
      <w:r>
        <w:t>Mn nanoparticles on Mn single‐atom nitrogen‐doped carbon support (L1</w:t>
      </w:r>
      <w:r>
        <w:rPr>
          <w:vertAlign w:val="subscript"/>
        </w:rPr>
        <w:t>2</w:t>
      </w:r>
      <w:r>
        <w:t>‐Pt</w:t>
      </w:r>
      <w:r>
        <w:rPr>
          <w:vertAlign w:val="subscript"/>
        </w:rPr>
        <w:t>3</w:t>
      </w:r>
      <w:r>
        <w:t>Mn@Mn–N–C). The incorporation of Mn, the strong anchoring effect arising from the hierarchically porous structure of the support, and the directional interfacial electron transfer between L1</w:t>
      </w:r>
      <w:r>
        <w:rPr>
          <w:vertAlign w:val="subscript"/>
        </w:rPr>
        <w:t>2</w:t>
      </w:r>
      <w:r>
        <w:t>‐Pt</w:t>
      </w:r>
      <w:r>
        <w:rPr>
          <w:vertAlign w:val="subscript"/>
        </w:rPr>
        <w:t>3</w:t>
      </w:r>
      <w:r>
        <w:t>Mn and Mn–N–C synergistically mitigate the adsorption strength of key oxygen intermediates and suppress the dissolution of surface Pt sites. Superior catalytic performance and durability are validated in proton exchange membrane fuel cells (PEMFCs), achieving a peak power density of 1.15 W cm</w:t>
      </w:r>
      <w:r>
        <w:t xml:space="preserve"> </w:t>
      </w:r>
      <w:r>
        <w:t>−2</w:t>
      </w:r>
      <w:r>
        <w:t xml:space="preserve"> </w:t>
      </w:r>
      <w:r>
        <w:t>under H</w:t>
      </w:r>
      <w:r>
        <w:rPr>
          <w:vertAlign w:val="subscript"/>
        </w:rPr>
        <w:t>2</w:t>
      </w:r>
      <w:r>
        <w:t>/air conditions. After 30 000 square‐wave cycles, the voltage loss at 0.8 A cm</w:t>
      </w:r>
      <w:r>
        <w:t xml:space="preserve"> </w:t>
      </w:r>
      <w:r>
        <w:t>−2</w:t>
      </w:r>
      <w:r>
        <w:t xml:space="preserve"> </w:t>
      </w:r>
      <w:r>
        <w:t>is only 19 mV, ranking it among the top‐performing Pt‐based cathode catalysts reported to date.</w:t>
      </w:r>
    </w:p>
    <w:p>
      <w:pPr>
        <w:spacing w:before="120" w:after="120"/>
      </w:pPr>
      <w:r>
        <w:rPr>
          <w:sz w:val="18"/>
        </w:rPr>
        <w:t>——————————————————————————————————————————————————————————————————————</w:t>
      </w:r>
    </w:p>
    <w:p>
      <w:pPr>
        <w:spacing w:before="160" w:after="40" w:line="240" w:lineRule="auto"/>
      </w:pPr>
      <w:r>
        <w:rPr>
          <w:b/>
        </w:rPr>
        <w:t xml:space="preserve">[20] </w:t>
      </w:r>
      <w:hyperlink r:id="rId223">
        <w:r>
          <w:rPr>
            <w:color w:val="1155CC"/>
            <w:u w:val="single"/>
          </w:rPr>
          <w:t>Ir─Mo原子对位点配位工程打破酸性析氧尺度限制</w:t>
        </w:r>
      </w:hyperlink>
    </w:p>
    <w:p>
      <w:pPr>
        <w:spacing w:before="0" w:after="80"/>
      </w:pPr>
      <w:r>
        <w:rPr>
          <w:i/>
          <w:sz w:val="20"/>
        </w:rPr>
        <w:t>EN: Coordination Engineering of Ir─Mo Atomic Pair Sites to Break Scaling Limitations for Acidic Oxygen Evolution</w:t>
      </w:r>
    </w:p>
    <w:p>
      <w:pPr>
        <w:spacing w:before="0" w:after="120"/>
      </w:pPr>
      <w:r>
        <w:rPr>
          <w:b/>
        </w:rPr>
        <w:t xml:space="preserve">Source: </w:t>
      </w:r>
      <w:r>
        <w:t>Wiley: Angewandte Chemie International Edition: Table of Contents</w:t>
      </w:r>
      <w:r>
        <w:t xml:space="preserve">    </w:t>
      </w:r>
      <w:r>
        <w:rPr>
          <w:b/>
        </w:rPr>
        <w:t xml:space="preserve">Pub date: </w:t>
      </w:r>
      <w:r>
        <w:t>2026-06-09 11:46:34+00:00</w:t>
      </w:r>
      <w:r>
        <w:t xml:space="preserve">    </w:t>
      </w:r>
      <w:r>
        <w:rPr>
          <w:b/>
        </w:rPr>
        <w:t xml:space="preserve">DOI: </w:t>
      </w:r>
      <w:hyperlink r:id="rId224">
        <w:r>
          <w:rPr>
            <w:color w:val="1155CC"/>
            <w:u w:val="single"/>
          </w:rPr>
          <w:t>10.1002/anie.3665828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单原子催化剂（SAC）的配位工程是解决酸性析氧反应（OER）中耐久性和活性挑战的有力策略。在这里，我们在 MoO 上获得了两种不同的 Ir 单原子构型</w:t>
      </w:r>
      <w:r>
        <w:rPr>
          <w:vertAlign w:val="subscript"/>
        </w:rPr>
        <w:t>3</w:t>
      </w:r>
      <w:r>
        <w:t>通过调节第二壳协调环境来提供支持。与弱相互作用的Ir─O─Mo结构相比，通过直接Ir─Mo配位形成的原子对位点与载体表现出强电子耦合，从而增强了原子分散性和结构稳定性。原位实验和理论研究表明，Ir─Mo对位点触发了一条新的氧化物介导的途径，其中从Mo位点到Ir位点的动态羟基溢出有效地促进了*OOH的形成。该过程打破了 *OH 和 *OOH 吸附之间的线性比例关系，降低了限速步骤的能垒，并实现了优异的 OER 动力学。结果，红外</w:t>
      </w:r>
      <w:r>
        <w:t xml:space="preserve"> </w:t>
      </w:r>
      <w:r>
        <w:t>氧+钼</w:t>
      </w:r>
      <w:r>
        <w:t xml:space="preserve"> </w:t>
      </w:r>
      <w:r>
        <w:t>/MoO</w:t>
      </w:r>
      <w:r>
        <w:rPr>
          <w:vertAlign w:val="subscript"/>
        </w:rPr>
        <w:t>3</w:t>
      </w:r>
      <w:r>
        <w:t>催化剂在 10 mA cm 电流下可保持超过 1500 小时的出色稳定性</w:t>
      </w:r>
      <w:r>
        <w:t xml:space="preserve"> </w:t>
      </w:r>
      <w:r>
        <w:t>−2</w:t>
      </w:r>
      <w:r>
        <w:t xml:space="preserve"> </w:t>
      </w:r>
      <w:r>
        <w:t>在酸性电解液中，在 1.0 A cm 电流下可连续运行 300 小时</w:t>
      </w:r>
      <w:r>
        <w:t xml:space="preserve"> </w:t>
      </w:r>
      <w:r>
        <w:t>−2</w:t>
      </w:r>
      <w:r>
        <w:t xml:space="preserve"> </w:t>
      </w:r>
      <w:r>
        <w:t>在质子交换膜水电解槽中。这项工作为 SAC 的协调工程提供了新颖的见解，并为克服酸性 OER 催化中的结垢限制开辟了一条有前途的途径。</w:t>
      </w:r>
    </w:p>
    <w:p>
      <w:pPr>
        <w:spacing w:before="0" w:after="200" w:lineRule="auto" w:line="276"/>
      </w:pPr>
      <w:r>
        <w:rPr>
          <w:b/>
        </w:rPr>
        <w:t xml:space="preserve">Abstract (EN): </w:t>
      </w:r>
      <w:r>
        <w:t>Coordination engineering of single‐atom catalysts (SACs) is a powerful strategy to address durability and activity challenges in the acidic oxygen evolution reaction (OER). Here, we obtain two distinct Ir single‐atom configurations on MoO</w:t>
      </w:r>
      <w:r>
        <w:rPr>
          <w:vertAlign w:val="subscript"/>
        </w:rPr>
        <w:t>3</w:t>
      </w:r>
      <w:r>
        <w:t>support by regulating the second‐shell coordination environment. Compared with the weakly interacting Ir─O─Mo structure, atomic pair sites formed through direct Ir─Mo coordination exhibit strong electronic coupling with the support, thereby enhancing atomic dispersion and structural stability. In situ experimental and theoretical studies reveal that the Ir─Mo pair sites trigger a new oxide‐mediated pathway, in which dynamic hydroxyl spillover from Mo to Ir site effectively facilitates *OOH formation. This process breaks the linear scaling relationship between *OH and *OOH adsorption, lowering the energy barrier of the rate‐limiting step and enabling superior OER kinetics. As a result, the Ir</w:t>
      </w:r>
      <w:r>
        <w:t xml:space="preserve"> </w:t>
      </w:r>
      <w:r>
        <w:t>O+Mo</w:t>
      </w:r>
      <w:r>
        <w:t xml:space="preserve"> </w:t>
      </w:r>
      <w:r>
        <w:t>/MoO</w:t>
      </w:r>
      <w:r>
        <w:rPr>
          <w:vertAlign w:val="subscript"/>
        </w:rPr>
        <w:t>3</w:t>
      </w:r>
      <w:r>
        <w:t>catalyst achieves outstanding stability for over 1500 h at 10 mA cm</w:t>
      </w:r>
      <w:r>
        <w:t xml:space="preserve"> </w:t>
      </w:r>
      <w:r>
        <w:t>−2</w:t>
      </w:r>
      <w:r>
        <w:t xml:space="preserve"> </w:t>
      </w:r>
      <w:r>
        <w:t>in acidic electrolyte and sustains continuous operation for 300 h at 1.0 A cm</w:t>
      </w:r>
      <w:r>
        <w:t xml:space="preserve"> </w:t>
      </w:r>
      <w:r>
        <w:t>−2</w:t>
      </w:r>
      <w:r>
        <w:t xml:space="preserve"> </w:t>
      </w:r>
      <w:r>
        <w:t>in the proton exchange membrane water electrolyzer. This work provides novel insights into the coordination engineering of SACs and opens a promising avenue for overcoming scaling limitations in acidic OER catalysis.</w:t>
      </w:r>
    </w:p>
    <w:p>
      <w:pPr>
        <w:spacing w:before="120" w:after="120"/>
      </w:pPr>
      <w:r>
        <w:rPr>
          <w:sz w:val="18"/>
        </w:rPr>
        <w:t>——————————————————————————————————————————————————————————————————————</w:t>
      </w:r>
    </w:p>
    <w:p>
      <w:pPr>
        <w:spacing w:before="160" w:after="40" w:line="240" w:lineRule="auto"/>
      </w:pPr>
      <w:r>
        <w:rPr>
          <w:b/>
        </w:rPr>
        <w:t xml:space="preserve">[21] </w:t>
      </w:r>
      <w:hyperlink r:id="rId225">
        <w:r>
          <w:rPr>
            <w:color w:val="1155CC"/>
            <w:u w:val="single"/>
          </w:rPr>
          <w:t>高温质子交换膜燃料电池的多尺度阴极设计</w:t>
        </w:r>
      </w:hyperlink>
    </w:p>
    <w:p>
      <w:pPr>
        <w:spacing w:before="0" w:after="80"/>
      </w:pPr>
      <w:r>
        <w:rPr>
          <w:i/>
          <w:sz w:val="20"/>
        </w:rPr>
        <w:t>EN: Multiscale cathode design for high-temperature proton exchange membrane fuel cells</w:t>
      </w:r>
    </w:p>
    <w:p>
      <w:pPr>
        <w:spacing w:before="0" w:after="120"/>
      </w:pPr>
      <w:r>
        <w:rPr>
          <w:b/>
        </w:rPr>
        <w:t xml:space="preserve">Source: </w:t>
      </w:r>
      <w:r>
        <w:t>RSC - Chem. Soc. Rev. latest articles</w:t>
      </w:r>
      <w:r>
        <w:t xml:space="preserve">    </w:t>
      </w:r>
      <w:r>
        <w:rPr>
          <w:b/>
        </w:rPr>
        <w:t xml:space="preserve">Pub date: </w:t>
      </w:r>
      <w:r>
        <w:t>2026-06-09 23:00:00+00:00</w:t>
      </w:r>
    </w:p>
    <w:p>
      <w:pPr>
        <w:spacing w:before="0" w:after="120"/>
      </w:pPr>
      <w:r>
        <w:rPr>
          <w:b/>
        </w:rPr>
        <w:t xml:space="preserve">Notes: </w:t>
      </w:r>
      <w:r>
        <w:t>abstract_source=rsc_html</w:t>
      </w:r>
    </w:p>
    <w:p>
      <w:pPr>
        <w:spacing w:before="0" w:after="80" w:lineRule="auto" w:line="276"/>
      </w:pPr>
      <w:r>
        <w:rPr>
          <w:b/>
        </w:rPr>
        <w:t xml:space="preserve">摘要（ZH）: </w:t>
      </w:r>
      <w:r>
        <w:t>高温质子交换膜燃料电池（HT-PEMFC）是非常有前途的能量转换装置，具有优越的反应动力学、简化的水和热管理系统、对含CO反应气体的耐受性以及与通过工业燃料重整过程生产氢气兼容的优点。然而，由于HT-PEMFC使用的主要质子交换膜(PEM)是磷酸(PA)掺杂膜，运行过程中从膜中浸出的PA会降解铂(Pt)基氧还原反应(ORR)催化剂和阴极催化剂层，导致HT-PEMFC性能不足，阻碍了其应用。尽管为了提高 HT-PEMFC 的活性和耐久性进行了广泛的研究，但由于对原子级催化剂、反应界面动力学和催化剂层结构工程的基本了解不完整，距离实际实施仍存在很大差距。为了填补上述研究空白，本文从 HT-PEMFC 的多尺度角度总结了阴极催化剂、催化界面和催化剂层的最新进展。从基本原理开始，首先提供了 PA 引起的催化剂中毒和催化剂层降解的理论见解。随后介绍了 ORR 催化剂和催化界面的创新设计，具有增强的 PA 耐受性和反应动力学。此外，还从实际应用角度讨论了优化阴极催化剂层的方法。</w:t>
      </w:r>
    </w:p>
    <w:p>
      <w:pPr>
        <w:spacing w:before="0" w:after="200" w:lineRule="auto" w:line="276"/>
      </w:pPr>
      <w:r>
        <w:rPr>
          <w:b/>
        </w:rPr>
        <w:t xml:space="preserve">Abstract (EN): </w:t>
      </w:r>
      <w:r>
        <w:t>High temperature proton exchange membrane fuel cells (HT-PEMFCs) are highly promising energy conversion devices featuring the benefits of their superior reaction kinetics, simplified water and thermal management systems, tolerance to CO-containing reactant gases, and being compatible with hydrogen production via industrial fuel reforming processes. However, due to the phosphoric acid (PA)-doped membranes being the primary proton exchange membranes (PEMs) used in HT-PEMFCs, the PA leaching from the membrane during the operation degrades platinum (Pt)-based oxygen reduction reaction (ORR) catalysts and the cathode catalyst layer, causing insufficient performance of HT-PEMFCs, which hinders their application. Although extensive research has been conducted to enhance the activity and durability of HT-PEMFCs, there remains a significant gap toward practical implementation, which stems from incomplete fundamental understanding of atomic-scale catalysts, reaction interfacial kinetics, and catalyst layer structure engineering. To fill the aforementioned research gap, this review summarizes recent developments in cathode catalysts, catalytic interface, and catalyst layers from a multiscale view of HT-PEMFCs. Beginning with the fundamental principles, the theoretical insights into PA-induced catalyst poisoning and catalyst layer degradation are first provided. Innovative design in ORR catalysts and catalytic interfaces with enhanced PA resistance and reaction kinetics is then presented. Additionally, approaches to optimizing the cathode catalyst layer are discussed from a practical application perspective. Finally, an outlook on the remaining challenges and prospects in this field is provided, aiming to facilitate the advancement of HT-PEMFCs.</w:t>
      </w:r>
    </w:p>
    <w:p>
      <w:pPr>
        <w:spacing w:before="120" w:after="120"/>
      </w:pPr>
      <w:r>
        <w:rPr>
          <w:sz w:val="18"/>
        </w:rPr>
        <w:t>——————————————————————————————————————————————————————————————————————</w:t>
      </w:r>
    </w:p>
    <w:p>
      <w:pPr>
        <w:spacing w:before="160" w:after="40" w:line="240" w:lineRule="auto"/>
      </w:pPr>
      <w:r>
        <w:rPr>
          <w:b/>
        </w:rPr>
        <w:t xml:space="preserve">[22] </w:t>
      </w:r>
      <w:hyperlink r:id="rId226">
        <w:r>
          <w:rPr>
            <w:color w:val="1155CC"/>
            <w:u w:val="single"/>
          </w:rPr>
          <w:t>一种在氢电动汽车中进行聚合物电解质膜燃料电池建模并进行车辆级验证的新方法</w:t>
        </w:r>
      </w:hyperlink>
    </w:p>
    <w:p>
      <w:pPr>
        <w:spacing w:before="0" w:after="80"/>
      </w:pPr>
      <w:r>
        <w:rPr>
          <w:i/>
          <w:sz w:val="20"/>
        </w:rPr>
        <w:t>EN: A novel approach to modeling of polymer electrolyte membrane fuel cells with vehicle-level validation in a hydrogen electric vehicle</w:t>
      </w:r>
    </w:p>
    <w:p>
      <w:pPr>
        <w:spacing w:before="0" w:after="120"/>
      </w:pPr>
      <w:r>
        <w:rPr>
          <w:b/>
        </w:rPr>
        <w:t xml:space="preserve">Source: </w:t>
      </w:r>
      <w:r>
        <w:t>ScienceDirect Publication: Applied Energy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227">
        <w:r>
          <w:rPr>
            <w:color w:val="1155CC"/>
            <w:u w:val="single"/>
          </w:rPr>
          <w:t>可再生能源与制氢系统耦合优化策略：基于VSEL框架的综述</w:t>
        </w:r>
      </w:hyperlink>
    </w:p>
    <w:p>
      <w:pPr>
        <w:spacing w:before="0" w:after="80"/>
      </w:pPr>
      <w:r>
        <w:rPr>
          <w:i/>
          <w:sz w:val="20"/>
        </w:rPr>
        <w:t>EN: Coupling optimization strategies for renewable energy and hydrogen production systems: A review based on the VSEL framework</w:t>
      </w:r>
    </w:p>
    <w:p>
      <w:pPr>
        <w:spacing w:before="0" w:after="120"/>
      </w:pPr>
      <w:r>
        <w:rPr>
          <w:b/>
        </w:rPr>
        <w:t xml:space="preserve">Source: </w:t>
      </w:r>
      <w:r>
        <w:t>ScienceDirect Publication: Applied Energy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228">
        <w:r>
          <w:rPr>
            <w:color w:val="1155CC"/>
            <w:u w:val="single"/>
          </w:rPr>
          <w:t>观看催化散步</w:t>
        </w:r>
      </w:hyperlink>
    </w:p>
    <w:p>
      <w:pPr>
        <w:spacing w:before="0" w:after="80"/>
      </w:pPr>
      <w:r>
        <w:rPr>
          <w:i/>
          <w:sz w:val="20"/>
        </w:rPr>
        <w:t>EN: Watching catalysis take a walk</w:t>
      </w:r>
    </w:p>
    <w:p>
      <w:pPr>
        <w:spacing w:before="0" w:after="120"/>
      </w:pPr>
      <w:r>
        <w:rPr>
          <w:b/>
        </w:rPr>
        <w:t xml:space="preserve">Source: </w:t>
      </w:r>
      <w:r>
        <w:t>Nature Energy</w:t>
      </w:r>
      <w:r>
        <w:t xml:space="preserve">    </w:t>
      </w:r>
      <w:r>
        <w:rPr>
          <w:b/>
        </w:rPr>
        <w:t xml:space="preserve">Pub date: </w:t>
      </w:r>
      <w:r>
        <w:t>2026-06-10 00:00:00+00:00</w:t>
      </w:r>
      <w:r>
        <w:t xml:space="preserve">    </w:t>
      </w:r>
      <w:r>
        <w:rPr>
          <w:b/>
        </w:rPr>
        <w:t xml:space="preserve">DOI: </w:t>
      </w:r>
      <w:hyperlink r:id="rId229">
        <w:r>
          <w:rPr>
            <w:color w:val="1155CC"/>
            <w:u w:val="single"/>
          </w:rPr>
          <w:t>10.1038/s41560-026-02089-4</w:t>
        </w:r>
      </w:hyperlink>
    </w:p>
    <w:p>
      <w:pPr>
        <w:spacing w:before="0" w:after="120"/>
      </w:pPr>
      <w:r>
        <w:rPr>
          <w:b/>
        </w:rPr>
        <w:t xml:space="preserve">Notes: </w:t>
      </w:r>
      <w:r>
        <w:t>abstract_source=nature_html</w:t>
      </w:r>
    </w:p>
    <w:p>
      <w:pPr>
        <w:spacing w:before="0" w:after="80" w:lineRule="auto" w:line="276"/>
      </w:pPr>
      <w:r>
        <w:rPr>
          <w:b/>
        </w:rPr>
        <w:t xml:space="preserve">摘要（ZH）: </w:t>
      </w:r>
      <w:r>
        <w:t>电催化表面是动态的，但很少有方法将纳米级电流与大面积的结构联系起来。干涉电光显微镜现在可以以 50 nm 和 10 ms 的分辨率对电化学电流进行成像，揭示 MoS2 上的析氢起始并沿着特定的晶体方向传播。</w:t>
      </w:r>
    </w:p>
    <w:p>
      <w:pPr>
        <w:spacing w:before="0" w:after="200" w:lineRule="auto" w:line="276"/>
      </w:pPr>
      <w:r>
        <w:rPr>
          <w:b/>
        </w:rPr>
        <w:t xml:space="preserve">Abstract (EN): </w:t>
      </w:r>
      <w:r>
        <w:t>Electrocatalytic surfaces are dynamic, but few methods correlate nanometre-scale current with structure across large areas. Interferometric electro-optical microscopy now images electrochemical currents at 50 nm and 10 ms resolution, revealing that hydrogen evolution on MoS2 initiates and propagates along specific crystallographic directions.</w:t>
      </w:r>
    </w:p>
    <w:p>
      <w:pPr>
        <w:spacing w:before="120" w:after="120"/>
      </w:pPr>
      <w:r>
        <w:rPr>
          <w:sz w:val="18"/>
        </w:rPr>
        <w:t>——————————————————————————————————————————————————————————————————————</w:t>
      </w:r>
    </w:p>
    <w:p>
      <w:pPr>
        <w:spacing w:before="160" w:after="40" w:line="240" w:lineRule="auto"/>
      </w:pPr>
      <w:r>
        <w:rPr>
          <w:b/>
        </w:rPr>
        <w:t xml:space="preserve">[25] </w:t>
      </w:r>
      <w:hyperlink r:id="rId230">
        <w:r>
          <w:rPr>
            <w:color w:val="1155CC"/>
            <w:u w:val="single"/>
          </w:rPr>
          <w:t>空间双壳结构通过增强局部碱度实现稳定的阴离子交换膜水电解</w:t>
        </w:r>
      </w:hyperlink>
    </w:p>
    <w:p>
      <w:pPr>
        <w:spacing w:before="0" w:after="80"/>
      </w:pPr>
      <w:r>
        <w:rPr>
          <w:i/>
          <w:sz w:val="20"/>
        </w:rPr>
        <w:t>EN: Spatial double-shelled structure achieving stable anion exchange membrane water electrolysis via enhanced local alkalinity</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231">
        <w:r>
          <w:rPr>
            <w:color w:val="1155CC"/>
            <w:u w:val="single"/>
          </w:rPr>
          <w:t>10.1126/sciadv.aeb8831</w:t>
        </w:r>
      </w:hyperlink>
    </w:p>
    <w:p>
      <w:pPr>
        <w:spacing w:before="0" w:after="120"/>
      </w:pPr>
      <w:r>
        <w:rPr>
          <w:b/>
        </w:rPr>
        <w:t xml:space="preserve">Notes: </w:t>
      </w:r>
      <w:r>
        <w:t>abstract_source=crossref</w:t>
      </w:r>
    </w:p>
    <w:p>
      <w:pPr>
        <w:spacing w:before="0" w:after="80" w:lineRule="auto" w:line="276"/>
      </w:pPr>
      <w:r>
        <w:rPr>
          <w:b/>
        </w:rPr>
        <w:t xml:space="preserve">摘要（ZH）: </w:t>
      </w:r>
      <w:r>
        <w:t>阴离子交换膜水电解（AEMWE）代表了一种有前景的绿色制氢技术。尽管人们付出了大量的努力来通过结构和化学调节来优化阳极催化，但这种策略在增强稳定性方面的有效性仍然有限。在此，我们提出了一种铈诱导的双壳结构形成策略，通过空间配置工程调节电极/电解质界面微环境，有效抑制阳极腐蚀。机理研究表明，相关的纳米空间富集效应增加了表面氢氧根离子（OH</w:t>
      </w:r>
      <w:r>
        <w:t xml:space="preserve"> </w:t>
      </w:r>
      <w:r>
        <w:t>-</w:t>
      </w:r>
      <w:r>
        <w:t>)物种，从而增强材料表面的局部碱度，有效抑制离子浸出。双壳层二氧化铈（CeO</w:t>
      </w:r>
      <w:r>
        <w:rPr>
          <w:vertAlign w:val="subscript"/>
        </w:rPr>
        <w:t>2</w:t>
      </w:r>
      <w:r>
        <w:t>)/钴酸镧 (LaCoO</w:t>
      </w:r>
      <w:r>
        <w:rPr>
          <w:vertAlign w:val="subscript"/>
        </w:rPr>
        <w:t>3</w:t>
      </w:r>
      <w:r>
        <w:t>)-10% 催化剂在 AEMWE 装置中表现出出色的性能，在 1.88 伏电压下实现了 3 安培/平方厘米的工业相关电流密度。此外，该催化剂在模拟工业条件下表现出超过 2000 小时的卓越长期稳定性。我们的研究结果强调了设计物理空间配置来调节界面微环境的重要性，提供了解决阳极催化剂腐蚀降解的策略。</w:t>
      </w:r>
    </w:p>
    <w:p>
      <w:pPr>
        <w:spacing w:before="0" w:after="200" w:lineRule="auto" w:line="276"/>
      </w:pPr>
      <w:r>
        <w:rPr>
          <w:b/>
        </w:rPr>
        <w:t xml:space="preserve">Abstract (EN): </w:t>
      </w:r>
      <w:r>
        <w:t>Anion exchange membrane water electrolysis (AEMWE) represents a promising technology for green hydrogen production. Although numerous efforts have been devoted to optimize the anode catalysis by structural and chemical modulation, the effectiveness of such strategies in enhancing stability remains limited. Herein, we propose a cerium-induced double-shelled structure formation strategy that modulates the electrode/electrolyte interfacial microenvironment through spatial configuration engineering, effectively suppressing anodic corrosion. Mechanistic studies revealed that the associated nanospace enrichment effect increased the coverage of surface hydroxide ion (OH</w:t>
      </w:r>
      <w:r>
        <w:t xml:space="preserve"> </w:t>
      </w:r>
      <w:r>
        <w:t>−</w:t>
      </w:r>
      <w:r>
        <w:t>) species, thereby enhancing the local alkalinity at the material surface and effectively suppressing ion leaching. The double-shelled cerium dioxide (CeO</w:t>
      </w:r>
      <w:r>
        <w:rPr>
          <w:vertAlign w:val="subscript"/>
        </w:rPr>
        <w:t>2</w:t>
      </w:r>
      <w:r>
        <w:t>)/lanthanum cobaltite (LaCoO</w:t>
      </w:r>
      <w:r>
        <w:rPr>
          <w:vertAlign w:val="subscript"/>
        </w:rPr>
        <w:t>3</w:t>
      </w:r>
      <w:r>
        <w:t>)-10% catalyst demonstrated outstanding performance in the AEMWE device, achieving an industrial-relevant current density of 3 amperes per square centimeter at 1.88 volts. Furthermore, the catalyst exhibited exceptional long-term stability exceeding 2000 hours under simulated industrial conditions. Our findings underscore the importance of engineering the physical spatial configuration to regulate the interfacial microenvironment, offering a strategy to address the corrosion degradation of anode catalysts.</w:t>
      </w:r>
    </w:p>
    <w:p>
      <w:pPr>
        <w:spacing w:before="120" w:after="120"/>
      </w:pPr>
      <w:r>
        <w:rPr>
          <w:sz w:val="18"/>
        </w:rPr>
        <w:t>——————————————————————————————————————————————————————————————————————</w:t>
      </w:r>
    </w:p>
    <w:p>
      <w:pPr>
        <w:spacing w:before="160" w:after="40" w:line="240" w:lineRule="auto"/>
      </w:pPr>
      <w:r>
        <w:rPr>
          <w:b/>
        </w:rPr>
        <w:t xml:space="preserve">[26] </w:t>
      </w:r>
      <w:hyperlink r:id="rId232">
        <w:r>
          <w:rPr>
            <w:color w:val="1155CC"/>
            <w:u w:val="single"/>
          </w:rPr>
          <w:t>金属原子和量子点共存用于水电解</w:t>
        </w:r>
      </w:hyperlink>
    </w:p>
    <w:p>
      <w:pPr>
        <w:spacing w:before="0" w:after="80"/>
      </w:pPr>
      <w:r>
        <w:rPr>
          <w:i/>
          <w:sz w:val="20"/>
        </w:rPr>
        <w:t>EN: Metal Atoms and Quantum Dots Coexist for Water Electrolysis</w:t>
      </w:r>
    </w:p>
    <w:p>
      <w:pPr>
        <w:spacing w:before="0" w:after="120"/>
      </w:pPr>
      <w:r>
        <w:rPr>
          <w:b/>
        </w:rPr>
        <w:t xml:space="preserve">Source: </w:t>
      </w:r>
      <w:r>
        <w:t>Wiley: Advanced Materials: Table of Contents</w:t>
      </w:r>
      <w:r>
        <w:t xml:space="preserve">    </w:t>
      </w:r>
      <w:r>
        <w:rPr>
          <w:b/>
        </w:rPr>
        <w:t xml:space="preserve">Pub date: </w:t>
      </w:r>
      <w:r>
        <w:t>2026-06-10 14:25:04+00:00</w:t>
      </w:r>
      <w:r>
        <w:t xml:space="preserve">    </w:t>
      </w:r>
      <w:r>
        <w:rPr>
          <w:b/>
        </w:rPr>
        <w:t xml:space="preserve">DOI: </w:t>
      </w:r>
      <w:hyperlink r:id="rId233">
        <w:r>
          <w:rPr>
            <w:color w:val="1155CC"/>
            <w:u w:val="single"/>
          </w:rPr>
          <w:t>10.1002/adma.73687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如何操纵载体表面来控制金属原子是近年来催化领域出现的前沿研究。然而，具有明确结构和价态的金属原子系统的精确可控合成仍然是一个重大挑战。在此，基于理论预测，我们报告了一种新的 GDY 催化体系，其中金属原子和量子点共存。精确的结构研究确定 Ni 原子和 RuNi</w:t>
      </w:r>
      <w:r>
        <w:t xml:space="preserve"> </w:t>
      </w:r>
      <w:r>
        <w:t>x</w:t>
      </w:r>
      <w:r>
        <w:t xml:space="preserve"> </w:t>
      </w:r>
      <w:r>
        <w:t>量子点（表示为 Ni-RuNi</w:t>
      </w:r>
      <w:r>
        <w:t xml:space="preserve"> </w:t>
      </w:r>
      <w:r>
        <w:t>x</w:t>
      </w:r>
      <w:r>
        <w:t xml:space="preserve"> </w:t>
      </w:r>
      <w:r>
        <w:t>/GDY)分布在GDY表面。 GDY具有作为电子介质来控制Ni原子与Ni原子之间的强相互作用的能力</w:t>
      </w:r>
      <w:r>
        <w:t xml:space="preserve"> </w:t>
      </w:r>
      <w:r>
        <w:t>sp</w:t>
      </w:r>
      <w:r>
        <w:t xml:space="preserve"> </w:t>
      </w:r>
      <w:r>
        <w:t>‐C在长距离内，导致促进与RuNi相邻的Ni原子的水解能力</w:t>
      </w:r>
      <w:r>
        <w:t xml:space="preserve"> </w:t>
      </w:r>
      <w:r>
        <w:t>x</w:t>
      </w:r>
      <w:r>
        <w:t xml:space="preserve"> </w:t>
      </w:r>
      <w:r>
        <w:t>。合成的 Ni-RuNi</w:t>
      </w:r>
      <w:r>
        <w:t xml:space="preserve"> </w:t>
      </w:r>
      <w:r>
        <w:t>x</w:t>
      </w:r>
      <w:r>
        <w:t xml:space="preserve"> </w:t>
      </w:r>
      <w:r>
        <w:t>/GDY催化剂在碱性析氢反应（HER）中表现出惊人的结果，过电势仅为17 mV和116 mV，实现10和1000 mA cm的电流密度</w:t>
      </w:r>
      <w:r>
        <w:t xml:space="preserve"> </w:t>
      </w:r>
      <w:r>
        <w:t>-</w:t>
      </w:r>
      <w:r>
        <w:rPr>
          <w:vertAlign w:val="subscript"/>
        </w:rPr>
        <w:t>2</w:t>
      </w:r>
      <w:r>
        <w:t>，分别。该工作提出了一种制备高效多组分原子催化剂的新方法，以及催化远程控制的新理念，为未来先进催化系统的前沿研究开辟了新途径。</w:t>
      </w:r>
    </w:p>
    <w:p>
      <w:pPr>
        <w:spacing w:before="0" w:after="200" w:lineRule="auto" w:line="276"/>
      </w:pPr>
      <w:r>
        <w:rPr>
          <w:b/>
        </w:rPr>
        <w:t xml:space="preserve">Abstract (EN): </w:t>
      </w:r>
      <w:r>
        <w:t>How to manipulate the surface of the supports to control metal atoms is frontier research that has emerged in recent years in the field of catalysis. However, the precise and controllable synthesis of metal atom systems with well‐defined structure and valence states remains a significant challenge. Herein, based on theoretical predictions, we report a new catalytic system of GDY, where metal atoms and quantum dots coexist. Precise structural studies have determined that Ni atoms and RuNi</w:t>
      </w:r>
      <w:r>
        <w:t xml:space="preserve"> </w:t>
      </w:r>
      <w:r>
        <w:t>x</w:t>
      </w:r>
      <w:r>
        <w:t xml:space="preserve"> </w:t>
      </w:r>
      <w:r>
        <w:t>quantum dots (denoted as Ni–RuNi</w:t>
      </w:r>
      <w:r>
        <w:t xml:space="preserve"> </w:t>
      </w:r>
      <w:r>
        <w:t>x</w:t>
      </w:r>
      <w:r>
        <w:t xml:space="preserve"> </w:t>
      </w:r>
      <w:r>
        <w:t>/GDY) are distributed on GDY surface. GDY has the ability to act as an electronic medium to control the strong interaction between Ni atom and</w:t>
      </w:r>
      <w:r>
        <w:t xml:space="preserve"> </w:t>
      </w:r>
      <w:r>
        <w:t>sp</w:t>
      </w:r>
      <w:r>
        <w:t xml:space="preserve"> </w:t>
      </w:r>
      <w:r>
        <w:t>‐C within a long‐range distance, leading to promote the hydrolysis abilities of Ni atom adjacent to RuNi</w:t>
      </w:r>
      <w:r>
        <w:t xml:space="preserve"> </w:t>
      </w:r>
      <w:r>
        <w:t>x</w:t>
      </w:r>
      <w:r>
        <w:t xml:space="preserve"> </w:t>
      </w:r>
      <w:r>
        <w:t>. The as‐synthesized Ni–RuNi</w:t>
      </w:r>
      <w:r>
        <w:t xml:space="preserve"> </w:t>
      </w:r>
      <w:r>
        <w:t>x</w:t>
      </w:r>
      <w:r>
        <w:t xml:space="preserve"> </w:t>
      </w:r>
      <w:r>
        <w:t>/GDY catalyst exhibits astonishing results in the alkaline hydrogen evolution reaction (HER), with overpotentials of only 17 mV and 116 mV achieving current densities of 10 and 1000 mA cm</w:t>
      </w:r>
      <w:r>
        <w:t xml:space="preserve"> </w:t>
      </w:r>
      <w:r>
        <w:t>−</w:t>
      </w:r>
      <w:r>
        <w:rPr>
          <w:vertAlign w:val="subscript"/>
        </w:rPr>
        <w:t>2</w:t>
      </w:r>
      <w:r>
        <w:t>, respectively. This work presents a new method for creating highly efficient multi‐component atom catalysts, and a new concept for long‐range control of catalysis to open up new routes for the frontier research on developing advanced catalytic systems in the future.</w:t>
      </w:r>
    </w:p>
    <w:p>
      <w:pPr>
        <w:spacing w:before="120" w:after="120"/>
      </w:pPr>
      <w:r>
        <w:rPr>
          <w:sz w:val="18"/>
        </w:rPr>
        <w:t>——————————————————————————————————————————————————————————————————————</w:t>
      </w:r>
    </w:p>
    <w:p>
      <w:pPr>
        <w:spacing w:before="160" w:after="40" w:line="240" w:lineRule="auto"/>
      </w:pPr>
      <w:r>
        <w:rPr>
          <w:b/>
        </w:rPr>
        <w:t xml:space="preserve">[27] </w:t>
      </w:r>
      <w:hyperlink r:id="rId234">
        <w:r>
          <w:rPr>
            <w:color w:val="1155CC"/>
            <w:u w:val="single"/>
          </w:rPr>
          <w:t>电荷极化界面工程实现对苯醌 1000 小时电合成的激进管理</w:t>
        </w:r>
      </w:hyperlink>
    </w:p>
    <w:p>
      <w:pPr>
        <w:spacing w:before="0" w:after="80"/>
      </w:pPr>
      <w:r>
        <w:rPr>
          <w:i/>
          <w:sz w:val="20"/>
        </w:rPr>
        <w:t>EN: Charge‐Polarized Interfacial Engineering Enables Radical Management for 1000 h Electrosynthesis of Para‐Benzoquinone</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06:14:35+00:00</w:t>
      </w:r>
      <w:r>
        <w:t xml:space="preserve">    </w:t>
      </w:r>
      <w:r>
        <w:rPr>
          <w:b/>
        </w:rPr>
        <w:t xml:space="preserve">DOI: </w:t>
      </w:r>
      <w:hyperlink r:id="rId235">
        <w:r>
          <w:rPr>
            <w:color w:val="1155CC"/>
            <w:u w:val="single"/>
          </w:rPr>
          <w:t>10.1002/anie.6914811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由基介导的有机电合成经常遭受选择性有限和催化不稳定性的困扰，这主要是由于不受控制的自由基偶联和过度反应造成的。这些挑战在大电流条件下会加剧，自由基生成的加速会促进相互竞争的副反应并破坏实际实施。在这里，我们引入了一种电荷极化界面工程策略来解决这些问题，并使用 Cr 进行了演示</w:t>
      </w:r>
      <w:r>
        <w:rPr>
          <w:vertAlign w:val="subscript"/>
        </w:rPr>
        <w:t>2</w:t>
      </w:r>
      <w:r>
        <w:t>氧</w:t>
      </w:r>
      <w:r>
        <w:rPr>
          <w:vertAlign w:val="subscript"/>
        </w:rPr>
        <w:t>3</w:t>
      </w:r>
      <w:r>
        <w:t>/Ru-Fe</w:t>
      </w:r>
      <w:r>
        <w:rPr>
          <w:vertAlign w:val="subscript"/>
        </w:rPr>
        <w:t>2</w:t>
      </w:r>
      <w:r>
        <w:t>氧</w:t>
      </w:r>
      <w:r>
        <w:rPr>
          <w:vertAlign w:val="subscript"/>
        </w:rPr>
        <w:t>3</w:t>
      </w:r>
      <w:r>
        <w:t>异质结构驱动苯酚选择性电氧化</w:t>
      </w:r>
      <w:r>
        <w:t xml:space="preserve"> </w:t>
      </w:r>
      <w:r>
        <w:t>帕拉-</w:t>
      </w:r>
      <w:r>
        <w:t>苯醌（</w:t>
      </w:r>
      <w:r>
        <w:t xml:space="preserve"> </w:t>
      </w:r>
      <w:r>
        <w:t>p-</w:t>
      </w:r>
      <w:r>
        <w:t>乙Q）。极化界面强制苯氧基自由基的垂直吸附构型，抑制 Langmuir-Hinshelwood 聚合，同时稳定高价 Ru 氧化中心并促进快速解吸</w:t>
      </w:r>
      <w:r>
        <w:t xml:space="preserve"> </w:t>
      </w:r>
      <w:r>
        <w:t>p-</w:t>
      </w:r>
      <w:r>
        <w:t>BQ产品。结果，催化剂实现了 1000 小时的连续</w:t>
      </w:r>
      <w:r>
        <w:t xml:space="preserve"> </w:t>
      </w:r>
      <w:r>
        <w:t>p-</w:t>
      </w:r>
      <w:r>
        <w:t>BQ 电合成记录稳态电流密度高于 40−50 mA cm</w:t>
      </w:r>
      <w:r>
        <w:t xml:space="preserve"> </w:t>
      </w:r>
      <w:r>
        <w:t>−2</w:t>
      </w:r>
      <w:r>
        <w:t xml:space="preserve"> </w:t>
      </w:r>
      <w:r>
        <w:t>，在非对称混合海水电解槽中以 1.0 V 电压提供高产品选择性和并行氢气生产。这项工作将界面激进管理建立为高效的有效框架</w:t>
      </w:r>
    </w:p>
    <w:p>
      <w:pPr>
        <w:spacing w:before="0" w:after="200" w:lineRule="auto" w:line="276"/>
      </w:pPr>
      <w:r>
        <w:rPr>
          <w:b/>
        </w:rPr>
        <w:t xml:space="preserve">Abstract (EN): </w:t>
      </w:r>
      <w:r>
        <w:t>Radical‐mediated organic electrosynthesis frequently suffers from limited selectivity and catalytic instability, largely arising from uncontrolled radical coupling and overreaction. These challenges intensify under large‐current conditions, where accelerated radical generation promotes competing side reactions and undermines practical implementation. Here, we introduce a charge‐polarized interfacial engineering strategy to address these issues, demonstrated using a Cr</w:t>
      </w:r>
      <w:r>
        <w:rPr>
          <w:vertAlign w:val="subscript"/>
        </w:rPr>
        <w:t>2</w:t>
      </w:r>
      <w:r>
        <w:t>O</w:t>
      </w:r>
      <w:r>
        <w:rPr>
          <w:vertAlign w:val="subscript"/>
        </w:rPr>
        <w:t>3</w:t>
      </w:r>
      <w:r>
        <w:t>/Ru‐Fe</w:t>
      </w:r>
      <w:r>
        <w:rPr>
          <w:vertAlign w:val="subscript"/>
        </w:rPr>
        <w:t>2</w:t>
      </w:r>
      <w:r>
        <w:t>O</w:t>
      </w:r>
      <w:r>
        <w:rPr>
          <w:vertAlign w:val="subscript"/>
        </w:rPr>
        <w:t>3</w:t>
      </w:r>
      <w:r>
        <w:t>heterostructure to drive the selective electro‐oxidation of phenol to</w:t>
      </w:r>
      <w:r>
        <w:t xml:space="preserve"> </w:t>
      </w:r>
      <w:r>
        <w:t>para‐</w:t>
      </w:r>
      <w:r>
        <w:t xml:space="preserve"> </w:t>
      </w:r>
      <w:r>
        <w:t>benzoquinone (</w:t>
      </w:r>
      <w:r>
        <w:t xml:space="preserve"> </w:t>
      </w:r>
      <w:r>
        <w:t>p‐</w:t>
      </w:r>
      <w:r>
        <w:t xml:space="preserve"> </w:t>
      </w:r>
      <w:r>
        <w:t>BQ). The polarized interface enforces a vertical adsorption configuration of phenoxy radicals, suppressing Langmuir−Hinshelwood polymerization while stabilizing high‐valent Ru oxidative centers and facilitating rapid desorption of</w:t>
      </w:r>
      <w:r>
        <w:t xml:space="preserve"> </w:t>
      </w:r>
      <w:r>
        <w:t>p‐</w:t>
      </w:r>
      <w:r>
        <w:t xml:space="preserve"> </w:t>
      </w:r>
      <w:r>
        <w:t>BQ product. As a result, the catalyst achieves 1000 h of continuous</w:t>
      </w:r>
      <w:r>
        <w:t xml:space="preserve"> </w:t>
      </w:r>
      <w:r>
        <w:t>p‐</w:t>
      </w:r>
      <w:r>
        <w:t xml:space="preserve"> </w:t>
      </w:r>
      <w:r>
        <w:t>BQ electrosynthesis at record steady‐state current densities above 40−50 mA cm</w:t>
      </w:r>
      <w:r>
        <w:t xml:space="preserve"> </w:t>
      </w:r>
      <w:r>
        <w:t>−2</w:t>
      </w:r>
      <w:r>
        <w:t xml:space="preserve"> </w:t>
      </w:r>
      <w:r>
        <w:t>, delivering high product selectivity and parallel hydrogen production at 1.0 V in an asymmetric hybrid seawater electrolyzer. This work establishes interfacial radical management as an effective framework for efficient electrosynthesis of value‐added chemicals.</w:t>
      </w:r>
    </w:p>
    <w:p>
      <w:pPr>
        <w:spacing w:before="120" w:after="120"/>
      </w:pPr>
      <w:r>
        <w:rPr>
          <w:sz w:val="18"/>
        </w:rPr>
        <w:t>——————————————————————————————————————————————————————————————————————</w:t>
      </w:r>
    </w:p>
    <w:p>
      <w:pPr>
        <w:spacing w:before="160" w:after="40" w:line="240" w:lineRule="auto"/>
      </w:pPr>
      <w:r>
        <w:rPr>
          <w:b/>
        </w:rPr>
        <w:t xml:space="preserve">[28] </w:t>
      </w:r>
      <w:hyperlink r:id="rId236">
        <w:r>
          <w:rPr>
            <w:color w:val="1155CC"/>
            <w:u w:val="single"/>
          </w:rPr>
          <w:t>Ni-Co氢氧化物中的晶格氧工程，用于高效甲醇氧化和氢气生产</w:t>
        </w:r>
      </w:hyperlink>
    </w:p>
    <w:p>
      <w:pPr>
        <w:spacing w:before="0" w:after="80"/>
      </w:pPr>
      <w:r>
        <w:rPr>
          <w:i/>
          <w:sz w:val="20"/>
        </w:rPr>
        <w:t>EN: Lattice Oxygen Engineering in Ni–Co Hydroxides for Efficient Methanol Oxidation Coupled With Hydrogen Production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06:20:07+00:00</w:t>
      </w:r>
      <w:r>
        <w:t xml:space="preserve">    </w:t>
      </w:r>
      <w:r>
        <w:rPr>
          <w:b/>
        </w:rPr>
        <w:t xml:space="preserve">DOI: </w:t>
      </w:r>
      <w:hyperlink r:id="rId237">
        <w:r>
          <w:rPr>
            <w:color w:val="1155CC"/>
            <w:u w:val="single"/>
          </w:rPr>
          <w:t>10.1002/anie.6517699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电催化甲醇氧化反应（MOR）与析氢（HER）相结合可以降低氢气的能源成本</w:t>
      </w:r>
      <w:r>
        <w:rPr>
          <w:vertAlign w:val="subscript"/>
        </w:rPr>
        <w:t>2</w:t>
      </w:r>
      <w:r>
        <w:t>生产，同时提高甲醇转化为甲酸盐的价值。开发适用于碱性介质的高效、低成本 MOR 催化剂仍然具有挑战性。在这里，我们报道了镍钴双金属氢氧化物（NiCoO</w:t>
      </w:r>
      <w:r>
        <w:t xml:space="preserve"> </w:t>
      </w:r>
      <w:r>
        <w:t>x</w:t>
      </w:r>
      <w:r>
        <w:t xml:space="preserve"> </w:t>
      </w:r>
      <w:r>
        <w:t>H</w:t>
      </w:r>
      <w:r>
        <w:t xml:space="preserve"> </w:t>
      </w:r>
      <w:r>
        <w:t>y</w:t>
      </w:r>
      <w:r>
        <w:t xml:space="preserve"> </w:t>
      </w:r>
      <w:r>
        <w:t>）纳米片作为高活性和耐用的 MOR 催化剂。优化的 NiCoO</w:t>
      </w:r>
      <w:r>
        <w:t xml:space="preserve"> </w:t>
      </w:r>
      <w:r>
        <w:t>x</w:t>
      </w:r>
      <w:r>
        <w:t xml:space="preserve"> </w:t>
      </w:r>
      <w:r>
        <w:t>H</w:t>
      </w:r>
      <w:r>
        <w:t xml:space="preserve"> </w:t>
      </w:r>
      <w:r>
        <w:t>y</w:t>
      </w:r>
      <w:r>
        <w:t xml:space="preserve"> </w:t>
      </w:r>
      <w:r>
        <w:t>与可逆氢电极 (RHE) 相比，仅需 1.40 V 即可提供 400 mA cm 的电流密度</w:t>
      </w:r>
      <w:r>
        <w:t xml:space="preserve"> </w:t>
      </w:r>
      <w:r>
        <w:t>−2</w:t>
      </w:r>
      <w:r>
        <w:t xml:space="preserve"> </w:t>
      </w:r>
      <w:r>
        <w:t>在 1.45 V 电压下对甲酸的法拉第效率达到 &gt;99%，代表了报道的最高效的 MOR 电催化剂之一。在双电极系统中，与 300 mA cm 下的传统水电解相比，甲醇氧化与 HER 相结合可将电池电压降低约 310 mV</w:t>
      </w:r>
      <w:r>
        <w:t xml:space="preserve"> </w:t>
      </w:r>
      <w:r>
        <w:t>−2</w:t>
      </w:r>
      <w:r>
        <w:t xml:space="preserve"> </w:t>
      </w:r>
      <w:r>
        <w:t>。原位拉曼光谱和 X 射线吸收光谱以及同位素标记研究表明，钴的掺入促进了高价 M 的形成</w:t>
      </w:r>
      <w:r>
        <w:t xml:space="preserve"> </w:t>
      </w:r>
      <w:r>
        <w:t>4+</w:t>
      </w:r>
      <w:r>
        <w:t xml:space="preserve"> </w:t>
      </w:r>
      <w:r>
        <w:t>物种，激活晶格氧并加速甲醇电氧化。密度泛函理论 (DFT) 计算证实，高度氧化的 M</w:t>
      </w:r>
      <w:r>
        <w:t xml:space="preserve"> </w:t>
      </w:r>
      <w:r>
        <w:t>4+</w:t>
      </w:r>
      <w:r>
        <w:t xml:space="preserve"> </w:t>
      </w:r>
      <w:r>
        <w:t>物种增强金属-氧轨道杂化，ac</w:t>
      </w:r>
    </w:p>
    <w:p>
      <w:pPr>
        <w:spacing w:before="0" w:after="200" w:lineRule="auto" w:line="276"/>
      </w:pPr>
      <w:r>
        <w:rPr>
          <w:b/>
        </w:rPr>
        <w:t xml:space="preserve">Abstract (EN): </w:t>
      </w:r>
      <w:r>
        <w:t>Electrocatalytic methanol oxidation reaction (MOR) coupled with hydrogen evolution (HER) can lower the energy cost of H</w:t>
      </w:r>
      <w:r>
        <w:rPr>
          <w:vertAlign w:val="subscript"/>
        </w:rPr>
        <w:t>2</w:t>
      </w:r>
      <w:r>
        <w:t>production while valorizing methanol to formate. Developing efficient, low‐cost MOR catalysts for alkaline media remains challenging. Here, we report nickel–cobalt bimetal hydroxide (NiCoO</w:t>
      </w:r>
      <w:r>
        <w:t xml:space="preserve"> </w:t>
      </w:r>
      <w:r>
        <w:t>x</w:t>
      </w:r>
      <w:r>
        <w:t xml:space="preserve"> </w:t>
      </w:r>
      <w:r>
        <w:t>H</w:t>
      </w:r>
      <w:r>
        <w:t xml:space="preserve"> </w:t>
      </w:r>
      <w:r>
        <w:t>y</w:t>
      </w:r>
      <w:r>
        <w:t xml:space="preserve"> </w:t>
      </w:r>
      <w:r>
        <w:t>) nanosheets as a highly active and durable MOR catalysts. The optimized NiCoO</w:t>
      </w:r>
      <w:r>
        <w:t xml:space="preserve"> </w:t>
      </w:r>
      <w:r>
        <w:t>x</w:t>
      </w:r>
      <w:r>
        <w:t xml:space="preserve"> </w:t>
      </w:r>
      <w:r>
        <w:t>H</w:t>
      </w:r>
      <w:r>
        <w:t xml:space="preserve"> </w:t>
      </w:r>
      <w:r>
        <w:t>y</w:t>
      </w:r>
      <w:r>
        <w:t xml:space="preserve"> </w:t>
      </w:r>
      <w:r>
        <w:t>requires only 1.40 V versus the reversible hydrogen electrode (RHE) to deliver a current density of 400 mA cm</w:t>
      </w:r>
      <w:r>
        <w:t xml:space="preserve"> </w:t>
      </w:r>
      <w:r>
        <w:t>−2</w:t>
      </w:r>
      <w:r>
        <w:t xml:space="preserve"> </w:t>
      </w:r>
      <w:r>
        <w:t>and achieves &amp;gt;99% Faradaic efficiency toward formate at 1.45 V, representing one of the most efficient MOR electrocatalysts reported. In a two‐electrode system, methanol oxidation coupled with HER lowers the cell voltage by ∼310 mV compared to conventional water electrolysis at 300 mA cm</w:t>
      </w:r>
      <w:r>
        <w:t xml:space="preserve"> </w:t>
      </w:r>
      <w:r>
        <w:t>−2</w:t>
      </w:r>
      <w:r>
        <w:t xml:space="preserve"> </w:t>
      </w:r>
      <w:r>
        <w:t>. In situ Raman and x‐ray absorption spectroscopy, together with isotope‐labeling studies, reveal that cobalt incorporation promotes the formation of high‐valence M</w:t>
      </w:r>
      <w:r>
        <w:t xml:space="preserve"> </w:t>
      </w:r>
      <w:r>
        <w:t>4+</w:t>
      </w:r>
      <w:r>
        <w:t xml:space="preserve"> </w:t>
      </w:r>
      <w:r>
        <w:t>species, which activate lattice oxygen and accelerate methanol electrooxidation. Density functional theory (DFT) calculations confirm that highly oxidized M</w:t>
      </w:r>
      <w:r>
        <w:t xml:space="preserve"> </w:t>
      </w:r>
      <w:r>
        <w:t>4+</w:t>
      </w:r>
      <w:r>
        <w:t xml:space="preserve"> </w:t>
      </w:r>
      <w:r>
        <w:t>species enhance metal–oxygen orbital hybridization, activating lattice oxygen and reducing reaction barriers. This work highlights lattice oxygen engineering via electronic structure modulation as an effective strategy for designing advanced electrocatalysts toward sustainable hydrogen‐formate co‐production.</w:t>
      </w:r>
    </w:p>
    <w:p>
      <w:pPr>
        <w:spacing w:before="120" w:after="120"/>
      </w:pPr>
      <w:r>
        <w:rPr>
          <w:sz w:val="18"/>
        </w:rPr>
        <w:t>——————————————————————————————————————————————————————————————————————</w:t>
      </w:r>
    </w:p>
    <w:p>
      <w:pPr>
        <w:spacing w:before="160" w:after="40" w:line="240" w:lineRule="auto"/>
      </w:pPr>
      <w:r>
        <w:rPr>
          <w:b/>
        </w:rPr>
        <w:t xml:space="preserve">[29] </w:t>
      </w:r>
      <w:hyperlink r:id="rId238">
        <w:r>
          <w:rPr>
            <w:color w:val="1155CC"/>
            <w:u w:val="single"/>
          </w:rPr>
          <w:t>高熵 AlFeCoNiCuCr-LDH 中的铝定向两性自重构可实现高效的总体水分解</w:t>
        </w:r>
      </w:hyperlink>
    </w:p>
    <w:p>
      <w:pPr>
        <w:spacing w:before="0" w:after="80"/>
      </w:pPr>
      <w:r>
        <w:rPr>
          <w:i/>
          <w:sz w:val="20"/>
        </w:rPr>
        <w:t>EN: Aluminum‐Directed Amphoteric Self‐Reconstruction in High‐Entropy AlFeCoNiCuCr‐LDH for Efficient Overall Water Splitting</w:t>
      </w:r>
    </w:p>
    <w:p>
      <w:pPr>
        <w:spacing w:before="0" w:after="120"/>
      </w:pPr>
      <w:r>
        <w:rPr>
          <w:b/>
        </w:rPr>
        <w:t xml:space="preserve">Source: </w:t>
      </w:r>
      <w:r>
        <w:t>Wiley-Online-Library: Advanced Energy Materials: Table of Contents</w:t>
      </w:r>
      <w:r>
        <w:t xml:space="preserve">    </w:t>
      </w:r>
      <w:r>
        <w:rPr>
          <w:b/>
        </w:rPr>
        <w:t xml:space="preserve">Pub date: </w:t>
      </w:r>
      <w:r>
        <w:t>2026-06-11 06:25:03+00:00</w:t>
      </w:r>
      <w:r>
        <w:t xml:space="preserve">    </w:t>
      </w:r>
      <w:r>
        <w:rPr>
          <w:b/>
        </w:rPr>
        <w:t xml:space="preserve">DOI: </w:t>
      </w:r>
      <w:hyperlink r:id="rId239">
        <w:r>
          <w:rPr>
            <w:color w:val="1155CC"/>
            <w:u w:val="single"/>
          </w:rPr>
          <w:t>10.1002/aenm.71178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催化剂中的电化学自重构控制着其催化活性和稳定性。然而，不受控制的结构演化通常会导致性能下降，从而使这些界面路径的精确调节成为主要瓶颈。在此，我们报道了一种含铝的高熵层状双氢氧化物（Al-HELDH）并阐明了其两性自重构机制。在电化学活化过程中，两性铝物质的选择性浸出显着增强了对金属活性位点的接触，同时诱导表面富集的 Al(OH)2 的形成</w:t>
      </w:r>
      <w:r>
        <w:t xml:space="preserve"> </w:t>
      </w:r>
      <w:r>
        <w:t>x</w:t>
      </w:r>
      <w:r>
        <w:t xml:space="preserve"> </w:t>
      </w:r>
      <w:r>
        <w:t>羟基层。这种羟基化界面有效调节吸附和解离过程，稳定重构的催化表面，同时提高催化活性和耐久性。原位光谱学和密度泛函理论计算证实镍是主要催化中心，与其他金属物种协同调节局部电子环境。受益于协同高熵效应和功能性 Al(OH)</w:t>
      </w:r>
      <w:r>
        <w:t xml:space="preserve"> </w:t>
      </w:r>
      <w:r>
        <w:t>x</w:t>
      </w:r>
      <w:r>
        <w:t xml:space="preserve"> </w:t>
      </w:r>
      <w:r>
        <w:t>在界面层上，重构的 Al-HELDH 显着降低了关键反应步骤的界面能垒并加速了反应动力学。该催化剂在 10 mA cm 电流密度下的析氢反应 (HER) 和析氧反应 (OER) 表现出 64 和 226 mV 的过电势</w:t>
      </w:r>
      <w:r>
        <w:t xml:space="preserve"> </w:t>
      </w:r>
      <w:r>
        <w:t>−2</w:t>
      </w:r>
      <w:r>
        <w:t xml:space="preserve"> </w:t>
      </w:r>
      <w:r>
        <w:t>分别为 wh</w:t>
      </w:r>
    </w:p>
    <w:p>
      <w:pPr>
        <w:spacing w:before="0" w:after="200" w:lineRule="auto" w:line="276"/>
      </w:pPr>
      <w:r>
        <w:rPr>
          <w:b/>
        </w:rPr>
        <w:t xml:space="preserve">Abstract (EN): </w:t>
      </w:r>
      <w:r>
        <w:t>Electrochemical self‐reconstruction in high‐entropy catalysts governs their catalytic activity and stability. However, uncontrolled structural evolution often led to performance degradation, rendering the precise modulation of these interfacial pathways a major bottleneck. Herein, we report an aluminum‐containing high‐entropy layered double hydroxide (Al‐HELDH) and elucidate its amphoteric self‐reconstruction mechanism. During electrochemical activation, selective leaching of amphoteric aluminum species significantly enhances access to metal active sites while inducing formation of surface‐enriched Al(OH)</w:t>
      </w:r>
      <w:r>
        <w:t xml:space="preserve"> </w:t>
      </w:r>
      <w:r>
        <w:t>x</w:t>
      </w:r>
      <w:r>
        <w:t xml:space="preserve"> </w:t>
      </w:r>
      <w:r>
        <w:t>hydroxyl layers. This hydroxylated interface effectively regulates adsorption and dissociation processes, stabilizing the reconfigured catalytic surface and simultaneously boosting catalytic activity and durability. In situ spectroscopy and density functional theory calculations confirm Ni as the primary catalytic center, with other metal species cooperatively modulating the local electronic environment. Benefiting from synergistic high‐entropy effects and a functional Al(OH)</w:t>
      </w:r>
      <w:r>
        <w:t xml:space="preserve"> </w:t>
      </w:r>
      <w:r>
        <w:t>x</w:t>
      </w:r>
      <w:r>
        <w:t xml:space="preserve"> </w:t>
      </w:r>
      <w:r>
        <w:t>interface layer, reconstructed Al‐HELDH significantly reduces interfacial energy barriers for key reaction steps and accelerates reaction kinetics. The catalyst exhibits overpotentials of 64 and 226 mV for the hydrogen evolution reaction (HER) and oxygen evolution reaction (OER) at a current density of 10 mA cm</w:t>
      </w:r>
      <w:r>
        <w:t xml:space="preserve"> </w:t>
      </w:r>
      <w:r>
        <w:t>−2</w:t>
      </w:r>
      <w:r>
        <w:t xml:space="preserve"> </w:t>
      </w:r>
      <w:r>
        <w:t>, respectively, while maintaining stable operation for over 1000 h. This work establishes a reconstruction‐based design strategy, providing a robust pathway for developing non‐precious metal bifunctional catalysts for sustainable hydrogen production.</w:t>
      </w:r>
    </w:p>
    <w:p>
      <w:pPr>
        <w:spacing w:before="120" w:after="120"/>
      </w:pPr>
      <w:r>
        <w:rPr>
          <w:sz w:val="18"/>
        </w:rPr>
        <w:t>——————————————————————————————————————————————————————————————————————</w:t>
      </w:r>
    </w:p>
    <w:p>
      <w:pPr>
        <w:spacing w:before="160" w:after="40" w:line="240" w:lineRule="auto"/>
      </w:pPr>
      <w:r>
        <w:rPr>
          <w:b/>
        </w:rPr>
        <w:t xml:space="preserve">[30] </w:t>
      </w:r>
      <w:hyperlink r:id="rId240">
        <w:r>
          <w:rPr>
            <w:color w:val="1155CC"/>
            <w:u w:val="single"/>
          </w:rPr>
          <w:t>纳米合金电催化剂的精密原子掺杂：开辟高效析氢反应的新途径</w:t>
        </w:r>
      </w:hyperlink>
    </w:p>
    <w:p>
      <w:pPr>
        <w:spacing w:before="0" w:after="80"/>
      </w:pPr>
      <w:r>
        <w:rPr>
          <w:i/>
          <w:sz w:val="20"/>
        </w:rPr>
        <w:t>EN: Precision Atomic Doping of Nanoalloy Electrocatalysts: Unlocking New Paths for Efficient Hydrogen Evolution Reaction</w:t>
      </w:r>
    </w:p>
    <w:p>
      <w:pPr>
        <w:spacing w:before="0" w:after="120"/>
      </w:pPr>
      <w:r>
        <w:rPr>
          <w:b/>
        </w:rPr>
        <w:t xml:space="preserve">Source: </w:t>
      </w:r>
      <w:r>
        <w:t>Wiley-Online-Library: Advanced Energy Materials: Table of Contents</w:t>
      </w:r>
      <w:r>
        <w:t xml:space="preserve">    </w:t>
      </w:r>
      <w:r>
        <w:rPr>
          <w:b/>
        </w:rPr>
        <w:t xml:space="preserve">Pub date: </w:t>
      </w:r>
      <w:r>
        <w:t>2026-06-11 06:26:51+00:00</w:t>
      </w:r>
      <w:r>
        <w:t xml:space="preserve">    </w:t>
      </w:r>
      <w:r>
        <w:rPr>
          <w:b/>
        </w:rPr>
        <w:t xml:space="preserve">DOI: </w:t>
      </w:r>
      <w:hyperlink r:id="rId241">
        <w:r>
          <w:rPr>
            <w:color w:val="1155CC"/>
            <w:u w:val="single"/>
          </w:rPr>
          <w:t>10.1002/aenm.71156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解水制氢是解决全球能源危机的关键。铂族催化剂虽然对析氢反应（HER）非常有效，但因其稀缺性和高成本而受到限制，限制了其工业应用。纳米合金电催化剂（NAE）由于其可调节的电子结构、高电导率和协同活性位点而成为有前途的替代品。然而，它们在平衡活性和稳定性以及反应动力学方面仍然面临挑战。研究表明，精密掺杂可以通过定制电子配置、优化吸附能量和暴露潜在活性位点来增强 NAE 的性能。本综述通过检查酸性和碱性介质中的 HER 机制来探讨这些掺杂效应的机制基础。对掺杂方法进行了系统的分类和总结，将掺杂剂分为贵金属、非贵金属和非金属，并详细阐述了它们的作用和特点。引入“相对改进（RI）”指标来定量衡量性能增益的基准。该评论还深入探讨了新兴前沿领域，如操作表征、循环催化剂设计以及与替代阳极反应的集成。通过强调原子级掺杂对于下一代电解槽至关重要，本综述旨在推进经济上可行的绿色氢生产。</w:t>
      </w:r>
    </w:p>
    <w:p>
      <w:pPr>
        <w:spacing w:before="0" w:after="200" w:lineRule="auto" w:line="276"/>
      </w:pPr>
      <w:r>
        <w:rPr>
          <w:b/>
        </w:rPr>
        <w:t xml:space="preserve">Abstract (EN): </w:t>
      </w:r>
      <w:r>
        <w:t>Hydrogen production via water electrolysis is a key solution to the global energy crisis. Platinum‐group catalysts, while highly efficient for the hydrogen evolution reaction (HER), are limited by their scarcity and high cost, restricting their industrial application. Nanoalloy electrocatalysts (NAEs) have emerged as promising alternatives due to their adjustable electronic structures, high conductivity, and synergistic active sites. However, they still face challenges in balancing activity and stability, as well as in reaction kinetics. Research shows that precision doping can enhance NAEs' performance by tailoring electronic configurations, optimizing adsorption energetics, and exposing latent active sites. This review explores the mechanistic basis of these doping effects by examining HER mechanisms in acidic and basic media. It systematically categorizes and summarizes doping methods, dividing dopants into noble metals, non‐noble metals, and non‐metals, and detailing their roles and characteristics. A “Relative Improvement (RI)” metric is introduced to quantitatively benchmark performance gains. The review also delves into emerging frontiers like operando characterization, circular catalyst design, and integration with alternative anodic reactions. By highlighting atomic‐level doping as crucial for next‐generation electrolyzers, this review aims to advance economically viable green hydrogen production.</w:t>
      </w:r>
    </w:p>
    <w:p>
      <w:pPr>
        <w:spacing w:before="120" w:after="120"/>
      </w:pPr>
      <w:r>
        <w:rPr>
          <w:sz w:val="18"/>
        </w:rPr>
        <w:t>——————————————————————————————————————————————————————————————————————</w:t>
      </w:r>
    </w:p>
    <w:p>
      <w:pPr>
        <w:spacing w:before="160" w:after="40" w:line="240" w:lineRule="auto"/>
      </w:pPr>
      <w:r>
        <w:rPr>
          <w:b/>
        </w:rPr>
        <w:t xml:space="preserve">[31] </w:t>
      </w:r>
      <w:hyperlink r:id="rId242">
        <w:r>
          <w:rPr>
            <w:color w:val="1155CC"/>
            <w:u w:val="single"/>
          </w:rPr>
          <w:t>促进太阳能驱动双极制氢低电势醛氧化中的化学和电化学串联步骤</w:t>
        </w:r>
      </w:hyperlink>
    </w:p>
    <w:p>
      <w:pPr>
        <w:spacing w:before="0" w:after="80"/>
      </w:pPr>
      <w:r>
        <w:rPr>
          <w:i/>
          <w:sz w:val="20"/>
        </w:rPr>
        <w:t>EN: Boosting Both Chemical and Electrochemical Tandem Steps in Low‐Potential Aldehyde Oxidation for Solar‐Driven Bipolar Hydrogen Production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06:32:02+00:00</w:t>
      </w:r>
      <w:r>
        <w:t xml:space="preserve">    </w:t>
      </w:r>
      <w:r>
        <w:rPr>
          <w:b/>
        </w:rPr>
        <w:t xml:space="preserve">DOI: </w:t>
      </w:r>
      <w:hyperlink r:id="rId243">
        <w:r>
          <w:rPr>
            <w:color w:val="1155CC"/>
            <w:u w:val="single"/>
          </w:rPr>
          <w:t>10.1002/anie.6195416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低电势醛氧化为双极制氢和生物质增值提供了一种节能的阳极替代氧析出方法，但串联非法拉第/法拉第机制仍知之甚少。在这里，我们报道PtCu</w:t>
      </w:r>
      <w:r>
        <w:rPr>
          <w:vertAlign w:val="subscript"/>
        </w:rPr>
        <w:t>3</w:t>
      </w:r>
      <w:r>
        <w:t>‐支撑在泡沫铜（PtCu</w:t>
      </w:r>
      <w:r>
        <w:rPr>
          <w:vertAlign w:val="subscript"/>
        </w:rPr>
        <w:t>3</w:t>
      </w:r>
      <w:r>
        <w:t>@Cu/CF）通过电取代和电化学还原制造。原位 ATR-FTIR 和 DFT 计算表明 PtCu</w:t>
      </w:r>
      <w:r>
        <w:rPr>
          <w:vertAlign w:val="subscript"/>
        </w:rPr>
        <w:t>3</w:t>
      </w:r>
      <w:r>
        <w:t>壳增强吸附</w:t>
      </w:r>
      <w:r>
        <w:t xml:space="preserve"> </w:t>
      </w:r>
      <w:r>
        <w:t>宝石</w:t>
      </w:r>
      <w:r>
        <w:t xml:space="preserve"> </w:t>
      </w:r>
      <w:r>
        <w:t>‐二醇中间体，同时削弱 5-羟甲基-2-呋喃甲酸 (HMFCA) 的结合，加速非法拉第 C-H 裂解和法拉第氧化。这使得选择性 5-羟甲基糠醛升级能够在 300 mA cm 下阳极析氢</w:t>
      </w:r>
      <w:r>
        <w:t xml:space="preserve"> </w:t>
      </w:r>
      <w:r>
        <w:t>−2</w:t>
      </w:r>
      <w:r>
        <w:t xml:space="preserve"> </w:t>
      </w:r>
      <w:r>
        <w:t>在双电极流动电解槽中，电压为 ~0.21 V。此外，电解槽还达到 100 mA cm</w:t>
      </w:r>
      <w:r>
        <w:t xml:space="preserve"> </w:t>
      </w:r>
      <w:r>
        <w:t>−2</w:t>
      </w:r>
      <w:r>
        <w:t xml:space="preserve"> </w:t>
      </w:r>
      <w:r>
        <w:t>在 0.16 V 电压下，双极制氢的法拉第综合效率为 200%。将六电池堆与钙钛矿光伏模块集成，可实现 16.9% 的无偏差太阳能制氢效率，同时生产克级 HMFCA。这个贫贵金属平台建立了可扩展的太阳能重整技术，用于联产绿色氢气和增值化学品。</w:t>
      </w:r>
    </w:p>
    <w:p>
      <w:pPr>
        <w:spacing w:before="0" w:after="200" w:lineRule="auto" w:line="276"/>
      </w:pPr>
      <w:r>
        <w:rPr>
          <w:b/>
        </w:rPr>
        <w:t xml:space="preserve">Abstract (EN): </w:t>
      </w:r>
      <w:r>
        <w:t>Low‐potential aldehyde oxidation offers an energy‐efficient anodic alternative to oxygen evolution for bipolar hydrogen production coupled with biomass valorization, yet the tandem non‐Faradaic/Faradaic mechanism remains poorly understood. Here, we report PtCu</w:t>
      </w:r>
      <w:r>
        <w:rPr>
          <w:vertAlign w:val="subscript"/>
        </w:rPr>
        <w:t>3</w:t>
      </w:r>
      <w:r>
        <w:t>‐coated Cu nanowire arrays supported on Cu foam (PtCu</w:t>
      </w:r>
      <w:r>
        <w:rPr>
          <w:vertAlign w:val="subscript"/>
        </w:rPr>
        <w:t>3</w:t>
      </w:r>
      <w:r>
        <w:t>@Cu/CF) fabricated via galvanic replacement and electrochemical reduction. In situ ATR‐FTIR and DFT calculations indicate the PtCu</w:t>
      </w:r>
      <w:r>
        <w:rPr>
          <w:vertAlign w:val="subscript"/>
        </w:rPr>
        <w:t>3</w:t>
      </w:r>
      <w:r>
        <w:t>shell enhances adsorption of the</w:t>
      </w:r>
      <w:r>
        <w:t xml:space="preserve"> </w:t>
      </w:r>
      <w:r>
        <w:t>gem</w:t>
      </w:r>
      <w:r>
        <w:t xml:space="preserve"> </w:t>
      </w:r>
      <w:r>
        <w:t>‐diolate intermediate while weakens binding of 5‐hydroxymethyl‐2‐furancarboxylic acid (HMFCA), accelerating both non‐Faradaic C–H cleavage and Faradaic oxidation. This enables selective 5‐hydroxymethylfurfural upgrading with anodic hydrogen evolution at 300 mA cm</w:t>
      </w:r>
      <w:r>
        <w:t xml:space="preserve"> </w:t>
      </w:r>
      <w:r>
        <w:t>−2</w:t>
      </w:r>
      <w:r>
        <w:t xml:space="preserve"> </w:t>
      </w:r>
      <w:r>
        <w:t>at ∼0.21 V in a two‐electrode flow electrolyzer. Additionally, the electrolyzer also achieves 100 mA cm</w:t>
      </w:r>
      <w:r>
        <w:t xml:space="preserve"> </w:t>
      </w:r>
      <w:r>
        <w:t>−2</w:t>
      </w:r>
      <w:r>
        <w:t xml:space="preserve"> </w:t>
      </w:r>
      <w:r>
        <w:t>at 0.16 V with 200% combined Faradaic efficiency for bipolar hydrogen production. Integration of a six‐cell stack with perovskite photovoltaic module yields a bias‐free solar‐to‐hydrogen efficiency of 16.9% alongside gram‐scale HMFCA production. This noble‐metal‐lean platform establishes scalable solar reforming for co‐generating green hydrogen and value‐added chemicals.</w:t>
      </w:r>
    </w:p>
    <w:p>
      <w:pPr>
        <w:spacing w:before="120" w:after="120"/>
      </w:pPr>
      <w:r>
        <w:rPr>
          <w:sz w:val="18"/>
        </w:rPr>
        <w:t>——————————————————————————————————————————————————————————————————————</w:t>
      </w:r>
    </w:p>
    <w:p>
      <w:pPr>
        <w:spacing w:before="160" w:after="40" w:line="240" w:lineRule="auto"/>
      </w:pPr>
      <w:r>
        <w:rPr>
          <w:b/>
        </w:rPr>
        <w:t xml:space="preserve">[32] </w:t>
      </w:r>
      <w:hyperlink r:id="rId34">
        <w:r>
          <w:rPr>
            <w:color w:val="1155CC"/>
            <w:u w:val="single"/>
          </w:rPr>
          <w:t>开发等离激元 Au/NbS2 异质结构中的金属-半金属过渡金属二硫属化物界面，以增强电荷转移和光电化学析氢反应</w:t>
        </w:r>
      </w:hyperlink>
    </w:p>
    <w:p>
      <w:pPr>
        <w:spacing w:before="0" w:after="80"/>
      </w:pPr>
      <w:r>
        <w:rPr>
          <w:i/>
          <w:sz w:val="20"/>
        </w:rPr>
        <w:t>EN: Developing Metal–Semimetallic Transition Metal Dichalcogenide Interfaces in Plasmonic Au/NbS2 Heterostructures for Enhanced Charge Transfer and Photoelectrochemical Hydrogen Evolution Reaction</w:t>
      </w:r>
    </w:p>
    <w:p>
      <w:pPr>
        <w:spacing w:before="0" w:after="120"/>
      </w:pPr>
      <w:r>
        <w:rPr>
          <w:b/>
        </w:rPr>
        <w:t xml:space="preserve">Source: </w:t>
      </w:r>
      <w:r>
        <w:t>Wiley-Online-Library: Advanced Energy Materials: Table of Contents</w:t>
      </w:r>
      <w:r>
        <w:t xml:space="preserve">    </w:t>
      </w:r>
      <w:r>
        <w:rPr>
          <w:b/>
        </w:rPr>
        <w:t xml:space="preserve">Pub date: </w:t>
      </w:r>
      <w:r>
        <w:t>2026-06-11 06:33:05+00:00</w:t>
      </w:r>
      <w:r>
        <w:t xml:space="preserve">    </w:t>
      </w:r>
      <w:r>
        <w:rPr>
          <w:b/>
        </w:rPr>
        <w:t xml:space="preserve">DOI: </w:t>
      </w:r>
      <w:hyperlink r:id="rId35">
        <w:r>
          <w:rPr>
            <w:color w:val="1155CC"/>
            <w:u w:val="single"/>
          </w:rPr>
          <w:t>10.1002/aenm.71184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开发具有成本效益且高效的光电极（PE）对于推进太阳能驱动光电化学（PEC）氢（H</w:t>
      </w:r>
      <w:r>
        <w:rPr>
          <w:vertAlign w:val="subscript"/>
        </w:rPr>
        <w:t>2</w:t>
      </w:r>
      <w:r>
        <w:t>）生产技术。为了增强 PEC 性能，将等离子体纳米颗粒与活性催化剂结合起来似乎很有前景。在这里，我们报道了一种简单而强大的 PE，由装饰在 NbS 上的 Au 纳米颗粒 (NP) 组成</w:t>
      </w:r>
      <w:r>
        <w:rPr>
          <w:vertAlign w:val="subscript"/>
        </w:rPr>
        <w:t>2</w:t>
      </w:r>
      <w:r>
        <w:t>纳米薄片（NF），直接生长在碳纤维纸上。在这种异质结构中，Au NP 充当等离子体天线，增强局部电磁场，从而加强光物质相互作用，NbS</w:t>
      </w:r>
      <w:r>
        <w:rPr>
          <w:vertAlign w:val="subscript"/>
        </w:rPr>
        <w:t>2</w:t>
      </w:r>
      <w:r>
        <w:t>NF 作为高导电半金属支架，提供丰富的 HER 活性位点，以及 Au NP/NbS 的连接</w:t>
      </w:r>
      <w:r>
        <w:rPr>
          <w:vertAlign w:val="subscript"/>
        </w:rPr>
        <w:t>2</w:t>
      </w:r>
      <w:r>
        <w:t>NF 可实现有效的电荷分离和 NbS 的快速电子转移</w:t>
      </w:r>
      <w:r>
        <w:rPr>
          <w:vertAlign w:val="subscript"/>
        </w:rPr>
        <w:t>2</w:t>
      </w:r>
      <w:r>
        <w:t>Au，从而协同加速光照下的 HER 动力学。因此，该 Au NP/NbS</w:t>
      </w:r>
      <w:r>
        <w:rPr>
          <w:vertAlign w:val="subscript"/>
        </w:rPr>
        <w:t>2</w:t>
      </w:r>
      <w:r>
        <w:t>NF异质结构首次在光照下表现出卓越的PEC性能，例如交换电流密度增加6倍，过电势降低1.75倍，H产率提高2.45倍。</w:t>
      </w:r>
      <w:r>
        <w:rPr>
          <w:vertAlign w:val="subscript"/>
        </w:rPr>
        <w:t>2</w:t>
      </w:r>
      <w:r>
        <w:t>分别生产。基于Au NP/NbS异质结构</w:t>
      </w:r>
      <w:r>
        <w:rPr>
          <w:vertAlign w:val="subscript"/>
        </w:rPr>
        <w:t>2</w:t>
      </w:r>
      <w:r>
        <w:t>NF，这项工作建立了</w:t>
      </w:r>
    </w:p>
    <w:p>
      <w:pPr>
        <w:spacing w:before="0" w:after="200" w:lineRule="auto" w:line="276"/>
      </w:pPr>
      <w:r>
        <w:rPr>
          <w:b/>
        </w:rPr>
        <w:t xml:space="preserve">Abstract (EN): </w:t>
      </w:r>
      <w:r>
        <w:t>The development of cost‐effective and highly‐efficient photoelectrodes (PE) is critical for advancing solar driven photoelectrochemical (PEC) hydrogen (H</w:t>
      </w:r>
      <w:r>
        <w:rPr>
          <w:vertAlign w:val="subscript"/>
        </w:rPr>
        <w:t>2</w:t>
      </w:r>
      <w:r>
        <w:t>) production technologies. For enhancing PEC performance, it appears promising to combine plasmonic nanoparticles with active catalysts. Here we report a facile and powerful PE comprised of Au nanoparticles (NP) decorated on NbS</w:t>
      </w:r>
      <w:r>
        <w:rPr>
          <w:vertAlign w:val="subscript"/>
        </w:rPr>
        <w:t>2</w:t>
      </w:r>
      <w:r>
        <w:t>nanoflakes (NF), directly grown on the carbon fiber paper. In this heterostructure, Au NP acts as plasmonic antennas that intensify local electromagnetic fields strengthening light matter interactions, NbS</w:t>
      </w:r>
      <w:r>
        <w:rPr>
          <w:vertAlign w:val="subscript"/>
        </w:rPr>
        <w:t>2</w:t>
      </w:r>
      <w:r>
        <w:t>NF functions as a highly conductive semimetal scaffold offering abundant active HER sites, and the junction of Au NP/NbS</w:t>
      </w:r>
      <w:r>
        <w:rPr>
          <w:vertAlign w:val="subscript"/>
        </w:rPr>
        <w:t>2</w:t>
      </w:r>
      <w:r>
        <w:t>NF enables efficient charge separation and fast electron transfer from NbS</w:t>
      </w:r>
      <w:r>
        <w:rPr>
          <w:vertAlign w:val="subscript"/>
        </w:rPr>
        <w:t>2</w:t>
      </w:r>
      <w:r>
        <w:t>to Au, thereby synergistically accelerating HER kinetics under illumination. Consequently, this Au NP/NbS</w:t>
      </w:r>
      <w:r>
        <w:rPr>
          <w:vertAlign w:val="subscript"/>
        </w:rPr>
        <w:t>2</w:t>
      </w:r>
      <w:r>
        <w:t>NF heterostructure, for the first time, demonstrates remarkable PEC performance under illumination, such as a 6‐fold increase in the exchange current density, a 1.75‐fold reduction in overpotential, and a 2.45‐fold yield in the H</w:t>
      </w:r>
      <w:r>
        <w:rPr>
          <w:vertAlign w:val="subscript"/>
        </w:rPr>
        <w:t>2</w:t>
      </w:r>
      <w:r>
        <w:t>production, respectively. Based on the heterostructure of Au NP/NbS</w:t>
      </w:r>
      <w:r>
        <w:rPr>
          <w:vertAlign w:val="subscript"/>
        </w:rPr>
        <w:t>2</w:t>
      </w:r>
      <w:r>
        <w:t>NF, this work establishes a strategy of constructing a cost‐effective and highly‐efficient PE and providing valuable insights into the rational design of next generation PE for the sustainable hydrogen production.</w:t>
      </w:r>
    </w:p>
    <w:p>
      <w:pPr>
        <w:spacing w:before="120" w:after="120"/>
      </w:pPr>
      <w:r>
        <w:rPr>
          <w:sz w:val="18"/>
        </w:rPr>
        <w:t>——————————————————————————————————————————————————————————————————————</w:t>
      </w:r>
    </w:p>
    <w:p>
      <w:pPr>
        <w:spacing w:before="160" w:after="40" w:line="240" w:lineRule="auto"/>
      </w:pPr>
      <w:r>
        <w:rPr>
          <w:b/>
        </w:rPr>
        <w:t xml:space="preserve">[33] </w:t>
      </w:r>
      <w:hyperlink r:id="rId244">
        <w:r>
          <w:rPr>
            <w:color w:val="1155CC"/>
            <w:u w:val="single"/>
          </w:rPr>
          <w:t>用于电催化硝酸盐还原为挥发性氨的耐氨碳包覆钴催化剂</w:t>
        </w:r>
      </w:hyperlink>
    </w:p>
    <w:p>
      <w:pPr>
        <w:spacing w:before="0" w:after="80"/>
      </w:pPr>
      <w:r>
        <w:rPr>
          <w:i/>
          <w:sz w:val="20"/>
        </w:rPr>
        <w:t>EN: Ammonia‐Resistant Carbon‐Encapsulated Cobalt Catalyst for Electrocatalytic Nitrate Reduction to Volatile Ammonia</w:t>
      </w:r>
    </w:p>
    <w:p>
      <w:pPr>
        <w:spacing w:before="0" w:after="120"/>
      </w:pPr>
      <w:r>
        <w:rPr>
          <w:b/>
        </w:rPr>
        <w:t xml:space="preserve">Source: </w:t>
      </w:r>
      <w:r>
        <w:t>Wiley-Online-Library: Angewandte Chemie International Edition: Table of Contents</w:t>
      </w:r>
      <w:r>
        <w:t xml:space="preserve">    </w:t>
      </w:r>
      <w:r>
        <w:rPr>
          <w:b/>
        </w:rPr>
        <w:t xml:space="preserve">Pub date: </w:t>
      </w:r>
      <w:r>
        <w:t>2026-06-11 07:54:02+00:00</w:t>
      </w:r>
      <w:r>
        <w:t xml:space="preserve">    </w:t>
      </w:r>
      <w:r>
        <w:rPr>
          <w:b/>
        </w:rPr>
        <w:t xml:space="preserve">DOI: </w:t>
      </w:r>
      <w:hyperlink r:id="rId245">
        <w:r>
          <w:rPr>
            <w:color w:val="1155CC"/>
            <w:u w:val="single"/>
          </w:rPr>
          <w:t>10.1002/anie.7866851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硝酸盐还原为氨为氮的可持续利用提供了一条有前途的途径；然而，目前的努力仍然主要局限于优化合成效率，而对氨分离的同时挑战——可扩展部署的关键瓶颈——关注不够。在这里，我们报道了碳壳封装的钴纳米粒子（Co@C），它独特地能够在强碱性条件下集成氨合成和原位气相纯化。在序批式电解槽和连续流电解槽中，Co@C 都能提供高达 92.4% 的硝酸盐至氨法拉第效率，即使在存在外源氨的情况下也能保持性能。至关重要的是，高 pH 环境会改变 NH</w:t>
      </w:r>
      <w:r>
        <w:rPr>
          <w:vertAlign w:val="subscript"/>
        </w:rPr>
        <w:t>3</w:t>
      </w:r>
      <w:r>
        <w:t>/NH</w:t>
      </w:r>
      <w:r>
        <w:rPr>
          <w:vertAlign w:val="subscript"/>
        </w:rPr>
        <w:t>4</w:t>
      </w:r>
      <w:r>
        <w:t>+</w:t>
      </w:r>
      <w:r>
        <w:t xml:space="preserve"> </w:t>
      </w:r>
      <w:r>
        <w:t>向挥发性NH平衡</w:t>
      </w:r>
      <w:r>
        <w:rPr>
          <w:vertAlign w:val="subscript"/>
        </w:rPr>
        <w:t>3</w:t>
      </w:r>
      <w:r>
        <w:t>，实现自发挥发和直接气体收集。实验和理论分析相结合表明，碳壳具有双重功能：它们在物理上抑制 Co 浸出，同时通过电子调节表面吸附来削弱 NH</w:t>
      </w:r>
      <w:r>
        <w:rPr>
          <w:vertAlign w:val="subscript"/>
        </w:rPr>
        <w:t>3</w:t>
      </w:r>
      <w:r>
        <w:t>结合并加速解吸。我们的工作建立了以氨阻力为中心的催化剂设计原则，并引入了一个将合成、分离和纯化统一在一个步骤中的电化学平台。</w:t>
      </w:r>
    </w:p>
    <w:p>
      <w:pPr>
        <w:spacing w:before="0" w:after="200" w:lineRule="auto" w:line="276"/>
      </w:pPr>
      <w:r>
        <w:rPr>
          <w:b/>
        </w:rPr>
        <w:t xml:space="preserve">Abstract (EN): </w:t>
      </w:r>
      <w:r>
        <w:t>Electrocatalytic nitrate reduction to ammonia presents a promising route for sustainable nitrogen utilization; however, current efforts remain largely confined to optimizing synthesis efficiency, with insufficient attention paid to the concurrent challenge of ammonia separation—a key bottleneck for scalable deployment. Here, we report carbon‐shell‐encapsulated cobalt nanoparticles (Co@C), which uniquely enable integrated ammonia synthesis and in situ gas‐phase purification under strongly alkaline conditions. In both sequencing batch and continuous‐flow electrolyzers, Co@C delivers a robust nitrate‐to‐ammonia Faradaic efficiency of 92.4%, maintaining performance even in the presence of exogenous ammonia. Critically, the high‐pH environment shifts the NH</w:t>
      </w:r>
      <w:r>
        <w:rPr>
          <w:vertAlign w:val="subscript"/>
        </w:rPr>
        <w:t>3</w:t>
      </w:r>
      <w:r>
        <w:t>/NH</w:t>
      </w:r>
      <w:r>
        <w:rPr>
          <w:vertAlign w:val="subscript"/>
        </w:rPr>
        <w:t>4</w:t>
      </w:r>
      <w:r>
        <w:t>+</w:t>
      </w:r>
      <w:r>
        <w:t xml:space="preserve"> </w:t>
      </w:r>
      <w:r>
        <w:t>equilibrium toward volatile NH</w:t>
      </w:r>
      <w:r>
        <w:rPr>
          <w:vertAlign w:val="subscript"/>
        </w:rPr>
        <w:t>3</w:t>
      </w:r>
      <w:r>
        <w:t>, enabling spontaneous volatilization and direct gaseous collection. Combined experimental and theoretical analyses demonstrate that the carbon shells confer dual functionality: they physically suppress Co leaching while electronically modulating surface adsorption to weaken NH</w:t>
      </w:r>
      <w:r>
        <w:rPr>
          <w:vertAlign w:val="subscript"/>
        </w:rPr>
        <w:t>3</w:t>
      </w:r>
      <w:r>
        <w:t>binding and accelerate desorption. Our work establishes a catalyst design principle centered on ammonia resistance and introduces an electrochemical platform that unifies synthesis, separation, and purification in a single step.</w:t>
      </w:r>
    </w:p>
    <w:p>
      <w:pPr>
        <w:spacing w:before="120" w:after="120"/>
      </w:pPr>
      <w:r>
        <w:rPr>
          <w:sz w:val="18"/>
        </w:rPr>
        <w:t>——————————————————————————————————————————————————————————————————————</w:t>
      </w:r>
    </w:p>
    <w:p>
      <w:pPr>
        <w:spacing w:before="160" w:after="40" w:line="240" w:lineRule="auto"/>
      </w:pPr>
      <w:r>
        <w:rPr>
          <w:b/>
        </w:rPr>
        <w:t xml:space="preserve">[34] </w:t>
      </w:r>
      <w:hyperlink r:id="rId246">
        <w:r>
          <w:rPr>
            <w:color w:val="1155CC"/>
            <w:u w:val="single"/>
          </w:rPr>
          <w:t>Co 3 O 4 上酸性水高效氧化的界面水介导的氧化物路径机制</w:t>
        </w:r>
      </w:hyperlink>
    </w:p>
    <w:p>
      <w:pPr>
        <w:spacing w:before="0" w:after="80"/>
      </w:pPr>
      <w:r>
        <w:rPr>
          <w:i/>
          <w:sz w:val="20"/>
        </w:rPr>
        <w:t>EN: Interfacial water mediated oxide path mechanism for efficient acidic water oxidation on Co 3 O 4</w:t>
      </w:r>
    </w:p>
    <w:p>
      <w:pPr>
        <w:spacing w:before="0" w:after="120"/>
      </w:pPr>
      <w:r>
        <w:rPr>
          <w:b/>
        </w:rPr>
        <w:t xml:space="preserve">Source: </w:t>
      </w:r>
      <w:r>
        <w:t>RSC - Energy Environ. Sci. latest articles</w:t>
      </w:r>
      <w:r>
        <w:t xml:space="preserve">    </w:t>
      </w:r>
      <w:r>
        <w:rPr>
          <w:b/>
        </w:rPr>
        <w:t xml:space="preserve">Pub date: </w:t>
      </w:r>
      <w:r>
        <w:t>2026-06-11 23:00:00+00:00</w:t>
      </w:r>
    </w:p>
    <w:p>
      <w:pPr>
        <w:spacing w:before="0" w:after="120"/>
      </w:pPr>
      <w:r>
        <w:rPr>
          <w:b/>
        </w:rPr>
        <w:t xml:space="preserve">Notes: </w:t>
      </w:r>
      <w:r>
        <w:t>abstract_source=rsc_html</w:t>
      </w:r>
    </w:p>
    <w:p>
      <w:pPr>
        <w:spacing w:before="0" w:after="80" w:lineRule="auto" w:line="276"/>
      </w:pPr>
      <w:r>
        <w:rPr>
          <w:b/>
        </w:rPr>
        <w:t xml:space="preserve">摘要（ZH）: </w:t>
      </w:r>
      <w:r>
        <w:t>需要开发高效稳定的 Co3O4 基电催化剂作为酸性析氧反应 (OER) 中 IrO2 的有前途的替代品，以支持质子交换膜水电解槽 (PEMWE) 更广泛的商业化。不幸的是，Co3O4 的活性受到有利的吸附质演化机制 (AEM) 的线性缩放关系的严重阻碍。尽管人们致力于通过调整Co3O4活性位点的固有结构来促进氧途径机制（OPM）绕过AEM途径，但对催化剂-电解质界面上的界面水分子的作用的关注有限。在这里，我们证明，Co3O4 的酸性 OER 途径可以通过用 Sb 部分取代 Co3O4 中的八面体 Co 原子来合理调节。我们发现，不对称的Sb-O-Co基序可以诱导界面H2O重新定向为H-down构型，从而抑制H2O分子对Co=O*中间体的亲核攻击，这是触发从AEM到OPM反应途径的关键。因此，所获得的Sb0.3Co2.7O4催化剂表现出显着的OER活性和长期耐久性，在2.11 V下实现了2 A cm-2，并在PEMWE装置中在2.0 A cm-2下稳定运行800小时以上。</w:t>
      </w:r>
    </w:p>
    <w:p>
      <w:pPr>
        <w:spacing w:before="0" w:after="200" w:lineRule="auto" w:line="276"/>
      </w:pPr>
      <w:r>
        <w:rPr>
          <w:b/>
        </w:rPr>
        <w:t xml:space="preserve">Abstract (EN): </w:t>
      </w:r>
      <w:r>
        <w:t>The development of highly efficient and stable Co3O4-based electrocatalysts as promising alternatives to IrO2 for acidic oxygen evolution reaction (OER) is needed to support broader commercialisation of proton exchange membrane water electrolyzer (PEMWE). Unfortunately, the activity of Co3O4 is severely hindered by the linear scaling relationship through the favorable adsorbate evolution mechanism (AEM). Although considerable efforts have been devoted to promoting oxygen pathway mechanism (OPM) to bypass the AEM pathway through tailoring the inherent structures of active sites on Co3O4, limited attention has been paid to the role of interfacial water molecules at the catalyst-electrolyte interface. Here, we demonstrate that the acidic OER pathway of Co3O4 can be rationally regulated through partial substitution of octahedral Co atoms in Co3O4 with Sb. We find that the asymmetric Sb-O-Co motif could induce interfacial H2O reorientation into H-down configuration, thus suppressing the nucleophilic attack of H2O molecules on Co=O* intermediate, which is the key for triggering the reaction pathway from AEM to OPM. Consequently, the obtained Sb0.3Co2.7O4 catalyst exhibits remarkable OER activity and long-term durability, achieving 2 A cm-2 at 2.11 V and stable operation for over 800 hours at 2.0 A cm-2 in a PEMWE device.</w:t>
      </w:r>
    </w:p>
    <w:p>
      <w:pPr>
        <w:spacing w:before="120" w:after="120"/>
      </w:pPr>
      <w:r>
        <w:rPr>
          <w:sz w:val="18"/>
        </w:rPr>
        <w:t>——————————————————————————————————————————————————————————————————————</w:t>
      </w:r>
    </w:p>
    <w:p>
      <w:pPr>
        <w:spacing w:before="160" w:after="40" w:line="240" w:lineRule="auto"/>
      </w:pPr>
      <w:r>
        <w:rPr>
          <w:b/>
        </w:rPr>
        <w:t xml:space="preserve">[35] </w:t>
      </w:r>
      <w:hyperlink r:id="rId247">
        <w:r>
          <w:rPr>
            <w:color w:val="1155CC"/>
            <w:u w:val="single"/>
          </w:rPr>
          <w:t>熵工程纳米材料的软化学路线：氧化还原电催化中复杂性驱动的性能</w:t>
        </w:r>
      </w:hyperlink>
    </w:p>
    <w:p>
      <w:pPr>
        <w:spacing w:before="0" w:after="80"/>
      </w:pPr>
      <w:r>
        <w:rPr>
          <w:i/>
          <w:sz w:val="20"/>
        </w:rPr>
        <w:t>EN: Soft-Chemistry Routes to Entropy-Engineered Nanomaterials: Complexity-Driven Performance in Redox Electrocatalysis</w:t>
      </w:r>
    </w:p>
    <w:p>
      <w:pPr>
        <w:spacing w:before="0" w:after="120"/>
      </w:pPr>
      <w:r>
        <w:rPr>
          <w:b/>
        </w:rPr>
        <w:t xml:space="preserve">Source: </w:t>
      </w:r>
      <w:r>
        <w:t>RSC - Energy Environ. Sci. latest articles</w:t>
      </w:r>
      <w:r>
        <w:t xml:space="preserve">    </w:t>
      </w:r>
      <w:r>
        <w:rPr>
          <w:b/>
        </w:rPr>
        <w:t xml:space="preserve">Pub date: </w:t>
      </w:r>
      <w:r>
        <w:t>2026-06-11 23:00:00+00:00</w:t>
      </w:r>
    </w:p>
    <w:p>
      <w:pPr>
        <w:spacing w:before="0" w:after="120"/>
      </w:pPr>
      <w:r>
        <w:rPr>
          <w:b/>
        </w:rPr>
        <w:t xml:space="preserve">Notes: </w:t>
      </w:r>
      <w:r>
        <w:t>abstract_source=rsc_html</w:t>
      </w:r>
    </w:p>
    <w:p>
      <w:pPr>
        <w:spacing w:before="0" w:after="80" w:lineRule="auto" w:line="276"/>
      </w:pPr>
      <w:r>
        <w:rPr>
          <w:b/>
        </w:rPr>
        <w:t xml:space="preserve">摘要（ZH）: </w:t>
      </w:r>
      <w:r>
        <w:t>高熵纳米材料（HENM）已成为一类独特的电催化剂，其成分复杂性产生协同活性位点、调整的电子结构和卓越的耐用性。高熵相的传统方法依赖于恶劣的热或高压条件来实现均匀合金化，限制了可扩展性和结构控制。相比之下，软化学路线的最新进展，例如水热和溶剂热方法、前体分解、电交换和共沉淀，使得高熵结构在非常温和的条件下变得稳定。这些策略不仅克服了多金属集成的动力学障碍，而且还允许精确调整形态、表面化学和原子构型。这种结构控制对于控制反应环境下的吸附能量、电荷转移途径和弹性至关重要，从而为 HENM 在氧化还原电催化中的复杂性驱动性能铺平了道路。本综述重点关注 HENM 的软化学合成以及电催化氧化和还原反应中的结构性能关系，提供了独特的视角。我们批判性地研究形成机制、设计原理和催化结果，强调熵工程的复杂性如何转化为增强的活性、选择性和稳定性。最后，我们确定了推进温和条件合成作为可持续和多功能平台的新兴机会</w:t>
      </w:r>
    </w:p>
    <w:p>
      <w:pPr>
        <w:spacing w:before="0" w:after="200" w:lineRule="auto" w:line="276"/>
      </w:pPr>
      <w:r>
        <w:rPr>
          <w:b/>
        </w:rPr>
        <w:t xml:space="preserve">Abstract (EN): </w:t>
      </w:r>
      <w:r>
        <w:t>High-entropy nanomaterials (HENMs) have emerged as a distinctive class of electrocatalysts in which compositional complexity generates synergistic active sites, tuned electronic structures and exceptional durability. Conventional approaches to high-entropy phases have relied on harsh thermal or high-pressure conditions to achieve uniform alloying, restricting both scalability and structural control. In contrast, recent advances in soft-chemistry routes, such as hydrothermal and solvothermal methods, precursor decomposition, galvanic exchange and co-precipitation, enable the stabilization of high-entropy architectures under remarkably mild conditions. These strategies not only overcome kinetic barriers for multimetallic integration but also permit precise tailoring of morphology, surface chemistry and atomic configurations. Such structural control is critical for governing adsorption energetics, charge-transfer pathways and resilience under reaction environments, thereby paving the way toward the complexity-driven performance of HENMs in redox electrocatalysis. This review offers a unique perspective by focusing on soft-chemistry synthesis of HENMs and the resulting structureperformance relationships in electrocatalytic oxidation and reduction reactions. We critically examine formation mechanisms, design principles and catalytic outcomes, highlighting how entropy-engineered complexity translates into enhanced activity, selectivity and stability. Finally, we identify emerging opportunities for advancing mild-condition synthesis as a sustainable and versatile platform for the rational design of next-generation high-entropy electrocatalysts for energy conversion..</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54">
        <w:r>
          <w:rPr>
            <w:color w:val="1155CC"/>
            <w:u w:val="single"/>
          </w:rPr>
          <w:t>美国墨西哥湾沿岸炼油厂利用核能和化石能源固碳的技术经济和环境比较分析</w:t>
        </w:r>
      </w:hyperlink>
    </w:p>
    <w:p>
      <w:pPr>
        <w:spacing w:before="0" w:after="80"/>
      </w:pPr>
      <w:r>
        <w:rPr>
          <w:i/>
          <w:sz w:val="20"/>
        </w:rPr>
        <w:t>EN: Comparative techno-economic and environmental analysis of using nuclear energy and fossil energy with carbon sequestration in U.S. Gulf Coast petroleum refineries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48">
        <w:r>
          <w:rPr>
            <w:color w:val="1155CC"/>
            <w:u w:val="single"/>
          </w:rPr>
          <w:t>优化电气化石灰石烧粘土水泥生产的市场招标和能源管理</w:t>
        </w:r>
      </w:hyperlink>
    </w:p>
    <w:p>
      <w:pPr>
        <w:spacing w:before="0" w:after="80"/>
      </w:pPr>
      <w:r>
        <w:rPr>
          <w:i/>
          <w:sz w:val="20"/>
        </w:rPr>
        <w:t>EN: Optimizing market bidding and energy management for electrified limestone calcined clay cement production</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49">
        <w:r>
          <w:rPr>
            <w:color w:val="1155CC"/>
            <w:u w:val="single"/>
          </w:rPr>
          <w:t>基于机器学习的船上热、电和燃料负载预测，用于海事决策支持</w:t>
        </w:r>
      </w:hyperlink>
    </w:p>
    <w:p>
      <w:pPr>
        <w:spacing w:before="0" w:after="80"/>
      </w:pPr>
      <w:r>
        <w:rPr>
          <w:i/>
          <w:sz w:val="20"/>
        </w:rPr>
        <w:t>EN: Machine learning-based forecasting of onboard thermal, electrical, and fuel load for maritime decision support</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50">
        <w:r>
          <w:rPr>
            <w:color w:val="1155CC"/>
            <w:u w:val="single"/>
          </w:rPr>
          <w:t>不确定性下工业能源系统生产网络与共享储能系统协同优化</w:t>
        </w:r>
      </w:hyperlink>
    </w:p>
    <w:p>
      <w:pPr>
        <w:spacing w:before="0" w:after="80"/>
      </w:pPr>
      <w:r>
        <w:rPr>
          <w:i/>
          <w:sz w:val="20"/>
        </w:rPr>
        <w:t>EN: Co-optimization of production networks and shared energy storage systems in industrial energy system under uncertainty</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51">
        <w:r>
          <w:rPr>
            <w:color w:val="1155CC"/>
            <w:u w:val="single"/>
          </w:rPr>
          <w:t>不确定性下绿色数据中心的能源感知作业调度：结构压缩频谱风险控制方法</w:t>
        </w:r>
      </w:hyperlink>
    </w:p>
    <w:p>
      <w:pPr>
        <w:spacing w:before="0" w:after="80"/>
      </w:pPr>
      <w:r>
        <w:rPr>
          <w:i/>
          <w:sz w:val="20"/>
        </w:rPr>
        <w:t>EN: Energy-aware job scheduling for green data centers under uncertainty: A structure-compressed spectral risk control approach</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52">
        <w:r>
          <w:rPr>
            <w:color w:val="1155CC"/>
            <w:u w:val="single"/>
          </w:rPr>
          <w:t>超越普遍决策者：能源系统脱碳和减少能源贫困的创新政策</w:t>
        </w:r>
      </w:hyperlink>
    </w:p>
    <w:p>
      <w:pPr>
        <w:spacing w:before="0" w:after="80"/>
      </w:pPr>
      <w:r>
        <w:rPr>
          <w:i/>
          <w:sz w:val="20"/>
        </w:rPr>
        <w:t>EN: Beyond the universal decision maker: renovation policy for decarbonizing energy systems and reducing energy poverty</w:t>
      </w:r>
    </w:p>
    <w:p>
      <w:pPr>
        <w:spacing w:before="0" w:after="120"/>
      </w:pPr>
      <w:r>
        <w:rPr>
          <w:b/>
        </w:rPr>
        <w:t xml:space="preserve">Source: </w:t>
      </w:r>
      <w:r>
        <w:t>ScienceDirect Publication: Energy Policy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53">
        <w:r>
          <w:rPr>
            <w:color w:val="1155CC"/>
            <w:u w:val="single"/>
          </w:rPr>
          <w:t>分阶段排放交易计划下碳减排技术的分阶段投资：实物期权分析</w:t>
        </w:r>
      </w:hyperlink>
    </w:p>
    <w:p>
      <w:pPr>
        <w:spacing w:before="0" w:after="80"/>
      </w:pPr>
      <w:r>
        <w:rPr>
          <w:i/>
          <w:sz w:val="20"/>
        </w:rPr>
        <w:t>EN: Staged investments in carbon abatement technologies under a phased emission trading scheme: A real options analysis</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54">
        <w:r>
          <w:rPr>
            <w:color w:val="1155CC"/>
            <w:u w:val="single"/>
          </w:rPr>
          <w:t>量化需求侧管理在构建能源灵活性中的作用：来自 EPBD 框架下智能就绪指标评估的证据</w:t>
        </w:r>
      </w:hyperlink>
    </w:p>
    <w:p>
      <w:pPr>
        <w:spacing w:before="0" w:after="80"/>
      </w:pPr>
      <w:r>
        <w:rPr>
          <w:i/>
          <w:sz w:val="20"/>
        </w:rPr>
        <w:t>EN: Quantifying the role of Demand Side Management in building energy flexibility: evidence from Smart Readiness Indicator assessment under the EPBD framework</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93">
        <w:r>
          <w:rPr>
            <w:color w:val="1155CC"/>
            <w:u w:val="single"/>
          </w:rPr>
          <w:t>考虑频率储备市场中生产调度和电解槽灵活性的氢加热钢厂部门耦合联合优化</w:t>
        </w:r>
      </w:hyperlink>
    </w:p>
    <w:p>
      <w:pPr>
        <w:spacing w:before="0" w:after="80"/>
      </w:pPr>
      <w:r>
        <w:rPr>
          <w:i/>
          <w:sz w:val="20"/>
        </w:rPr>
        <w:t>EN: Sector-coupled co-optimization for hydrogen-heated steel plants considering production scheduling and electrolyzer flexibility in frequency reserve market</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55">
        <w:r>
          <w:rPr>
            <w:color w:val="1155CC"/>
            <w:u w:val="single"/>
          </w:rPr>
          <w:t>阶段演化 Pd 催化的动态演化：解锁木质素衍生醛的高效选择性加氢</w:t>
        </w:r>
      </w:hyperlink>
    </w:p>
    <w:p>
      <w:pPr>
        <w:spacing w:before="0" w:after="80"/>
      </w:pPr>
      <w:r>
        <w:rPr>
          <w:i/>
          <w:sz w:val="20"/>
        </w:rPr>
        <w:t>EN: Dynamic evolution in stage-evolving Pd catalysis: unlocking efficient and selective hydrogenation of lignin-derived aldehydes</w:t>
      </w:r>
    </w:p>
    <w:p>
      <w:pPr>
        <w:spacing w:before="0" w:after="120"/>
      </w:pPr>
      <w:r>
        <w:rPr>
          <w:b/>
        </w:rPr>
        <w:t xml:space="preserve">Source: </w:t>
      </w:r>
      <w:r>
        <w:t>National Science Review Advance Access</w:t>
      </w:r>
      <w:r>
        <w:t xml:space="preserve">    </w:t>
      </w:r>
      <w:r>
        <w:rPr>
          <w:b/>
        </w:rPr>
        <w:t xml:space="preserve">Pub date: </w:t>
      </w:r>
      <w:r>
        <w:t>2026-06-08 00:00:00+00:00</w:t>
      </w:r>
      <w:r>
        <w:t xml:space="preserve">    </w:t>
      </w:r>
      <w:r>
        <w:rPr>
          <w:b/>
        </w:rPr>
        <w:t xml:space="preserve">DOI: </w:t>
      </w:r>
      <w:hyperlink r:id="rId256">
        <w:r>
          <w:rPr>
            <w:color w:val="1155CC"/>
            <w:u w:val="single"/>
          </w:rPr>
          <w:t>10.1093/nsr/nwag338</w:t>
        </w:r>
      </w:hyperlink>
    </w:p>
    <w:p>
      <w:pPr>
        <w:spacing w:before="0" w:after="120"/>
      </w:pPr>
      <w:r>
        <w:rPr>
          <w:b/>
        </w:rPr>
        <w:t xml:space="preserve">Notes: </w:t>
      </w:r>
      <w:r>
        <w:t>abstract_source=rss_oup</w:t>
      </w:r>
    </w:p>
    <w:p>
      <w:pPr>
        <w:spacing w:before="0" w:after="80" w:lineRule="auto" w:line="276"/>
      </w:pPr>
      <w:r>
        <w:rPr>
          <w:b/>
        </w:rPr>
        <w:t xml:space="preserve">摘要（ZH）: </w:t>
      </w:r>
      <w:r>
        <w:t>木质素衍生醛的选择性氢化，特别是在环境条件下实现高催化剂原子效率，仍然具有挑战性。在这里，我们开发了一种阶段演化的 Pd 催化，它桥接了不同 Pd 状态的功能，以解决这一限制。操作监测揭示了从均质 Pd2+ 到石墨烯限制的 Pd 纳米颗粒（~3.26 nm）的连续转变，每个阶段都做出特定的贡献。在30℃的香草醛加氢反应中，该系统在30分钟内实现了99.4%的转化率，2-甲氧基-4-甲基苯酚的收率达到95.0%，周转频率高达673.9 h−1，优于传统的由H2或NaBH4还原的静态位点Pd催化剂（≤42.5%转化率，12.1%收率）。全面的原位光谱表征，结合动力学和理论研究，阐明了在不同的 Pd 活性位点控制香草醛氢化的界面反应途径，并建立了多级催化和产物选择性之间的相关性。从机理上讲，初始的 Pd2+ 相促进 C = O 吸附和随后加氢为 C-OH (47.47 kJ/mol)，而原位生成的 Pd/石墨烯促进 H2 均解离解为 H*（而不是氢从异丙醇溶剂转移）并驱动 C-OH (52.44 kJ/mol) 的决定速率的加氢脱氧。这项工作为合理设计动态催化系统以实现木质素衍生醛的原子有效氢化铺平了道路。</w:t>
      </w:r>
    </w:p>
    <w:p>
      <w:pPr>
        <w:spacing w:before="0" w:after="200" w:lineRule="auto" w:line="276"/>
      </w:pPr>
      <w:r>
        <w:rPr>
          <w:b/>
        </w:rPr>
        <w:t xml:space="preserve">Abstract (EN): </w:t>
      </w:r>
      <w:r>
        <w:t>Selective hydrogenation of lignin-derived aldehydes, particularly achieving high catalyst atomic efficiency under ambient conditions, remains challenging. Here, we developed a stage-evolving Pd catalysis that bridges the functions of distinct Pd states to address this limitation. Operando monitoring reveals a sequential transformation from homogeneous Pd2+ to graphene-confined Pd nanoparticles (~3.26 nm), with each stage making a specific contribution. In the vanillin hydrogenation at 30 °C, this system achieves 99.4% conversion within 30 min with 95.0% yield toward 2-methoxy-4-methylphenol and a remarkable turnover frequency of 673.9 h−1, outperforming conventional static sites Pd catalysts reduced by H2 or NaBH4 (≤42.5% conversion, 12.1% yield). Comprehensive in-situ spectroscopic characterizations, combined with kinetic and theoretical investigations, have elucidated the interfacial reaction pathways governing vanillin hydrogenation at distinct Pd active sites and established the correlation between multi-stage catalysis and product selectivity. Mechanistically, the initial Pd2+ phase facilitates C = O adsorption and subsequent hydrogenation to C-OH (47.47 kJ/mol), whereas the in-situ generated Pd/Graphene promotes H2 homolytic dissociation into H* (rather than hydrogen transfer from the isopropanol solvent) and drives the rate-determining hydrodeoxygenation of C-OH (52.44 kJ/mol). This work paves the way for the rational design of dynamic catalytic systems to achieve atomically efficient hydrogenation of lignin-derived aldehydes.</w:t>
      </w:r>
    </w:p>
    <w:p>
      <w:pPr>
        <w:spacing w:before="120" w:after="120"/>
      </w:pPr>
      <w:r>
        <w:rPr>
          <w:sz w:val="18"/>
        </w:rPr>
        <w:t>——————————————————————————————————————————————————————————————————————</w:t>
      </w:r>
    </w:p>
    <w:p>
      <w:pPr>
        <w:spacing w:before="160" w:after="40" w:line="240" w:lineRule="auto"/>
      </w:pPr>
      <w:r>
        <w:rPr>
          <w:b/>
        </w:rPr>
        <w:t xml:space="preserve">[11] </w:t>
      </w:r>
      <w:hyperlink r:id="rId257">
        <w:r>
          <w:rPr>
            <w:color w:val="1155CC"/>
            <w:u w:val="single"/>
          </w:rPr>
          <w:t>连接国家气候目标和企业决策：基于代理的中国钢铁脱碳路径模型</w:t>
        </w:r>
      </w:hyperlink>
    </w:p>
    <w:p>
      <w:pPr>
        <w:spacing w:before="0" w:after="80"/>
      </w:pPr>
      <w:r>
        <w:rPr>
          <w:i/>
          <w:sz w:val="20"/>
        </w:rPr>
        <w:t>EN: Bridging national climate targets and firm-level decisions: An agent-based model of China’s steel decarbonization pathways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258">
        <w:r>
          <w:rPr>
            <w:color w:val="1155CC"/>
            <w:u w:val="single"/>
          </w:rPr>
          <w:t>10.1073/pnas.2528009123</w:t>
        </w:r>
      </w:hyperlink>
    </w:p>
    <w:p>
      <w:pPr>
        <w:spacing w:before="0" w:after="120"/>
      </w:pPr>
      <w:r>
        <w:rPr>
          <w:b/>
        </w:rPr>
        <w:t xml:space="preserve">Notes: </w:t>
      </w:r>
      <w:r>
        <w:t>abstract_source=crossref</w:t>
      </w:r>
    </w:p>
    <w:p>
      <w:pPr>
        <w:spacing w:before="0" w:after="80" w:lineRule="auto" w:line="276"/>
      </w:pPr>
      <w:r>
        <w:rPr>
          <w:b/>
        </w:rPr>
        <w:t xml:space="preserve">摘要（ZH）: </w:t>
      </w:r>
      <w:r>
        <w:t>中国的钢铁行业对于国家和全球气候目标至关重要，但脱碳受到根深蒂固的煤炭生产流程和地区差异的限制。自上而下和自下而上的模型常常忽略公司层面的异质性和行为动态。在这里，我们开发了一个基于代理的模型，将政策信号（碳上限、污染标准和资源限制）与公司层面的投资决策联系起来。我们评估了四种情景，将当前和强化的气候和空气目标与中性或加速的技术进步相结合。所有场景实现深度CO</w:t>
      </w:r>
      <w:r>
        <w:rPr>
          <w:vertAlign w:val="subscript"/>
        </w:rPr>
        <w:t>2</w:t>
      </w:r>
      <w:r>
        <w:t>减少（到 2060 年 90% 到 95%），但只有综合政策加技术途径才能在本世纪中叶之前消除高炉，实现最大幅度的下降。纯政策或技术途径需要权衡，包括锁定碳捕获和储存或延迟减排。我们的研究结果表明，将严格的气候政策与快速技术成本下降同步对于引导中国钢铁行业走向碳中和轨道至关重要。</w:t>
      </w:r>
    </w:p>
    <w:p>
      <w:pPr>
        <w:spacing w:before="0" w:after="200" w:lineRule="auto" w:line="276"/>
      </w:pPr>
      <w:r>
        <w:rPr>
          <w:b/>
        </w:rPr>
        <w:t xml:space="preserve">Abstract (EN): </w:t>
      </w:r>
      <w:r>
        <w:t>China’s steel sector is pivotal to national and global climate goals, yet decarbonization is constrained by entrenched coal-based processes and regional disparities. Top–down and bottom–up models often neglect firm-level heterogeneity and behavioral dynamics. Here, we develop an agent-based model linking policy signals—carbon caps, pollution standards, and resource limits—with firm-level investment decisions. We evaluate four scenarios combining current and strengthened climate and air targets with neutral or accelerated technology progress. All scenarios achieve deep CO</w:t>
      </w:r>
      <w:r>
        <w:rPr>
          <w:vertAlign w:val="subscript"/>
        </w:rPr>
        <w:t>2</w:t>
      </w:r>
      <w:r>
        <w:t>reductions (90 to 95% by 2060), but only the integrated policy-plus- technology pathway eliminates blast furnaces before midcentury, achieving the steepest declines. Policy- or technology-only pathways entail trade-offs, including lock-in to carbon capture and storage or delayed reductions. Our results show that synchronizing stringent climate policy with rapid technology cost declines is essential to steer China’s steel industry toward a carbon-neutral trajectory.</w:t>
      </w:r>
    </w:p>
    <w:p>
      <w:pPr>
        <w:spacing w:before="120" w:after="120"/>
      </w:pPr>
      <w:r>
        <w:rPr>
          <w:sz w:val="18"/>
        </w:rPr>
        <w:t>——————————————————————————————————————————————————————————————————————</w:t>
      </w:r>
    </w:p>
    <w:p>
      <w:pPr>
        <w:spacing w:before="160" w:after="40" w:line="240" w:lineRule="auto"/>
      </w:pPr>
      <w:r>
        <w:rPr>
          <w:b/>
        </w:rPr>
        <w:t xml:space="preserve">[12] </w:t>
      </w:r>
      <w:hyperlink r:id="rId259">
        <w:r>
          <w:rPr>
            <w:color w:val="1155CC"/>
            <w:u w:val="single"/>
          </w:rPr>
          <w:t>瘤胃 6-羟基褪黑激素的宿主基因调控可减少奶牛的甲烷排放</w:t>
        </w:r>
      </w:hyperlink>
    </w:p>
    <w:p>
      <w:pPr>
        <w:spacing w:before="0" w:after="80"/>
      </w:pPr>
      <w:r>
        <w:rPr>
          <w:i/>
          <w:sz w:val="20"/>
        </w:rPr>
        <w:t>EN: Host genetic regulation of rumen 6-hydroxymelatonin reduces methane emissions in dairy cattle</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260">
        <w:r>
          <w:rPr>
            <w:color w:val="1155CC"/>
            <w:u w:val="single"/>
          </w:rPr>
          <w:t>10.1073/pnas.2604454123</w:t>
        </w:r>
      </w:hyperlink>
    </w:p>
    <w:p>
      <w:pPr>
        <w:spacing w:before="0" w:after="120"/>
      </w:pPr>
      <w:r>
        <w:rPr>
          <w:b/>
        </w:rPr>
        <w:t xml:space="preserve">Notes: </w:t>
      </w:r>
      <w:r>
        <w:t>abstract_source=crossref</w:t>
      </w:r>
    </w:p>
    <w:p>
      <w:pPr>
        <w:spacing w:before="0" w:after="80" w:lineRule="auto" w:line="276"/>
      </w:pPr>
      <w:r>
        <w:rPr>
          <w:b/>
        </w:rPr>
        <w:t xml:space="preserve">摘要（ZH）: </w:t>
      </w:r>
      <w:r>
        <w:t>将宿主遗传学与瘤胃甲烷排放联系起来的机制仍不清楚。在这里，我们整合了 304 头泌乳奶牛的多组学数据，并证明单位干物质摄入量的甲烷排放量 (M/D) 表现出更高的遗传力（</w:t>
      </w:r>
      <w:r>
        <w:t xml:space="preserve"> </w:t>
      </w:r>
      <w:r>
        <w:t>小时</w:t>
      </w:r>
      <w:r>
        <w:rPr>
          <w:vertAlign w:val="subscript"/>
        </w:rPr>
        <w:t>2</w:t>
      </w:r>
      <w:r>
        <w:t xml:space="preserve"> </w:t>
      </w:r>
      <w:r>
        <w:t>= 0.42) 比微生物能力 (</w:t>
      </w:r>
      <w:r>
        <w:t xml:space="preserve"> </w:t>
      </w:r>
      <w:r>
        <w:t>米</w:t>
      </w:r>
      <w:r>
        <w:rPr>
          <w:vertAlign w:val="subscript"/>
        </w:rPr>
        <w:t>2</w:t>
      </w:r>
      <w:r>
        <w:t xml:space="preserve"> </w:t>
      </w:r>
      <w:r>
        <w:t>= 0.19），强调了宿主遗传学的主导作用。孟德尔随机化 (MR) 分析确定了三种遗传性</w:t>
      </w:r>
      <w:r>
        <w:t xml:space="preserve"> </w:t>
      </w:r>
      <w:r>
        <w:t>普雷沃特拉</w:t>
      </w:r>
      <w:r>
        <w:t xml:space="preserve"> </w:t>
      </w:r>
      <w:r>
        <w:t>物种（包括</w:t>
      </w:r>
      <w:r>
        <w:t xml:space="preserve"> </w:t>
      </w:r>
      <w:r>
        <w:t>布氏普氏菌</w:t>
      </w:r>
      <w:r>
        <w:t xml:space="preserve"> </w:t>
      </w:r>
      <w:r>
        <w:t>）从而减少甲烷排放。网络建议</w:t>
      </w:r>
      <w:r>
        <w:t xml:space="preserve"> </w:t>
      </w:r>
      <w:r>
        <w:t>布氏普氏菌</w:t>
      </w:r>
      <w:r>
        <w:t xml:space="preserve"> </w:t>
      </w:r>
      <w:r>
        <w:t>含有 [NiFe]_Group_1d 氢化酶，通过与产甲烷菌竞争 H2 来发挥这种作用。此外，减少甲烷排放的效果</w:t>
      </w:r>
      <w:r>
        <w:t xml:space="preserve"> </w:t>
      </w:r>
      <w:r>
        <w:t>布氏普氏菌</w:t>
      </w:r>
      <w:r>
        <w:t xml:space="preserve"> </w:t>
      </w:r>
      <w:r>
        <w:t>经体外发酵实验证实。为了追踪宿主的上游调节，宿主衍生的代谢物 6-羟基褪黑激素被确定为对这些调节产生积极影响的关键调节剂。</w:t>
      </w:r>
      <w:r>
        <w:t xml:space="preserve"> </w:t>
      </w:r>
      <w:r>
        <w:t>普雷沃特拉</w:t>
      </w:r>
      <w:r>
        <w:t xml:space="preserve"> </w:t>
      </w:r>
      <w:r>
        <w:t>通过MR分析物种，并通过体外发酵和纯细菌培养实验进一步验证。全基因组关联研究将瘤胃 6-羟基褪黑素水平与候选基因附近的宿主遗传变异（例如 5:106926534）联系起来，包括</w:t>
      </w:r>
    </w:p>
    <w:p>
      <w:pPr>
        <w:spacing w:before="0" w:after="200" w:lineRule="auto" w:line="276"/>
      </w:pPr>
      <w:r>
        <w:rPr>
          <w:b/>
        </w:rPr>
        <w:t xml:space="preserve">Abstract (EN): </w:t>
      </w:r>
      <w:r>
        <w:t>The mechanisms linking host genetics to ruminal methane emissions remain unclear. Here, we integrated multiomics data from 304 lactating cows and demonstrated that methane emission per dry matter intake (M/D) exhibitd higher heritability (</w:t>
      </w:r>
      <w:r>
        <w:t xml:space="preserve"> </w:t>
      </w:r>
      <w:r>
        <w:t>h</w:t>
      </w:r>
      <w:r>
        <w:rPr>
          <w:vertAlign w:val="subscript"/>
        </w:rPr>
        <w:t>2</w:t>
      </w:r>
      <w:r>
        <w:t xml:space="preserve"> </w:t>
      </w:r>
      <w:r>
        <w:t>= 0.42) than microbiability (</w:t>
      </w:r>
      <w:r>
        <w:t xml:space="preserve"> </w:t>
      </w:r>
      <w:r>
        <w:t>m</w:t>
      </w:r>
      <w:r>
        <w:rPr>
          <w:vertAlign w:val="subscript"/>
        </w:rPr>
        <w:t>2</w:t>
      </w:r>
      <w:r>
        <w:t xml:space="preserve"> </w:t>
      </w:r>
      <w:r>
        <w:t>= 0.19), highlighting the predominant role of host genetics. Mendelian randomization (MR) analysis identified three heritable</w:t>
      </w:r>
      <w:r>
        <w:t xml:space="preserve"> </w:t>
      </w:r>
      <w:r>
        <w:t>Prevotella</w:t>
      </w:r>
      <w:r>
        <w:t xml:space="preserve"> </w:t>
      </w:r>
      <w:r>
        <w:t>species (including</w:t>
      </w:r>
      <w:r>
        <w:t xml:space="preserve"> </w:t>
      </w:r>
      <w:r>
        <w:t>Prevotella_bryantii</w:t>
      </w:r>
      <w:r>
        <w:t xml:space="preserve"> </w:t>
      </w:r>
      <w:r>
        <w:t>) that causally reduce methane emissions. Network suggested that</w:t>
      </w:r>
      <w:r>
        <w:t xml:space="preserve"> </w:t>
      </w:r>
      <w:r>
        <w:t>Prevotella_bryantii</w:t>
      </w:r>
      <w:r>
        <w:t xml:space="preserve"> </w:t>
      </w:r>
      <w:r>
        <w:t>, which harbors the [NiFe]_Group_1d hydrogenase, exerts this effect by competing with methanogens for H₂. Furthermore, the methane-reducing effect of</w:t>
      </w:r>
      <w:r>
        <w:t xml:space="preserve"> </w:t>
      </w:r>
      <w:r>
        <w:t>Prevotella _bryantii</w:t>
      </w:r>
      <w:r>
        <w:t xml:space="preserve"> </w:t>
      </w:r>
      <w:r>
        <w:t>was confirmed by in vitro fermentation experiments. To trace the host regulation upstream, the host-derived metabolite 6-hydroxymelatonin was identified as a key regulator that positively influences these</w:t>
      </w:r>
      <w:r>
        <w:t xml:space="preserve"> </w:t>
      </w:r>
      <w:r>
        <w:t>Prevotella</w:t>
      </w:r>
      <w:r>
        <w:t xml:space="preserve"> </w:t>
      </w:r>
      <w:r>
        <w:t>species by MR analysis, which was further validated by in vitro fermentation and pure bacterial culture experiments. Genome-wide association studies linked ruminal 6-hydroxymelatonin levels to host genetic variants (e.g., 5:106926534) near candidate genes including</w:t>
      </w:r>
      <w:r>
        <w:t xml:space="preserve"> </w:t>
      </w:r>
      <w:r>
        <w:t>ITFG</w:t>
      </w:r>
      <w:r>
        <w:t xml:space="preserve"> </w:t>
      </w:r>
      <w:r>
        <w:t>2. Functional studies in bovine hepatocytes revealed that</w:t>
      </w:r>
      <w:r>
        <w:t xml:space="preserve"> </w:t>
      </w:r>
      <w:r>
        <w:t>ITFG</w:t>
      </w:r>
      <w:r>
        <w:t xml:space="preserve"> </w:t>
      </w:r>
      <w:r>
        <w:t>2 knockdown activated the mTORC1 pathway, upregulated</w:t>
      </w:r>
      <w:r>
        <w:t xml:space="preserve"> </w:t>
      </w:r>
      <w:r>
        <w:t>CYP</w:t>
      </w:r>
      <w:r>
        <w:rPr>
          <w:vertAlign w:val="subscript"/>
        </w:rPr>
        <w:t>1</w:t>
      </w:r>
      <w:r>
        <w:t>A</w:t>
      </w:r>
      <w:r>
        <w:t xml:space="preserve"> </w:t>
      </w:r>
      <w:r>
        <w:t>2 expression, and increased 6-hydroxymelatonin synthesis. Furthermore, cattle carrying the TA genotype at 5:106926534 exhibited significantly lower predicted and measured methane emissions. Collectively, this study unveils a pathway whereby host genetics (via</w:t>
      </w:r>
      <w:r>
        <w:t xml:space="preserve"> </w:t>
      </w:r>
      <w:r>
        <w:t>ITFG</w:t>
      </w:r>
      <w:r>
        <w:t xml:space="preserve"> </w:t>
      </w:r>
      <w:r>
        <w:t>2/mTORC1) modulate hepatic 6-hydroxymelatonin synthesis, which enriches specific rumen</w:t>
      </w:r>
      <w:r>
        <w:t xml:space="preserve"> </w:t>
      </w:r>
      <w:r>
        <w:t>Prevotella</w:t>
      </w:r>
      <w:r>
        <w:t xml:space="preserve"> </w:t>
      </w:r>
      <w:r>
        <w:t>that compete with methanogens for hydrogen, thereby reducing methane.</w:t>
      </w:r>
    </w:p>
    <w:p>
      <w:pPr>
        <w:spacing w:before="120" w:after="120"/>
      </w:pPr>
      <w:r>
        <w:rPr>
          <w:sz w:val="18"/>
        </w:rPr>
        <w:t>——————————————————————————————————————————————————————————————————————</w:t>
      </w:r>
    </w:p>
    <w:p>
      <w:pPr>
        <w:spacing w:before="160" w:after="40" w:line="240" w:lineRule="auto"/>
      </w:pPr>
      <w:r>
        <w:rPr>
          <w:b/>
        </w:rPr>
        <w:t xml:space="preserve">[13] </w:t>
      </w:r>
      <w:hyperlink r:id="rId261">
        <w:r>
          <w:rPr>
            <w:color w:val="1155CC"/>
            <w:u w:val="single"/>
          </w:rPr>
          <w:t>中国国家排放交易计划执行的经验和经济见解：来自第一个履约期的证据</w:t>
        </w:r>
      </w:hyperlink>
    </w:p>
    <w:p>
      <w:pPr>
        <w:spacing w:before="0" w:after="80"/>
      </w:pPr>
      <w:r>
        <w:rPr>
          <w:i/>
          <w:sz w:val="20"/>
        </w:rPr>
        <w:t>EN: Empirical and economic insights into the enforcement of China's national emissions trading scheme: Evidence from the first compliance period</w:t>
      </w:r>
    </w:p>
    <w:p>
      <w:pPr>
        <w:spacing w:before="0" w:after="120"/>
      </w:pPr>
      <w:r>
        <w:rPr>
          <w:b/>
        </w:rPr>
        <w:t xml:space="preserve">Source: </w:t>
      </w:r>
      <w:r>
        <w:t>ScienceDirect Publication: Energy Policy</w:t>
      </w:r>
      <w:r>
        <w:t xml:space="preserve">    </w:t>
      </w:r>
      <w:r>
        <w:rPr>
          <w:b/>
        </w:rPr>
        <w:t xml:space="preserve">Pub date: </w:t>
      </w:r>
      <w:r>
        <w:t>2026-06-09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62">
        <w:r>
          <w:rPr>
            <w:color w:val="1155CC"/>
            <w:u w:val="single"/>
          </w:rPr>
          <w:t>能源与环境政策在碳减排中的成本效益协同：来自中国钢铁行业的证据</w:t>
        </w:r>
      </w:hyperlink>
    </w:p>
    <w:p>
      <w:pPr>
        <w:spacing w:before="0" w:after="80"/>
      </w:pPr>
      <w:r>
        <w:rPr>
          <w:i/>
          <w:sz w:val="20"/>
        </w:rPr>
        <w:t>EN: Cost-effective synergy of energy and environmental policies in carbon emission reduction: Evidence from China's iron and steel industry</w:t>
      </w:r>
    </w:p>
    <w:p>
      <w:pPr>
        <w:spacing w:before="0" w:after="120"/>
      </w:pPr>
      <w:r>
        <w:rPr>
          <w:b/>
        </w:rPr>
        <w:t xml:space="preserve">Source: </w:t>
      </w:r>
      <w:r>
        <w:t>ScienceDirect Publication: Energy Policy</w:t>
      </w:r>
      <w:r>
        <w:t xml:space="preserve">    </w:t>
      </w:r>
      <w:r>
        <w:rPr>
          <w:b/>
        </w:rPr>
        <w:t xml:space="preserve">Pub date: </w:t>
      </w:r>
      <w:r>
        <w:t>2026-06-09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63">
        <w:r>
          <w:rPr>
            <w:color w:val="1155CC"/>
            <w:u w:val="single"/>
          </w:rPr>
          <w:t>熵稳定的铝酸盐催化剂打破了 CF4 水解中活性与稳定性的权衡</w:t>
        </w:r>
      </w:hyperlink>
    </w:p>
    <w:p>
      <w:pPr>
        <w:spacing w:before="0" w:after="80"/>
      </w:pPr>
      <w:r>
        <w:rPr>
          <w:i/>
          <w:sz w:val="20"/>
        </w:rPr>
        <w:t>EN: Entropy‐Stabilized Aluminate Catalysts That Break the Activity–Stability Tradeoff in CF4 Hydrolysis</w:t>
      </w:r>
    </w:p>
    <w:p>
      <w:pPr>
        <w:spacing w:before="0" w:after="120"/>
      </w:pPr>
      <w:r>
        <w:rPr>
          <w:b/>
        </w:rPr>
        <w:t xml:space="preserve">Source: </w:t>
      </w:r>
      <w:r>
        <w:t>Wiley: Angewandte Chemie International Edition: Table of Contents</w:t>
      </w:r>
      <w:r>
        <w:t xml:space="preserve">    </w:t>
      </w:r>
      <w:r>
        <w:rPr>
          <w:b/>
        </w:rPr>
        <w:t xml:space="preserve">Pub date: </w:t>
      </w:r>
      <w:r>
        <w:t>2026-06-09 01:08:52+00:00</w:t>
      </w:r>
      <w:r>
        <w:t xml:space="preserve">    </w:t>
      </w:r>
      <w:r>
        <w:rPr>
          <w:b/>
        </w:rPr>
        <w:t xml:space="preserve">DOI: </w:t>
      </w:r>
      <w:hyperlink r:id="rId264">
        <w:r>
          <w:rPr>
            <w:color w:val="1155CC"/>
            <w:u w:val="single"/>
          </w:rPr>
          <w:t>10.1002/anie.6752036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四氟甲烷（CF</w:t>
      </w:r>
      <w:r>
        <w:rPr>
          <w:vertAlign w:val="subscript"/>
        </w:rPr>
        <w:t>4</w:t>
      </w:r>
      <w:r>
        <w:t>）是一种强效、长寿命的温室气体，广泛用于半导体干蚀刻工艺中，但由于缺乏在强氟化、富含蒸汽的条件下同时表现出高活性和耐久性的催化剂，通过水解来减少其排放仍然具有挑战性。传统的氧化铝基催化剂存在严重的活性与稳定性权衡问题，只有通过表面积损失、大量氟化和形成催化惰性物质而导致快速失活，才能提供良好的活性。</w:t>
      </w:r>
      <w:r>
        <w:t xml:space="preserve"> </w:t>
      </w:r>
      <w:r>
        <w:t>α</w:t>
      </w:r>
      <w:r>
        <w:t xml:space="preserve"> </w:t>
      </w:r>
      <w:r>
        <w:t>‐铝</w:t>
      </w:r>
      <w:r>
        <w:rPr>
          <w:vertAlign w:val="subscript"/>
        </w:rPr>
        <w:t>2</w:t>
      </w:r>
      <w:r>
        <w:t>氧</w:t>
      </w:r>
      <w:r>
        <w:rPr>
          <w:vertAlign w:val="subscript"/>
        </w:rPr>
        <w:t>3</w:t>
      </w:r>
      <w:r>
        <w:t>。在这里，我们报告了一种熵稳定的铝酸盐催化剂，通过将多阳离子铝酸盐框架与熵稳定的晶格相结合，克服了这一长期存在的权衡。多种金属阳离子的结合产生了缺电子的Al-O环境，增强了异解C-F键的活化，同时抑制了H</w:t>
      </w:r>
      <w:r>
        <w:rPr>
          <w:vertAlign w:val="subscript"/>
        </w:rPr>
        <w:t>2</w:t>
      </w:r>
      <w:r>
        <w:t>O中毒，从而增加实际条件下的内在活性。同时，通过高构型熵实现晶格稳定，抑制氟化物向体晶格的传播，有效抑制原位 AlF</w:t>
      </w:r>
      <w:r>
        <w:rPr>
          <w:vertAlign w:val="subscript"/>
        </w:rPr>
        <w:t>3</w:t>
      </w:r>
      <w:r>
        <w:t>形成及其随后的水解</w:t>
      </w:r>
      <w:r>
        <w:t xml:space="preserve"> </w:t>
      </w:r>
      <w:r>
        <w:t>α</w:t>
      </w:r>
      <w:r>
        <w:t xml:space="preserve"> </w:t>
      </w:r>
      <w:r>
        <w:t>‐铝</w:t>
      </w:r>
      <w:r>
        <w:rPr>
          <w:vertAlign w:val="subscript"/>
        </w:rPr>
        <w:t>2</w:t>
      </w:r>
      <w:r>
        <w:t>氧</w:t>
      </w:r>
    </w:p>
    <w:p>
      <w:pPr>
        <w:spacing w:before="0" w:after="200" w:lineRule="auto" w:line="276"/>
      </w:pPr>
      <w:r>
        <w:rPr>
          <w:b/>
        </w:rPr>
        <w:t xml:space="preserve">Abstract (EN): </w:t>
      </w:r>
      <w:r>
        <w:t>Tetrafluoromethane (CF</w:t>
      </w:r>
      <w:r>
        <w:rPr>
          <w:vertAlign w:val="subscript"/>
        </w:rPr>
        <w:t>4</w:t>
      </w:r>
      <w:r>
        <w:t>) is a potent, long‐lived greenhouse gas widely used in semiconductor dry‐etching processes, yet its abatement via hydrolysis remains challenging due to the lack of catalysts that simultaneously exhibit high activity and durability under strongly fluorinating, steam‐rich conditions. Conventional alumina‐based catalysts suffer from severe activity–stability tradeoffs, offering good activity only at the cost of rapid deactivation through surface‐area loss, bulk fluorination, and the formation of catalytically inactive</w:t>
      </w:r>
      <w:r>
        <w:t xml:space="preserve"> </w:t>
      </w:r>
      <w:r>
        <w:t>α</w:t>
      </w:r>
      <w:r>
        <w:t xml:space="preserve"> </w:t>
      </w:r>
      <w:r>
        <w:t>‐Al</w:t>
      </w:r>
      <w:r>
        <w:rPr>
          <w:vertAlign w:val="subscript"/>
        </w:rPr>
        <w:t>2</w:t>
      </w:r>
      <w:r>
        <w:t>O</w:t>
      </w:r>
      <w:r>
        <w:rPr>
          <w:vertAlign w:val="subscript"/>
        </w:rPr>
        <w:t>3</w:t>
      </w:r>
      <w:r>
        <w:t>. Here, we report an entropy‐stabilized aluminate catalyst that overcomes this long‐standing tradeoff by combining a multication aluminate framework with an entropy‐stabilized lattice. The incorporation of multiple metal cations produces an electron‐deficient Al–O environment that enhances heterolytic C–F bond activation while suppressing H</w:t>
      </w:r>
      <w:r>
        <w:rPr>
          <w:vertAlign w:val="subscript"/>
        </w:rPr>
        <w:t>2</w:t>
      </w:r>
      <w:r>
        <w:t>O poisoning, thereby increasing intrinsic activity under practical conditions. Simultaneously, the lattice stabilization via high configurational entropy inhibits the propagation of fluorination into the bulk lattice, effectively suppressing in situ AlF</w:t>
      </w:r>
      <w:r>
        <w:rPr>
          <w:vertAlign w:val="subscript"/>
        </w:rPr>
        <w:t>3</w:t>
      </w:r>
      <w:r>
        <w:t>formation and its subsequent hydrolysis to</w:t>
      </w:r>
      <w:r>
        <w:t xml:space="preserve"> </w:t>
      </w:r>
      <w:r>
        <w:t>α</w:t>
      </w:r>
      <w:r>
        <w:t xml:space="preserve"> </w:t>
      </w:r>
      <w:r>
        <w:t>‐Al</w:t>
      </w:r>
      <w:r>
        <w:rPr>
          <w:vertAlign w:val="subscript"/>
        </w:rPr>
        <w:t>2</w:t>
      </w:r>
      <w:r>
        <w:t>O</w:t>
      </w:r>
      <w:r>
        <w:rPr>
          <w:vertAlign w:val="subscript"/>
        </w:rPr>
        <w:t>3</w:t>
      </w:r>
      <w:r>
        <w:t>. Mechanistic studies further establish that CF</w:t>
      </w:r>
      <w:r>
        <w:rPr>
          <w:vertAlign w:val="subscript"/>
        </w:rPr>
        <w:t>4</w:t>
      </w:r>
      <w:r>
        <w:t>hydrolysis proceeds via a Mars–van Krevelen‐type pathway in which lattice oxygen first oxidizes CF</w:t>
      </w:r>
      <w:r>
        <w:t xml:space="preserve"> </w:t>
      </w:r>
      <w:r>
        <w:t>x</w:t>
      </w:r>
      <w:r>
        <w:t xml:space="preserve"> </w:t>
      </w:r>
      <w:r>
        <w:t>surface intermediates and is replenished by H</w:t>
      </w:r>
      <w:r>
        <w:rPr>
          <w:vertAlign w:val="subscript"/>
        </w:rPr>
        <w:t>2</w:t>
      </w:r>
      <w:r>
        <w:t>O. These findings identify entropy‐stabilized aluminates as a robust materials platform capable of simultaneously achieving high activity and long‐term durability for CF</w:t>
      </w:r>
      <w:r>
        <w:rPr>
          <w:vertAlign w:val="subscript"/>
        </w:rPr>
        <w:t>4</w:t>
      </w:r>
      <w:r>
        <w:t>hydrolysis.</w:t>
      </w:r>
    </w:p>
    <w:p>
      <w:pPr>
        <w:spacing w:before="120" w:after="120"/>
      </w:pPr>
      <w:r>
        <w:rPr>
          <w:sz w:val="18"/>
        </w:rPr>
        <w:t>——————————————————————————————————————————————————————————————————————</w:t>
      </w:r>
    </w:p>
    <w:p>
      <w:pPr>
        <w:spacing w:before="160" w:after="40" w:line="240" w:lineRule="auto"/>
      </w:pPr>
      <w:r>
        <w:rPr>
          <w:b/>
        </w:rPr>
        <w:t xml:space="preserve">[16] </w:t>
      </w:r>
      <w:hyperlink r:id="rId265">
        <w:r>
          <w:rPr>
            <w:color w:val="1155CC"/>
            <w:u w:val="single"/>
          </w:rPr>
          <w:t>光催化木质素解聚并与醇交叉偶联生成不对称芳香族二醇</w:t>
        </w:r>
      </w:hyperlink>
    </w:p>
    <w:p>
      <w:pPr>
        <w:spacing w:before="0" w:after="80"/>
      </w:pPr>
      <w:r>
        <w:rPr>
          <w:i/>
          <w:sz w:val="20"/>
        </w:rPr>
        <w:t>EN: Photocatalytic Lignin Depolymerization and Cross‐Coupling With Alcohols to Produce Unsymmetric Aromatic Diols</w:t>
      </w:r>
    </w:p>
    <w:p>
      <w:pPr>
        <w:spacing w:before="0" w:after="120"/>
      </w:pPr>
      <w:r>
        <w:rPr>
          <w:b/>
        </w:rPr>
        <w:t xml:space="preserve">Source: </w:t>
      </w:r>
      <w:r>
        <w:t>Wiley: Angewandte Chemie International Edition: Table of Contents</w:t>
      </w:r>
      <w:r>
        <w:t xml:space="preserve">    </w:t>
      </w:r>
      <w:r>
        <w:rPr>
          <w:b/>
        </w:rPr>
        <w:t xml:space="preserve">Pub date: </w:t>
      </w:r>
      <w:r>
        <w:t>2026-06-09 11:56:22+00:00</w:t>
      </w:r>
      <w:r>
        <w:t xml:space="preserve">    </w:t>
      </w:r>
      <w:r>
        <w:rPr>
          <w:b/>
        </w:rPr>
        <w:t xml:space="preserve">DOI: </w:t>
      </w:r>
      <w:hyperlink r:id="rId266">
        <w:r>
          <w:rPr>
            <w:color w:val="1155CC"/>
            <w:u w:val="single"/>
          </w:rPr>
          <w:t>10.1002/anie.2045478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木质素转化为化学产品通常涉及两个单独的步骤，例如解聚和随后的单体升级，这通常需要不同的催化系统或不同的反应条件。值得注意的是，将木质素直接一锅法转化为有价值的化合物对于促进生物质利用至关重要，旨在通过结合解聚和功能化步骤来简化生产，以最大限度地提高工艺效率、原子效率和成本效率。在这里，我们报告了同步解聚和 C-C 偶联过程的光催化方法，使用 CdZnS (Cd</w:t>
      </w:r>
      <w:r>
        <w:t xml:space="preserve"> </w:t>
      </w:r>
      <w:r>
        <w:t>0.3</w:t>
      </w:r>
      <w:r>
        <w:t xml:space="preserve"> </w:t>
      </w:r>
      <w:r>
        <w:t>锌</w:t>
      </w:r>
      <w:r>
        <w:t xml:space="preserve"> </w:t>
      </w:r>
      <w:r>
        <w:t>0.7</w:t>
      </w:r>
      <w:r>
        <w:t xml:space="preserve"> </w:t>
      </w:r>
      <w:r>
        <w:t>S）催化剂。通过将空穴驱动的自由基生成与过氧化的苄基中间体的电子驱动再生相结合，该策略克服了对自偶联的内在偏好，并实现了苄基和脂肪醇衍生物之间的选择性交叉偶联。这种基于 CdZnS 的光催化过程能够同时进行氢转移、氢解以及各种木质素模型化合物与醇的交叉偶联，以获得不对称芳香族二醇。对于真正的木质素，这种解聚交叉偶联方案可产生高达 10 wt% 的单体产率的相应芳香族二醇。所得二醇产品可直接用于热塑性聚氨酯（TPU）以及稠合多环骨架、功能性聚氨酯的合成。</w:t>
      </w:r>
    </w:p>
    <w:p>
      <w:pPr>
        <w:spacing w:before="0" w:after="200" w:lineRule="auto" w:line="276"/>
      </w:pPr>
      <w:r>
        <w:rPr>
          <w:b/>
        </w:rPr>
        <w:t xml:space="preserve">Abstract (EN): </w:t>
      </w:r>
      <w:r>
        <w:t>Conversion of lignin into chemical products typically involves two separate steps, such as depolymerization and subsequent upgrading of monomers, which often require different catalytic systems or varying reaction conditions. Notably, the direct one‐pot conversion of lignin into valuable compounds is crucial for advancing biomass utilization, aiming to streamline production by combining depolymerization and functionalization steps to maximize process‐, atom‐, and cost‐efficiency. Here we report the photocatalytic approach for synchronized depolymerization and C–C coupling processes for the direct conversion of lignin and its derivatives into aromatic diols using CdZnS (Cd</w:t>
      </w:r>
      <w:r>
        <w:t xml:space="preserve"> </w:t>
      </w:r>
      <w:r>
        <w:t>0.3</w:t>
      </w:r>
      <w:r>
        <w:t xml:space="preserve"> </w:t>
      </w:r>
      <w:r>
        <w:t>Zn</w:t>
      </w:r>
      <w:r>
        <w:t xml:space="preserve"> </w:t>
      </w:r>
      <w:r>
        <w:t>0.7</w:t>
      </w:r>
      <w:r>
        <w:t xml:space="preserve"> </w:t>
      </w:r>
      <w:r>
        <w:t>S) catalyst. By coupling hole‐driven radical generation with electron‐driven regeneration of overoxidized benzylic intermediates, this strategy overcomes the intrinsic preference for homocoupling and enables selective cross‐coupling between benzylic and aliphatic alcohol derivatives. This CdZnS‐based photocatalytic process enables simultaneous hydrogen transfer, hydrogenolysis and cross‐coupling of various lignin model compounds with alcohols to obtain unsymmetrical aromatic diols. In the case of real lignin, this depolymerization‐cross‐coupling protocol gives corresponding aromatic diols up to 10 wt% monomer yield. The resulting diol products are directly applicable to the synthesis of thermoplastic polyurethanes (TPUs) as well as fused polycyclic frameworks, functional materials, and bioactive molecules.</w:t>
      </w:r>
    </w:p>
    <w:p>
      <w:pPr>
        <w:spacing w:before="120" w:after="120"/>
      </w:pPr>
      <w:r>
        <w:rPr>
          <w:sz w:val="18"/>
        </w:rPr>
        <w:t>——————————————————————————————————————————————————————————————————————</w:t>
      </w:r>
    </w:p>
    <w:p>
      <w:pPr>
        <w:spacing w:before="160" w:after="40" w:line="240" w:lineRule="auto"/>
      </w:pPr>
      <w:r>
        <w:rPr>
          <w:b/>
        </w:rPr>
        <w:t xml:space="preserve">[17] </w:t>
      </w:r>
      <w:hyperlink r:id="rId267">
        <w:r>
          <w:rPr>
            <w:color w:val="1155CC"/>
            <w:u w:val="single"/>
          </w:rPr>
          <w:t>高产化学和生物氧化还原过程中木质素转化为己二酸</w:t>
        </w:r>
      </w:hyperlink>
    </w:p>
    <w:p>
      <w:pPr>
        <w:spacing w:before="0" w:after="80"/>
      </w:pPr>
      <w:r>
        <w:rPr>
          <w:i/>
          <w:sz w:val="20"/>
        </w:rPr>
        <w:t>EN: Lignin to adipic acid in a high-yield chemical and biological redox process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268">
        <w:r>
          <w:rPr>
            <w:color w:val="1155CC"/>
            <w:u w:val="single"/>
          </w:rPr>
          <w:t>10.1038/s41586-026-10580-x</w:t>
        </w:r>
      </w:hyperlink>
    </w:p>
    <w:p>
      <w:pPr>
        <w:spacing w:before="0" w:after="120"/>
      </w:pPr>
      <w:r>
        <w:rPr>
          <w:b/>
        </w:rPr>
        <w:t xml:space="preserve">Notes: </w:t>
      </w:r>
      <w:r>
        <w:t>abstract_source=nature_html</w:t>
      </w:r>
    </w:p>
    <w:p>
      <w:pPr>
        <w:spacing w:before="0" w:after="80" w:lineRule="auto" w:line="276"/>
      </w:pPr>
      <w:r>
        <w:rPr>
          <w:b/>
        </w:rPr>
        <w:t xml:space="preserve">摘要（ZH）: </w:t>
      </w:r>
      <w:r>
        <w:t>化学品制造行业脱碳需要采用可行的制造途径，利用可再生原料（例如源自植物生物质的木质素）生产生物基化学品。将顽固的木质素聚合物转化为有价值的生物产品仍然是生物精炼领域的长期挑战，据报道，木质素的最高单一产品收率目前约为 20 wt%（参考文献 1,2,3,4）。大多数现有的木质素解聚策略以芳基-醚键断裂为目标，其产生的芳香族单体的产率仅为约 30 wt%，并且仍然是 C-C 连接二聚体和低聚物的复杂混合物5,6。芳香族部分之间这些 C-C 键的不顺从从根本上限制了木质素的单一产物产量，促使开发有效裂解这些 C-C 键的策略3,7,8,9。在这里，我们展示了如何使用 Co/Mn/Br 催化剂对杨木中的木质素进行还原处理，获得烷基芳香族单体和低聚物的烃混合物，该混合物有利于氧化转化为单体芳香族羧酸，主要包含苯甲酸和邻苯二甲酸异构体，单体产率高达 73 wt%。土壤细菌恶臭假单胞菌 KT2440 经过改造，可将这种芳香族羧酸混合物转化为粘康酸内酯（生物基尼龙的前体），使最终己二酸产量高达 26 wt%（克己二酸每克木质素），最大理论产量为 57 wt%。这种与木质素的还原和氧化步骤的配对类似于石化精炼过程，并显示了木质素如何转化</w:t>
      </w:r>
    </w:p>
    <w:p>
      <w:pPr>
        <w:spacing w:before="0" w:after="200" w:lineRule="auto" w:line="276"/>
      </w:pPr>
      <w:r>
        <w:rPr>
          <w:b/>
        </w:rPr>
        <w:t xml:space="preserve">Abstract (EN): </w:t>
      </w:r>
      <w:r>
        <w:t>Viable manufacturing pathways to produce bio-based chemicals from renewable feedstocks, such as lignin derived from plant biomass, are needed to decarbonize the chemicals manufacturing sector. Converting the recalcitrant lignin polymer to valuable bioproducts remains a longstanding challenge in biorefining, with the highest reported single-product yield from lignin currently around 20 wt% (refs. 1,2,3,4). Most existing lignin depolymerization strategies target aryl–ether bond cleavage, which can produce aromatic monomers in yields of only about 30 wt%, and still as complex mixtures with C–C-linked dimers and oligomers5,6. The recalcitrance of these C–C linkages between aromatic moieties fundamentally limits single-product yields from lignin, prompting the development of strategies to efficiently cleave these C–C bonds3,7,8,9. Here we show how reductive processing of lignin from poplar accesses a hydrocarbon mixture of alkyl-aromatic monomers and oligomers that is privileged for oxidative conversion to monomeric aromatic carboxylic acids, comprising mostly benzoic acid and phthalic acid isomers in up to 73 wt% monomer yields, using a Co/Mn/Br catalyst. The soil bacterium Pseudomonas putida KT2440 was engineered to convert this mixture of aromatic carboxylic acids to muconolactone, a precursor to bio-based nylons, enabling final adipic acid yields up to 26 wt% (gram adipic acid per gram lignin) with a maximum theoretical yield of 57 wt%. This pairing of reductive and oxidative steps with lignin resembles processes in petrochemical refining and shows how lignin may be converted into a single, valuable bioproduct in high yields.</w:t>
      </w:r>
    </w:p>
    <w:p>
      <w:pPr>
        <w:spacing w:before="120" w:after="120"/>
      </w:pPr>
      <w:r>
        <w:rPr>
          <w:sz w:val="18"/>
        </w:rPr>
        <w:t>——————————————————————————————————————————————————————————————————————</w:t>
      </w:r>
    </w:p>
    <w:p>
      <w:pPr>
        <w:spacing w:before="160" w:after="40" w:line="240" w:lineRule="auto"/>
      </w:pPr>
      <w:r>
        <w:rPr>
          <w:b/>
        </w:rPr>
        <w:t xml:space="preserve">[18] </w:t>
      </w:r>
      <w:hyperlink r:id="rId269">
        <w:r>
          <w:rPr>
            <w:color w:val="1155CC"/>
            <w:u w:val="single"/>
          </w:rPr>
          <w:t>混合精炼工艺将植物材料转化为工业上重要的化学品</w:t>
        </w:r>
      </w:hyperlink>
    </w:p>
    <w:p>
      <w:pPr>
        <w:spacing w:before="0" w:after="80"/>
      </w:pPr>
      <w:r>
        <w:rPr>
          <w:i/>
          <w:sz w:val="20"/>
        </w:rPr>
        <w:t>EN: Hybrid refinery process turns plant material into industrially important chemical</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270">
        <w:r>
          <w:rPr>
            <w:color w:val="1155CC"/>
            <w:u w:val="single"/>
          </w:rPr>
          <w:t>10.1038/d41586-026-01586-6</w:t>
        </w:r>
      </w:hyperlink>
    </w:p>
    <w:p>
      <w:pPr>
        <w:spacing w:before="0" w:after="120"/>
      </w:pPr>
      <w:r>
        <w:rPr>
          <w:b/>
        </w:rPr>
        <w:t xml:space="preserve">Notes: </w:t>
      </w:r>
      <w:r>
        <w:t>abstract_source=nature_html</w:t>
      </w:r>
    </w:p>
    <w:p>
      <w:pPr>
        <w:spacing w:before="0" w:after="80" w:lineRule="auto" w:line="276"/>
      </w:pPr>
      <w:r>
        <w:rPr>
          <w:b/>
        </w:rPr>
        <w:t xml:space="preserve">摘要（ZH）: </w:t>
      </w:r>
      <w:r>
        <w:t>尼龙的一种成分已经从木质素中提取出来，产量很高，这揭示了将这种复杂的植物生物聚合物转化为工业化学品的新策略。尼龙的一种成分已经从木质素中提取出来，产量很高，这揭示了将这种复杂的植物生物聚合物转化为工业化学品的新策略。</w:t>
      </w:r>
    </w:p>
    <w:p>
      <w:pPr>
        <w:spacing w:before="0" w:after="200" w:lineRule="auto" w:line="276"/>
      </w:pPr>
      <w:r>
        <w:rPr>
          <w:b/>
        </w:rPr>
        <w:t xml:space="preserve">Abstract (EN): </w:t>
      </w:r>
      <w:r>
        <w:t>An ingredient of nylon has been made in high yields from lignin — revealing a fresh strategy for turning this complex plant biopolymer into industrial chemicals. An ingredient of nylon has been made in high yields from lignin — revealing a fresh strategy for turning this complex plant biopolymer into industrial chemicals.</w:t>
      </w:r>
    </w:p>
    <w:p>
      <w:pPr>
        <w:spacing w:before="120" w:after="120"/>
      </w:pPr>
      <w:r>
        <w:rPr>
          <w:sz w:val="18"/>
        </w:rPr>
        <w:t>——————————————————————————————————————————————————————————————————————</w:t>
      </w:r>
    </w:p>
    <w:p>
      <w:pPr>
        <w:spacing w:before="160" w:after="40" w:line="240" w:lineRule="auto"/>
      </w:pPr>
      <w:r>
        <w:rPr>
          <w:b/>
        </w:rPr>
        <w:t xml:space="preserve">[19] </w:t>
      </w:r>
      <w:hyperlink r:id="rId271">
        <w:r>
          <w:rPr>
            <w:color w:val="1155CC"/>
            <w:u w:val="single"/>
          </w:rPr>
          <w:t>CargoNetSim：基于代理的混合系统动力学框架，用于多式联运中的成本-能源-排放优化</w:t>
        </w:r>
      </w:hyperlink>
    </w:p>
    <w:p>
      <w:pPr>
        <w:spacing w:before="0" w:after="80"/>
      </w:pPr>
      <w:r>
        <w:rPr>
          <w:i/>
          <w:sz w:val="20"/>
        </w:rPr>
        <w:t>EN: CargoNetSim: A hybrid agent-based and system dynamics framework for cost–energy–emissions optimization in multimodal freight transport</w:t>
      </w:r>
    </w:p>
    <w:p>
      <w:pPr>
        <w:spacing w:before="0" w:after="120"/>
      </w:pPr>
      <w:r>
        <w:rPr>
          <w:b/>
        </w:rPr>
        <w:t xml:space="preserve">Source: </w:t>
      </w:r>
      <w:r>
        <w:t>ScienceDirect Publication: Applied Energy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72">
        <w:r>
          <w:rPr>
            <w:color w:val="1155CC"/>
            <w:u w:val="single"/>
          </w:rPr>
          <w:t>通过稳定 Cu+ 和拉紧氢键网络来平衡电催化乙炔加氢二聚的二聚和氢化动力学</w:t>
        </w:r>
      </w:hyperlink>
    </w:p>
    <w:p>
      <w:pPr>
        <w:spacing w:before="0" w:after="80"/>
      </w:pPr>
      <w:r>
        <w:rPr>
          <w:i/>
          <w:sz w:val="20"/>
        </w:rPr>
        <w:t>EN: Balancing Dimerization and Hydrogenation Kinetics by Stabilizing Cu+ and Tightening H‐Bond Network for Electrocatalytic Acetylene Hydrodimerization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2026-06-11 05:58:19+00:00</w:t>
      </w:r>
      <w:r>
        <w:t xml:space="preserve">    </w:t>
      </w:r>
      <w:r>
        <w:rPr>
          <w:b/>
        </w:rPr>
        <w:t xml:space="preserve">DOI: </w:t>
      </w:r>
      <w:hyperlink r:id="rId273">
        <w:r>
          <w:rPr>
            <w:color w:val="1155CC"/>
            <w:u w:val="single"/>
          </w:rPr>
          <w:t>10.1002/anie.4304657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乙炔电催化加氢二聚（EHDA）为生产 1,3-丁二烯的能源密集型石脑油蒸汽裂解提供了一种有前途的替代方案，但由于 C-C 偶联和加氢之间的动力学不平衡而面临着巨大的挑战。在这里，我们通过稳定 Cu 来平衡 EHDA 的二聚和氢化动力学</w:t>
      </w:r>
      <w:r>
        <w:t xml:space="preserve"> </w:t>
      </w:r>
      <w:r>
        <w:t>+</w:t>
      </w:r>
      <w:r>
        <w:t xml:space="preserve"> </w:t>
      </w:r>
      <w:r>
        <w:t>并收紧柠檬酸根阴离子接枝铜上的氢键网络</w:t>
      </w:r>
      <w:r>
        <w:rPr>
          <w:vertAlign w:val="subscript"/>
        </w:rPr>
        <w:t>2</w:t>
      </w:r>
      <w:r>
        <w:t>O催化剂（E-CA/Cu</w:t>
      </w:r>
      <w:r>
        <w:rPr>
          <w:vertAlign w:val="subscript"/>
        </w:rPr>
        <w:t>2</w:t>
      </w:r>
      <w:r>
        <w:t>O）。 X射线吸收精细结构、Cu LMM俄歇光谱和理论模拟证实了柠檬酸根阴离子修饰诱导了Cu的电子转移</w:t>
      </w:r>
      <w:r>
        <w:rPr>
          <w:vertAlign w:val="subscript"/>
        </w:rPr>
        <w:t>2</w:t>
      </w:r>
      <w:r>
        <w:t>O为柠檬酸根离子。这可以稳定活性 Cu</w:t>
      </w:r>
      <w:r>
        <w:t xml:space="preserve"> </w:t>
      </w:r>
      <w:r>
        <w:t>+</w:t>
      </w:r>
      <w:r>
        <w:t xml:space="preserve"> </w:t>
      </w:r>
      <w:r>
        <w:t>电化学还原条件下的位点并进一步降低*C的C-C耦合势垒</w:t>
      </w:r>
      <w:r>
        <w:rPr>
          <w:vertAlign w:val="subscript"/>
        </w:rPr>
        <w:t>2</w:t>
      </w:r>
      <w:r>
        <w:t>H</w:t>
      </w:r>
      <w:r>
        <w:rPr>
          <w:vertAlign w:val="subscript"/>
        </w:rPr>
        <w:t>2</w:t>
      </w:r>
      <w:r>
        <w:t>和*C</w:t>
      </w:r>
      <w:r>
        <w:rPr>
          <w:vertAlign w:val="subscript"/>
        </w:rPr>
        <w:t>2</w:t>
      </w:r>
      <w:r>
        <w:t>H</w:t>
      </w:r>
      <w:r>
        <w:rPr>
          <w:vertAlign w:val="subscript"/>
        </w:rPr>
        <w:t>3</w:t>
      </w:r>
      <w:r>
        <w:t>至*C</w:t>
      </w:r>
      <w:r>
        <w:rPr>
          <w:vertAlign w:val="subscript"/>
        </w:rPr>
        <w:t>4</w:t>
      </w:r>
      <w:r>
        <w:t>H</w:t>
      </w:r>
      <w:r>
        <w:rPr>
          <w:vertAlign w:val="subscript"/>
        </w:rPr>
        <w:t>5</w:t>
      </w:r>
      <w:r>
        <w:t>。原位衰减全反射表面增强红外光谱证实柠檬酸根阴离子还重建了氢键网络并减少了电极-电解质界面处的孤立水含量。适当供应活性*H物种可有效促进水生成</w:t>
      </w:r>
    </w:p>
    <w:p>
      <w:pPr>
        <w:spacing w:before="0" w:after="200" w:lineRule="auto" w:line="276"/>
      </w:pPr>
      <w:r>
        <w:rPr>
          <w:b/>
        </w:rPr>
        <w:t xml:space="preserve">Abstract (EN): </w:t>
      </w:r>
      <w:r>
        <w:t>The electrocatalytic hydrodimerization of acetylene (EHDA) offers a promising alternative to energy‐intensive naphtha steam cracking for producing 1,3‐butadiene but faces a formidable challenge due to kinetic imbalance between C–C coupling and hydrogenation. Herein, we balance the dimerization and hydrogenation kinetics of EHDA by stabilizing Cu</w:t>
      </w:r>
      <w:r>
        <w:t xml:space="preserve"> </w:t>
      </w:r>
      <w:r>
        <w:t>+</w:t>
      </w:r>
      <w:r>
        <w:t xml:space="preserve"> </w:t>
      </w:r>
      <w:r>
        <w:t>and tightening the hydrogen‐bond network over citrate anion grafted Cu</w:t>
      </w:r>
      <w:r>
        <w:rPr>
          <w:vertAlign w:val="subscript"/>
        </w:rPr>
        <w:t>2</w:t>
      </w:r>
      <w:r>
        <w:t>O catalysts (E‐CA/Cu</w:t>
      </w:r>
      <w:r>
        <w:rPr>
          <w:vertAlign w:val="subscript"/>
        </w:rPr>
        <w:t>2</w:t>
      </w:r>
      <w:r>
        <w:t>O). The X‐ray absorption fine structure, Cu LMM Auger spectrum, and theoretical simulations corroborate citrate anion modification induces electron transfer from Cu</w:t>
      </w:r>
      <w:r>
        <w:rPr>
          <w:vertAlign w:val="subscript"/>
        </w:rPr>
        <w:t>2</w:t>
      </w:r>
      <w:r>
        <w:t>O to citrate ions. This stabilizes the active Cu</w:t>
      </w:r>
      <w:r>
        <w:t xml:space="preserve"> </w:t>
      </w:r>
      <w:r>
        <w:t>+</w:t>
      </w:r>
      <w:r>
        <w:t xml:space="preserve"> </w:t>
      </w:r>
      <w:r>
        <w:t>sites under electrochemical reduction conditions and further lowers the C‐C coupling barrier of *C</w:t>
      </w:r>
      <w:r>
        <w:rPr>
          <w:vertAlign w:val="subscript"/>
        </w:rPr>
        <w:t>2</w:t>
      </w:r>
      <w:r>
        <w:t>H</w:t>
      </w:r>
      <w:r>
        <w:rPr>
          <w:vertAlign w:val="subscript"/>
        </w:rPr>
        <w:t>2</w:t>
      </w:r>
      <w:r>
        <w:t>and *C</w:t>
      </w:r>
      <w:r>
        <w:rPr>
          <w:vertAlign w:val="subscript"/>
        </w:rPr>
        <w:t>2</w:t>
      </w:r>
      <w:r>
        <w:t>H</w:t>
      </w:r>
      <w:r>
        <w:rPr>
          <w:vertAlign w:val="subscript"/>
        </w:rPr>
        <w:t>3</w:t>
      </w:r>
      <w:r>
        <w:t>to *C</w:t>
      </w:r>
      <w:r>
        <w:rPr>
          <w:vertAlign w:val="subscript"/>
        </w:rPr>
        <w:t>4</w:t>
      </w:r>
      <w:r>
        <w:t>H</w:t>
      </w:r>
      <w:r>
        <w:rPr>
          <w:vertAlign w:val="subscript"/>
        </w:rPr>
        <w:t>5</w:t>
      </w:r>
      <w:r>
        <w:t>. The in situ attenuated total reflection surface‐enhanced infrared spectroscopy confirms that the citrate anion also reconstructs the hydrogen‐bonding network and reduces the content of isolated water at the electrode‐electrolyte interface. The appropriate supply of active *H species effectively promotes the hydrogenation of *C</w:t>
      </w:r>
      <w:r>
        <w:rPr>
          <w:vertAlign w:val="subscript"/>
        </w:rPr>
        <w:t>4</w:t>
      </w:r>
      <w:r>
        <w:t>H</w:t>
      </w:r>
      <w:r>
        <w:rPr>
          <w:vertAlign w:val="subscript"/>
        </w:rPr>
        <w:t>5</w:t>
      </w:r>
      <w:r>
        <w:t>to form 1,3‐butadiene rather than competitive acetylene semihydrogenation. As a result, E‐CA/Cu</w:t>
      </w:r>
      <w:r>
        <w:rPr>
          <w:vertAlign w:val="subscript"/>
        </w:rPr>
        <w:t>2</w:t>
      </w:r>
      <w:r>
        <w:t>O catalyst achieves a Faradaic efficiency of 88.0% and a 1,3‐butadiene partial current density of 55 mA cm</w:t>
      </w:r>
      <w:r>
        <w:t xml:space="preserve"> </w:t>
      </w:r>
      <w:r>
        <w:t>−2</w:t>
      </w:r>
      <w:r>
        <w:t xml:space="preserve"> </w:t>
      </w:r>
      <w:r>
        <w:t>, which is about 3‐fold higher than E‐Cu</w:t>
      </w:r>
      <w:r>
        <w:rPr>
          <w:vertAlign w:val="subscript"/>
        </w:rPr>
        <w:t>2</w:t>
      </w:r>
      <w:r>
        <w:t>O. This work will guide the rational design of high‐performance catalysts for regulating the kinetics of electrocatalytic acetylene hydrodimerization.</w:t>
      </w:r>
    </w:p>
    <w:p>
      <w:pPr>
        <w:spacing w:before="120" w:after="120"/>
      </w:pPr>
      <w:r>
        <w:rPr>
          <w:sz w:val="18"/>
        </w:rPr>
        <w:t>——————————————————————————————————————————————————————————————————————</w:t>
      </w:r>
    </w:p>
    <w:p>
      <w:pPr>
        <w:spacing w:before="160" w:after="40" w:line="240" w:lineRule="auto"/>
      </w:pPr>
      <w:r>
        <w:rPr>
          <w:b/>
        </w:rPr>
        <w:t xml:space="preserve">[21] </w:t>
      </w:r>
      <w:hyperlink r:id="rId274">
        <w:r>
          <w:rPr>
            <w:color w:val="1155CC"/>
            <w:u w:val="single"/>
          </w:rPr>
          <w:t>可扩展铁单原子催化剂上超交换辅助 Fe(IV)=O 链形成，用于流动低化学水净化</w:t>
        </w:r>
      </w:hyperlink>
    </w:p>
    <w:p>
      <w:pPr>
        <w:spacing w:before="0" w:after="80"/>
      </w:pPr>
      <w:r>
        <w:rPr>
          <w:i/>
          <w:sz w:val="20"/>
        </w:rPr>
        <w:t>EN: Superexchange‐Assisted Fe(IV)=O Chain Formation on Scalable Iron Single‐Atom Catalysts for Low‐Chemical Water Purification in Flow</w:t>
      </w:r>
    </w:p>
    <w:p>
      <w:pPr>
        <w:spacing w:before="0" w:after="120"/>
      </w:pPr>
      <w:r>
        <w:rPr>
          <w:b/>
        </w:rPr>
        <w:t xml:space="preserve">Source: </w:t>
      </w:r>
      <w:r>
        <w:t>Wiley-Online-Library: Advanced Materials: Table of Contents</w:t>
      </w:r>
      <w:r>
        <w:t xml:space="preserve">    </w:t>
      </w:r>
      <w:r>
        <w:rPr>
          <w:b/>
        </w:rPr>
        <w:t xml:space="preserve">Pub date: </w:t>
      </w:r>
      <w:r>
        <w:t>2026-06-11 07:30:04+00:00</w:t>
      </w:r>
      <w:r>
        <w:t xml:space="preserve">    </w:t>
      </w:r>
      <w:r>
        <w:rPr>
          <w:b/>
        </w:rPr>
        <w:t xml:space="preserve">DOI: </w:t>
      </w:r>
      <w:hyperlink r:id="rId275">
        <w:r>
          <w:rPr>
            <w:color w:val="1155CC"/>
            <w:u w:val="single"/>
          </w:rPr>
          <w:t>10.1002/adma.73668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聚合的废水处理可以通过将稀释有机物转化为可分离的产品，以低能量输入将净化与资源回收结合起来。然而，它需要选择性氧化剂活化，而铁虽然丰富且与工业相关，但通常会形成亚稳态的过氧化加合物，从而抑制聚合选择性。在这里，我们设计并合成了一种距离定制的铁单原子催化剂（Fe-SAC），其特征是偶联的 Fe</w:t>
      </w:r>
      <w:r>
        <w:rPr>
          <w:vertAlign w:val="subscript"/>
        </w:rPr>
        <w:t>1</w:t>
      </w:r>
      <w:r>
        <w:t>‐铁</w:t>
      </w:r>
      <w:r>
        <w:rPr>
          <w:vertAlign w:val="subscript"/>
        </w:rPr>
        <w:t>2</w:t>
      </w:r>
      <w:r>
        <w:t>一对能够从过一硫酸盐连续生成反应性 Fe(IV)=O 物种。理论和实验揭示了第一个 Fe 的形成</w:t>
      </w:r>
      <w:r>
        <w:rPr>
          <w:vertAlign w:val="subscript"/>
        </w:rPr>
        <w:t>1</w:t>
      </w:r>
      <w:r>
        <w:t>(IV)=O 触发相邻 Fe 的自旋态跃迁</w:t>
      </w:r>
      <w:r>
        <w:rPr>
          <w:vertAlign w:val="subscript"/>
        </w:rPr>
        <w:t>2</w:t>
      </w:r>
      <w:r>
        <w:t>位点到高自旋构型，而微调的 Fe</w:t>
      </w:r>
      <w:r>
        <w:rPr>
          <w:vertAlign w:val="subscript"/>
        </w:rPr>
        <w:t>1</w:t>
      </w:r>
      <w:r>
        <w:t>─铁</w:t>
      </w:r>
      <w:r>
        <w:rPr>
          <w:vertAlign w:val="subscript"/>
        </w:rPr>
        <w:t>2</w:t>
      </w:r>
      <w:r>
        <w:t>分离与氧化剂中的O─O键几何匹配。这种自旋重构增强了 Fe─O 共价键并促进了超交换辅助途径，从而导致 Fe 链的形成</w:t>
      </w:r>
      <w:r>
        <w:rPr>
          <w:vertAlign w:val="subscript"/>
        </w:rPr>
        <w:t>2</w:t>
      </w:r>
      <w:r>
        <w:t>(IV)=O 通过双齿轴向键合和位点到位点的电子耦合。在连续流反应器中，可扩展的 Fe-SAC 将聚合选择性从 29.9% 提高到 73.3%，并将电子利用率从 156.8% 提高到 443.8%。生命周期和技术经济分析进一步表明~88%和~79%</w:t>
      </w:r>
    </w:p>
    <w:p>
      <w:pPr>
        <w:spacing w:before="0" w:after="200" w:lineRule="auto" w:line="276"/>
      </w:pPr>
      <w:r>
        <w:rPr>
          <w:b/>
        </w:rPr>
        <w:t xml:space="preserve">Abstract (EN): </w:t>
      </w:r>
      <w:r>
        <w:t>Polymerization‐based wastewater treatment can couple decontamination with resource recovery at low energy input by transforming dilute organics into separable products. However, it requires selective oxidant activation, and iron, although abundant and industrially relevant, often forms metastable over‐oxidizing adducts that suppress polymerization selectivity. Here, we design and synthesize a distance‐tailored iron single‐atom catalyst (Fe‐SAC) featuring a coupled Fe</w:t>
      </w:r>
      <w:r>
        <w:rPr>
          <w:vertAlign w:val="subscript"/>
        </w:rPr>
        <w:t>1</w:t>
      </w:r>
      <w:r>
        <w:t>‐Fe</w:t>
      </w:r>
      <w:r>
        <w:rPr>
          <w:vertAlign w:val="subscript"/>
        </w:rPr>
        <w:t>2</w:t>
      </w:r>
      <w:r>
        <w:t>pair that enables sequential generation of reactive Fe(IV)═O species from peroxymonosulfate. Theory and experiments reveal that formation of the first Fe</w:t>
      </w:r>
      <w:r>
        <w:rPr>
          <w:vertAlign w:val="subscript"/>
        </w:rPr>
        <w:t>1</w:t>
      </w:r>
      <w:r>
        <w:t>(IV)═O triggers a spin‐state transition of the adjacent Fe</w:t>
      </w:r>
      <w:r>
        <w:rPr>
          <w:vertAlign w:val="subscript"/>
        </w:rPr>
        <w:t>2</w:t>
      </w:r>
      <w:r>
        <w:t>site to a high‐spin configuration, while the finely tuned Fe</w:t>
      </w:r>
      <w:r>
        <w:rPr>
          <w:vertAlign w:val="subscript"/>
        </w:rPr>
        <w:t>1</w:t>
      </w:r>
      <w:r>
        <w:t>─Fe</w:t>
      </w:r>
      <w:r>
        <w:rPr>
          <w:vertAlign w:val="subscript"/>
        </w:rPr>
        <w:t>2</w:t>
      </w:r>
      <w:r>
        <w:t>separation geometrically matches the O─O bond in the oxidant. This spin reconfiguration strengthens Fe─O covalency and promotes a superexchange‐assisted pathway, leading to chain formation of Fe</w:t>
      </w:r>
      <w:r>
        <w:rPr>
          <w:vertAlign w:val="subscript"/>
        </w:rPr>
        <w:t>2</w:t>
      </w:r>
      <w:r>
        <w:t>(IV)═O through bidentate axial bonding and site‐to‐site electronic coupling. In a continuous‐flow reactor, the scalable Fe‐SAC increases polymerization selectivity from 29.9% to 73.3% and boosts electron utilization from 156.8% to 443.8%. Life‐cycle and techno‐economic analyses further indicate ∼88% and ∼79% reductions in environmental impacts for catalyst synthesis and operation, respectively, together with an estimated ∼90% decrease in pollutant removal cost. This work establishes a design principle to unlock selective Fe(IV)═O chemistry for low‐chemical, polymerization‐based water purification with engineering viability.</w:t>
      </w:r>
    </w:p>
    <w:p>
      <w:pPr>
        <w:spacing w:before="120" w:after="120"/>
      </w:pPr>
      <w:r>
        <w:rPr>
          <w:sz w:val="18"/>
        </w:rPr>
        <w:t>——————————————————————————————————————————————————————————————————————</w:t>
      </w:r>
    </w:p>
    <w:p>
      <w:pPr>
        <w:spacing w:before="160" w:after="40" w:line="240" w:lineRule="auto"/>
      </w:pPr>
      <w:r>
        <w:rPr>
          <w:b/>
        </w:rPr>
        <w:t xml:space="preserve">[22] </w:t>
      </w:r>
      <w:hyperlink r:id="rId276">
        <w:r>
          <w:rPr>
            <w:color w:val="1155CC"/>
            <w:u w:val="single"/>
          </w:rPr>
          <w:t>通过协同界面脱氯和有机自由基稳定将水污染物升级为长链聚合物</w:t>
        </w:r>
      </w:hyperlink>
    </w:p>
    <w:p>
      <w:pPr>
        <w:spacing w:before="0" w:after="80"/>
      </w:pPr>
      <w:r>
        <w:rPr>
          <w:i/>
          <w:sz w:val="20"/>
        </w:rPr>
        <w:t>EN: Upcycling Water Pollutants Into Long‐Chain Polymers via Synergistic Interfacial Dechlorination and Organic Radical Stabilization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2026-06-11 07:33:49+00:00</w:t>
      </w:r>
      <w:r>
        <w:t xml:space="preserve">    </w:t>
      </w:r>
      <w:r>
        <w:rPr>
          <w:b/>
        </w:rPr>
        <w:t xml:space="preserve">DOI: </w:t>
      </w:r>
      <w:hyperlink r:id="rId277">
        <w:r>
          <w:rPr>
            <w:color w:val="1155CC"/>
            <w:u w:val="single"/>
          </w:rPr>
          <w:t>10.1002/anie.3215238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高熵氧化物（HEO）由于晶格畸变、多金属协同作用和高化学稳定性而提供了不寻常的电子结构。在这里，我们报道了通过原位碳热还原合成的氮掺杂碳包封 HEO 催化剂（HEO@NC），通过选择性氧化聚合有效去除污染物和升级循环。 HEO@NC 通过电子转移途径与表面吸附的羟基自由基结合激活高碘酸盐，从而能够在极端 pH 值和强离子干扰下选择性地将酚类污染物转化为聚合物产品。相对于不含金属的氮掺杂碳，HEO@NC通过界面电子耦合显着增强了高碘酸盐的活化，实现了449.2%的高碘酸盐利用率，远超常规矿化。密度泛函理论和实验分析揭示了 HEO 组分的互补作用：Co/Ni 提供高碘酸盐结合位点，Pt 降低电子传输势垒，Bi/Pb 促进电荷离域以稳定聚合物中间体，氧轨道通过增强高碘酸盐配位和表面电荷转移</w:t>
      </w:r>
      <w:r>
        <w:t xml:space="preserve"> </w:t>
      </w:r>
      <w:r>
        <w:t>p</w:t>
      </w:r>
      <w:r>
        <w:t xml:space="preserve"> </w:t>
      </w:r>
      <w:r>
        <w:t>–</w:t>
      </w:r>
      <w:r>
        <w:t xml:space="preserve"> </w:t>
      </w:r>
      <w:r>
        <w:t>d</w:t>
      </w:r>
      <w:r>
        <w:t xml:space="preserve"> </w:t>
      </w:r>
      <w:r>
        <w:t>杂交。这种协同作用驱动脱氯偶联聚合，在超低氧化剂消耗下持续去除 4-氯苯酚。 HEO@NC 在实际煤化工废水的 20 天处理过程中进一步保持了 &gt; 95% 的效率，金属浸出可忽略不计，</w:t>
      </w:r>
    </w:p>
    <w:p>
      <w:pPr>
        <w:spacing w:before="0" w:after="200" w:lineRule="auto" w:line="276"/>
      </w:pPr>
      <w:r>
        <w:rPr>
          <w:b/>
        </w:rPr>
        <w:t xml:space="preserve">Abstract (EN): </w:t>
      </w:r>
      <w:r>
        <w:t>High‐entropy oxides (HEOs) offer unusual electronic structures arising from lattice distortion, multimetal synergy, and high chemical stability. Here we report nitrogen‐doped carbon‐encapsulated HEOs catalysts (HEO@NC) synthesized by in situ carbothermal reduction for efficient pollutant removal and upcycling through selective oxidative polymerization. HEO@NC activates periodate via an electron‐transfer pathway coupled with surface‐adsorbed hydroxyl radicals, enabling the selective conversion of phenolic contaminants into polymeric products under extreme pH and strong ionic interference. Relative to metal‐free nitrogen‐doped carbon, HEO@NC markedly enhances periodate activation through interfacial electronic coupling and achieves a periodate utilization efficiency of 449.2%, far exceeding that of conventional mineralization. Density functional theory and experimental analyses reveal complementary roles of the HEOs components: Co/Ni provide periodate‐binding sites, Pt lowers the barrier for electron transport, Bi/Pb promote charge delocalization to stabilize polymeric intermediates, and oxygen orbitals strengthen periodate coordination and surface charge transfer via</w:t>
      </w:r>
      <w:r>
        <w:t xml:space="preserve"> </w:t>
      </w:r>
      <w:r>
        <w:t>p</w:t>
      </w:r>
      <w:r>
        <w:t xml:space="preserve"> </w:t>
      </w:r>
      <w:r>
        <w:t>–</w:t>
      </w:r>
      <w:r>
        <w:t xml:space="preserve"> </w:t>
      </w:r>
      <w:r>
        <w:t>d</w:t>
      </w:r>
      <w:r>
        <w:t xml:space="preserve"> </w:t>
      </w:r>
      <w:r>
        <w:t>hybridization. This synergy drives dechlorination‐coupled polymerization with sustained 4‐chlorophenol removal at ultralow oxidant consumption. HEO@NC further maintained &amp;gt; 95% efficiency with negligible metal leaching during 20‐day treatment of real coal chemical wastewater, demonstrating the potential for sustainable and low‐chemical‐consumption remediation of industrial‐relevant wastewater.</w:t>
      </w:r>
    </w:p>
    <w:p>
      <w:pPr>
        <w:spacing w:before="120" w:after="120"/>
      </w:pPr>
      <w:r>
        <w:rPr>
          <w:sz w:val="18"/>
        </w:rPr>
        <w:t>——————————————————————————————————————————————————————————————————————</w:t>
      </w:r>
    </w:p>
    <w:p>
      <w:pPr>
        <w:spacing w:before="160" w:after="40" w:line="240" w:lineRule="auto"/>
      </w:pPr>
      <w:r>
        <w:rPr>
          <w:b/>
        </w:rPr>
        <w:t xml:space="preserve">[23] </w:t>
      </w:r>
      <w:hyperlink r:id="rId278">
        <w:r>
          <w:rPr>
            <w:color w:val="1155CC"/>
            <w:u w:val="single"/>
          </w:rPr>
          <w:t>原位将污染物转化为催化剂：可持续水处理的相变自催化范例</w:t>
        </w:r>
      </w:hyperlink>
    </w:p>
    <w:p>
      <w:pPr>
        <w:spacing w:before="0" w:after="80"/>
      </w:pPr>
      <w:r>
        <w:rPr>
          <w:i/>
          <w:sz w:val="20"/>
        </w:rPr>
        <w:t>EN: In Situ Turning Pollutants Into Catalysts: A Phase‐Transition Self‐Catalysis Paradigm for Sustainable Water Treatment</w:t>
      </w:r>
    </w:p>
    <w:p>
      <w:pPr>
        <w:spacing w:before="0" w:after="120"/>
      </w:pPr>
      <w:r>
        <w:rPr>
          <w:b/>
        </w:rPr>
        <w:t xml:space="preserve">Source: </w:t>
      </w:r>
      <w:r>
        <w:t>Wiley-Online-Library: Angewandte Chemie International Edition: Table of Contents</w:t>
      </w:r>
      <w:r>
        <w:t xml:space="preserve">    </w:t>
      </w:r>
      <w:r>
        <w:rPr>
          <w:b/>
        </w:rPr>
        <w:t xml:space="preserve">Pub date: </w:t>
      </w:r>
      <w:r>
        <w:t>2026-06-11 17:20:53+00:00</w:t>
      </w:r>
      <w:r>
        <w:t xml:space="preserve">    </w:t>
      </w:r>
      <w:r>
        <w:rPr>
          <w:b/>
        </w:rPr>
        <w:t xml:space="preserve">DOI: </w:t>
      </w:r>
      <w:hyperlink r:id="rId279">
        <w:r>
          <w:rPr>
            <w:color w:val="1155CC"/>
            <w:u w:val="single"/>
          </w:rPr>
          <w:t>10.1002/anie.5490783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散式水处理受到高化学品需求和快速催化剂失活的限制，限制了含有重金属和有机微污染物的水体的低碳修复。在此，我们报告了一种相变驱动的自催化策略，可将金属污染物原位转化为活性催化剂，以进行集成纯化和增值。以倪代表</w:t>
      </w:r>
      <w:r>
        <w:t xml:space="preserve"> </w:t>
      </w:r>
      <w:r>
        <w:t>2+</w:t>
      </w:r>
      <w:r>
        <w:t xml:space="preserve"> </w:t>
      </w:r>
      <w:r>
        <w:t>/苯酚体系，过一硫酸盐 (PMS) 会改变 Ni</w:t>
      </w:r>
      <w:r>
        <w:t xml:space="preserve"> </w:t>
      </w:r>
      <w:r>
        <w:t>2+</w:t>
      </w:r>
      <w:r>
        <w:t xml:space="preserve"> </w:t>
      </w:r>
      <w:r>
        <w:t>⇌ 镍(OH)</w:t>
      </w:r>
      <w:r>
        <w:rPr>
          <w:vertAlign w:val="subscript"/>
        </w:rPr>
        <w:t>2</w:t>
      </w:r>
      <w:r>
        <w:t>NiOOH 纳米颗粒形成的平衡，迅速诱导苯酚聚合并与残留 Ni(OH) 共沉淀</w:t>
      </w:r>
      <w:r>
        <w:rPr>
          <w:vertAlign w:val="subscript"/>
        </w:rPr>
        <w:t>2</w:t>
      </w:r>
      <w:r>
        <w:t>。因此，苯酚被完全去除，而镍</w:t>
      </w:r>
      <w:r>
        <w:t xml:space="preserve"> </w:t>
      </w:r>
      <w:r>
        <w:t>2+</w:t>
      </w:r>
      <w:r>
        <w:t xml:space="preserve"> </w:t>
      </w:r>
      <w:r>
        <w:t>从 28 减少至 0.08 mg/L</w:t>
      </w:r>
      <w:r>
        <w:t xml:space="preserve"> </w:t>
      </w:r>
      <w:r>
        <w:t>−1</w:t>
      </w:r>
      <w:r>
        <w:t xml:space="preserve"> </w:t>
      </w:r>
      <w:r>
        <w:t>具有超低的 PMS 消耗。机理研究确定 NiOOH 是通过质子耦合电子转移和质子转移-电子转移途径将苯酚氧化为苯氧基自由基的反应相。该策略对于处理工业酚类废水非常有效，并提供了一个适用于各种金属离子（例如，Co</w:t>
      </w:r>
      <w:r>
        <w:t xml:space="preserve"> </w:t>
      </w:r>
      <w:r>
        <w:t>2+</w:t>
      </w:r>
      <w:r>
        <w:t xml:space="preserve"> </w:t>
      </w:r>
      <w:r>
        <w:t>, 铜</w:t>
      </w:r>
      <w:r>
        <w:t xml:space="preserve"> </w:t>
      </w:r>
      <w:r>
        <w:t>2+</w:t>
      </w:r>
      <w:r>
        <w:t xml:space="preserve"> </w:t>
      </w:r>
      <w:r>
        <w:t>）和氧化剂（例如，NaClO、过二硫酸盐）。与有效的产品回收相结合，与出口相比，它具有显着的经济和环境优势</w:t>
      </w:r>
    </w:p>
    <w:p>
      <w:pPr>
        <w:spacing w:before="0" w:after="200" w:lineRule="auto" w:line="276"/>
      </w:pPr>
      <w:r>
        <w:rPr>
          <w:b/>
        </w:rPr>
        <w:t xml:space="preserve">Abstract (EN): </w:t>
      </w:r>
      <w:r>
        <w:t>Decentralized water treatment is constrained by high chemical demand and rapid catalyst deactivation, limiting the low‐carbon remediation of waters containing heavy metals and organic micropollutants. Herein, we report a phase‐transition‐driven self‐catalytic strategy that converts metal pollutants in situ into active catalysts for integrated purification and valorization. In a representative Ni</w:t>
      </w:r>
      <w:r>
        <w:t xml:space="preserve"> </w:t>
      </w:r>
      <w:r>
        <w:t>2+</w:t>
      </w:r>
      <w:r>
        <w:t xml:space="preserve"> </w:t>
      </w:r>
      <w:r>
        <w:t>/phenol system, peroxymonosulfate (PMS) shifts the Ni</w:t>
      </w:r>
      <w:r>
        <w:t xml:space="preserve"> </w:t>
      </w:r>
      <w:r>
        <w:t>2+</w:t>
      </w:r>
      <w:r>
        <w:t xml:space="preserve"> </w:t>
      </w:r>
      <w:r>
        <w:t>⇌ Ni(OH)</w:t>
      </w:r>
      <w:r>
        <w:rPr>
          <w:vertAlign w:val="subscript"/>
        </w:rPr>
        <w:t>2</w:t>
      </w:r>
      <w:r>
        <w:t>equilibrium toward NiOOH nanoparticle formation, which rapidly induces phenol polymerization and co‐precipitation with residual Ni(OH)</w:t>
      </w:r>
      <w:r>
        <w:rPr>
          <w:vertAlign w:val="subscript"/>
        </w:rPr>
        <w:t>2</w:t>
      </w:r>
      <w:r>
        <w:t>. Consequently, phenol is completely removed, while Ni</w:t>
      </w:r>
      <w:r>
        <w:t xml:space="preserve"> </w:t>
      </w:r>
      <w:r>
        <w:t>2+</w:t>
      </w:r>
      <w:r>
        <w:t xml:space="preserve"> </w:t>
      </w:r>
      <w:r>
        <w:t>decreases from 28 to 0.08 mg L</w:t>
      </w:r>
      <w:r>
        <w:t xml:space="preserve"> </w:t>
      </w:r>
      <w:r>
        <w:t>−1</w:t>
      </w:r>
      <w:r>
        <w:t xml:space="preserve"> </w:t>
      </w:r>
      <w:r>
        <w:t>with ultralow PMS consumption. Mechanistic studies identify NiOOH as the reactive phase that oxidizes phenol to phenoxy radicals via proton‐coupled electron transfer and proton transfer–electron transfer pathways. This strategy is highly effective for treating industrial phenolic wastewater and offers a modular platform adaptable to various metal ions (e.g., Co</w:t>
      </w:r>
      <w:r>
        <w:t xml:space="preserve"> </w:t>
      </w:r>
      <w:r>
        <w:t>2+</w:t>
      </w:r>
      <w:r>
        <w:t xml:space="preserve"> </w:t>
      </w:r>
      <w:r>
        <w:t>, Cu</w:t>
      </w:r>
      <w:r>
        <w:t xml:space="preserve"> </w:t>
      </w:r>
      <w:r>
        <w:t>2+</w:t>
      </w:r>
      <w:r>
        <w:t xml:space="preserve"> </w:t>
      </w:r>
      <w:r>
        <w:t>) and oxidants (e.g., NaClO, Peroxydisulfate). Combined with effective products recovery, it offers substantial economic and environmental advantages over existing methods. This work recasts pollutants from treatment targets into treatment agents, offering a fresh, and scalable route to sustainable water remediation.</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54">
        <w:r>
          <w:rPr>
            <w:color w:val="1155CC"/>
            <w:u w:val="single"/>
          </w:rPr>
          <w:t>美国墨西哥湾沿岸炼油厂利用核能和化石能源固碳的技术经济和环境比较分析</w:t>
        </w:r>
      </w:hyperlink>
    </w:p>
    <w:p>
      <w:pPr>
        <w:spacing w:before="0" w:after="80"/>
      </w:pPr>
      <w:r>
        <w:rPr>
          <w:i/>
          <w:sz w:val="20"/>
        </w:rPr>
        <w:t>EN: Comparative techno-economic and environmental analysis of using nuclear energy and fossil energy with carbon sequestration in U.S. Gulf Coast petroleum refineries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80">
        <w:r>
          <w:rPr>
            <w:color w:val="1155CC"/>
            <w:u w:val="single"/>
          </w:rPr>
          <w:t>通过掺钆 Cu2O 调节界面水动力学以实现 CO2 到乙醇的高速率选择性转化</w:t>
        </w:r>
      </w:hyperlink>
    </w:p>
    <w:p>
      <w:pPr>
        <w:spacing w:before="0" w:after="80"/>
      </w:pPr>
      <w:r>
        <w:rPr>
          <w:i/>
          <w:sz w:val="20"/>
        </w:rPr>
        <w:t>EN: Tuning Interfacial Water Dynamics via Gd‐Doped Cu2O for High‐Rate Selective CO2‐to‐Ethanol Conversion</w:t>
      </w:r>
    </w:p>
    <w:p>
      <w:pPr>
        <w:spacing w:before="0" w:after="120"/>
      </w:pPr>
      <w:r>
        <w:rPr>
          <w:b/>
        </w:rPr>
        <w:t xml:space="preserve">Source: </w:t>
      </w:r>
      <w:r>
        <w:t>Wiley: Advanced Energy Materials: Table of Contents</w:t>
      </w:r>
      <w:r>
        <w:t xml:space="preserve">    </w:t>
      </w:r>
      <w:r>
        <w:rPr>
          <w:b/>
        </w:rPr>
        <w:t xml:space="preserve">Pub date: </w:t>
      </w:r>
      <w:r>
        <w:t>2026-06-07 12:58:56+00:00</w:t>
      </w:r>
      <w:r>
        <w:t xml:space="preserve">    </w:t>
      </w:r>
      <w:r>
        <w:rPr>
          <w:b/>
        </w:rPr>
        <w:t xml:space="preserve">DOI: </w:t>
      </w:r>
      <w:hyperlink r:id="rId281">
        <w:r>
          <w:rPr>
            <w:color w:val="1155CC"/>
            <w:u w:val="single"/>
          </w:rPr>
          <w:t>10.1002/aenm.71129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CO的电化学还原</w:t>
      </w:r>
      <w:r>
        <w:rPr>
          <w:vertAlign w:val="subscript"/>
        </w:rPr>
        <w:t>2</w:t>
      </w:r>
      <w:r>
        <w:t>（一氧化碳</w:t>
      </w:r>
      <w:r>
        <w:rPr>
          <w:vertAlign w:val="subscript"/>
        </w:rPr>
        <w:t>2</w:t>
      </w:r>
      <w:r>
        <w:t>RR）到液体燃料，特别是乙醇，受到竞争乙烯途径和缓慢的质子耦合电子转移（PCET）的限制。虽然传统的催化剂设计主要关注表面结合能，但电极-电解质界面的关键作用，特别是界面水的结构，仍未得到充分探索。在这项研究中，我们的目标是通过报告钆 (Gd) 掺杂的铜来解决这一差距。</w:t>
      </w:r>
      <w:r>
        <w:rPr>
          <w:vertAlign w:val="subscript"/>
        </w:rPr>
        <w:t>2</w:t>
      </w:r>
      <w:r>
        <w:t>O电催化剂利用镧系元素的高亲氧性来设计富含游离水的界面微环境，从而实现高乙醇选择性。在工业相关的 800 mA cm 下运行</w:t>
      </w:r>
      <w:r>
        <w:t xml:space="preserve"> </w:t>
      </w:r>
      <w:r>
        <w:t>−2</w:t>
      </w:r>
      <w:r>
        <w:t xml:space="preserve"> </w:t>
      </w:r>
      <w:r>
        <w:t>在流通池中，该催化剂在碱性和中性电解质中分别实现了 46.5% 和 48.5% 的乙醇法拉第效率。值得注意的是，乙醇部分电流密度达到 527.8 mA cm</w:t>
      </w:r>
      <w:r>
        <w:t xml:space="preserve"> </w:t>
      </w:r>
      <w:r>
        <w:t>−2</w:t>
      </w:r>
      <w:r>
        <w:t xml:space="preserve"> </w:t>
      </w:r>
      <w:r>
        <w:t>1200 mA cm 时</w:t>
      </w:r>
      <w:r>
        <w:t xml:space="preserve"> </w:t>
      </w:r>
      <w:r>
        <w:t>−2</w:t>
      </w:r>
      <w:r>
        <w:t xml:space="preserve"> </w:t>
      </w:r>
      <w:r>
        <w:t>。</w:t>
      </w:r>
      <w:r>
        <w:t xml:space="preserve"> </w:t>
      </w:r>
      <w:r>
        <w:t>操作</w:t>
      </w:r>
      <w:r>
        <w:t xml:space="preserve"> </w:t>
      </w:r>
      <w:r>
        <w:t>光谱显示，Gd 掺杂剂破坏了刚性的冰状界面氢键网络，丰富了非配位自由水。这种无序的环境增强了质子的可用性，促进了选择性氢化</w:t>
      </w:r>
      <w:r>
        <w:t xml:space="preserve"> </w:t>
      </w:r>
      <w:r>
        <w:t>*</w:t>
      </w:r>
      <w:r>
        <w:t xml:space="preserve"> </w:t>
      </w:r>
      <w:r>
        <w:t>OCCO 中间体至乙醇形成物质</w:t>
      </w:r>
    </w:p>
    <w:p>
      <w:pPr>
        <w:spacing w:before="0" w:after="200" w:lineRule="auto" w:line="276"/>
      </w:pPr>
      <w:r>
        <w:rPr>
          <w:b/>
        </w:rPr>
        <w:t xml:space="preserve">Abstract (EN): </w:t>
      </w:r>
      <w:r>
        <w:t>The electrochemical reduction of CO</w:t>
      </w:r>
      <w:r>
        <w:rPr>
          <w:vertAlign w:val="subscript"/>
        </w:rPr>
        <w:t>2</w:t>
      </w:r>
      <w:r>
        <w:t>(CO</w:t>
      </w:r>
      <w:r>
        <w:rPr>
          <w:vertAlign w:val="subscript"/>
        </w:rPr>
        <w:t>2</w:t>
      </w:r>
      <w:r>
        <w:t>RR) to liquid fuels, particularly ethanol, is limited by competing ethylene pathways and sluggish proton‐coupled electron transfer (PCET). While conventional catalyst design has predominantly focused on surface binding energies, the critical role of the electrode–electrolyte interface, specifically the structure of interfacial water, remains underexplored. In this study, we aim to address this gap by reporting on a gadolinium (Gd)‐doped Cu</w:t>
      </w:r>
      <w:r>
        <w:rPr>
          <w:vertAlign w:val="subscript"/>
        </w:rPr>
        <w:t>2</w:t>
      </w:r>
      <w:r>
        <w:t>O electrocatalyst that utilizes the high oxophilicity of lanthanides to engineer a free water‐rich interfacial microenvironment, enabling high ethanol selectivity. Operating at an industrially relevant 800 mA cm</w:t>
      </w:r>
      <w:r>
        <w:t xml:space="preserve"> </w:t>
      </w:r>
      <w:r>
        <w:t>−2</w:t>
      </w:r>
      <w:r>
        <w:t xml:space="preserve"> </w:t>
      </w:r>
      <w:r>
        <w:t>in a flow cell, the catalyst achieves ethanol Faradaic efficiencies of 46.5% and 48.5% in alkaline and neutral electrolytes, respectively. Remarkably, the ethanol partial current density reaches 527.8 mA cm</w:t>
      </w:r>
      <w:r>
        <w:t xml:space="preserve"> </w:t>
      </w:r>
      <w:r>
        <w:t>−2</w:t>
      </w:r>
      <w:r>
        <w:t xml:space="preserve"> </w:t>
      </w:r>
      <w:r>
        <w:t>at 1200 mA cm</w:t>
      </w:r>
      <w:r>
        <w:t xml:space="preserve"> </w:t>
      </w:r>
      <w:r>
        <w:t>−2</w:t>
      </w:r>
      <w:r>
        <w:t xml:space="preserve"> </w:t>
      </w:r>
      <w:r>
        <w:t>.</w:t>
      </w:r>
      <w:r>
        <w:t xml:space="preserve"> </w:t>
      </w:r>
      <w:r>
        <w:t>Operando</w:t>
      </w:r>
      <w:r>
        <w:t xml:space="preserve"> </w:t>
      </w:r>
      <w:r>
        <w:t>spectroscopy reveals that Gd dopants disrupt the rigid, ice‐like interfacial hydrogen‐bonding network, enriching non‐coordinated free water. This disordered environment enhances proton availability, facilitating the selective hydrogenation of</w:t>
      </w:r>
      <w:r>
        <w:t xml:space="preserve"> </w:t>
      </w:r>
      <w:r>
        <w:t>*</w:t>
      </w:r>
      <w:r>
        <w:t xml:space="preserve"> </w:t>
      </w:r>
      <w:r>
        <w:t>OCCO intermediates to ethanol‐forming species (e.g.,</w:t>
      </w:r>
      <w:r>
        <w:t xml:space="preserve"> </w:t>
      </w:r>
      <w:r>
        <w:t>*</w:t>
      </w:r>
      <w:r>
        <w:t xml:space="preserve"> </w:t>
      </w:r>
      <w:r>
        <w:t>OCCOH) while suppressing ethylene generation. These findings establish a direct structure–function correlation between interfacial water dynamics and product selectivity, providing a novel design principle for sustainable fuel synthesis.</w:t>
      </w:r>
    </w:p>
    <w:p>
      <w:pPr>
        <w:spacing w:before="120" w:after="120"/>
      </w:pPr>
      <w:r>
        <w:rPr>
          <w:sz w:val="18"/>
        </w:rPr>
        <w:t>——————————————————————————————————————————————————————————————————————</w:t>
      </w:r>
    </w:p>
    <w:p>
      <w:pPr>
        <w:spacing w:before="160" w:after="40" w:line="240" w:lineRule="auto"/>
      </w:pPr>
      <w:r>
        <w:rPr>
          <w:b/>
        </w:rPr>
        <w:t xml:space="preserve">[3] </w:t>
      </w:r>
      <w:hyperlink r:id="rId282">
        <w:r>
          <w:rPr>
            <w:color w:val="1155CC"/>
            <w:u w:val="single"/>
          </w:rPr>
          <w:t>通过将成对 Ce(III) 单原子位点纳入共价有机框架来模拟整体光合作用</w:t>
        </w:r>
      </w:hyperlink>
    </w:p>
    <w:p>
      <w:pPr>
        <w:spacing w:before="0" w:after="80"/>
      </w:pPr>
      <w:r>
        <w:rPr>
          <w:i/>
          <w:sz w:val="20"/>
        </w:rPr>
        <w:t>EN: Mimicking Overall Photosynthesis by Incorporating Paired Ce(III) Single‐Atom Sites Into Covalent Organic Framework</w:t>
      </w:r>
    </w:p>
    <w:p>
      <w:pPr>
        <w:spacing w:before="0" w:after="120"/>
      </w:pPr>
      <w:r>
        <w:rPr>
          <w:b/>
        </w:rPr>
        <w:t xml:space="preserve">Source: </w:t>
      </w:r>
      <w:r>
        <w:t>Wiley: Angewandte Chemie International Edition: Table of Contents</w:t>
      </w:r>
      <w:r>
        <w:t xml:space="preserve">    </w:t>
      </w:r>
      <w:r>
        <w:rPr>
          <w:b/>
        </w:rPr>
        <w:t xml:space="preserve">Pub date: </w:t>
      </w:r>
      <w:r>
        <w:t>2026-06-07 16:41:14+00:00</w:t>
      </w:r>
      <w:r>
        <w:t xml:space="preserve">    </w:t>
      </w:r>
      <w:r>
        <w:rPr>
          <w:b/>
        </w:rPr>
        <w:t xml:space="preserve">DOI: </w:t>
      </w:r>
      <w:hyperlink r:id="rId283">
        <w:r>
          <w:rPr>
            <w:color w:val="1155CC"/>
            <w:u w:val="single"/>
          </w:rPr>
          <w:t>10.1002/anie.9733405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模拟整体光合作用以转化二氧化碳的人工光合作用</w:t>
      </w:r>
      <w:r>
        <w:rPr>
          <w:vertAlign w:val="subscript"/>
        </w:rPr>
        <w:t>2</w:t>
      </w:r>
      <w:r>
        <w:t>和H</w:t>
      </w:r>
      <w:r>
        <w:rPr>
          <w:vertAlign w:val="subscript"/>
        </w:rPr>
        <w:t>2</w:t>
      </w:r>
      <w:r>
        <w:t>到C</w:t>
      </w:r>
      <w:r>
        <w:t xml:space="preserve"> </w:t>
      </w:r>
      <w:r>
        <w:t>2+</w:t>
      </w:r>
      <w:r>
        <w:t xml:space="preserve"> </w:t>
      </w:r>
      <w:r>
        <w:t>由于缺乏同时含有水氧化反应 (WOR) 和 CO 的高效光催化剂，化学品仍然是一个巨大的挑战</w:t>
      </w:r>
      <w:r>
        <w:rPr>
          <w:vertAlign w:val="subscript"/>
        </w:rPr>
        <w:t>2</w:t>
      </w:r>
      <w:r>
        <w:t>还原反应（CO</w:t>
      </w:r>
      <w:r>
        <w:rPr>
          <w:vertAlign w:val="subscript"/>
        </w:rPr>
        <w:t>2</w:t>
      </w:r>
      <w:r>
        <w:t>RR）活性位点具有良好的可见光吸收能力和匹配的能带结构。在此，我们开发了一种三维共价有机框架（3D COF），BPDA-AmCOF-Ce，包含配对的 Ce(III) 单原子位点和芘部分。 BPDA-AmCOF-Ce 与 BPDA 的两个相邻 2,2'-联吡啶部分的双重互穿 bcu 拓扑导致配对 Ce 原子的距离为 5.63 Å，能够在 CO 中诱导 C-C 偶联</w:t>
      </w:r>
      <w:r>
        <w:rPr>
          <w:vertAlign w:val="subscript"/>
        </w:rPr>
        <w:t>2</w:t>
      </w:r>
      <w:r>
        <w:t>RR。这与暴露的芘部分一起有效驱动 2e</w:t>
      </w:r>
      <w:r>
        <w:t xml:space="preserve"> </w:t>
      </w:r>
      <w:r>
        <w:t>-</w:t>
      </w:r>
      <w:r>
        <w:t>WOR、良好的可见光吸收能力和匹配的能带结构，使 BPDA-AmCOF-Ce 表现出优异的整体光合作用性能，转化 CO</w:t>
      </w:r>
      <w:r>
        <w:rPr>
          <w:vertAlign w:val="subscript"/>
        </w:rPr>
        <w:t>2</w:t>
      </w:r>
      <w:r>
        <w:t>和H</w:t>
      </w:r>
      <w:r>
        <w:rPr>
          <w:vertAlign w:val="subscript"/>
        </w:rPr>
        <w:t>2</w:t>
      </w:r>
      <w:r>
        <w:t>氧至CH</w:t>
      </w:r>
      <w:r>
        <w:rPr>
          <w:vertAlign w:val="subscript"/>
        </w:rPr>
        <w:t>3</w:t>
      </w:r>
      <w:r>
        <w:t>COOH和H</w:t>
      </w:r>
      <w:r>
        <w:rPr>
          <w:vertAlign w:val="subscript"/>
        </w:rPr>
        <w:t>2</w:t>
      </w:r>
      <w:r>
        <w:t>氧</w:t>
      </w:r>
      <w:r>
        <w:rPr>
          <w:vertAlign w:val="subscript"/>
        </w:rPr>
        <w:t>2</w:t>
      </w:r>
      <w:r>
        <w:t>产率高达 166.67 和 601.42 µmol g</w:t>
      </w:r>
    </w:p>
    <w:p>
      <w:pPr>
        <w:spacing w:before="0" w:after="200" w:lineRule="auto" w:line="276"/>
      </w:pPr>
      <w:r>
        <w:rPr>
          <w:b/>
        </w:rPr>
        <w:t xml:space="preserve">Abstract (EN): </w:t>
      </w:r>
      <w:r>
        <w:t>Artificial photosynthesis that mimics overall photosynthesis towards converting CO</w:t>
      </w:r>
      <w:r>
        <w:rPr>
          <w:vertAlign w:val="subscript"/>
        </w:rPr>
        <w:t>2</w:t>
      </w:r>
      <w:r>
        <w:t>and H</w:t>
      </w:r>
      <w:r>
        <w:rPr>
          <w:vertAlign w:val="subscript"/>
        </w:rPr>
        <w:t>2</w:t>
      </w:r>
      <w:r>
        <w:t>O to C</w:t>
      </w:r>
      <w:r>
        <w:t xml:space="preserve"> </w:t>
      </w:r>
      <w:r>
        <w:t>2+</w:t>
      </w:r>
      <w:r>
        <w:t xml:space="preserve"> </w:t>
      </w:r>
      <w:r>
        <w:t>chemicals still remains a great challenge due to the lack of efficient photocatalysts containing both water oxidation reaction (WOR) and CO</w:t>
      </w:r>
      <w:r>
        <w:rPr>
          <w:vertAlign w:val="subscript"/>
        </w:rPr>
        <w:t>2</w:t>
      </w:r>
      <w:r>
        <w:t>reduction reaction (CO</w:t>
      </w:r>
      <w:r>
        <w:rPr>
          <w:vertAlign w:val="subscript"/>
        </w:rPr>
        <w:t>2</w:t>
      </w:r>
      <w:r>
        <w:t>RR) active sites with good visible‐light absorption capability and matched band structure. Herein, we developed a three‐dimensional covalent organic framework (3D COF), BPDA‐AmCOF‐Ce, containing paired Ce(III) single atomic sites and pyrene moieties. The two‐fold interpenetrated bcu topology of BPDA‐AmCOF‐Ce with two neighboring 2,2'‐bipyridine moieties of BPDA results in a short distance of 5.63 Å for paired Ce atoms, capable of inducing C‐C coupling in CO</w:t>
      </w:r>
      <w:r>
        <w:rPr>
          <w:vertAlign w:val="subscript"/>
        </w:rPr>
        <w:t>2</w:t>
      </w:r>
      <w:r>
        <w:t>RR. This, together with exposed pyrene moieties‐effective in driving 2e</w:t>
      </w:r>
      <w:r>
        <w:t xml:space="preserve"> </w:t>
      </w:r>
      <w:r>
        <w:t>−</w:t>
      </w:r>
      <w:r>
        <w:t>WOR, good visible light absorption capacity, and matched band structure, enables BPDA‐AmCOF‐Ce to exhibit excellent overall photosynthesis performance, converting CO</w:t>
      </w:r>
      <w:r>
        <w:rPr>
          <w:vertAlign w:val="subscript"/>
        </w:rPr>
        <w:t>2</w:t>
      </w:r>
      <w:r>
        <w:t>and H</w:t>
      </w:r>
      <w:r>
        <w:rPr>
          <w:vertAlign w:val="subscript"/>
        </w:rPr>
        <w:t>2</w:t>
      </w:r>
      <w:r>
        <w:t>O to CH</w:t>
      </w:r>
      <w:r>
        <w:rPr>
          <w:vertAlign w:val="subscript"/>
        </w:rPr>
        <w:t>3</w:t>
      </w:r>
      <w:r>
        <w:t>COOH and H</w:t>
      </w:r>
      <w:r>
        <w:rPr>
          <w:vertAlign w:val="subscript"/>
        </w:rPr>
        <w:t>2</w:t>
      </w:r>
      <w:r>
        <w:t>O</w:t>
      </w:r>
      <w:r>
        <w:rPr>
          <w:vertAlign w:val="subscript"/>
        </w:rPr>
        <w:t>2</w:t>
      </w:r>
      <w:r>
        <w:t>at high production rates of 166.67 and 601.42 µmol g</w:t>
      </w:r>
      <w:r>
        <w:t xml:space="preserve"> </w:t>
      </w:r>
      <w:r>
        <w:t>catalyst</w:t>
      </w:r>
      <w:r>
        <w:t xml:space="preserve"> </w:t>
      </w:r>
      <w:r>
        <w:t>−1</w:t>
      </w:r>
      <w:r>
        <w:t xml:space="preserve"> </w:t>
      </w:r>
      <w:r>
        <w:t>h</w:t>
      </w:r>
      <w:r>
        <w:t xml:space="preserve"> </w:t>
      </w:r>
      <w:r>
        <w:t>−1</w:t>
      </w:r>
      <w:r>
        <w:t xml:space="preserve"> </w:t>
      </w:r>
      <w:r>
        <w:t>, respectively, with selectivity upto 94.4% under visible light (</w:t>
      </w:r>
      <w:r>
        <w:t xml:space="preserve"> </w:t>
      </w:r>
      <w:r>
        <w:t>λ</w:t>
      </w:r>
      <w:r>
        <w:t xml:space="preserve"> </w:t>
      </w:r>
      <w:r>
        <w:t>&amp;gt; 420 nm) illumination. This work not only provides insights into the design and fabrication of efficient artificial photocatalysts to mimic overall photosynthesis but also highlights the significance of combining COFs with single‐atom catalysts towards engineering reaction pathways in photocatalysis.</w:t>
      </w:r>
    </w:p>
    <w:p>
      <w:pPr>
        <w:spacing w:before="120" w:after="120"/>
      </w:pPr>
      <w:r>
        <w:rPr>
          <w:sz w:val="18"/>
        </w:rPr>
        <w:t>——————————————————————————————————————————————————————————————————————</w:t>
      </w:r>
    </w:p>
    <w:p>
      <w:pPr>
        <w:spacing w:before="160" w:after="40" w:line="240" w:lineRule="auto"/>
      </w:pPr>
      <w:r>
        <w:rPr>
          <w:b/>
        </w:rPr>
        <w:t xml:space="preserve">[4] </w:t>
      </w:r>
      <w:hyperlink r:id="rId257">
        <w:r>
          <w:rPr>
            <w:color w:val="1155CC"/>
            <w:u w:val="single"/>
          </w:rPr>
          <w:t>连接国家气候目标和企业决策：基于代理的中国钢铁脱碳路径模型</w:t>
        </w:r>
      </w:hyperlink>
    </w:p>
    <w:p>
      <w:pPr>
        <w:spacing w:before="0" w:after="80"/>
      </w:pPr>
      <w:r>
        <w:rPr>
          <w:i/>
          <w:sz w:val="20"/>
        </w:rPr>
        <w:t>EN: Bridging national climate targets and firm-level decisions: An agent-based model of China’s steel decarbonization pathways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258">
        <w:r>
          <w:rPr>
            <w:color w:val="1155CC"/>
            <w:u w:val="single"/>
          </w:rPr>
          <w:t>10.1073/pnas.2528009123</w:t>
        </w:r>
      </w:hyperlink>
    </w:p>
    <w:p>
      <w:pPr>
        <w:spacing w:before="0" w:after="120"/>
      </w:pPr>
      <w:r>
        <w:rPr>
          <w:b/>
        </w:rPr>
        <w:t xml:space="preserve">Notes: </w:t>
      </w:r>
      <w:r>
        <w:t>abstract_source=crossref</w:t>
      </w:r>
    </w:p>
    <w:p>
      <w:pPr>
        <w:spacing w:before="0" w:after="80" w:lineRule="auto" w:line="276"/>
      </w:pPr>
      <w:r>
        <w:rPr>
          <w:b/>
        </w:rPr>
        <w:t xml:space="preserve">摘要（ZH）: </w:t>
      </w:r>
      <w:r>
        <w:t>中国的钢铁行业对于国家和全球气候目标至关重要，但脱碳受到根深蒂固的煤炭生产流程和地区差异的限制。自上而下和自下而上的模型常常忽略公司层面的异质性和行为动态。在这里，我们开发了一个基于代理的模型，将政策信号（碳上限、污染标准和资源限制）与公司层面的投资决策联系起来。我们评估了四种情景，将当前和强化的气候和空气目标与中性或加速的技术进步相结合。所有场景实现深度CO</w:t>
      </w:r>
      <w:r>
        <w:rPr>
          <w:vertAlign w:val="subscript"/>
        </w:rPr>
        <w:t>2</w:t>
      </w:r>
      <w:r>
        <w:t>减少（到 2060 年 90% 到 95%），但只有综合政策加技术途径才能在本世纪中叶之前消除高炉，实现最大幅度的下降。纯政策或技术途径需要权衡，包括锁定碳捕获和储存或延迟减排。我们的研究结果表明，将严格的气候政策与快速技术成本下降同步对于引导中国钢铁行业走向碳中和轨道至关重要。</w:t>
      </w:r>
    </w:p>
    <w:p>
      <w:pPr>
        <w:spacing w:before="0" w:after="200" w:lineRule="auto" w:line="276"/>
      </w:pPr>
      <w:r>
        <w:rPr>
          <w:b/>
        </w:rPr>
        <w:t xml:space="preserve">Abstract (EN): </w:t>
      </w:r>
      <w:r>
        <w:t>China’s steel sector is pivotal to national and global climate goals, yet decarbonization is constrained by entrenched coal-based processes and regional disparities. Top–down and bottom–up models often neglect firm-level heterogeneity and behavioral dynamics. Here, we develop an agent-based model linking policy signals—carbon caps, pollution standards, and resource limits—with firm-level investment decisions. We evaluate four scenarios combining current and strengthened climate and air targets with neutral or accelerated technology progress. All scenarios achieve deep CO</w:t>
      </w:r>
      <w:r>
        <w:rPr>
          <w:vertAlign w:val="subscript"/>
        </w:rPr>
        <w:t>2</w:t>
      </w:r>
      <w:r>
        <w:t>reductions (90 to 95% by 2060), but only the integrated policy-plus- technology pathway eliminates blast furnaces before midcentury, achieving the steepest declines. Policy- or technology-only pathways entail trade-offs, including lock-in to carbon capture and storage or delayed reductions. Our results show that synchronizing stringent climate policy with rapid technology cost declines is essential to steer China’s steel industry toward a carbon-neutral trajectory.</w:t>
      </w:r>
    </w:p>
    <w:p>
      <w:pPr>
        <w:spacing w:before="120" w:after="120"/>
      </w:pPr>
      <w:r>
        <w:rPr>
          <w:sz w:val="18"/>
        </w:rPr>
        <w:t>——————————————————————————————————————————————————————————————————————</w:t>
      </w:r>
    </w:p>
    <w:p>
      <w:pPr>
        <w:spacing w:before="160" w:after="40" w:line="240" w:lineRule="auto"/>
      </w:pPr>
      <w:r>
        <w:rPr>
          <w:b/>
        </w:rPr>
        <w:t xml:space="preserve">[5] </w:t>
      </w:r>
      <w:hyperlink r:id="rId284">
        <w:r>
          <w:rPr>
            <w:color w:val="1155CC"/>
            <w:u w:val="single"/>
          </w:rPr>
          <w:t>通过食物垃圾衍生的淀粉样蛋白吸附剂循环和无热大气二氧化碳捕获</w:t>
        </w:r>
      </w:hyperlink>
    </w:p>
    <w:p>
      <w:pPr>
        <w:spacing w:before="0" w:after="80"/>
      </w:pPr>
      <w:r>
        <w:rPr>
          <w:i/>
          <w:sz w:val="20"/>
        </w:rPr>
        <w:t>EN: Circular and athermal atmospheric CO2 capture by food waste-derived amyloid sorbents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285">
        <w:r>
          <w:rPr>
            <w:color w:val="1155CC"/>
            <w:u w:val="single"/>
          </w:rPr>
          <w:t>10.1073/pnas.2535689123</w:t>
        </w:r>
      </w:hyperlink>
    </w:p>
    <w:p>
      <w:pPr>
        <w:spacing w:before="0" w:after="120"/>
      </w:pPr>
      <w:r>
        <w:rPr>
          <w:b/>
        </w:rPr>
        <w:t xml:space="preserve">Notes: </w:t>
      </w:r>
      <w:r>
        <w:t>abstract_source=crossref</w:t>
      </w:r>
    </w:p>
    <w:p>
      <w:pPr>
        <w:spacing w:before="0" w:after="80" w:lineRule="auto" w:line="276"/>
      </w:pPr>
      <w:r>
        <w:rPr>
          <w:b/>
        </w:rPr>
        <w:t xml:space="preserve">摘要（ZH）: </w:t>
      </w:r>
      <w:r>
        <w:t>食物浪费对全球二氧化碳排放产生重大影响</w:t>
      </w:r>
      <w:r>
        <w:rPr>
          <w:vertAlign w:val="subscript"/>
        </w:rPr>
        <w:t>2</w:t>
      </w:r>
      <w:r>
        <w:t>排放，但它也为粮食系统内外缓解气候变化提供了未充分利用的机会。直接空气捕获技术可以帮助抵消这些排放，但目前大多数吸附剂都是合成的、能源密集型的，并且不符合循环经济原则，而生物基替代品通常具有低二氧化碳的特点</w:t>
      </w:r>
      <w:r>
        <w:rPr>
          <w:vertAlign w:val="subscript"/>
        </w:rPr>
        <w:t>2</w:t>
      </w:r>
      <w:r>
        <w:t>容量大，稳定性差。在这里，我们将从乳制品和豆腐废物流中回收的蛋白质升级为功能性淀粉样原纤维微珠，用于环境二氧化碳</w:t>
      </w:r>
      <w:r>
        <w:rPr>
          <w:vertAlign w:val="subscript"/>
        </w:rPr>
        <w:t>2</w:t>
      </w:r>
      <w:r>
        <w:t>捕获。原子级设计和模板成型使原纤维内的赖氨酸和谷氨酰胺残基以及通过温和 KOH 处理引入的羟基形成丰富的 CO2 活性位点</w:t>
      </w:r>
      <w:r>
        <w:rPr>
          <w:vertAlign w:val="subscript"/>
        </w:rPr>
        <w:t>2</w:t>
      </w:r>
      <w:r>
        <w:t>捕获，达到 2.20 mmol g</w:t>
      </w:r>
      <w:r>
        <w:t xml:space="preserve"> </w:t>
      </w:r>
      <w:r>
        <w:t>−1</w:t>
      </w:r>
      <w:r>
        <w:t xml:space="preserve"> </w:t>
      </w:r>
      <w:r>
        <w:t>在环境空气下，2.51 mmol g</w:t>
      </w:r>
      <w:r>
        <w:t xml:space="preserve"> </w:t>
      </w:r>
      <w:r>
        <w:t>−1</w:t>
      </w:r>
      <w:r>
        <w:t xml:space="preserve"> </w:t>
      </w:r>
      <w:r>
        <w:t>在模拟空气（无氧）下。通过交替的稀酸碱雾，微珠在 10 至 12 分钟内再生，无需任何热输入，并在 30 个循环中保持稳定。生命周期评估、效率产品排名和技术经济分析表明，与传统吸附剂相比，具有卓越的可持续性和成本效率，验证了将食物垃圾升级为二氧化碳的循环经济方法</w:t>
      </w:r>
      <w:r>
        <w:rPr>
          <w:vertAlign w:val="subscript"/>
        </w:rPr>
        <w:t>2</w:t>
      </w:r>
      <w:r>
        <w:t>吸附剂，如果需要的话，可以最终</w:t>
      </w:r>
    </w:p>
    <w:p>
      <w:pPr>
        <w:spacing w:before="0" w:after="200" w:lineRule="auto" w:line="276"/>
      </w:pPr>
      <w:r>
        <w:rPr>
          <w:b/>
        </w:rPr>
        <w:t xml:space="preserve">Abstract (EN): </w:t>
      </w:r>
      <w:r>
        <w:t>Food waste contributes substantially to global CO</w:t>
      </w:r>
      <w:r>
        <w:rPr>
          <w:vertAlign w:val="subscript"/>
        </w:rPr>
        <w:t>2</w:t>
      </w:r>
      <w:r>
        <w:t>emissions, yet it also offers underutilized opportunities for climate change mitigation within and beyond the food system. Direct air capture technologies can help offset these emissions, but most current sorbents are synthetic, energy-intensive, and poorly aligned with circular-economy principles, while bio-based alternatives typically feature low CO</w:t>
      </w:r>
      <w:r>
        <w:rPr>
          <w:vertAlign w:val="subscript"/>
        </w:rPr>
        <w:t>2</w:t>
      </w:r>
      <w:r>
        <w:t>capacity and poor stability. Here, we upcycle proteins recovered from dairy and tofu waste streams into functional amyloid fibril microbeads for ambient CO</w:t>
      </w:r>
      <w:r>
        <w:rPr>
          <w:vertAlign w:val="subscript"/>
        </w:rPr>
        <w:t>2</w:t>
      </w:r>
      <w:r>
        <w:t>capture. Atomic-level design and templated molding enable lysine and glutamine residues within the fibrils, along with hydroxyl groups introduced by mild KOH treatment, to form abundant active sites for CO</w:t>
      </w:r>
      <w:r>
        <w:rPr>
          <w:vertAlign w:val="subscript"/>
        </w:rPr>
        <w:t>2</w:t>
      </w:r>
      <w:r>
        <w:t>capture, achieving up to 2.20 mmol g</w:t>
      </w:r>
      <w:r>
        <w:t xml:space="preserve"> </w:t>
      </w:r>
      <w:r>
        <w:t>−1</w:t>
      </w:r>
      <w:r>
        <w:t xml:space="preserve"> </w:t>
      </w:r>
      <w:r>
        <w:t>under ambient air, and 2.51 mmol g</w:t>
      </w:r>
      <w:r>
        <w:t xml:space="preserve"> </w:t>
      </w:r>
      <w:r>
        <w:t>−1</w:t>
      </w:r>
      <w:r>
        <w:t xml:space="preserve"> </w:t>
      </w:r>
      <w:r>
        <w:t>under simulated air (oxygen-free). The microbeads are regenerated within 10 to 12 min via alternating dilute acid–alkali mist without any thermal input and remain stable over 30 cycles. Life cycle assessment, ranking efficiency product, and techno-economic analysis reveal superior sustainability and cost efficiency compared with conventional sorbents, validating a circular economy approach that upcycles food waste into CO</w:t>
      </w:r>
      <w:r>
        <w:rPr>
          <w:vertAlign w:val="subscript"/>
        </w:rPr>
        <w:t>2</w:t>
      </w:r>
      <w:r>
        <w:t>sorbents, which can, if needed, ultimately be reintegrated into the food system.</w:t>
      </w:r>
    </w:p>
    <w:p>
      <w:pPr>
        <w:spacing w:before="120" w:after="120"/>
      </w:pPr>
      <w:r>
        <w:rPr>
          <w:sz w:val="18"/>
        </w:rPr>
        <w:t>——————————————————————————————————————————————————————————————————————</w:t>
      </w:r>
    </w:p>
    <w:p>
      <w:pPr>
        <w:spacing w:before="160" w:after="40" w:line="240" w:lineRule="auto"/>
      </w:pPr>
      <w:r>
        <w:rPr>
          <w:b/>
        </w:rPr>
        <w:t xml:space="preserve">[6] </w:t>
      </w:r>
      <w:hyperlink r:id="rId286">
        <w:r>
          <w:rPr>
            <w:color w:val="1155CC"/>
            <w:u w:val="single"/>
          </w:rPr>
          <w:t>较低临界溶液温度 (LCST) 介导的高容量和低再生能量直接空气捕获二氧化碳</w:t>
        </w:r>
      </w:hyperlink>
    </w:p>
    <w:p>
      <w:pPr>
        <w:spacing w:before="0" w:after="80"/>
      </w:pPr>
      <w:r>
        <w:rPr>
          <w:i/>
          <w:sz w:val="20"/>
        </w:rPr>
        <w:t>EN: Lower Critical Solution Temperature (LCST) Mediated Direct Air Capture of Carbon Dioxide with High Capacity and Low Regeneration Energy</w:t>
      </w:r>
    </w:p>
    <w:p>
      <w:pPr>
        <w:spacing w:before="0" w:after="120"/>
      </w:pPr>
      <w:r>
        <w:rPr>
          <w:b/>
        </w:rPr>
        <w:t xml:space="preserve">Source: </w:t>
      </w:r>
      <w:r>
        <w:t>RSC - Energy Environ. Sci. latest articles</w:t>
      </w:r>
      <w:r>
        <w:t xml:space="preserve">    </w:t>
      </w:r>
      <w:r>
        <w:rPr>
          <w:b/>
        </w:rPr>
        <w:t xml:space="preserve">Pub date: </w:t>
      </w:r>
      <w:r>
        <w:t>2026-06-08 23:00:00+00:00</w:t>
      </w:r>
    </w:p>
    <w:p>
      <w:pPr>
        <w:spacing w:before="0" w:after="120"/>
      </w:pPr>
      <w:r>
        <w:rPr>
          <w:b/>
        </w:rPr>
        <w:t xml:space="preserve">Notes: </w:t>
      </w:r>
      <w:r>
        <w:t>abstract_source=rsc_html</w:t>
      </w:r>
    </w:p>
    <w:p>
      <w:pPr>
        <w:spacing w:before="0" w:after="80" w:lineRule="auto" w:line="276"/>
      </w:pPr>
      <w:r>
        <w:rPr>
          <w:b/>
        </w:rPr>
        <w:t xml:space="preserve">摘要（ZH）: </w:t>
      </w:r>
      <w:r>
        <w:t>二氧化碳的直接空气捕获受到吸附剂低二氧化碳吸收能力、高再生温度和寄生水蒸发所造成的能源密集型热再生的限制。在此，我们展示了一类热响应性 CO2 吸附剂——PEI 浸渍的 PNIPAM 接枝纤维素网络 (TRCNF/PEI)——在 25 °C 时从空气中吸收 2.82 mmol g-1，在 5 °C 时吸收 4.33 mmol g-1，并且再生温度低于 65 °C。热响应吸附剂具有较低的临界溶解温度（LCST）相变，可实现溶胀吸附/塌陷解吸机制。在室温下，TRCNF/PEI处于亲水膨胀状态，有效暴露PEI胺位点以有效捕获CO2。高于 LCST，它转变为疏水塌陷状态。水以液相形式排出，使碳酸氢盐中间体不稳定，从而驱动二氧化碳快速解吸。这消除了水的潜热损失，导致再生热能需求空前低至 4.36 GJ ton-1CO2，仅通过低品位废热即可满足。与易受高湿度影响的沸石活性炭和 MOF 不同，其中液态水由于竞争吸附而抑制二氧化碳的吸收，TRCNF/PEI 利用水来增强吸附并表现出出色的循环稳定性。值得注意的是，TRCNF/PEI 的 CO2 吸收量在较低温度下进一步增加（5 °C 时为 4.33 mmol g-1），证明了其在寒冷地区的碳捕获潜力。独特的 LCST 相变提出了变革策略</w:t>
      </w:r>
    </w:p>
    <w:p>
      <w:pPr>
        <w:spacing w:before="0" w:after="200" w:lineRule="auto" w:line="276"/>
      </w:pPr>
      <w:r>
        <w:rPr>
          <w:b/>
        </w:rPr>
        <w:t xml:space="preserve">Abstract (EN): </w:t>
      </w:r>
      <w:r>
        <w:t>Direct air capture of carbon dioxide has been limited by the energy-intensive thermal regeneration of adsorbents imposed by the low CO2 uptake capacity, high regeneration temperature and parasitic water evaporation. Herein, we demonstrated a class of thermo-responsive CO2 adsorbents—PEI impregnated PNIPAM-grafted cellulose network (TRCNF/PEI)—achieving high CO2 uptake of 2.82 mmol g-1 from air at 25 °C and 4.33 mmol g-1 at 5 °C, and low regeneration temperature below 65 °C. The thermo-responsive adsorbent features lower critical solution temperature (LCST) phase transition that enables a swell-adsorption/collapse-desorption mechanism. At room temperature, TRCNF/PEI is at a hydrophilic swollen state, effectively exposing the PEI amine sites for efficient CO2 capture. Above LCST, it transitions to a hydrophobic collapsed state. Water is expelled in liquid phase, destabilizing bicarbonate intermediates and thereby driving rapid CO2 desorption. This obviated the latent heat penalty of water, leading to unprecedentedly low regeneration thermal energy demand of 4.36 GJ ton-1CO2 that can be satisfied solely by low-grade waste heat. Unlike zeolites activated carbons and MOFs vulnerable to high humidity where liquid water inhibits CO2 uptake due to competitive adsorption, TRCNF/PEI leverages water to enhance adsorption and exhibits exceptional cyclic stability. Notably, the CO2 uptake of TRCNF/PEI further increases at lower temperatures (4.33 mmol g-1 at 5 °C), demonstrating its carbon capture potential in cold area. The unique LCST phase transition presents a transformative strategy to couple DAC with vast low-grade industrial waste heat, significantly advancing the energy efficiency and durability of carbon removal technologies.</w:t>
      </w:r>
    </w:p>
    <w:p>
      <w:pPr>
        <w:spacing w:before="120" w:after="120"/>
      </w:pPr>
      <w:r>
        <w:rPr>
          <w:sz w:val="18"/>
        </w:rPr>
        <w:t>——————————————————————————————————————————————————————————————————————</w:t>
      </w:r>
    </w:p>
    <w:p>
      <w:pPr>
        <w:spacing w:before="160" w:after="40" w:line="240" w:lineRule="auto"/>
      </w:pPr>
      <w:r>
        <w:rPr>
          <w:b/>
        </w:rPr>
        <w:t xml:space="preserve">[7] </w:t>
      </w:r>
      <w:hyperlink r:id="rId287">
        <w:r>
          <w:rPr>
            <w:color w:val="1155CC"/>
            <w:u w:val="single"/>
          </w:rPr>
          <w:t>引导本征压电共价有机框架中的电子传输以有效减少二氧化碳</w:t>
        </w:r>
      </w:hyperlink>
    </w:p>
    <w:p>
      <w:pPr>
        <w:spacing w:before="0" w:after="80"/>
      </w:pPr>
      <w:r>
        <w:rPr>
          <w:i/>
          <w:sz w:val="20"/>
        </w:rPr>
        <w:t>EN: Steering Electron Transport in Intrinsically Piezoelectric Covalent Organic Frameworks for Efficient CO2 Reduction</w:t>
      </w:r>
    </w:p>
    <w:p>
      <w:pPr>
        <w:spacing w:before="0" w:after="120"/>
      </w:pPr>
      <w:r>
        <w:rPr>
          <w:b/>
        </w:rPr>
        <w:t xml:space="preserve">Source: </w:t>
      </w:r>
      <w:r>
        <w:t>Wiley: Angewandte Chemie International Edition: Table of Contents</w:t>
      </w:r>
      <w:r>
        <w:t xml:space="preserve">    </w:t>
      </w:r>
      <w:r>
        <w:rPr>
          <w:b/>
        </w:rPr>
        <w:t xml:space="preserve">Pub date: </w:t>
      </w:r>
      <w:r>
        <w:t>2026-06-09 01:08:56+00:00</w:t>
      </w:r>
      <w:r>
        <w:t xml:space="preserve">    </w:t>
      </w:r>
      <w:r>
        <w:rPr>
          <w:b/>
        </w:rPr>
        <w:t xml:space="preserve">DOI: </w:t>
      </w:r>
      <w:hyperlink r:id="rId288">
        <w:r>
          <w:rPr>
            <w:color w:val="1155CC"/>
            <w:u w:val="single"/>
          </w:rPr>
          <w:t>10.1002/anie.5538657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光催化CO</w:t>
      </w:r>
      <w:r>
        <w:rPr>
          <w:vertAlign w:val="subscript"/>
        </w:rPr>
        <w:t>2</w:t>
      </w:r>
      <w:r>
        <w:t>减少代表了可持续燃料的变革途径，但仍然受到缓慢的电荷分离和快速的载流子重组的限制。在这里，使用锌单原子锚定的基于本征压电卟啉的共价有机框架（Zn-Por-COF）来促进定向电荷传输并加速反应动力学。锌配位（</w:t>
      </w:r>
      <w:r>
        <w:t xml:space="preserve"> </w:t>
      </w:r>
      <w:r>
        <w:t>d</w:t>
      </w:r>
      <w:r>
        <w:rPr>
          <w:vertAlign w:val="subscript"/>
        </w:rPr>
        <w:t>10</w:t>
      </w:r>
      <w:r>
        <w:t>配置）引起框架中的局部对称性破坏，产生内部压电场，与受自然光合作用系统启发的供体-受体共轭网络配合。在光和超声联合激励下，应变引起的压电势有利于持续的电荷分离并抑制复合。超快飞秒瞬态吸收光谱表明，Zn 的掺入有效抑制了声子辅助的非辐射衰变，并将载流子寿命延长至 226.0 ps，这归因于长寿命浅陷阱态的形成和 π 共轭骨架上激子离域的改善。因此，Zn-Por-COF 的 CO 释放速率高达 15.59 mmol g</w:t>
      </w:r>
      <w:r>
        <w:t xml:space="preserve"> </w:t>
      </w:r>
      <w:r>
        <w:t>−1</w:t>
      </w:r>
      <w:r>
        <w:t xml:space="preserve"> </w:t>
      </w:r>
      <w:r>
        <w:t>小时</w:t>
      </w:r>
      <w:r>
        <w:t xml:space="preserve"> </w:t>
      </w:r>
      <w:r>
        <w:t>−1</w:t>
      </w:r>
      <w:r>
        <w:t xml:space="preserve"> </w:t>
      </w:r>
      <w:r>
        <w:t>压电光催化CO</w:t>
      </w:r>
      <w:r>
        <w:rPr>
          <w:vertAlign w:val="subscript"/>
        </w:rPr>
        <w:t>2</w:t>
      </w:r>
      <w:r>
        <w:t>减少。这项工作表明 COF 中的固有压电性提供了一种有效的策略来调节</w:t>
      </w:r>
    </w:p>
    <w:p>
      <w:pPr>
        <w:spacing w:before="0" w:after="200" w:lineRule="auto" w:line="276"/>
      </w:pPr>
      <w:r>
        <w:rPr>
          <w:b/>
        </w:rPr>
        <w:t xml:space="preserve">Abstract (EN): </w:t>
      </w:r>
      <w:r>
        <w:t>Photocatalytic CO</w:t>
      </w:r>
      <w:r>
        <w:rPr>
          <w:vertAlign w:val="subscript"/>
        </w:rPr>
        <w:t>2</w:t>
      </w:r>
      <w:r>
        <w:t>reduction represents a transformative route to sustainable fuels, yet remains limited by sluggish charge separation and rapid carrier recombination. Here, an intrinsically piezoelectric porphyrin‐based covalent organic framework anchored with zinc single atoms (Zn‐Por‐COF) is used to promote directional charge transport and accelerate reaction kinetics. Zinc coordination (</w:t>
      </w:r>
      <w:r>
        <w:t xml:space="preserve"> </w:t>
      </w:r>
      <w:r>
        <w:t>d</w:t>
      </w:r>
      <w:r>
        <w:rPr>
          <w:vertAlign w:val="subscript"/>
        </w:rPr>
        <w:t>10</w:t>
      </w:r>
      <w:r>
        <w:t>configuration) induces local symmetry breaking in the framework, giving rise to an internal piezoelectric field that cooperates with a donor–acceptor conjugated network inspired by natural photosynthetic systems. Under combined light and ultrasound excitation, the strain‐induced piezo‐potential facilitates persistent charge separation and suppresses recombination. Ultrafast femtosecond transient absorption spectroscopy demonstrates that Zn incorporation effectively inhibits phonon‐assisted nonradiative decay and prolongs the carrier lifetime to 226.0 ps, which is attributed to the formation of long‐lived shallow trap states and improved exciton delocalization across the π‐conjugated backbone. Consequently, Zn‐Por‐COF achieves a high CO evolution rate of 15.59 mmol g</w:t>
      </w:r>
      <w:r>
        <w:t xml:space="preserve"> </w:t>
      </w:r>
      <w:r>
        <w:t>−1</w:t>
      </w:r>
      <w:r>
        <w:t xml:space="preserve"> </w:t>
      </w:r>
      <w:r>
        <w:t>h</w:t>
      </w:r>
      <w:r>
        <w:t xml:space="preserve"> </w:t>
      </w:r>
      <w:r>
        <w:t>−1</w:t>
      </w:r>
      <w:r>
        <w:t xml:space="preserve"> </w:t>
      </w:r>
      <w:r>
        <w:t>during piezo‐photocatalytic CO</w:t>
      </w:r>
      <w:r>
        <w:rPr>
          <w:vertAlign w:val="subscript"/>
        </w:rPr>
        <w:t>2</w:t>
      </w:r>
      <w:r>
        <w:t>reduction. This work demonstrates that intrinsic piezoelectricity in COF provides an effective strategy to regulate charge dynamics for high‐efficiency light‐driven CO</w:t>
      </w:r>
      <w:r>
        <w:rPr>
          <w:vertAlign w:val="subscript"/>
        </w:rPr>
        <w:t>2</w:t>
      </w:r>
      <w:r>
        <w:t>reduction.</w:t>
      </w:r>
    </w:p>
    <w:p>
      <w:pPr>
        <w:spacing w:before="120" w:after="120"/>
      </w:pPr>
      <w:r>
        <w:rPr>
          <w:sz w:val="18"/>
        </w:rPr>
        <w:t>——————————————————————————————————————————————————————————————————————</w:t>
      </w:r>
    </w:p>
    <w:p>
      <w:pPr>
        <w:spacing w:before="160" w:after="40" w:line="240" w:lineRule="auto"/>
      </w:pPr>
      <w:r>
        <w:rPr>
          <w:b/>
        </w:rPr>
        <w:t xml:space="preserve">[8] </w:t>
      </w:r>
      <w:hyperlink r:id="rId289">
        <w:r>
          <w:rPr>
            <w:color w:val="1155CC"/>
            <w:u w:val="single"/>
          </w:rPr>
          <w:t>通过 NHC 保护的铜簇中的二次球非共价相互作用引导 CO2 电还原为甲烷</w:t>
        </w:r>
      </w:hyperlink>
    </w:p>
    <w:p>
      <w:pPr>
        <w:spacing w:before="0" w:after="80"/>
      </w:pPr>
      <w:r>
        <w:rPr>
          <w:i/>
          <w:sz w:val="20"/>
        </w:rPr>
        <w:t>EN: Steering CO2 Electroreduction to Methane via Secondary‐Sphere Noncovalent Interactions in NHC‐Protected Copper Clusters</w:t>
      </w:r>
    </w:p>
    <w:p>
      <w:pPr>
        <w:spacing w:before="0" w:after="120"/>
      </w:pPr>
      <w:r>
        <w:rPr>
          <w:b/>
        </w:rPr>
        <w:t xml:space="preserve">Source: </w:t>
      </w:r>
      <w:r>
        <w:t>Wiley: Angewandte Chemie International Edition: Table of Contents</w:t>
      </w:r>
      <w:r>
        <w:t xml:space="preserve">    </w:t>
      </w:r>
      <w:r>
        <w:rPr>
          <w:b/>
        </w:rPr>
        <w:t xml:space="preserve">Pub date: </w:t>
      </w:r>
      <w:r>
        <w:t>2026-06-09 01:09:40+00:00</w:t>
      </w:r>
      <w:r>
        <w:t xml:space="preserve">    </w:t>
      </w:r>
      <w:r>
        <w:rPr>
          <w:b/>
        </w:rPr>
        <w:t xml:space="preserve">DOI: </w:t>
      </w:r>
      <w:hyperlink r:id="rId290">
        <w:r>
          <w:rPr>
            <w:color w:val="1155CC"/>
            <w:u w:val="single"/>
          </w:rPr>
          <w:t>10.1002/anie.8098750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铜基催化剂在 CO 领域具有广阔的应用前景</w:t>
      </w:r>
      <w:r>
        <w:rPr>
          <w:vertAlign w:val="subscript"/>
        </w:rPr>
        <w:t>2</w:t>
      </w:r>
      <w:r>
        <w:t>还原为碳氢化合物；然而，选择性CH</w:t>
      </w:r>
      <w:r>
        <w:rPr>
          <w:vertAlign w:val="subscript"/>
        </w:rPr>
        <w:t>4</w:t>
      </w:r>
      <w:r>
        <w:t>由于竞争途径的存在以及对活性位点控制的了解不足，生成仍然具有挑战性。在此，我们开发了一种配体微工程策略来合成一系列完全N-杂环卡宾（NHC）保护的Cu</w:t>
      </w:r>
      <w:r>
        <w:rPr>
          <w:vertAlign w:val="subscript"/>
        </w:rPr>
        <w:t>4</w:t>
      </w:r>
      <w:r>
        <w:t>O 簇，[Cu</w:t>
      </w:r>
      <w:r>
        <w:rPr>
          <w:vertAlign w:val="subscript"/>
        </w:rPr>
        <w:t>4</w:t>
      </w:r>
      <w:r>
        <w:t>（</w:t>
      </w:r>
      <w:r>
        <w:t xml:space="preserve"> </w:t>
      </w:r>
      <w:r>
        <w:t>μ</w:t>
      </w:r>
      <w:r>
        <w:rPr>
          <w:vertAlign w:val="subscript"/>
        </w:rPr>
        <w:t>4</w:t>
      </w:r>
      <w:r>
        <w:t>‐O)]</w:t>
      </w:r>
      <w:r>
        <w:t xml:space="preserve"> </w:t>
      </w:r>
      <w:r>
        <w:t>L</w:t>
      </w:r>
      <w:r>
        <w:rPr>
          <w:vertAlign w:val="subscript"/>
        </w:rPr>
        <w:t>2</w:t>
      </w:r>
      <w:r>
        <w:t>(PF</w:t>
      </w:r>
      <w:r>
        <w:rPr>
          <w:vertAlign w:val="subscript"/>
        </w:rPr>
        <w:t>6</w:t>
      </w:r>
      <w:r>
        <w:t>）</w:t>
      </w:r>
      <w:r>
        <w:rPr>
          <w:vertAlign w:val="subscript"/>
        </w:rPr>
        <w:t>2</w:t>
      </w:r>
      <w:r>
        <w:t>（</w:t>
      </w:r>
      <w:r>
        <w:t xml:space="preserve"> </w:t>
      </w:r>
      <w:r>
        <w:t>L</w:t>
      </w:r>
      <w:r>
        <w:t xml:space="preserve"> </w:t>
      </w:r>
      <w:r>
        <w:t>=</w:t>
      </w:r>
      <w:r>
        <w:t xml:space="preserve"> </w:t>
      </w:r>
      <w:r>
        <w:t>1a–1d</w:t>
      </w:r>
      <w:r>
        <w:t xml:space="preserve"> </w:t>
      </w:r>
      <w:r>
        <w:t>，表示为</w:t>
      </w:r>
      <w:r>
        <w:t xml:space="preserve"> </w:t>
      </w:r>
      <w:r>
        <w:t>2a–2d</w:t>
      </w:r>
      <w:r>
        <w:t xml:space="preserve"> </w:t>
      </w:r>
      <w:r>
        <w:t>），通过绿色高效的球磨方法。在四种评估的制剂中，集群</w:t>
      </w:r>
      <w:r>
        <w:t xml:space="preserve"> </w:t>
      </w:r>
      <w:r>
        <w:t>2c</w:t>
      </w:r>
      <w:r>
        <w:t xml:space="preserve"> </w:t>
      </w:r>
      <w:r>
        <w:t>表现出最佳的CH</w:t>
      </w:r>
      <w:r>
        <w:rPr>
          <w:vertAlign w:val="subscript"/>
        </w:rPr>
        <w:t>4</w:t>
      </w:r>
      <w:r>
        <w:t>法拉第效率 ()，相对于 RHE，–1.4 V 时值为 67.5% ± 2.1%。集成原位光谱和密度泛函理论（DFT）计算表明，独特的次级球体非共价相互作用（氢键和C-H…π）存在于</w:t>
      </w:r>
      <w:r>
        <w:t xml:space="preserve"> </w:t>
      </w:r>
      <w:r>
        <w:t>2c</w:t>
      </w:r>
      <w:r>
        <w:t xml:space="preserve"> </w:t>
      </w:r>
      <w:r>
        <w:t>为关键的 *CHO 中间体提供额外的稳定性，最大限度地提高 CH</w:t>
      </w:r>
      <w:r>
        <w:rPr>
          <w:vertAlign w:val="subscript"/>
        </w:rPr>
        <w:t>4</w:t>
      </w:r>
      <w:r>
        <w:t>选择性</w:t>
      </w:r>
    </w:p>
    <w:p>
      <w:pPr>
        <w:spacing w:before="0" w:after="200" w:lineRule="auto" w:line="276"/>
      </w:pPr>
      <w:r>
        <w:rPr>
          <w:b/>
        </w:rPr>
        <w:t xml:space="preserve">Abstract (EN): </w:t>
      </w:r>
      <w:r>
        <w:t>Copper‐based catalysts are promising for CO</w:t>
      </w:r>
      <w:r>
        <w:rPr>
          <w:vertAlign w:val="subscript"/>
        </w:rPr>
        <w:t>2</w:t>
      </w:r>
      <w:r>
        <w:t>reduction to hydrocarbons; however, selective CH</w:t>
      </w:r>
      <w:r>
        <w:rPr>
          <w:vertAlign w:val="subscript"/>
        </w:rPr>
        <w:t>4</w:t>
      </w:r>
      <w:r>
        <w:t>generation remains challenging because of the presence of competing pathways and an insufficient understanding of active site control. Herein, we develop a ligand‐microengineering strategy to synthesize a series of fully N‐heterocyclic carbene (NHC)‐protected Cu</w:t>
      </w:r>
      <w:r>
        <w:rPr>
          <w:vertAlign w:val="subscript"/>
        </w:rPr>
        <w:t>4</w:t>
      </w:r>
      <w:r>
        <w:t>O clusters, [Cu</w:t>
      </w:r>
      <w:r>
        <w:rPr>
          <w:vertAlign w:val="subscript"/>
        </w:rPr>
        <w:t>4</w:t>
      </w:r>
      <w:r>
        <w:t>(</w:t>
      </w:r>
      <w:r>
        <w:t xml:space="preserve"> </w:t>
      </w:r>
      <w:r>
        <w:t>μ</w:t>
      </w:r>
      <w:r>
        <w:rPr>
          <w:vertAlign w:val="subscript"/>
        </w:rPr>
        <w:t>4</w:t>
      </w:r>
      <w:r>
        <w:t>‐O)]</w:t>
      </w:r>
      <w:r>
        <w:t xml:space="preserve"> </w:t>
      </w:r>
      <w:r>
        <w:t>L</w:t>
      </w:r>
      <w:r>
        <w:rPr>
          <w:vertAlign w:val="subscript"/>
        </w:rPr>
        <w:t>2</w:t>
      </w:r>
      <w:r>
        <w:t>(PF</w:t>
      </w:r>
      <w:r>
        <w:rPr>
          <w:vertAlign w:val="subscript"/>
        </w:rPr>
        <w:t>6</w:t>
      </w:r>
      <w:r>
        <w:t>)</w:t>
      </w:r>
      <w:r>
        <w:rPr>
          <w:vertAlign w:val="subscript"/>
        </w:rPr>
        <w:t>2</w:t>
      </w:r>
      <w:r>
        <w:t>(</w:t>
      </w:r>
      <w:r>
        <w:t xml:space="preserve"> </w:t>
      </w:r>
      <w:r>
        <w:t>L</w:t>
      </w:r>
      <w:r>
        <w:t xml:space="preserve"> </w:t>
      </w:r>
      <w:r>
        <w:t>=</w:t>
      </w:r>
      <w:r>
        <w:t xml:space="preserve"> </w:t>
      </w:r>
      <w:r>
        <w:t>1a–1d</w:t>
      </w:r>
      <w:r>
        <w:t xml:space="preserve"> </w:t>
      </w:r>
      <w:r>
        <w:t>, denoted as</w:t>
      </w:r>
      <w:r>
        <w:t xml:space="preserve"> </w:t>
      </w:r>
      <w:r>
        <w:t>2a–2d</w:t>
      </w:r>
      <w:r>
        <w:t xml:space="preserve"> </w:t>
      </w:r>
      <w:r>
        <w:t>), via a green and efficient ball‐milling approach. Of the four evaluated preparations, cluster</w:t>
      </w:r>
      <w:r>
        <w:t xml:space="preserve"> </w:t>
      </w:r>
      <w:r>
        <w:t>2c</w:t>
      </w:r>
      <w:r>
        <w:t xml:space="preserve"> </w:t>
      </w:r>
      <w:r>
        <w:t>exhibits the optimal CH</w:t>
      </w:r>
      <w:r>
        <w:rPr>
          <w:vertAlign w:val="subscript"/>
        </w:rPr>
        <w:t>4</w:t>
      </w:r>
      <w:r>
        <w:t>Faradaic efficiency (), with a value of 67.5% ± 2.1% at –1.4 V versus RHE. Integrated in situ spectroscopy and density functional theory (DFT) calculations reveal that unique secondary‐sphere noncovalent interactions (hydrogen‐bonding and C–H···π) present in</w:t>
      </w:r>
      <w:r>
        <w:t xml:space="preserve"> </w:t>
      </w:r>
      <w:r>
        <w:t>2c</w:t>
      </w:r>
      <w:r>
        <w:t xml:space="preserve"> </w:t>
      </w:r>
      <w:r>
        <w:t>provide additional stabilization for the key *CHO intermediate, maximizing CH</w:t>
      </w:r>
      <w:r>
        <w:rPr>
          <w:vertAlign w:val="subscript"/>
        </w:rPr>
        <w:t>4</w:t>
      </w:r>
      <w:r>
        <w:t>selectivity. This study not only demonstrates the unique advantages of NHC ligands in constructing stable and efficient copper cluster catalysts but also establishes a new paradigm for precisely steering CO</w:t>
      </w:r>
      <w:r>
        <w:rPr>
          <w:vertAlign w:val="subscript"/>
        </w:rPr>
        <w:t>2</w:t>
      </w:r>
      <w:r>
        <w:t>electroreduction selectivity through the rational design of noncovalent interactions within the secondary coordination sphere.</w:t>
      </w:r>
    </w:p>
    <w:p>
      <w:pPr>
        <w:spacing w:before="120" w:after="120"/>
      </w:pPr>
      <w:r>
        <w:rPr>
          <w:sz w:val="18"/>
        </w:rPr>
        <w:t>——————————————————————————————————————————————————————————————————————</w:t>
      </w:r>
    </w:p>
    <w:p>
      <w:pPr>
        <w:spacing w:before="160" w:after="40" w:line="240" w:lineRule="auto"/>
      </w:pPr>
      <w:r>
        <w:rPr>
          <w:b/>
        </w:rPr>
        <w:t xml:space="preserve">[9] </w:t>
      </w:r>
      <w:hyperlink r:id="rId291">
        <w:r>
          <w:rPr>
            <w:color w:val="1155CC"/>
            <w:u w:val="single"/>
          </w:rPr>
          <w:t>在 ZSM-5 沸石限制的均匀银纳米粒子上促进末端炔烃的 CO2 转化</w:t>
        </w:r>
      </w:hyperlink>
    </w:p>
    <w:p>
      <w:pPr>
        <w:spacing w:before="0" w:after="80"/>
      </w:pPr>
      <w:r>
        <w:rPr>
          <w:i/>
          <w:sz w:val="20"/>
        </w:rPr>
        <w:t>EN: Promoting CO2 Conversion With Terminal Alkynes Over ZSM‐5 Zeolite‐Confined Uniform Ag Nanoparticles</w:t>
      </w:r>
    </w:p>
    <w:p>
      <w:pPr>
        <w:spacing w:before="0" w:after="120"/>
      </w:pPr>
      <w:r>
        <w:rPr>
          <w:b/>
        </w:rPr>
        <w:t xml:space="preserve">Source: </w:t>
      </w:r>
      <w:r>
        <w:t>Wiley: Angewandte Chemie International Edition: Table of Contents</w:t>
      </w:r>
      <w:r>
        <w:t xml:space="preserve">    </w:t>
      </w:r>
      <w:r>
        <w:rPr>
          <w:b/>
        </w:rPr>
        <w:t xml:space="preserve">Pub date: </w:t>
      </w:r>
      <w:r>
        <w:t>2026-06-09 01:11:36+00:00</w:t>
      </w:r>
      <w:r>
        <w:t xml:space="preserve">    </w:t>
      </w:r>
      <w:r>
        <w:rPr>
          <w:b/>
        </w:rPr>
        <w:t xml:space="preserve">DOI: </w:t>
      </w:r>
      <w:hyperlink r:id="rId292">
        <w:r>
          <w:rPr>
            <w:color w:val="1155CC"/>
            <w:u w:val="single"/>
          </w:rPr>
          <w:t>10.1002/anie.1541233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多相催化介导的末端炔烃羧化可以通过直接C─H键活化构建稳定的C─C键，实现CO的高效转化</w:t>
      </w:r>
      <w:r>
        <w:rPr>
          <w:vertAlign w:val="subscript"/>
        </w:rPr>
        <w:t>2</w:t>
      </w:r>
      <w:r>
        <w:t>制备不饱和羧基多碳衍生物，为人工固碳和多功能化学品的合成提供新途径。然而，为这种固-液-气三相系统设计具有高效、均匀、稳定活性位点的多相催化剂仍然是一个重大挑战。在此，我们提出了一种溶剂辅助水热法在 ZSM-5 中合成 6-7 nm 均匀的银纳米颗粒（Ag</w:t>
      </w:r>
      <w:r>
        <w:t xml:space="preserve"> </w:t>
      </w:r>
      <w:r>
        <w:t>NP</w:t>
      </w:r>
      <w:r>
        <w:t xml:space="preserve"> </w:t>
      </w:r>
      <w:r>
        <w:t>‐ZSM5)。银</w:t>
      </w:r>
      <w:r>
        <w:t xml:space="preserve"> </w:t>
      </w:r>
      <w:r>
        <w:t>NP</w:t>
      </w:r>
      <w:r>
        <w:t xml:space="preserve"> </w:t>
      </w:r>
      <w:r>
        <w:t>‐ZSM5 的产率为 90%，TOF 为 306 小时</w:t>
      </w:r>
      <w:r>
        <w:t xml:space="preserve"> </w:t>
      </w:r>
      <w:r>
        <w:t>−1</w:t>
      </w:r>
      <w:r>
        <w:t xml:space="preserve"> </w:t>
      </w:r>
      <w:r>
        <w:t>在 4 小时的炔烃羧化反应中。优秀的CO</w:t>
      </w:r>
      <w:r>
        <w:rPr>
          <w:vertAlign w:val="subscript"/>
        </w:rPr>
        <w:t>2</w:t>
      </w:r>
      <w:r>
        <w:t>ZSM-5的吸附能力以及Ag纳米粒子和ZSM-5载体之间的金属载体相互作用（MSI）共同增强了炔烃羧化反应的固有活性。这项工作不仅提出了在沸石内合成均匀纳米粒子的创新策略，而且为促进末端炔烃羧化的工业应用提供了一种新方法。</w:t>
      </w:r>
    </w:p>
    <w:p>
      <w:pPr>
        <w:spacing w:before="0" w:after="200" w:lineRule="auto" w:line="276"/>
      </w:pPr>
      <w:r>
        <w:rPr>
          <w:b/>
        </w:rPr>
        <w:t xml:space="preserve">Abstract (EN): </w:t>
      </w:r>
      <w:r>
        <w:t>Heterogeneous catalysis‐mediated terminal alkyne carboxylation enabled the construction of stable C─C bonds via direct C─H bond activation, achieving efficient conversion of CO</w:t>
      </w:r>
      <w:r>
        <w:rPr>
          <w:vertAlign w:val="subscript"/>
        </w:rPr>
        <w:t>2</w:t>
      </w:r>
      <w:r>
        <w:t>into unsaturated carboxylic multi‐carbon derivatives, and providing a new route for artificial carbon fixation and the synthesis of multifunctional chemicals. However, designing heterogenous catalysts with highly efficient, uniformed, stable active sites for this solid‐liquid‐gas three‐phase systems remained a significant challenge. Herein, we proposed a solvent‐assist hydrothermal method to synthesis 6–7 nm uniformed Ag nanoparticles in ZSM‐5 (Ag</w:t>
      </w:r>
      <w:r>
        <w:t xml:space="preserve"> </w:t>
      </w:r>
      <w:r>
        <w:t>NP</w:t>
      </w:r>
      <w:r>
        <w:t xml:space="preserve"> </w:t>
      </w:r>
      <w:r>
        <w:t>‐ZSM5). Ag</w:t>
      </w:r>
      <w:r>
        <w:t xml:space="preserve"> </w:t>
      </w:r>
      <w:r>
        <w:t>NP</w:t>
      </w:r>
      <w:r>
        <w:t xml:space="preserve"> </w:t>
      </w:r>
      <w:r>
        <w:t>‐ZSM5 exhibited a yield of 90% and a TOF of 306 h</w:t>
      </w:r>
      <w:r>
        <w:t xml:space="preserve"> </w:t>
      </w:r>
      <w:r>
        <w:t>−1</w:t>
      </w:r>
      <w:r>
        <w:t xml:space="preserve"> </w:t>
      </w:r>
      <w:r>
        <w:t>in 4 h alkynes carboxylation reaction. The excellent CO</w:t>
      </w:r>
      <w:r>
        <w:rPr>
          <w:vertAlign w:val="subscript"/>
        </w:rPr>
        <w:t>2</w:t>
      </w:r>
      <w:r>
        <w:t>adsorption capacity of ZSM‐5, together with the metal‐support interaction (MSI) between Ag nanoparticles and the ZSM‐5 support, jointly enhanced the intrinsic activity of the alkyne carboxylation reaction. This work not only proposed an innovative strategy for synthesizing uniform nanoparticles within zeolites, but also provided a new approach to facilitate the industrial application of terminal alkyne carboxylation.</w:t>
      </w:r>
    </w:p>
    <w:p>
      <w:pPr>
        <w:spacing w:before="120" w:after="120"/>
      </w:pPr>
      <w:r>
        <w:rPr>
          <w:sz w:val="18"/>
        </w:rPr>
        <w:t>——————————————————————————————————————————————————————————————————————</w:t>
      </w:r>
    </w:p>
    <w:p>
      <w:pPr>
        <w:spacing w:before="160" w:after="40" w:line="240" w:lineRule="auto"/>
      </w:pPr>
      <w:r>
        <w:rPr>
          <w:b/>
        </w:rPr>
        <w:t xml:space="preserve">[10] </w:t>
      </w:r>
      <w:hyperlink r:id="rId293">
        <w:r>
          <w:rPr>
            <w:color w:val="1155CC"/>
            <w:u w:val="single"/>
          </w:rPr>
          <w:t>N-杂环卡宾的阶梯边缘功能化增强了电化学 CO2 还原的催化活性</w:t>
        </w:r>
      </w:hyperlink>
    </w:p>
    <w:p>
      <w:pPr>
        <w:spacing w:before="0" w:after="80"/>
      </w:pPr>
      <w:r>
        <w:rPr>
          <w:i/>
          <w:sz w:val="20"/>
        </w:rPr>
        <w:t>EN: Step‐Edge Functionalization by N‐Heterocyclic Carbenes Enhances Catalytic Activity in Electrochemical CO2 Reduction</w:t>
      </w:r>
    </w:p>
    <w:p>
      <w:pPr>
        <w:spacing w:before="0" w:after="120"/>
      </w:pPr>
      <w:r>
        <w:rPr>
          <w:b/>
        </w:rPr>
        <w:t xml:space="preserve">Source: </w:t>
      </w:r>
      <w:r>
        <w:t>Wiley: Advanced Materials: Table of Contents</w:t>
      </w:r>
      <w:r>
        <w:t xml:space="preserve">    </w:t>
      </w:r>
      <w:r>
        <w:rPr>
          <w:b/>
        </w:rPr>
        <w:t xml:space="preserve">Pub date: </w:t>
      </w:r>
      <w:r>
        <w:t>2026-06-09 08:19:14+00:00</w:t>
      </w:r>
      <w:r>
        <w:t xml:space="preserve">    </w:t>
      </w:r>
      <w:r>
        <w:rPr>
          <w:b/>
        </w:rPr>
        <w:t xml:space="preserve">DOI: </w:t>
      </w:r>
      <w:hyperlink r:id="rId294">
        <w:r>
          <w:rPr>
            <w:color w:val="1155CC"/>
            <w:u w:val="single"/>
          </w:rPr>
          <w:t>10.1002/adma.73621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表面上的原子阶梯边缘由于其配位减少和电子结构改变而成为高活性催化位点。然而，单分子水平上的有机配体功能化方法主要针对平坦的平台几何形状，而位点特异性阶梯边缘功能化仍未得到解决。这项研究表明，与未修饰的金属台阶边缘相比，用 N-杂环卡宾 (NHC) 装饰 Au(788) 的原子定义台阶边缘可增强其还原催化活性。使用高分辨率扫描探针显微镜，揭示了三种不同 NHC 在阶梯边缘的直立倾斜吸附几何形状和统一结合模式。这些明确的纳米结构具有出色的稳定性，允许在电化学实验中使用单晶样品作为工作电极。光电子能谱和理论模拟将电荷转移和构象细节与其催化性能相关联。通过将宏观电化学实验与单分子显微镜相结合，这项研究强调 NHC 阶梯边缘功能化是设计高选择性和高效催化剂的有效方法。</w:t>
      </w:r>
    </w:p>
    <w:p>
      <w:pPr>
        <w:spacing w:before="0" w:after="200" w:lineRule="auto" w:line="276"/>
      </w:pPr>
      <w:r>
        <w:rPr>
          <w:b/>
        </w:rPr>
        <w:t xml:space="preserve">Abstract (EN): </w:t>
      </w:r>
      <w:r>
        <w:t>Atomic step‐edges on metallic surfaces are highly active catalytic sites due to their reduced coordination and modified electronic structure. Yet, approaches to organic ligand functionalization on the single‐molecule level have largely targeted flat terrace geometries, whereas site‐specific step‐edge functionalization remains unaddressed. This study shows that decorating the atomically defined step‐edges of Au(788) with N‐heterocyclic carbenes (NHCs) enhances their catalytic activity toward  reduction compared to undecorated metallic step‐edges. Using high‐resolution scanning probe microscopy, an upright‐tilted adsorption geometry and a unified binding mode of three different NHCs at step‐edges are revealed. The exceptional stability of these well‐defined nanostructures allows the use of the single‐crystalline samples as working electrodes in electrochemical experiments. Photoelectron spectroscopy and theoretical simulations correlate charge transfer and conformational details with their catalytic performance. By combining macroscopic electrochemical experiments with single‐molecule microscopy, this study highlights NHC step‐edge functionalization as an effective approach to design highly selective and efficient catalysts.</w:t>
      </w:r>
    </w:p>
    <w:p>
      <w:pPr>
        <w:spacing w:before="120" w:after="120"/>
      </w:pPr>
      <w:r>
        <w:rPr>
          <w:sz w:val="18"/>
        </w:rPr>
        <w:t>——————————————————————————————————————————————————————————————————————</w:t>
      </w:r>
    </w:p>
    <w:p>
      <w:pPr>
        <w:spacing w:before="160" w:after="40" w:line="240" w:lineRule="auto"/>
      </w:pPr>
      <w:r>
        <w:rPr>
          <w:b/>
        </w:rPr>
        <w:t xml:space="preserve">[11] </w:t>
      </w:r>
      <w:hyperlink r:id="rId219">
        <w:r>
          <w:rPr>
            <w:color w:val="1155CC"/>
            <w:u w:val="single"/>
          </w:rPr>
          <w:t>气相金属簇的反应性：解锁小分子的活化和转化机制</w:t>
        </w:r>
      </w:hyperlink>
    </w:p>
    <w:p>
      <w:pPr>
        <w:spacing w:before="0" w:after="80"/>
      </w:pPr>
      <w:r>
        <w:rPr>
          <w:i/>
          <w:sz w:val="20"/>
        </w:rPr>
        <w:t>EN: Reactivity of Gas‐Phase Metal Clusters: Unlocking Mechanisms of Activation and Conversion of Small Molecules</w:t>
      </w:r>
    </w:p>
    <w:p>
      <w:pPr>
        <w:spacing w:before="0" w:after="120"/>
      </w:pPr>
      <w:r>
        <w:rPr>
          <w:b/>
        </w:rPr>
        <w:t xml:space="preserve">Source: </w:t>
      </w:r>
      <w:r>
        <w:t>Wiley: Advanced Materials: Table of Contents</w:t>
      </w:r>
      <w:r>
        <w:t xml:space="preserve">    </w:t>
      </w:r>
      <w:r>
        <w:rPr>
          <w:b/>
        </w:rPr>
        <w:t xml:space="preserve">Pub date: </w:t>
      </w:r>
      <w:r>
        <w:t>2026-06-09 08:20:37+00:00</w:t>
      </w:r>
      <w:r>
        <w:t xml:space="preserve">    </w:t>
      </w:r>
      <w:r>
        <w:rPr>
          <w:b/>
        </w:rPr>
        <w:t xml:space="preserve">DOI: </w:t>
      </w:r>
      <w:hyperlink r:id="rId220">
        <w:r>
          <w:rPr>
            <w:color w:val="1155CC"/>
            <w:u w:val="single"/>
          </w:rPr>
          <w:t>10.1002/adma.73550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非常稳定且丰富的可用分子的激活和转化，例如甲烷 (CH</w:t>
      </w:r>
      <w:r>
        <w:rPr>
          <w:vertAlign w:val="subscript"/>
        </w:rPr>
        <w:t>4</w:t>
      </w:r>
      <w:r>
        <w:t>）、氮气（N</w:t>
      </w:r>
      <w:r>
        <w:rPr>
          <w:vertAlign w:val="subscript"/>
        </w:rPr>
        <w:t>2</w:t>
      </w:r>
      <w:r>
        <w:t>）、二氧化碳（CO</w:t>
      </w:r>
      <w:r>
        <w:rPr>
          <w:vertAlign w:val="subscript"/>
        </w:rPr>
        <w:t>2</w:t>
      </w:r>
      <w:r>
        <w:t>）等在温和条件下转化为增值产品是能源和环境化学中的一个关键问题。在隔离和无干扰的环境中进行的气相簇反应性研究可以为分子水平上惰性化学键的活化和转化提供基本见解，从而为高效催化剂的合理设计提供信息。本文综述了近五年来CH活化与转化方面的研究进展</w:t>
      </w:r>
      <w:r>
        <w:rPr>
          <w:vertAlign w:val="subscript"/>
        </w:rPr>
        <w:t>4</w:t>
      </w:r>
      <w:r>
        <w:t>,N</w:t>
      </w:r>
      <w:r>
        <w:rPr>
          <w:vertAlign w:val="subscript"/>
        </w:rPr>
        <w:t>2</w:t>
      </w:r>
      <w:r>
        <w:t>,一氧化碳</w:t>
      </w:r>
      <w:r>
        <w:t xml:space="preserve"> </w:t>
      </w:r>
      <w:r>
        <w:t>x</w:t>
      </w:r>
      <w:r>
        <w:t xml:space="preserve"> </w:t>
      </w:r>
      <w:r>
        <w:t>（</w:t>
      </w:r>
      <w:r>
        <w:t xml:space="preserve"> </w:t>
      </w:r>
      <w:r>
        <w:t>x</w:t>
      </w:r>
      <w:r>
        <w:t xml:space="preserve"> </w:t>
      </w:r>
      <w:r>
        <w:t>= 1和2），以及通过传统实验/理论方法和基于人工智能的新兴技术研究的气相金属簇介导的其他分子。介绍了涵盖基本反应和催化反应以及控制金属簇反应性的新电子和几何因素的新颖反应途径。为金属簇的定量结构-活性关系构建的机器学习模型，可以快速可靠地预测金属簇的反应性</w:t>
      </w:r>
    </w:p>
    <w:p>
      <w:pPr>
        <w:spacing w:before="0" w:after="200" w:lineRule="auto" w:line="276"/>
      </w:pPr>
      <w:r>
        <w:rPr>
          <w:b/>
        </w:rPr>
        <w:t xml:space="preserve">Abstract (EN): </w:t>
      </w:r>
      <w:r>
        <w:t>Activation and conversion of very stable and abundantly available molecules such as methane (CH</w:t>
      </w:r>
      <w:r>
        <w:rPr>
          <w:vertAlign w:val="subscript"/>
        </w:rPr>
        <w:t>4</w:t>
      </w:r>
      <w:r>
        <w:t>), nitrogen (N</w:t>
      </w:r>
      <w:r>
        <w:rPr>
          <w:vertAlign w:val="subscript"/>
        </w:rPr>
        <w:t>2</w:t>
      </w:r>
      <w:r>
        <w:t>), carbon dioxide (CO</w:t>
      </w:r>
      <w:r>
        <w:rPr>
          <w:vertAlign w:val="subscript"/>
        </w:rPr>
        <w:t>2</w:t>
      </w:r>
      <w:r>
        <w:t>), and so on into value‐added products under mild conditions represents a critical issue in energy and environmental chemistry. Gas‐phase cluster reactivity studies, conducted in isolated and interference‐free environments, can provide fundamental insights into the activation and transformation of inert chemical bonds at a molecular‐level, thereby informing the rational design of efficient catalysts. This perspective article summarizes the research progress over the past five years in the activation and conversion of CH</w:t>
      </w:r>
      <w:r>
        <w:rPr>
          <w:vertAlign w:val="subscript"/>
        </w:rPr>
        <w:t>4</w:t>
      </w:r>
      <w:r>
        <w:t>, N</w:t>
      </w:r>
      <w:r>
        <w:rPr>
          <w:vertAlign w:val="subscript"/>
        </w:rPr>
        <w:t>2</w:t>
      </w:r>
      <w:r>
        <w:t>, CO</w:t>
      </w:r>
      <w:r>
        <w:t xml:space="preserve"> </w:t>
      </w:r>
      <w:r>
        <w:t>x</w:t>
      </w:r>
      <w:r>
        <w:t xml:space="preserve"> </w:t>
      </w:r>
      <w:r>
        <w:t>(</w:t>
      </w:r>
      <w:r>
        <w:t xml:space="preserve"> </w:t>
      </w:r>
      <w:r>
        <w:t>x</w:t>
      </w:r>
      <w:r>
        <w:t xml:space="preserve"> </w:t>
      </w:r>
      <w:r>
        <w:t>= 1 and 2), and other molecules mediated by gas‐phase metal clusters investigated by both the traditional experimental/theoretical methods and the emerging techniques based on artificial intelligence. Novel reaction pathways covering both elementary and catalytic reactions as well as new electronic and geometric factors governing metal cluster reactivity have been introduced. Machine learning models constructed for the quantitative structure‐activity relationship of metal clusters that enable the rapid and reliable reactivity prediction of metal clusters have also been presented. These fruitful results offer fresh perspectives for practical catalytic systems and are helpful to develop advanced catalytic materials for the transformation of CH</w:t>
      </w:r>
      <w:r>
        <w:rPr>
          <w:vertAlign w:val="subscript"/>
        </w:rPr>
        <w:t>4</w:t>
      </w:r>
      <w:r>
        <w:t>, N</w:t>
      </w:r>
      <w:r>
        <w:rPr>
          <w:vertAlign w:val="subscript"/>
        </w:rPr>
        <w:t>2</w:t>
      </w:r>
      <w:r>
        <w:t>, CO</w:t>
      </w:r>
      <w:r>
        <w:t xml:space="preserve"> </w:t>
      </w:r>
      <w:r>
        <w:t>x</w:t>
      </w:r>
      <w:r>
        <w:t xml:space="preserve"> </w:t>
      </w:r>
      <w:r>
        <w:t>, and other molecules under mild conditions.</w:t>
      </w:r>
    </w:p>
    <w:p>
      <w:pPr>
        <w:spacing w:before="120" w:after="120"/>
      </w:pPr>
      <w:r>
        <w:rPr>
          <w:sz w:val="18"/>
        </w:rPr>
        <w:t>——————————————————————————————————————————————————————————————————————</w:t>
      </w:r>
    </w:p>
    <w:p>
      <w:pPr>
        <w:spacing w:before="160" w:after="40" w:line="240" w:lineRule="auto"/>
      </w:pPr>
      <w:r>
        <w:rPr>
          <w:b/>
        </w:rPr>
        <w:t xml:space="preserve">[12] </w:t>
      </w:r>
      <w:hyperlink r:id="rId295">
        <w:r>
          <w:rPr>
            <w:color w:val="1155CC"/>
            <w:u w:val="single"/>
          </w:rPr>
          <w:t>共价有机框架中噻吩供体的协同电子和空间工程，实现高效 CO2 光转换</w:t>
        </w:r>
      </w:hyperlink>
    </w:p>
    <w:p>
      <w:pPr>
        <w:spacing w:before="0" w:after="80"/>
      </w:pPr>
      <w:r>
        <w:rPr>
          <w:i/>
          <w:sz w:val="20"/>
        </w:rPr>
        <w:t>EN: Synergistic Electronic and Steric Engineering of Thiophene Donors in Covalent Organic Frameworks for Efficient CO2 Photoconversion</w:t>
      </w:r>
    </w:p>
    <w:p>
      <w:pPr>
        <w:spacing w:before="0" w:after="120"/>
      </w:pPr>
      <w:r>
        <w:rPr>
          <w:b/>
        </w:rPr>
        <w:t xml:space="preserve">Source: </w:t>
      </w:r>
      <w:r>
        <w:t>Wiley: Angewandte Chemie International Edition: Table of Contents</w:t>
      </w:r>
      <w:r>
        <w:t xml:space="preserve">    </w:t>
      </w:r>
      <w:r>
        <w:rPr>
          <w:b/>
        </w:rPr>
        <w:t xml:space="preserve">Pub date: </w:t>
      </w:r>
      <w:r>
        <w:t>2026-06-09 11:48:59+00:00</w:t>
      </w:r>
      <w:r>
        <w:t xml:space="preserve">    </w:t>
      </w:r>
      <w:r>
        <w:rPr>
          <w:b/>
        </w:rPr>
        <w:t xml:space="preserve">DOI: </w:t>
      </w:r>
      <w:hyperlink r:id="rId296">
        <w:r>
          <w:rPr>
            <w:color w:val="1155CC"/>
            <w:u w:val="single"/>
          </w:rPr>
          <w:t>10.1002/anie.5240027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共价有机框架（COF）具有广泛的光吸收和永久孔隙率，可作为光催化CO中金属催化位点的优异支撑</w:t>
      </w:r>
      <w:r>
        <w:rPr>
          <w:vertAlign w:val="subscript"/>
        </w:rPr>
        <w:t>2</w:t>
      </w:r>
      <w:r>
        <w:t>减少，为高效稳定的二氧化碳提供了巨大的希望</w:t>
      </w:r>
      <w:r>
        <w:rPr>
          <w:vertAlign w:val="subscript"/>
        </w:rPr>
        <w:t>2</w:t>
      </w:r>
      <w:r>
        <w:t>光转换。在此，两种合理设计的富含噻吩的单体能够在同一COF材料中有效偶联噻吩和苯并噻二唑单元，产生具有</w:t>
      </w:r>
      <w:r>
        <w:t xml:space="preserve"> </w:t>
      </w:r>
      <w:r>
        <w:t>贝克斯</w:t>
      </w:r>
      <w:r>
        <w:t xml:space="preserve"> </w:t>
      </w:r>
      <w:r>
        <w:t>拓扑结构（TTB-COF 和 TTP-COF）。通过调节中心单元，分子内内置电场增强，噻吩单元的旋转自由度也受到限制，导致单层COF形成波状结构，从而显着提高材料的光催化性能。使用 2,2'-联吡啶作为添加剂，TTB-COF-Co 实现了 28.0 mmol g 的高 CO 产率</w:t>
      </w:r>
      <w:r>
        <w:t xml:space="preserve"> </w:t>
      </w:r>
      <w:r>
        <w:t>−1</w:t>
      </w:r>
      <w:r>
        <w:t xml:space="preserve"> </w:t>
      </w:r>
      <w:r>
        <w:t>小时</w:t>
      </w:r>
      <w:r>
        <w:t xml:space="preserve"> </w:t>
      </w:r>
      <w:r>
        <w:t>−1</w:t>
      </w:r>
      <w:r>
        <w:t xml:space="preserve"> </w:t>
      </w:r>
      <w:r>
        <w:t>在光敏剂[Ru(bpy)存在下，选择性为88.4%</w:t>
      </w:r>
      <w:r>
        <w:rPr>
          <w:vertAlign w:val="subscript"/>
        </w:rPr>
        <w:t>3</w:t>
      </w:r>
      <w:r>
        <w:t>]氯</w:t>
      </w:r>
      <w:r>
        <w:rPr>
          <w:vertAlign w:val="subscript"/>
        </w:rPr>
        <w:t>2</w:t>
      </w:r>
      <w:r>
        <w:t>·6小时</w:t>
      </w:r>
      <w:r>
        <w:rPr>
          <w:vertAlign w:val="subscript"/>
        </w:rPr>
        <w:t>2</w:t>
      </w:r>
      <w:r>
        <w:t>O和牺牲剂三乙醇胺（TEOA）是COF基催化剂中性能最好的之一。累积自由能变化图的分析表明TTB-COF-Co降低了CO中速率决定步骤的能垒</w:t>
      </w:r>
    </w:p>
    <w:p>
      <w:pPr>
        <w:spacing w:before="0" w:after="200" w:lineRule="auto" w:line="276"/>
      </w:pPr>
      <w:r>
        <w:rPr>
          <w:b/>
        </w:rPr>
        <w:t xml:space="preserve">Abstract (EN): </w:t>
      </w:r>
      <w:r>
        <w:t>Covalent organic frameworks (COFs), featuring broad light absorption and permanent porosity, serve as excellent supports for metal catalytic sites in photocatalytic CO</w:t>
      </w:r>
      <w:r>
        <w:rPr>
          <w:vertAlign w:val="subscript"/>
        </w:rPr>
        <w:t>2</w:t>
      </w:r>
      <w:r>
        <w:t>reduction, offering great promise for efficient and stable CO</w:t>
      </w:r>
      <w:r>
        <w:rPr>
          <w:vertAlign w:val="subscript"/>
        </w:rPr>
        <w:t>2</w:t>
      </w:r>
      <w:r>
        <w:t>photoconversion. Herein, two rationally designed thiophene‐rich monomers enable the effective coupling of thiophene and benzothiadiazole units within the same COF materials, yielding D–A type COFs with</w:t>
      </w:r>
      <w:r>
        <w:t xml:space="preserve"> </w:t>
      </w:r>
      <w:r>
        <w:t>bex</w:t>
      </w:r>
      <w:r>
        <w:t xml:space="preserve"> </w:t>
      </w:r>
      <w:r>
        <w:t>topological structures (TTB‐COF and TTP‐COF). By modulating the central unit, the intramolecular built‐in electric field is enhanced, and the rotational freedom of thiophene units is also constrained, leading to a wavy structure in the monolayer COF, which significantly improves the material's photocatalytic performance. Using 2,2′‐bipyridine as an additive, TTB‐COF‐Co achieves a high CO production rate of 28.0 mmol g</w:t>
      </w:r>
      <w:r>
        <w:t xml:space="preserve"> </w:t>
      </w:r>
      <w:r>
        <w:t>−1</w:t>
      </w:r>
      <w:r>
        <w:t xml:space="preserve"> </w:t>
      </w:r>
      <w:r>
        <w:t>h</w:t>
      </w:r>
      <w:r>
        <w:t xml:space="preserve"> </w:t>
      </w:r>
      <w:r>
        <w:t>−1</w:t>
      </w:r>
      <w:r>
        <w:t xml:space="preserve"> </w:t>
      </w:r>
      <w:r>
        <w:t>with a selectivity of 88.4% in the presence of the photosensitizer [Ru(bpy)</w:t>
      </w:r>
      <w:r>
        <w:rPr>
          <w:vertAlign w:val="subscript"/>
        </w:rPr>
        <w:t>3</w:t>
      </w:r>
      <w:r>
        <w:t>]Cl</w:t>
      </w:r>
      <w:r>
        <w:rPr>
          <w:vertAlign w:val="subscript"/>
        </w:rPr>
        <w:t>2</w:t>
      </w:r>
      <w:r>
        <w:t>·6H</w:t>
      </w:r>
      <w:r>
        <w:rPr>
          <w:vertAlign w:val="subscript"/>
        </w:rPr>
        <w:t>2</w:t>
      </w:r>
      <w:r>
        <w:t>O and the sacrificial agent triethanolamine (TEOA), being one of the best performances among COF‐based catalysts. Analysis of the cumulative free energy change diagrams reveals that TTB‐COF‐Co lowers the energy barrier of the rate‐determining step in CO</w:t>
      </w:r>
      <w:r>
        <w:rPr>
          <w:vertAlign w:val="subscript"/>
        </w:rPr>
        <w:t>2</w:t>
      </w:r>
      <w:r>
        <w:t>photoreduction, thereby demonstrating superior photocatalytic performance. This work provides a referable design strategy for constructing high‐performance COF‐based photocatalysts for CO</w:t>
      </w:r>
      <w:r>
        <w:rPr>
          <w:vertAlign w:val="subscript"/>
        </w:rPr>
        <w:t>2</w:t>
      </w:r>
      <w:r>
        <w:t>reduction.</w:t>
      </w:r>
    </w:p>
    <w:p>
      <w:pPr>
        <w:spacing w:before="120" w:after="120"/>
      </w:pPr>
      <w:r>
        <w:rPr>
          <w:sz w:val="18"/>
        </w:rPr>
        <w:t>——————————————————————————————————————————————————————————————————————</w:t>
      </w:r>
    </w:p>
    <w:p>
      <w:pPr>
        <w:spacing w:before="160" w:after="40" w:line="240" w:lineRule="auto"/>
      </w:pPr>
      <w:r>
        <w:rPr>
          <w:b/>
        </w:rPr>
        <w:t xml:space="preserve">[13] </w:t>
      </w:r>
      <w:hyperlink r:id="rId297">
        <w:r>
          <w:rPr>
            <w:color w:val="1155CC"/>
            <w:u w:val="single"/>
          </w:rPr>
          <w:t>细胞内质子富集驱动生物混合二氧化碳固定的统一双辅因子再生</w:t>
        </w:r>
      </w:hyperlink>
    </w:p>
    <w:p>
      <w:pPr>
        <w:spacing w:before="0" w:after="80"/>
      </w:pPr>
      <w:r>
        <w:rPr>
          <w:i/>
          <w:sz w:val="20"/>
        </w:rPr>
        <w:t>EN: Intracellular Proton Enrichment Drives Unified Dual‐Cofactor Regeneration for Biohybrid CO2 Fixation</w:t>
      </w:r>
    </w:p>
    <w:p>
      <w:pPr>
        <w:spacing w:before="0" w:after="120"/>
      </w:pPr>
      <w:r>
        <w:rPr>
          <w:b/>
        </w:rPr>
        <w:t xml:space="preserve">Source: </w:t>
      </w:r>
      <w:r>
        <w:t>Wiley: Angewandte Chemie International Edition: Table of Contents</w:t>
      </w:r>
      <w:r>
        <w:t xml:space="preserve">    </w:t>
      </w:r>
      <w:r>
        <w:rPr>
          <w:b/>
        </w:rPr>
        <w:t xml:space="preserve">Pub date: </w:t>
      </w:r>
      <w:r>
        <w:t>2026-06-09 11:55:31+00:00</w:t>
      </w:r>
      <w:r>
        <w:t xml:space="preserve">    </w:t>
      </w:r>
      <w:r>
        <w:rPr>
          <w:b/>
        </w:rPr>
        <w:t xml:space="preserve">DOI: </w:t>
      </w:r>
      <w:hyperlink r:id="rId298">
        <w:r>
          <w:rPr>
            <w:color w:val="1155CC"/>
            <w:u w:val="single"/>
          </w:rPr>
          <w:t>10.1002/anie.8155133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光催化生物混合系统将光敏剂与全细胞生物催化剂结合起来，代表了可持续太阳能转化为化学二氧化碳的平台</w:t>
      </w:r>
      <w:r>
        <w:rPr>
          <w:vertAlign w:val="subscript"/>
        </w:rPr>
        <w:t>2</w:t>
      </w:r>
      <w:r>
        <w:t>转换。然而，它们的效率从根本上受到缓慢的跨膜电子注入和生物能转导所需的未耦合质子通量之间的动力学不匹配的限制。这种解偶联限制了三磷酸腺苷（ATP）和还原烟酰胺腺嘌呤二核苷酸（NADH）的再生，这两种辅因子是驱动碳固定途径所必需的。在这里，我们介绍了一种利用质子化锰掺杂碳点（HMnCD）的质子富集策略，该策略同时充当可逆质子缓冲器和光电子供体。 HMnCD 定位于周质</w:t>
      </w:r>
      <w:r>
        <w:t xml:space="preserve"> </w:t>
      </w:r>
      <w:r>
        <w:t>红铜</w:t>
      </w:r>
      <w:r>
        <w:t xml:space="preserve"> </w:t>
      </w:r>
      <w:r>
        <w:t>r H16，其中不稳定的质子增强了驱动 ATP 合酶的跨膜质子梯度。同时，细胞质 HMnCD 促进质子耦合电子转移，加速 NADH 光再生。质子和电子通量的协同管理使 ATP 生成与呼吸 NADH 氧化脱钩，即使在电子传递链抑制下也能产生协同辅助因子供应。因此，该生物杂交体实现了光驱动的自养生长和 CO2 的聚（3-羟基丁酸酯）生物合成</w:t>
      </w:r>
      <w:r>
        <w:rPr>
          <w:vertAlign w:val="subscript"/>
        </w:rPr>
        <w:t>2</w:t>
      </w:r>
      <w:r>
        <w:t>，量子效率达到创纪录的20.8%。多组学分析揭示全球代谢水平</w:t>
      </w:r>
    </w:p>
    <w:p>
      <w:pPr>
        <w:spacing w:before="0" w:after="200" w:lineRule="auto" w:line="276"/>
      </w:pPr>
      <w:r>
        <w:rPr>
          <w:b/>
        </w:rPr>
        <w:t xml:space="preserve">Abstract (EN): </w:t>
      </w:r>
      <w:r>
        <w:t>Photocatalytic biohybrid systems, which interface photosensitizers with whole‐cell biocatalysts, represent a platform for sustainable solar‐to‐chemical CO</w:t>
      </w:r>
      <w:r>
        <w:rPr>
          <w:vertAlign w:val="subscript"/>
        </w:rPr>
        <w:t>2</w:t>
      </w:r>
      <w:r>
        <w:t>conversion. However, their efficiency is fundamentally constrained by kinetic mismatch between sluggish transmembrane electron injection and uncoupled proton flux required for bioenergetic transduction. This uncoupling restricts the regeneration of adenosine triphosphate (ATP) and reduced nicotinamide adenine dinucleotide (NADH), the dual cofactors essential for driving carbon fixation pathways. Here, we introduce a proton enrichment strategy utilizing protonated manganese‐doped carbon dots (HMnCDs) that function simultaneously as reversible proton buffers and photoelectron donors. HMnCDs localize to the periplasm of</w:t>
      </w:r>
      <w:r>
        <w:t xml:space="preserve"> </w:t>
      </w:r>
      <w:r>
        <w:t>Cupriavidus necato</w:t>
      </w:r>
      <w:r>
        <w:t xml:space="preserve"> </w:t>
      </w:r>
      <w:r>
        <w:t>r H16, where their labile protons reinforce the transmembrane proton gradient driving ATP synthase. Concurrently, cytoplasmic HMnCDs facilitate proton‐coupled electron transfer, accelerating NADH photoregeneration. The concerted management of proton and electron fluxes decouples ATP generation from respiratory NADH oxidation, creating a synergistic cofactor supply even under electron transport chain inhibition. Consequently, the biohybrid achieves light‐driven autotrophic growth and poly(3‐hydroxybutyrate) biosynthesis from CO</w:t>
      </w:r>
      <w:r>
        <w:rPr>
          <w:vertAlign w:val="subscript"/>
        </w:rPr>
        <w:t>2</w:t>
      </w:r>
      <w:r>
        <w:t>, attaining a record quantum efficiency of 20.8%. Multi‐omics analyses reveal global metabolic reprogramming, including upregulated carbon fixation pathways and adaptive modulation of energy homeostasis under the proton‐enriched microenvironment. This work establishes proton enrichment as a generalizable design principle for coupling photochemistry with cellular bioenergetics.</w:t>
      </w:r>
    </w:p>
    <w:p>
      <w:pPr>
        <w:spacing w:before="120" w:after="120"/>
      </w:pPr>
      <w:r>
        <w:rPr>
          <w:sz w:val="18"/>
        </w:rPr>
        <w:t>——————————————————————————————————————————————————————————————————————</w:t>
      </w:r>
    </w:p>
    <w:p>
      <w:pPr>
        <w:spacing w:before="160" w:after="40" w:line="240" w:lineRule="auto"/>
      </w:pPr>
      <w:r>
        <w:rPr>
          <w:b/>
        </w:rPr>
        <w:t xml:space="preserve">[14] </w:t>
      </w:r>
      <w:hyperlink r:id="rId299">
        <w:r>
          <w:rPr>
            <w:color w:val="1155CC"/>
            <w:u w:val="single"/>
          </w:rPr>
          <w:t>用于电催化二氧化碳转化和下游升级的协调工程界面路径分区</w:t>
        </w:r>
      </w:hyperlink>
    </w:p>
    <w:p>
      <w:pPr>
        <w:spacing w:before="0" w:after="80"/>
      </w:pPr>
      <w:r>
        <w:rPr>
          <w:i/>
          <w:sz w:val="20"/>
        </w:rPr>
        <w:t>EN: Coordination‐Engineered Interfacial Pathway Partitioning for Electrocatalytic CO2 Conversion and Downstream Upgrading</w:t>
      </w:r>
    </w:p>
    <w:p>
      <w:pPr>
        <w:spacing w:before="0" w:after="120"/>
      </w:pPr>
      <w:r>
        <w:rPr>
          <w:b/>
        </w:rPr>
        <w:t xml:space="preserve">Source: </w:t>
      </w:r>
      <w:r>
        <w:t>Wiley: Angewandte Chemie International Edition: Table of Contents</w:t>
      </w:r>
      <w:r>
        <w:t xml:space="preserve">    </w:t>
      </w:r>
      <w:r>
        <w:rPr>
          <w:b/>
        </w:rPr>
        <w:t xml:space="preserve">Pub date: </w:t>
      </w:r>
      <w:r>
        <w:t>2026-06-09 11:58:51+00:00</w:t>
      </w:r>
      <w:r>
        <w:t xml:space="preserve">    </w:t>
      </w:r>
      <w:r>
        <w:rPr>
          <w:b/>
        </w:rPr>
        <w:t xml:space="preserve">DOI: </w:t>
      </w:r>
      <w:hyperlink r:id="rId300">
        <w:r>
          <w:rPr>
            <w:color w:val="1155CC"/>
            <w:u w:val="single"/>
          </w:rPr>
          <w:t>10.1002/anie.7212170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电化学CO</w:t>
      </w:r>
      <w:r>
        <w:rPr>
          <w:vertAlign w:val="subscript"/>
        </w:rPr>
        <w:t>2</w:t>
      </w:r>
      <w:r>
        <w:t>减少（eCO</w:t>
      </w:r>
      <w:r>
        <w:rPr>
          <w:vertAlign w:val="subscript"/>
        </w:rPr>
        <w:t>2</w:t>
      </w:r>
      <w:r>
        <w:t>RR）越来越有能力提供下游兼容的碳产品，但途径选择的界面起源仍然没有得到充分的了解。在这里，采用配位环境可调的 Cu-Sn 催化剂来分配 CO</w:t>
      </w:r>
      <w:r>
        <w:rPr>
          <w:vertAlign w:val="subscript"/>
        </w:rPr>
        <w:t>2</w:t>
      </w:r>
      <w:r>
        <w:t>以 Sn 为中心的甲酸盐选择性途径和以 Cu 为中心的 CO 选择性途径之间的电合成。原位光谱揭示了吸附的中间水和界面水结构的配位依赖性演化，而H/D动力学同位素分析和原位电化学阻抗谱-弛豫时间分布（EIS-DRT）测量解决了不同的质子耦合和偏振敏感动力学机制。密度泛函理论计算通过吸附几何和界面能量学的配位依赖重建进一步阐明了路径分叉的能量起源。以 Sn 为中心的介质配位体系有利于氧结合中间体和质子耦合的甲酸盐途径，而以 Cu 为中心的介质配位体系则促进碳结合吸附和 CO 选择性反应活性。在下游模块中，电渗析在 300 mA cm 电流下实现了 98.1% 的 HCOOK 至 HCOOH 转化率和 93.97% 的法拉第效率 (FE)</w:t>
      </w:r>
      <w:r>
        <w:t xml:space="preserve"> </w:t>
      </w:r>
      <w:r>
        <w:t>−2</w:t>
      </w:r>
      <w:r>
        <w:t xml:space="preserve"> </w:t>
      </w:r>
      <w:r>
        <w:t>，而二氧化碳</w:t>
      </w:r>
      <w:r>
        <w:rPr>
          <w:vertAlign w:val="subscript"/>
        </w:rPr>
        <w:t>2</w:t>
      </w:r>
      <w:r>
        <w:t>－NH</w:t>
      </w:r>
      <w:r>
        <w:rPr>
          <w:vertAlign w:val="subscript"/>
        </w:rPr>
        <w:t>3</w:t>
      </w:r>
      <w:r>
        <w:t>溃败</w:t>
      </w:r>
    </w:p>
    <w:p>
      <w:pPr>
        <w:spacing w:before="0" w:after="200" w:lineRule="auto" w:line="276"/>
      </w:pPr>
      <w:r>
        <w:rPr>
          <w:b/>
        </w:rPr>
        <w:t xml:space="preserve">Abstract (EN): </w:t>
      </w:r>
      <w:r>
        <w:t>Electrochemical CO</w:t>
      </w:r>
      <w:r>
        <w:rPr>
          <w:vertAlign w:val="subscript"/>
        </w:rPr>
        <w:t>2</w:t>
      </w:r>
      <w:r>
        <w:t>reduction (eCO</w:t>
      </w:r>
      <w:r>
        <w:rPr>
          <w:vertAlign w:val="subscript"/>
        </w:rPr>
        <w:t>2</w:t>
      </w:r>
      <w:r>
        <w:t>RR) is increasingly capable of delivering downstream‐compatible carbon products, yet the interfacial origin of pathway selection remains insufficiently understood. Here, coordination‐environment‐tunable Cu–Sn catalysts are employed to partition CO</w:t>
      </w:r>
      <w:r>
        <w:rPr>
          <w:vertAlign w:val="subscript"/>
        </w:rPr>
        <w:t>2</w:t>
      </w:r>
      <w:r>
        <w:t>electrosynthesis between a Sn‐centered formate‐selective pathway and a Cu‐centered CO‐selective pathway. In situ spectroscopy reveals coordination‐dependent evolution of adsorbed intermediate and interfacial water structures, while H/D kinetic isotope analysis and in situ electrochemical impedance spectroscopy‐distribution of relaxation times (EIS‐DRT) measurements resolve distinct proton‐coupled and polarization‐sensitive kinetic regimes. Density functional theory calculations further elucidate the energetic origin of pathway bifurcation through coordination‐dependent reconstruction of adsorption geometry and interfacial energetics. Sn‐centered medium‐coordination regimes favor oxygen‐bound intermediates and a proton‐coupled formate pathway, whereas Cu‐centered medium‐coordination regimes promote carbon‐bound adsorption and CO‐selective reactivity. In the downstream modules, electrodialysis achieves a 98.1% HCOOK‐to‐HCOOH conversion with 93.97% Faradaic efficiency (FE) at 300 mA cm</w:t>
      </w:r>
      <w:r>
        <w:t xml:space="preserve"> </w:t>
      </w:r>
      <w:r>
        <w:t>−2</w:t>
      </w:r>
      <w:r>
        <w:t xml:space="preserve"> </w:t>
      </w:r>
      <w:r>
        <w:t>, while CO</w:t>
      </w:r>
      <w:r>
        <w:rPr>
          <w:vertAlign w:val="subscript"/>
        </w:rPr>
        <w:t>2</w:t>
      </w:r>
      <w:r>
        <w:t>‐NH</w:t>
      </w:r>
      <w:r>
        <w:rPr>
          <w:vertAlign w:val="subscript"/>
        </w:rPr>
        <w:t>3</w:t>
      </w:r>
      <w:r>
        <w:t>route delivers formamide with a maximum FE of 45.2% and a production rate of 840 µmol cm</w:t>
      </w:r>
      <w:r>
        <w:t xml:space="preserve"> </w:t>
      </w:r>
      <w:r>
        <w:t>−2</w:t>
      </w:r>
      <w:r>
        <w:t xml:space="preserve"> </w:t>
      </w:r>
      <w:r>
        <w:t>h</w:t>
      </w:r>
      <w:r>
        <w:t xml:space="preserve"> </w:t>
      </w:r>
      <w:r>
        <w:t>−1</w:t>
      </w:r>
      <w:r>
        <w:t xml:space="preserve"> </w:t>
      </w:r>
      <w:r>
        <w:t>. This work establishes coordination‐engineered interfacial partitioning as a strategy for integrated CO</w:t>
      </w:r>
      <w:r>
        <w:rPr>
          <w:vertAlign w:val="subscript"/>
        </w:rPr>
        <w:t>2</w:t>
      </w:r>
      <w:r>
        <w:t>electrosynthesis with downstream upgrading.</w:t>
      </w:r>
    </w:p>
    <w:p>
      <w:pPr>
        <w:spacing w:before="120" w:after="120"/>
      </w:pPr>
      <w:r>
        <w:rPr>
          <w:sz w:val="18"/>
        </w:rPr>
        <w:t>——————————————————————————————————————————————————————————————————————</w:t>
      </w:r>
    </w:p>
    <w:p>
      <w:pPr>
        <w:spacing w:before="160" w:after="40" w:line="240" w:lineRule="auto"/>
      </w:pPr>
      <w:r>
        <w:rPr>
          <w:b/>
        </w:rPr>
        <w:t xml:space="preserve">[15] </w:t>
      </w:r>
      <w:hyperlink r:id="rId301">
        <w:r>
          <w:rPr>
            <w:color w:val="1155CC"/>
            <w:u w:val="single"/>
          </w:rPr>
          <w:t>通用电催化 C-N 耦合的定向面重构的自优化</w:t>
        </w:r>
      </w:hyperlink>
    </w:p>
    <w:p>
      <w:pPr>
        <w:spacing w:before="0" w:after="80"/>
      </w:pPr>
      <w:r>
        <w:rPr>
          <w:i/>
          <w:sz w:val="20"/>
        </w:rPr>
        <w:t>EN: Self‐Optimization With Oriented Facet Reconstruction for Universal Electrocatalytic C–N Coupling</w:t>
      </w:r>
    </w:p>
    <w:p>
      <w:pPr>
        <w:spacing w:before="0" w:after="120"/>
      </w:pPr>
      <w:r>
        <w:rPr>
          <w:b/>
        </w:rPr>
        <w:t xml:space="preserve">Source: </w:t>
      </w:r>
      <w:r>
        <w:t>Wiley: Angewandte Chemie International Edition: Table of Contents</w:t>
      </w:r>
      <w:r>
        <w:t xml:space="preserve">    </w:t>
      </w:r>
      <w:r>
        <w:rPr>
          <w:b/>
        </w:rPr>
        <w:t xml:space="preserve">Pub date: </w:t>
      </w:r>
      <w:r>
        <w:t>2026-06-09 12:02:59+00:00</w:t>
      </w:r>
      <w:r>
        <w:t xml:space="preserve">    </w:t>
      </w:r>
      <w:r>
        <w:rPr>
          <w:b/>
        </w:rPr>
        <w:t xml:space="preserve">DOI: </w:t>
      </w:r>
      <w:hyperlink r:id="rId302">
        <w:r>
          <w:rPr>
            <w:color w:val="1155CC"/>
            <w:u w:val="single"/>
          </w:rPr>
          <w:t>10.1002/anie.4658732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C-N耦合代表了一个绿色合成平台，但反应过程中催化剂表面的动态演化仍然知之甚少。在这里，我们报告了铜单晶上以硝酸盐为主的择优晶面演化，将不太活跃的（110）和（100）晶面导向高​​活性的（111）构型。 Cu(111) 表面的尿素产量为 5.2 mg h</w:t>
      </w:r>
      <w:r>
        <w:t xml:space="preserve"> </w:t>
      </w:r>
      <w:r>
        <w:t>−1</w:t>
      </w:r>
      <w:r>
        <w:t xml:space="preserve"> </w:t>
      </w:r>
      <w:r>
        <w:t>厘米</w:t>
      </w:r>
      <w:r>
        <w:t xml:space="preserve"> </w:t>
      </w:r>
      <w:r>
        <w:t>−2</w:t>
      </w:r>
      <w:r>
        <w:t xml:space="preserve"> </w:t>
      </w:r>
      <w:r>
        <w:t>来自一氧化碳</w:t>
      </w:r>
      <w:r>
        <w:rPr>
          <w:vertAlign w:val="subscript"/>
        </w:rPr>
        <w:t>2</w:t>
      </w:r>
      <w:r>
        <w:t>和没有</w:t>
      </w:r>
      <w:r>
        <w:rPr>
          <w:vertAlign w:val="subscript"/>
        </w:rPr>
        <w:t>3</w:t>
      </w:r>
      <w:r>
        <w:t>-</w:t>
      </w:r>
      <w:r>
        <w:t>，分别比 (110) 和 (100) 好约 4 倍和 26 倍，同时保持出色的稳定性。实验和理论分析表明，这种晶面重建与硝酸盐和金属铜之间的自发化学相互作用以及 Cu(111) 晶面的热力学稳定性有关。值得注意的是，原始的 Cu(111) 表面始终优于 Cu(110) 和 Cu(100)，凸显了其内在的催化优势。这项工作提供了对硝酸盐主导的 C-N 偶联的见解，推进了动态活性电催化剂的设计。</w:t>
      </w:r>
    </w:p>
    <w:p>
      <w:pPr>
        <w:spacing w:before="0" w:after="200" w:lineRule="auto" w:line="276"/>
      </w:pPr>
      <w:r>
        <w:rPr>
          <w:b/>
        </w:rPr>
        <w:t xml:space="preserve">Abstract (EN): </w:t>
      </w:r>
      <w:r>
        <w:t>Electrocatalytic C–N coupling represents a green synthesis platform, yet the dynamic evolution of catalyst surfaces during the reaction remains poorly understood. Here, we report a nitrate‐dominated, preferential facet evolution on Cu single crystals that directs less active (110) and (100) facets toward the highly active (111) configuration. The Cu(111) surface delivers a urea yield of 5.2 mg h</w:t>
      </w:r>
      <w:r>
        <w:t xml:space="preserve"> </w:t>
      </w:r>
      <w:r>
        <w:t>−1</w:t>
      </w:r>
      <w:r>
        <w:t xml:space="preserve"> </w:t>
      </w:r>
      <w:r>
        <w:t>cm</w:t>
      </w:r>
      <w:r>
        <w:t xml:space="preserve"> </w:t>
      </w:r>
      <w:r>
        <w:t>−2</w:t>
      </w:r>
      <w:r>
        <w:t xml:space="preserve"> </w:t>
      </w:r>
      <w:r>
        <w:t>from CO</w:t>
      </w:r>
      <w:r>
        <w:rPr>
          <w:vertAlign w:val="subscript"/>
        </w:rPr>
        <w:t>2</w:t>
      </w:r>
      <w:r>
        <w:t>and NO</w:t>
      </w:r>
      <w:r>
        <w:rPr>
          <w:vertAlign w:val="subscript"/>
        </w:rPr>
        <w:t>3</w:t>
      </w:r>
      <w:r>
        <w:t>−</w:t>
      </w:r>
      <w:r>
        <w:t>, outperforming (110) and (100) by about 4‐ and 26‐fold, respectively, while maintaining excellent stability. Experimental and theoretical analyses reveal that this facet reconstruction is associated with spontaneous chemical interaction between nitrate and metallic copper, alongside the thermodynamic stability of the Cu(111) facet. Significantly, the pristine Cu(111) surface consistently outperforms Cu(110) and Cu(100), highlighting its intrinsic catalytic superiority. This work provides insights into nitrate‐dominated C–N coupling, advancing the design of dynamically active electrocatalysts.</w:t>
      </w:r>
    </w:p>
    <w:p>
      <w:pPr>
        <w:spacing w:before="120" w:after="120"/>
      </w:pPr>
      <w:r>
        <w:rPr>
          <w:sz w:val="18"/>
        </w:rPr>
        <w:t>——————————————————————————————————————————————————————————————————————</w:t>
      </w:r>
    </w:p>
    <w:p>
      <w:pPr>
        <w:spacing w:before="160" w:after="40" w:line="240" w:lineRule="auto"/>
      </w:pPr>
      <w:r>
        <w:rPr>
          <w:b/>
        </w:rPr>
        <w:t xml:space="preserve">[16] </w:t>
      </w:r>
      <w:hyperlink r:id="rId303">
        <w:r>
          <w:rPr>
            <w:color w:val="1155CC"/>
            <w:u w:val="single"/>
          </w:rPr>
          <w:t>通过电极涂层调节界面离子通量可实现高效的酸性二氧化碳电解</w:t>
        </w:r>
      </w:hyperlink>
    </w:p>
    <w:p>
      <w:pPr>
        <w:spacing w:before="0" w:after="80"/>
      </w:pPr>
      <w:r>
        <w:rPr>
          <w:i/>
          <w:sz w:val="20"/>
        </w:rPr>
        <w:t>EN: Modulating Interfacial Ion Flux via Electrode Coatings Enables Efficient Acidic CO₂ Electrolysis</w:t>
      </w:r>
    </w:p>
    <w:p>
      <w:pPr>
        <w:spacing w:before="0" w:after="120"/>
      </w:pPr>
      <w:r>
        <w:rPr>
          <w:b/>
        </w:rPr>
        <w:t xml:space="preserve">Source: </w:t>
      </w:r>
      <w:r>
        <w:t>RSC - Energy Environ. Sci. latest articles</w:t>
      </w:r>
      <w:r>
        <w:t xml:space="preserve">    </w:t>
      </w:r>
      <w:r>
        <w:rPr>
          <w:b/>
        </w:rPr>
        <w:t xml:space="preserve">Pub date: </w:t>
      </w:r>
      <w:r>
        <w:t>2026-06-09 23:00:00+00:00</w:t>
      </w:r>
    </w:p>
    <w:p>
      <w:pPr>
        <w:spacing w:before="0" w:after="120"/>
      </w:pPr>
      <w:r>
        <w:rPr>
          <w:b/>
        </w:rPr>
        <w:t xml:space="preserve">Notes: </w:t>
      </w:r>
      <w:r>
        <w:t>abstract_source=rsc_html</w:t>
      </w:r>
    </w:p>
    <w:p>
      <w:pPr>
        <w:spacing w:before="0" w:after="80" w:lineRule="auto" w:line="276"/>
      </w:pPr>
      <w:r>
        <w:rPr>
          <w:b/>
        </w:rPr>
        <w:t xml:space="preserve">摘要（ZH）: </w:t>
      </w:r>
      <w:r>
        <w:t>酸性二氧化碳电解为高效单程二氧化碳转化为有价值的燃料和化学品提供了巨大的潜力，但受到动力学上有利的析氢反应的挑战。电极涂层可以通过调节界面离子通量来设计有利的电极-电解质界面，以引导反应路径走向CO2电还原；然而，此类涂层的合理设计规则仍然难以捉摸。在这里，我们将涂层中粘合剂和无机填料的作用解耦，并证明将阳离子交换离聚物 (CEI) 与质子阻挡氧化物偶联可产生耐用的涂层，从而实现有效的酸性 CO2 电解。综合实验和模拟结果表明，该最佳配方促进了向内 K+ 传输，同时限制了 H+ 流入和向外 OH- 传输，从而建立了富含 K+ 的碱性界面微环境，增强了 CO2/CO 吸附并降低了 *CO 二聚势垒。作为代表性演示，Al2O3/CEI 涂层的铜电极在 600 mA cm-2 电流下对于多碳 (C2+) 产品实现了 81.3% 的最大法拉第效率 (FE)，并且在 200 mA cm-2 电流下可连续运行 200 小时。此外，这种提出的电极涂层策略证明了在不同催化剂平台上设计界面微环境的广泛通用性。</w:t>
      </w:r>
    </w:p>
    <w:p>
      <w:pPr>
        <w:spacing w:before="0" w:after="200" w:lineRule="auto" w:line="276"/>
      </w:pPr>
      <w:r>
        <w:rPr>
          <w:b/>
        </w:rPr>
        <w:t xml:space="preserve">Abstract (EN): </w:t>
      </w:r>
      <w:r>
        <w:t>Acidic CO2 electrolysis offers great potential for high-efficiency single-pass CO2 conversion to valuable fuels and chemicals, yet is challenged by the kinetically favorable hydrogen evolution reaction. Electrode coatings can engineer a favorable electrode-electrolyte interface by regulating interfacial ion flux to steer the reaction pathway toward CO2 electroreduction; however, rational design rules for such coatings remain elusive. Here, we decouple the roles of binders and inorganic fillers in the coatings and demonstrate that coupling a cation-exchange ionomer (CEI) with a proton-blocking oxide yields a durable coating that enables efficient acidic CO2 electrolysis. Combined experimental and simulation results reveal that this optimal formulation promotes inward K+ transport while restricting H+ influx and outward OH- transport, thereby establishing a K+-enriched and alkaline interfacial microenvironment that enhances CO2/CO adsorption and lowers *CO dimerization barrier. As a representative demonstration, an Al2O3/CEI-coated Cu electrode achieves a maximum Faradaic efficiency (FE) of 81.3% for multi-carbon (C2+) products at 600 mA cm-2 and remarkably durable operation for 200 h at 200 mA cm-2. Furthermore, this proposed electrode coating strategy demonstrates the broad generality in engineering interfacial microenvironments across distinct catalyst platforms.</w:t>
      </w:r>
    </w:p>
    <w:p>
      <w:pPr>
        <w:spacing w:before="120" w:after="120"/>
      </w:pPr>
      <w:r>
        <w:rPr>
          <w:sz w:val="18"/>
        </w:rPr>
        <w:t>——————————————————————————————————————————————————————————————————————</w:t>
      </w:r>
    </w:p>
    <w:p>
      <w:pPr>
        <w:spacing w:before="160" w:after="40" w:line="240" w:lineRule="auto"/>
      </w:pPr>
      <w:r>
        <w:rPr>
          <w:b/>
        </w:rPr>
        <w:t xml:space="preserve">[17] </w:t>
      </w:r>
      <w:hyperlink r:id="rId304">
        <w:r>
          <w:rPr>
            <w:color w:val="1155CC"/>
            <w:u w:val="single"/>
          </w:rPr>
          <w:t>将原子级催化剂设计与传输工程相结合，在膜电极组件中稳定高效地将 CO2 电解为 CO</w:t>
        </w:r>
      </w:hyperlink>
    </w:p>
    <w:p>
      <w:pPr>
        <w:spacing w:before="0" w:after="80"/>
      </w:pPr>
      <w:r>
        <w:rPr>
          <w:i/>
          <w:sz w:val="20"/>
        </w:rPr>
        <w:t>EN: Integrating atomic scale catalyst design with transport engineering for stable and efficient CO2 electrolysis to CO in a membrane electrode assembly</w:t>
      </w:r>
    </w:p>
    <w:p>
      <w:pPr>
        <w:spacing w:before="0" w:after="120"/>
      </w:pPr>
      <w:r>
        <w:rPr>
          <w:b/>
        </w:rPr>
        <w:t xml:space="preserve">Source: </w:t>
      </w:r>
      <w:r>
        <w:t>RSC - Energy Environ. Sci. latest articles</w:t>
      </w:r>
      <w:r>
        <w:t xml:space="preserve">    </w:t>
      </w:r>
      <w:r>
        <w:rPr>
          <w:b/>
        </w:rPr>
        <w:t xml:space="preserve">Pub date: </w:t>
      </w:r>
      <w:r>
        <w:t>2026-06-10 23:00:00+00:00</w:t>
      </w:r>
    </w:p>
    <w:p>
      <w:pPr>
        <w:spacing w:before="0" w:after="120"/>
      </w:pPr>
      <w:r>
        <w:rPr>
          <w:b/>
        </w:rPr>
        <w:t xml:space="preserve">Notes: </w:t>
      </w:r>
      <w:r>
        <w:t>abstract_source=rsc_html</w:t>
      </w:r>
    </w:p>
    <w:p>
      <w:pPr>
        <w:spacing w:before="0" w:after="80" w:lineRule="auto" w:line="276"/>
      </w:pPr>
      <w:r>
        <w:rPr>
          <w:b/>
        </w:rPr>
        <w:t xml:space="preserve">摘要（ZH）: </w:t>
      </w:r>
      <w:r>
        <w:t>电化学二氧化碳还原 (CO2R) 为通过生产碳中性燃料来实现化学制造脱碳提供了一种有前景的方法。然而，膜电极组件 (MEA) 反应器的性能不足和不稳定性限制了商业可行性，这两个指标都直接受到 CO2R 催化剂的影响。在这里，我们通过可扩展的合成方法开发原子分散的镍氮碳（NiNC）催化剂，该方法能够使用两种不同的碳载体控制孤立的镍活性位点的分散。当使用碳纳米管作为支撑时，所得的NiNCNT电极对CO的部分电流密度为558 mA cm−2，在电池电压为3.2 V时对CO的法拉第效率为92%，在总电流密度为607 mA cm−2时能量效率为39%。 MEA 在 100 mA cm−2 下表现出稳定运行超过 210 小时，优于之前报道的 NiNC 催化剂。聚焦离子束扫描电子显微镜 (FIB-SEM) 断层扫描揭示了催化剂支撑结构在控制电极性能中的关键作用。使用来自 FIB-SEM 断层扫描的催化剂层 3D 重建图像进行的 COMSOL Multiphysics 模拟表明，与以炭黑为载体制备的 NiNCB 电极相比，NiNCNT 电极具有更高的 CO2R 性能，这是由于 CO2 扩散得到改善以及电流密度分布更均匀。这些结果凸显了催化剂层形态在控制两种催化剂的 CO2R 性能中的关键作用，尽管它们的 N</w:t>
      </w:r>
    </w:p>
    <w:p>
      <w:pPr>
        <w:spacing w:before="0" w:after="200" w:lineRule="auto" w:line="276"/>
      </w:pPr>
      <w:r>
        <w:rPr>
          <w:b/>
        </w:rPr>
        <w:t xml:space="preserve">Abstract (EN): </w:t>
      </w:r>
      <w:r>
        <w:t>Electrochemical CO2 reduction (CO2R) offers a promising approach to for decarbonizing chemical manufacturing through production of carbon-neutral fuels. However, insufficient performance and instability of the membrane electrode assembly (MEA) reactors limit the commercial viability, with both metrics directly impacted by the CO2R catalysts. Here we develop atomically dispersed nickel–nitrogen–carbon (NiNC) catalysts through a scalable synthesis approach that enables controlled dispersion of isolated Ni active sites using two different carbon supports. When using carbon nanotubes as a support, the resulting NiNCNT electrode achieves a partial current density towards CO of 558 mA cm−2 with 92% faradaic efficiency towards CO at a cell voltage of 3.2 V and an energy efficiency of 39% at a total current density of 607 mA cm−2. The MEA demonstrated stable operation at 100 mA cm−2 over 210 hours, outperforming previously reported NiNC catalysts. Focused ion beam-scanning electron microscopy (FIB-SEM) tomography reveals the critical role of catalyst support architecture in governing electrode performance. COMSOL Multiphysics simulations using the 3D reconstructed images of the catalyst layers from FIB-SEM tomography demonstrated that the higher CO2R performance of the NiNCNT electrode is due to improved CO2 diffusion and a more uniform current-density distribution compared to the NiNCB electrode prepared with carbon black as the support. These results highlight the key role of catalyst-layer morphology in governing the CO2R performance of the two catalysts, despite their similar Ni and N loadings. The stability and performance of the NiNCNT compared favourably to the state-of-the-art Ag-based catalysts, while bottom-up cost analysis estimated the projected purchase cost of the NiNCNT catalyst to be $589 USD per kg, substantially lower than $1900 USD per kg estimated for Ag-based catalysts, highlighting its potential for scalable and economically viable CO2R electrolyzers.</w:t>
      </w:r>
    </w:p>
    <w:p>
      <w:pPr>
        <w:spacing w:before="120" w:after="120"/>
      </w:pPr>
      <w:r>
        <w:rPr>
          <w:sz w:val="18"/>
        </w:rPr>
        <w:t>——————————————————————————————————————————————————————————————————————</w:t>
      </w:r>
    </w:p>
    <w:p>
      <w:pPr>
        <w:spacing w:before="160" w:after="40" w:line="240" w:lineRule="auto"/>
      </w:pPr>
      <w:r>
        <w:rPr>
          <w:b/>
        </w:rPr>
        <w:t xml:space="preserve">[18] </w:t>
      </w:r>
      <w:hyperlink r:id="rId305">
        <w:r>
          <w:rPr>
            <w:color w:val="1155CC"/>
            <w:u w:val="single"/>
          </w:rPr>
          <w:t>评估全球牧场放牧强度提高的气候净效益</w:t>
        </w:r>
      </w:hyperlink>
    </w:p>
    <w:p>
      <w:pPr>
        <w:spacing w:before="0" w:after="80"/>
      </w:pPr>
      <w:r>
        <w:rPr>
          <w:i/>
          <w:sz w:val="20"/>
        </w:rPr>
        <w:t>EN: Assessing the net climate benefits of improved grazing intensity in global rangelands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306">
        <w:r>
          <w:rPr>
            <w:color w:val="1155CC"/>
            <w:u w:val="single"/>
          </w:rPr>
          <w:t>10.1126/science.adz4320</w:t>
        </w:r>
      </w:hyperlink>
    </w:p>
    <w:p>
      <w:pPr>
        <w:spacing w:before="0" w:after="120"/>
      </w:pPr>
      <w:r>
        <w:rPr>
          <w:b/>
        </w:rPr>
        <w:t xml:space="preserve">Notes: </w:t>
      </w:r>
      <w:r>
        <w:t>abstract_source=crossref</w:t>
      </w:r>
    </w:p>
    <w:p>
      <w:pPr>
        <w:spacing w:before="0" w:after="80" w:lineRule="auto" w:line="276"/>
      </w:pPr>
      <w:r>
        <w:rPr>
          <w:b/>
        </w:rPr>
        <w:t xml:space="preserve">摘要（ZH）: </w:t>
      </w:r>
      <w:r>
        <w:t>改善牧场放牧可以通过二氧化碳（CO</w:t>
      </w:r>
      <w:r>
        <w:rPr>
          <w:vertAlign w:val="subscript"/>
        </w:rPr>
        <w:t>2</w:t>
      </w:r>
      <w:r>
        <w:t>）土壤和植被中的固存。然而，改变放牧方式以增加生态系统碳储存也可能会减少牲畜产量和/或增加整个供应链的温室气体排放，因此净排放影响仍不清楚。在这里，我们通过量化潜在的二氧化碳来评估提高放牧强度的全球净缓解潜力</w:t>
      </w:r>
      <w:r>
        <w:rPr>
          <w:vertAlign w:val="subscript"/>
        </w:rPr>
        <w:t>2</w:t>
      </w:r>
      <w:r>
        <w:t>固存以及植物生产力变化、牲畜排放、饲料需求和生产限制的系统级影响。提高全球牧场的放牧强度可以封存 2.2 ± 0.43 吉吨二氧化碳当量 (Gt/CO</w:t>
      </w:r>
      <w:r>
        <w:rPr>
          <w:vertAlign w:val="subscript"/>
        </w:rPr>
        <w:t>2</w:t>
      </w:r>
      <w:r>
        <w:t>eq），但通过补充饲喂维持畜牧生产将使净减排量减少 2% 至 31%（至 1.8 ± 0.45 GT/CO）</w:t>
      </w:r>
      <w:r>
        <w:rPr>
          <w:vertAlign w:val="subscript"/>
        </w:rPr>
        <w:t>2</w:t>
      </w:r>
      <w:r>
        <w:t>每年当量）。我们的研究结果表明，忽视系统层面的排放影响可能会大大高估改善放牧所带来的全球气候效益。</w:t>
      </w:r>
    </w:p>
    <w:p>
      <w:pPr>
        <w:spacing w:before="0" w:after="200" w:lineRule="auto" w:line="276"/>
      </w:pPr>
      <w:r>
        <w:rPr>
          <w:b/>
        </w:rPr>
        <w:t xml:space="preserve">Abstract (EN): </w:t>
      </w:r>
      <w:r>
        <w:t>Improved rangeland grazing could mitigate climate change through carbon dioxide (CO</w:t>
      </w:r>
      <w:r>
        <w:rPr>
          <w:vertAlign w:val="subscript"/>
        </w:rPr>
        <w:t>2</w:t>
      </w:r>
      <w:r>
        <w:t>) sequestration in soils and vegetation. However, altering grazing practices to increase ecosystem carbon storage may also decrease livestock production and/or increase greenhouse gas emissions through the supply chain, such that the net emissions impacts remain unclear. Here, we assess the global net mitigation potential of improving grazing intensity by quantifying potential CO</w:t>
      </w:r>
      <w:r>
        <w:rPr>
          <w:vertAlign w:val="subscript"/>
        </w:rPr>
        <w:t>2</w:t>
      </w:r>
      <w:r>
        <w:t>sequestration alongside systems-level impacts of plant productivity changes, livestock emissions, feed requirements, and production constraints. Improving grazing intensity in global rangelands could sequester 2.2 ± 0.43 gigatons of carbon dioxide equivalent (Gt/CO</w:t>
      </w:r>
      <w:r>
        <w:rPr>
          <w:vertAlign w:val="subscript"/>
        </w:rPr>
        <w:t>2</w:t>
      </w:r>
      <w:r>
        <w:t>eq) per year in the near term, but maintaining livestock production through supplemental feeding would reduce net mitigation by 2 to 31% (to 1.8 ± 0.45 GT/CO</w:t>
      </w:r>
      <w:r>
        <w:rPr>
          <w:vertAlign w:val="subscript"/>
        </w:rPr>
        <w:t>2</w:t>
      </w:r>
      <w:r>
        <w:t>eq per year). Our results suggest that neglecting systems-level emissions impacts may substantially overestimate the global climate benefits of improved grazing.</w:t>
      </w:r>
    </w:p>
    <w:p>
      <w:pPr>
        <w:spacing w:before="120" w:after="120"/>
      </w:pPr>
      <w:r>
        <w:rPr>
          <w:sz w:val="18"/>
        </w:rPr>
        <w:t>——————————————————————————————————————————————————————————————————————</w:t>
      </w:r>
    </w:p>
    <w:p>
      <w:pPr>
        <w:spacing w:before="160" w:after="40" w:line="240" w:lineRule="auto"/>
      </w:pPr>
      <w:r>
        <w:rPr>
          <w:b/>
        </w:rPr>
        <w:t xml:space="preserve">[19] </w:t>
      </w:r>
      <w:hyperlink r:id="rId307">
        <w:r>
          <w:rPr>
            <w:color w:val="1155CC"/>
            <w:u w:val="single"/>
          </w:rPr>
          <w:t>丛枝菌根真菌网络的整体密度和生物量</w:t>
        </w:r>
      </w:hyperlink>
    </w:p>
    <w:p>
      <w:pPr>
        <w:spacing w:before="0" w:after="80"/>
      </w:pPr>
      <w:r>
        <w:rPr>
          <w:i/>
          <w:sz w:val="20"/>
        </w:rPr>
        <w:t>EN: Global density and biomass of arbuscular mycorrhizal fungal networks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308">
        <w:r>
          <w:rPr>
            <w:color w:val="1155CC"/>
            <w:u w:val="single"/>
          </w:rPr>
          <w:t>10.1126/science.adu4373</w:t>
        </w:r>
      </w:hyperlink>
    </w:p>
    <w:p>
      <w:pPr>
        <w:spacing w:before="0" w:after="120"/>
      </w:pPr>
      <w:r>
        <w:rPr>
          <w:b/>
        </w:rPr>
        <w:t xml:space="preserve">Notes: </w:t>
      </w:r>
      <w:r>
        <w:t>abstract_source=crossref</w:t>
      </w:r>
    </w:p>
    <w:p>
      <w:pPr>
        <w:spacing w:before="0" w:after="80" w:lineRule="auto" w:line="276"/>
      </w:pPr>
      <w:r>
        <w:rPr>
          <w:b/>
        </w:rPr>
        <w:t xml:space="preserve">摘要（ZH）: </w:t>
      </w:r>
      <w:r>
        <w:t>丛枝菌根真菌与约 70% 的植物物种形成共生，构建菌丝网络，以交换宿主来源的碳的养分。这些管状网络每年将约 10 亿吨碳转移到地球土壤中。然而，我们对进行这种资源转移所需的菌丝基础设施没有定量的了解。我们收集了来自 322 项研究的数据，这些研究代表了九个生物群落的 16,000 多个土壤核心，并开发了机器学习模型来预测全球菌丝密度。通过机器人对超过 300,000 个菌丝进行成像，我们根据空间预测校准了生物量模型。我们估计全球表土含有 1.10 × 10</w:t>
      </w:r>
      <w:r>
        <w:t xml:space="preserve"> </w:t>
      </w:r>
      <w:r>
        <w:t>17 号</w:t>
      </w:r>
      <w:r>
        <w:t xml:space="preserve"> </w:t>
      </w:r>
      <w:r>
        <w:t>±0.13×10</w:t>
      </w:r>
      <w:r>
        <w:t xml:space="preserve"> </w:t>
      </w:r>
      <w:r>
        <w:t>17 号</w:t>
      </w:r>
      <w:r>
        <w:t xml:space="preserve"> </w:t>
      </w:r>
      <w:r>
        <w:t>SD 公里的活菌丝，重约 300 ± 60 SD 百万吨，约为人类生物量的 4 至 6 倍。我们的不确定性分析发现了采样不足的生态系统，需要额外的实证关注。</w:t>
      </w:r>
    </w:p>
    <w:p>
      <w:pPr>
        <w:spacing w:before="0" w:after="200" w:lineRule="auto" w:line="276"/>
      </w:pPr>
      <w:r>
        <w:rPr>
          <w:b/>
        </w:rPr>
        <w:t xml:space="preserve">Abstract (EN): </w:t>
      </w:r>
      <w:r>
        <w:t>Arbuscular mycorrhizal fungi form symbioses with ~70% of plant species, building hyphal networks that exchange nutrients for host-derived carbon. These tubular networks move ~1 billion metric tons of carbon per year into Earth’s soils. However, we have no quantitative understanding of the hyphal infrastructure required to carry out this resource transfer. We assembled data from 322 studies representing more than 16,000 soil cores across nine biomes and developed machine-learning models to predict hyphal densities globally. With robotic imaging of more than 300,000 hyphae, we calibrated a biomass model from our spatial predictions. We estimate that global topsoils contain 1.10 × 10</w:t>
      </w:r>
      <w:r>
        <w:rPr>
          <w:vertAlign w:val="subscript"/>
        </w:rPr>
        <w:t>17</w:t>
      </w:r>
      <w:r>
        <w:t>± 0.13 × 10</w:t>
      </w:r>
      <w:r>
        <w:rPr>
          <w:vertAlign w:val="subscript"/>
        </w:rPr>
        <w:t>17</w:t>
      </w:r>
      <w:r>
        <w:t>SD kilometers of living hyphae, weighing ~300 ± 60 SD megatons, ~4- to 6-fold the biomass of humans. Our uncertainty analyses identified undersampled ecosystems that require additional empirical attention.</w:t>
      </w:r>
    </w:p>
    <w:p>
      <w:pPr>
        <w:spacing w:before="120" w:after="120"/>
      </w:pPr>
      <w:r>
        <w:rPr>
          <w:sz w:val="18"/>
        </w:rPr>
        <w:t>——————————————————————————————————————————————————————————————————————</w:t>
      </w:r>
    </w:p>
    <w:p>
      <w:pPr>
        <w:spacing w:before="160" w:after="40" w:line="240" w:lineRule="auto"/>
      </w:pPr>
      <w:r>
        <w:rPr>
          <w:b/>
        </w:rPr>
        <w:t xml:space="preserve">[20] </w:t>
      </w:r>
      <w:hyperlink r:id="rId309">
        <w:r>
          <w:rPr>
            <w:color w:val="1155CC"/>
            <w:u w:val="single"/>
          </w:rPr>
          <w:t>MOF 纳米结构的原子配位工程，用于工业级电流密度下 CO2 电还原为高价值多碳产品</w:t>
        </w:r>
      </w:hyperlink>
    </w:p>
    <w:p>
      <w:pPr>
        <w:spacing w:before="0" w:after="80"/>
      </w:pPr>
      <w:r>
        <w:rPr>
          <w:i/>
          <w:sz w:val="20"/>
        </w:rPr>
        <w:t>EN: Atomic Coordination Engineering of MOF Nanostructures for CO2 Electroreduction to High‐Value Multi‐Carbon Products at Industrial‐Level Current Density</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06:11:44+00:00</w:t>
      </w:r>
      <w:r>
        <w:t xml:space="preserve">    </w:t>
      </w:r>
      <w:r>
        <w:rPr>
          <w:b/>
        </w:rPr>
        <w:t xml:space="preserve">DOI: </w:t>
      </w:r>
      <w:hyperlink r:id="rId310">
        <w:r>
          <w:rPr>
            <w:color w:val="1155CC"/>
            <w:u w:val="single"/>
          </w:rPr>
          <w:t>10.1002/anie.2590405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金属有机框架（MOF）在电化学二氧化碳（CO</w:t>
      </w:r>
      <w:r>
        <w:rPr>
          <w:vertAlign w:val="subscript"/>
        </w:rPr>
        <w:t>2</w:t>
      </w:r>
      <w:r>
        <w:t>）减少为增值化学品/燃料，从而支持碳中性能源循环的平衡。多碳（C</w:t>
      </w:r>
      <w:r>
        <w:t xml:space="preserve"> </w:t>
      </w:r>
      <w:r>
        <w:t>2+</w:t>
      </w:r>
      <w:r>
        <w:t xml:space="preserve"> </w:t>
      </w:r>
      <w:r>
        <w:t>）MOF 电催化剂的生产具有重要意义，但由于 C-C 耦合效率低下，仍然具有挑战性。在这里，我们报告了 MOF 纳米结构 (Cu-Trz-Br) 的原子配位调控，以实现高效的 CO2</w:t>
      </w:r>
      <w:r>
        <w:rPr>
          <w:vertAlign w:val="subscript"/>
        </w:rPr>
        <w:t>2</w:t>
      </w:r>
      <w:r>
        <w:t>通过合理设计双位点Cu催化剂进行电还原。 Cu-Trz-Br 的晶体结构是通过三维电子衍射和针对高分辨率粉末 X 射线衍射数据的 Rietveld 精修确定的，其具有独特的 Cu-N 混合配位模式</w:t>
      </w:r>
      <w:r>
        <w:rPr>
          <w:vertAlign w:val="subscript"/>
        </w:rPr>
        <w:t>4</w:t>
      </w:r>
      <w:r>
        <w:t>溴</w:t>
      </w:r>
      <w:r>
        <w:rPr>
          <w:vertAlign w:val="subscript"/>
        </w:rPr>
        <w:t>2</w:t>
      </w:r>
      <w:r>
        <w:t>和铜-氮</w:t>
      </w:r>
      <w:r>
        <w:rPr>
          <w:vertAlign w:val="subscript"/>
        </w:rPr>
        <w:t>4</w:t>
      </w:r>
      <w:r>
        <w:t>网站。在二氧化碳中</w:t>
      </w:r>
      <w:r>
        <w:rPr>
          <w:vertAlign w:val="subscript"/>
        </w:rPr>
        <w:t>2</w:t>
      </w:r>
      <w:r>
        <w:t>电还原，Cu-Trz-Br 对 C 的选择性大大增强</w:t>
      </w:r>
      <w:r>
        <w:t xml:space="preserve"> </w:t>
      </w:r>
      <w:r>
        <w:t>2+</w:t>
      </w:r>
      <w:r>
        <w:t xml:space="preserve"> </w:t>
      </w:r>
      <w:r>
        <w:t>产品与仅含 Cu-N 的普通同类产品相比</w:t>
      </w:r>
      <w:r>
        <w:rPr>
          <w:vertAlign w:val="subscript"/>
        </w:rPr>
        <w:t>4</w:t>
      </w:r>
      <w:r>
        <w:t>站点，实现高效的 C</w:t>
      </w:r>
      <w:r>
        <w:t xml:space="preserve"> </w:t>
      </w:r>
      <w:r>
        <w:t>2+</w:t>
      </w:r>
      <w:r>
        <w:t xml:space="preserve"> </w:t>
      </w:r>
      <w:r>
        <w:t>工业级电流密度下的生产。原位研究和理论计算揭示了Cu-N的配位调控</w:t>
      </w:r>
      <w:r>
        <w:rPr>
          <w:vertAlign w:val="subscript"/>
        </w:rPr>
        <w:t>4</w:t>
      </w:r>
      <w:r>
        <w:t>溴</w:t>
      </w:r>
    </w:p>
    <w:p>
      <w:pPr>
        <w:spacing w:before="0" w:after="200" w:lineRule="auto" w:line="276"/>
      </w:pPr>
      <w:r>
        <w:rPr>
          <w:b/>
        </w:rPr>
        <w:t xml:space="preserve">Abstract (EN): </w:t>
      </w:r>
      <w:r>
        <w:t>Metal–organic frameworks (MOFs) have shown great promise for electrochemical carbon dioxide (CO</w:t>
      </w:r>
      <w:r>
        <w:rPr>
          <w:vertAlign w:val="subscript"/>
        </w:rPr>
        <w:t>2</w:t>
      </w:r>
      <w:r>
        <w:t>) reduction into value‐added chemicals/fuels, thereby supporting the balance of carbon‐neutral energy cycle. The multi‐carbon (C</w:t>
      </w:r>
      <w:r>
        <w:t xml:space="preserve"> </w:t>
      </w:r>
      <w:r>
        <w:t>2+</w:t>
      </w:r>
      <w:r>
        <w:t xml:space="preserve"> </w:t>
      </w:r>
      <w:r>
        <w:t>) production on MOF electrocatalysts is of great significance but remains challenging due to inefficient C–C coupling. Here, we report the atomic coordination regulation of MOF nanostructures (Cu‐Trz‐Br) for efficient CO</w:t>
      </w:r>
      <w:r>
        <w:rPr>
          <w:vertAlign w:val="subscript"/>
        </w:rPr>
        <w:t>2</w:t>
      </w:r>
      <w:r>
        <w:t>electroreduction by rationally designing dual‐site Cu catalysts. The crystallographic structure of Cu‐Trz‐Br is determined by three‐dimensional electron diffraction and Rietveld refinement against high‐resolution powder X‐ray diffraction data, which feature unique mixed coordination modes of Cu–N</w:t>
      </w:r>
      <w:r>
        <w:rPr>
          <w:vertAlign w:val="subscript"/>
        </w:rPr>
        <w:t>4</w:t>
      </w:r>
      <w:r>
        <w:t>Br</w:t>
      </w:r>
      <w:r>
        <w:rPr>
          <w:vertAlign w:val="subscript"/>
        </w:rPr>
        <w:t>2</w:t>
      </w:r>
      <w:r>
        <w:t>and Cu–N</w:t>
      </w:r>
      <w:r>
        <w:rPr>
          <w:vertAlign w:val="subscript"/>
        </w:rPr>
        <w:t>4</w:t>
      </w:r>
      <w:r>
        <w:t>sites. In CO</w:t>
      </w:r>
      <w:r>
        <w:rPr>
          <w:vertAlign w:val="subscript"/>
        </w:rPr>
        <w:t>2</w:t>
      </w:r>
      <w:r>
        <w:t>electroreduction, Cu‐Trz‐Br demonstrates much enhanced selectivity toward C</w:t>
      </w:r>
      <w:r>
        <w:t xml:space="preserve"> </w:t>
      </w:r>
      <w:r>
        <w:t>2+</w:t>
      </w:r>
      <w:r>
        <w:t xml:space="preserve"> </w:t>
      </w:r>
      <w:r>
        <w:t>products compared to common counterparts with only Cu–N</w:t>
      </w:r>
      <w:r>
        <w:rPr>
          <w:vertAlign w:val="subscript"/>
        </w:rPr>
        <w:t>4</w:t>
      </w:r>
      <w:r>
        <w:t>sites, enabling efficient C</w:t>
      </w:r>
      <w:r>
        <w:t xml:space="preserve"> </w:t>
      </w:r>
      <w:r>
        <w:t>2+</w:t>
      </w:r>
      <w:r>
        <w:t xml:space="preserve"> </w:t>
      </w:r>
      <w:r>
        <w:t>production under industrial‐level current density. In situ studies and theoretical calculations reveal that the coordination regulation of Cu–N</w:t>
      </w:r>
      <w:r>
        <w:rPr>
          <w:vertAlign w:val="subscript"/>
        </w:rPr>
        <w:t>4</w:t>
      </w:r>
      <w:r>
        <w:t>Br</w:t>
      </w:r>
      <w:r>
        <w:rPr>
          <w:vertAlign w:val="subscript"/>
        </w:rPr>
        <w:t>2</w:t>
      </w:r>
      <w:r>
        <w:t>sites promotes CO</w:t>
      </w:r>
      <w:r>
        <w:rPr>
          <w:vertAlign w:val="subscript"/>
        </w:rPr>
        <w:t>2</w:t>
      </w:r>
      <w:r>
        <w:t>adsorption and activation, as well as effectively enhances local *CO availability near Cu‐Trz‐Br, thereby facilitating C–C coupling toward C</w:t>
      </w:r>
      <w:r>
        <w:t xml:space="preserve"> </w:t>
      </w:r>
      <w:r>
        <w:t>2+</w:t>
      </w:r>
      <w:r>
        <w:t xml:space="preserve"> </w:t>
      </w:r>
      <w:r>
        <w:t>products.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311">
        <w:r>
          <w:rPr>
            <w:color w:val="1155CC"/>
            <w:u w:val="single"/>
          </w:rPr>
          <w:t>原子精确催化剂设计实现高效废塑料氢解</w:t>
        </w:r>
      </w:hyperlink>
    </w:p>
    <w:p>
      <w:pPr>
        <w:spacing w:before="0" w:after="80"/>
      </w:pPr>
      <w:r>
        <w:rPr>
          <w:i/>
          <w:sz w:val="20"/>
        </w:rPr>
        <w:t>EN: Atomically precise catalysts design toward efficient waste plastic hydrogenolysis</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废塑料的氢解提供了一条将其转化为燃料、轻质烯烃和芳烃 (BTX) 的有前途的途径。尽管进行了广泛的研究，合理的催化剂设计和工艺优化仍然具有挑战性。尽管传统催化剂（均相催化剂、纳米颗粒催化剂、块状催化剂）通过界面和整体效应推动了进展，但这些系统的活性和稳定性最终源于原子尺度的基本步骤，推动了向原子精确活性位点设计的转变。本视角强调了原子活性中心和关键机械因素，并强调了原子精确催化剂的技术经济和生命周期分析的重要性，为设计高效氢解系统提供了指导。</w:t>
      </w:r>
    </w:p>
    <w:p>
      <w:pPr>
        <w:spacing w:before="0" w:after="200" w:lineRule="auto" w:line="276"/>
      </w:pPr>
      <w:r>
        <w:rPr>
          <w:b/>
        </w:rPr>
        <w:t xml:space="preserve">Abstract (EN): </w:t>
      </w:r>
      <w:r>
        <w:t>Hydrogenolysis of waste plastics offers a promising route to valorize them into fuels, light olefins, and aromatics (BTX). Despite extensive studies, rational catalyst design and process optimization remain challenging. Although conventional catalysts (homogeneous, nanoparticle, bulk) have driven progress through interfacial and ensemble effects, the activity and stability of these systems ultimately originate from elementary steps at the atomic scale motivating a shift toward atomically precise active-site design. This Perspective highlights atomic active centers and key mechanistic factors and underscores the importance of techno-economic and life cycle analyses for atomically precise catalysts, providing guidance for designing efficient hydrogenolysis systems.</w:t>
      </w:r>
    </w:p>
    <w:p>
      <w:pPr>
        <w:spacing w:before="120" w:after="120"/>
      </w:pPr>
      <w:r>
        <w:rPr>
          <w:sz w:val="18"/>
        </w:rPr>
        <w:t>——————————————————————————————————————————————————————————————————————</w:t>
      </w:r>
    </w:p>
    <w:p>
      <w:pPr>
        <w:spacing w:before="160" w:after="40" w:line="240" w:lineRule="auto"/>
      </w:pPr>
      <w:r>
        <w:rPr>
          <w:b/>
        </w:rPr>
        <w:t xml:space="preserve">[2] </w:t>
      </w:r>
      <w:hyperlink r:id="rId312">
        <w:r>
          <w:rPr>
            <w:color w:val="1155CC"/>
            <w:u w:val="single"/>
          </w:rPr>
          <w:t>具有超高木质素含量和与丁腈橡胶相媲美的性能的全生物基弹性体</w:t>
        </w:r>
      </w:hyperlink>
    </w:p>
    <w:p>
      <w:pPr>
        <w:spacing w:before="0" w:after="80"/>
      </w:pPr>
      <w:r>
        <w:rPr>
          <w:i/>
          <w:sz w:val="20"/>
        </w:rPr>
        <w:t>EN: A Fully Bio‐Based Elastomer with Ultrahigh Lignin Content and Performance Rivaling Nitrile Rubber</w:t>
      </w:r>
    </w:p>
    <w:p>
      <w:pPr>
        <w:spacing w:before="0" w:after="120"/>
      </w:pPr>
      <w:r>
        <w:rPr>
          <w:b/>
        </w:rPr>
        <w:t xml:space="preserve">Source: </w:t>
      </w:r>
      <w:r>
        <w:t>Wiley: Advanced Materials: Table of Contents</w:t>
      </w:r>
      <w:r>
        <w:t xml:space="preserve">    </w:t>
      </w:r>
      <w:r>
        <w:rPr>
          <w:b/>
        </w:rPr>
        <w:t xml:space="preserve">Pub date: </w:t>
      </w:r>
      <w:r>
        <w:t>2026-06-08 06:58:03+00:00</w:t>
      </w:r>
      <w:r>
        <w:t xml:space="preserve">    </w:t>
      </w:r>
      <w:r>
        <w:rPr>
          <w:b/>
        </w:rPr>
        <w:t xml:space="preserve">DOI: </w:t>
      </w:r>
      <w:hyperlink r:id="rId313">
        <w:r>
          <w:rPr>
            <w:color w:val="1155CC"/>
            <w:u w:val="single"/>
          </w:rPr>
          <w:t>10.1002/adma.73650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实现可再生、高性能弹性体仍然是绿色材料科学的一个关键目标。在这里，我们报告了一种高性能且可回收的弹性体，通过一锅原位接枝共聚策略直接由工业牛皮纸木质素生产。由草酸和 1,6-己二醇组成的低共熔溶剂可同时溶解木质素，提供柔性链，并在 110°C 下驱动无催化剂酯化，构建包含 50-75 wt.% 木质素的互穿刚性-柔性网络。最佳弹性体的拉伸强度为 12.0 MPa、伸长率 878% 和 85.1 MJ m</w:t>
      </w:r>
      <w:r>
        <w:t xml:space="preserve"> </w:t>
      </w:r>
      <w:r>
        <w:t>-</w:t>
      </w:r>
      <w:r>
        <w:rPr>
          <w:vertAlign w:val="subscript"/>
        </w:rPr>
        <w:t>3</w:t>
      </w:r>
      <w:r>
        <w:t>断裂能，可与石油衍生丁腈橡胶相媲美或超过（3.1 MPa、750% 伸长率和 11.0 MJ m</w:t>
      </w:r>
      <w:r>
        <w:t xml:space="preserve"> </w:t>
      </w:r>
      <w:r>
        <w:t>-</w:t>
      </w:r>
      <w:r>
        <w:rPr>
          <w:vertAlign w:val="subscript"/>
        </w:rPr>
        <w:t>3</w:t>
      </w:r>
      <w:r>
        <w:t>）。它还具有低介电常数、高电绝缘性、优异的耐油性和耐磨性、高效的光热转换和红外诱导的自修复能力。该材料可以重复再加工，实现闭环回收。因此，将丰富的木质素副产品转化为增值弹性体，为具有广泛应用潜力的生态材料提供了一条可扩展的途径。</w:t>
      </w:r>
    </w:p>
    <w:p>
      <w:pPr>
        <w:spacing w:before="0" w:after="200" w:lineRule="auto" w:line="276"/>
      </w:pPr>
      <w:r>
        <w:rPr>
          <w:b/>
        </w:rPr>
        <w:t xml:space="preserve">Abstract (EN): </w:t>
      </w:r>
      <w:r>
        <w:t>Achieving renewable, high‐performance elastomers remains a key goal of green materials science. Here, we report a high‐performance and recyclable elastomer produced directly from industrial Kraft lignin through a one‐pot in situ graft copolymerization strategy. A deep eutectic solvent composed of oxalic acid and 1,6‐hexanediol simultaneously dissolves lignin, provides flexible chains, and drives catalyst‐free esterification at 110°C, constructing an interpenetrating rigid–flexible network that incorporates 50–75 wt.% lignin. The optimal elastomer delivers a tensile strength of 12.0 MPa, 878% elongation, and 85.1 MJ m</w:t>
      </w:r>
      <w:r>
        <w:t xml:space="preserve"> </w:t>
      </w:r>
      <w:r>
        <w:t>−</w:t>
      </w:r>
      <w:r>
        <w:rPr>
          <w:vertAlign w:val="subscript"/>
        </w:rPr>
        <w:t>3</w:t>
      </w:r>
      <w:r>
        <w:t>fracture energy, rivaling or exceeding petroleum‐derived nitrile butadiene rubber (3.1 MPa, 750% elongation and 11.0 MJ m</w:t>
      </w:r>
      <w:r>
        <w:t xml:space="preserve"> </w:t>
      </w:r>
      <w:r>
        <w:t>−</w:t>
      </w:r>
      <w:r>
        <w:rPr>
          <w:vertAlign w:val="subscript"/>
        </w:rPr>
        <w:t>3</w:t>
      </w:r>
      <w:r>
        <w:t>). It also offers a low dielectric constant, high electrical insulation, superior oil and abrasion resistance, efficient photothermal conversion, and infrared‐induced self‐healing. The material can be repeatedly reprocessed, enabling closed‐loop recycling. Converting an abundant lignin by‐product into a value‐added elastomer thus provides a scalable route to eco‐materials with broad application potential.</w:t>
      </w:r>
    </w:p>
    <w:p>
      <w:pPr>
        <w:spacing w:before="120" w:after="120"/>
      </w:pPr>
      <w:r>
        <w:rPr>
          <w:sz w:val="18"/>
        </w:rPr>
        <w:t>——————————————————————————————————————————————————————————————————————</w:t>
      </w:r>
    </w:p>
    <w:p>
      <w:pPr>
        <w:spacing w:before="160" w:after="40" w:line="240" w:lineRule="auto"/>
      </w:pPr>
      <w:r>
        <w:rPr>
          <w:b/>
        </w:rPr>
        <w:t xml:space="preserve">[3] </w:t>
      </w:r>
      <w:hyperlink r:id="rId314">
        <w:r>
          <w:rPr>
            <w:color w:val="1155CC"/>
            <w:u w:val="single"/>
          </w:rPr>
          <w:t>通过不对称 Pt-M 位点打破 PET 电升级循环的吸附跷跷板</w:t>
        </w:r>
      </w:hyperlink>
    </w:p>
    <w:p>
      <w:pPr>
        <w:spacing w:before="0" w:after="80"/>
      </w:pPr>
      <w:r>
        <w:rPr>
          <w:i/>
          <w:sz w:val="20"/>
        </w:rPr>
        <w:t>EN: Breaking the Adsorption Seesaw Via Asymmetric Pt‐M Sites for PET Electro‐Upcycling</w:t>
      </w:r>
    </w:p>
    <w:p>
      <w:pPr>
        <w:spacing w:before="0" w:after="120"/>
      </w:pPr>
      <w:r>
        <w:rPr>
          <w:b/>
        </w:rPr>
        <w:t xml:space="preserve">Source: </w:t>
      </w:r>
      <w:r>
        <w:t>Wiley: Advanced Materials: Table of Contents</w:t>
      </w:r>
      <w:r>
        <w:t xml:space="preserve">    </w:t>
      </w:r>
      <w:r>
        <w:rPr>
          <w:b/>
        </w:rPr>
        <w:t xml:space="preserve">Pub date: </w:t>
      </w:r>
      <w:r>
        <w:t>2026-06-08 12:14:15+00:00</w:t>
      </w:r>
      <w:r>
        <w:t xml:space="preserve">    </w:t>
      </w:r>
      <w:r>
        <w:rPr>
          <w:b/>
        </w:rPr>
        <w:t xml:space="preserve">DOI: </w:t>
      </w:r>
      <w:hyperlink r:id="rId315">
        <w:r>
          <w:rPr>
            <w:color w:val="1155CC"/>
            <w:u w:val="single"/>
          </w:rPr>
          <w:t>10.1002/adma.73610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聚对苯二甲酸乙二醇酯（PET）废物电化学升级为高价值乙醇酸（GA）为塑料增值提供了一条可持续的途径。然而，由于电子密度均匀且有限，关键中间体乙二醇（EG）和羟基（OH）在Pt催化剂上的吸附受到线性比例控制的“跷跷板”关系的限制，这不可避免地导致基本的活性瓶颈。在此，我们发现构建不对称亲核-亲电 Pt-M 位点可以通过耦合的电子和几何效应克服这一瓶颈。亲核 Pt 位点有利于 EG 的适度吸附，而亲电 M 位点有利于 OH 吸附，打破了线性尺度约束。合成的具有不对称双位点的 Pt-Fe 纳米线显示出​​突破性的本征活性，与 RHE 相比，GA 演化的起始电位为 0.225 V，并在连续流电解槽中实现能源有效的 GA 生产，PET 升级回收的每日收入为 258.97 美元/吨。操作表征证实，不对称结构破坏了线性吸附耦合行为。重要的是，提出了一种“不对称双位点电子-几何耦合”描述符来捕获解耦吸附行为，这适用于其他 Pt-M（Fe、Co、Ni、Pd、Au）催化剂。</w:t>
      </w:r>
    </w:p>
    <w:p>
      <w:pPr>
        <w:spacing w:before="0" w:after="200" w:lineRule="auto" w:line="276"/>
      </w:pPr>
      <w:r>
        <w:rPr>
          <w:b/>
        </w:rPr>
        <w:t xml:space="preserve">Abstract (EN): </w:t>
      </w:r>
      <w:r>
        <w:t>Electrochemical upgrading of polyethylene terephthalate (PET) waste to high‐value glycolic acid (GA) offers a sustainable route for plastic valorization. However, due to the uniform and limited electron density, the adsorption of the key intermediate ethylene glycol (EG) and hydroxyl (OH) on Pt catalysts is restricted by a linear‐scaling‐governed “see‐saw” relationship, which inevitably leads to a fundamental activity bottleneck. Herein, we find that constructing asymmetric nucleophilic – electrophilic Pt – M sites can overcome this bottleneck via coupled electronic and geometric effects. The nucleophilic Pt sites favor the moderate adsorption of EG, while the electrophilic M sites favor OH adsorption, breaking the linear‐scaling constraint. The synthesized Pt – Fe nanowires with asymmetric dual sites display breakthrough intrinsic activity with an onset potential of 0.225 V vs. RHE for GA evolution, and achieve energy – effective GA production in a continuous flow electrolyzer with a daily revenue of $258.97/ton in PET upcycling. Operando characterization confirms that the asymmetric construction disrupts the linear adsorption coupling behavior. Importantly, an “asymmetric dual – site electronic – geometric coupling” descriptor is proposed to capture the decoupled adsorption behavior, which is applicable to other Pt – M (Fe, Co, Ni, Pd, Au) catalysts.</w:t>
      </w:r>
    </w:p>
    <w:p>
      <w:pPr>
        <w:spacing w:before="120" w:after="120"/>
      </w:pPr>
      <w:r>
        <w:rPr>
          <w:sz w:val="18"/>
        </w:rPr>
        <w:t>——————————————————————————————————————————————————————————————————————</w:t>
      </w:r>
    </w:p>
    <w:p>
      <w:pPr>
        <w:spacing w:before="160" w:after="40" w:line="240" w:lineRule="auto"/>
      </w:pPr>
      <w:r>
        <w:rPr>
          <w:b/>
        </w:rPr>
        <w:t xml:space="preserve">[4] </w:t>
      </w:r>
      <w:hyperlink r:id="rId316">
        <w:r>
          <w:rPr>
            <w:color w:val="1155CC"/>
            <w:u w:val="single"/>
          </w:rPr>
          <w:t>通过骨架刚性功能化提高天然橡胶性能</w:t>
        </w:r>
      </w:hyperlink>
    </w:p>
    <w:p>
      <w:pPr>
        <w:spacing w:before="0" w:after="80"/>
      </w:pPr>
      <w:r>
        <w:rPr>
          <w:i/>
          <w:sz w:val="20"/>
        </w:rPr>
        <w:t>EN: Boosting Natural Rubber Performance by Backbone Rigid Functionalization</w:t>
      </w:r>
    </w:p>
    <w:p>
      <w:pPr>
        <w:spacing w:before="0" w:after="120"/>
      </w:pPr>
      <w:r>
        <w:rPr>
          <w:b/>
        </w:rPr>
        <w:t xml:space="preserve">Source: </w:t>
      </w:r>
      <w:r>
        <w:t>Wiley: Angewandte Chemie International Edition: Table of Contents</w:t>
      </w:r>
      <w:r>
        <w:t xml:space="preserve">    </w:t>
      </w:r>
      <w:r>
        <w:rPr>
          <w:b/>
        </w:rPr>
        <w:t xml:space="preserve">Pub date: </w:t>
      </w:r>
      <w:r>
        <w:t>2026-06-09 11:51:08+00:00</w:t>
      </w:r>
      <w:r>
        <w:t xml:space="preserve">    </w:t>
      </w:r>
      <w:r>
        <w:rPr>
          <w:b/>
        </w:rPr>
        <w:t xml:space="preserve">DOI: </w:t>
      </w:r>
      <w:hyperlink r:id="rId317">
        <w:r>
          <w:rPr>
            <w:color w:val="1155CC"/>
            <w:u w:val="single"/>
          </w:rPr>
          <w:t>10.1002/anie.1326350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天然橡胶依靠不可逆硫化来增强材料性能，但由此产生的密集交联网络难以分解，使得传统的物理回收方法无效。开发同时提高性能和实现受控解构的主干级功能化策略仍然是一项根本挑战。在这里，我们开发了一种主链刚性官能化（BRF）策略，通过无催化剂的[2+2]光环加成将刚性、极性环丁烷单元直接安装到天然橡胶中。环丁烷稠合琥珀酰亚胺单元的加入大大提高了拉伸强度和韧性。只需改变反应时间就可以连续调节从粘弹性聚合物到弹性体和塑性体的材料行为。当与硫化相结合时，极性官能化天然橡胶可产生高性能热固性材料，其应力、杨氏模量和韧性相对于传统硫化橡胶提高了五倍。值得注意的是，环丁烷稠合的琥珀酰亚胺单元在批量球磨时经历力触发的环化，使硫化橡胶具有按需水解降解性。这种单步 BRF 工艺为获得具有按需降解性的高性能橡胶提供了一条实用途径。</w:t>
      </w:r>
    </w:p>
    <w:p>
      <w:pPr>
        <w:spacing w:before="0" w:after="200" w:lineRule="auto" w:line="276"/>
      </w:pPr>
      <w:r>
        <w:rPr>
          <w:b/>
        </w:rPr>
        <w:t xml:space="preserve">Abstract (EN): </w:t>
      </w:r>
      <w:r>
        <w:t>Natural rubber relies on irreversible vulcanization to enhance material performance, but the resulting densely crosslinked networks resist breakdown, rendering conventional physical recycling methods ineffective. Developing backbone‐level functionalization strategies that simultaneously improve performance and enable controlled deconstruction remains a fundamental challenge. Here we develop a backbone rigid functionalization (BRF) strategy to install rigid, polar cyclobutane units directly into natural rubber via catalyst‐free [2+2] photocycloaddition. Incorporation of cyclobutane‐fused succinimide units substantially enhances tensile strength and toughness. Simply varying the reaction time enables continuous tuning of material behavior from viscoelastic polymers to elastomers and plastomers. When combined with vulcanization, the polar‐functionalized natural rubber yields high‐performance thermosets with a five‑fold improvement in stress, Young's modulus and toughness relative to conventional vulcanizates. Notably, the cyclobutane‐fused succinimide units undergo force‐triggered cycloreversion upon bulk ball‐milling, enabling vulcanized rubber with on‐demand hydrolytic degradability. This single‐step BRF process provides a practical pathway for accessing high‐performance rubbers with on‐demand degradability.</w:t>
      </w:r>
    </w:p>
    <w:p>
      <w:pPr>
        <w:spacing w:before="120" w:after="120"/>
      </w:pPr>
      <w:r>
        <w:rPr>
          <w:sz w:val="18"/>
        </w:rPr>
        <w:t>——————————————————————————————————————————————————————————————————————</w:t>
      </w:r>
    </w:p>
    <w:p>
      <w:pPr>
        <w:spacing w:before="160" w:after="40" w:line="240" w:lineRule="auto"/>
      </w:pPr>
      <w:r>
        <w:rPr>
          <w:b/>
        </w:rPr>
        <w:t xml:space="preserve">[5] </w:t>
      </w:r>
      <w:hyperlink r:id="rId318">
        <w:r>
          <w:rPr>
            <w:color w:val="1155CC"/>
            <w:u w:val="single"/>
          </w:rPr>
          <w:t>CH2Cl2 中聚苯乙烯光裂解制芳烃产品</w:t>
        </w:r>
      </w:hyperlink>
    </w:p>
    <w:p>
      <w:pPr>
        <w:spacing w:before="0" w:after="80"/>
      </w:pPr>
      <w:r>
        <w:rPr>
          <w:i/>
          <w:sz w:val="20"/>
        </w:rPr>
        <w:t>EN: Photocracking of Polystyrene into Aromatic Products in CH2Cl2</w:t>
      </w:r>
    </w:p>
    <w:p>
      <w:pPr>
        <w:spacing w:before="0" w:after="120"/>
      </w:pPr>
      <w:r>
        <w:rPr>
          <w:b/>
        </w:rPr>
        <w:t xml:space="preserve">Source: </w:t>
      </w:r>
      <w:r>
        <w:t>Wiley: Angewandte Chemie International Edition: Table of Contents</w:t>
      </w:r>
      <w:r>
        <w:t xml:space="preserve">    </w:t>
      </w:r>
      <w:r>
        <w:rPr>
          <w:b/>
        </w:rPr>
        <w:t xml:space="preserve">Pub date: </w:t>
      </w:r>
      <w:r>
        <w:t>2026-06-09 12:00:54+00:00</w:t>
      </w:r>
      <w:r>
        <w:t xml:space="preserve">    </w:t>
      </w:r>
      <w:r>
        <w:rPr>
          <w:b/>
        </w:rPr>
        <w:t xml:space="preserve">DOI: </w:t>
      </w:r>
      <w:hyperlink r:id="rId319">
        <w:r>
          <w:rPr>
            <w:color w:val="1155CC"/>
            <w:u w:val="single"/>
          </w:rPr>
          <w:t>10.1002/anie.5578835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聚苯乙烯（PS）光催化裂解成有价值的芳香族化学品是温和条件下塑料废物升级回收的关键途径，其中CH</w:t>
      </w:r>
      <w:r>
        <w:rPr>
          <w:vertAlign w:val="subscript"/>
        </w:rPr>
        <w:t>2</w:t>
      </w:r>
      <w:r>
        <w:t>氯</w:t>
      </w:r>
      <w:r>
        <w:rPr>
          <w:vertAlign w:val="subscript"/>
        </w:rPr>
        <w:t>2</w:t>
      </w:r>
      <w:r>
        <w:t>常用作惰性溶剂。本文代表的是报告 PS 在 CH 中意外裂解为 C6-C8 芳香族产物</w:t>
      </w:r>
      <w:r>
        <w:rPr>
          <w:vertAlign w:val="subscript"/>
        </w:rPr>
        <w:t>2</w:t>
      </w:r>
      <w:r>
        <w:t>氯</w:t>
      </w:r>
      <w:r>
        <w:rPr>
          <w:vertAlign w:val="subscript"/>
        </w:rPr>
        <w:t>2</w:t>
      </w:r>
      <w:r>
        <w:t>在 O 条件下无需任何额外的光催化剂</w:t>
      </w:r>
      <w:r>
        <w:rPr>
          <w:vertAlign w:val="subscript"/>
        </w:rPr>
        <w:t>2</w:t>
      </w:r>
      <w:r>
        <w:t>大气和 365-415 nm 照射。值得注意的是，这种无光催化剂的系统 C6-C8 芳香族产品的最大生成率为 15.9 µmol/h，与依赖外部光催化剂的最先进系统相媲美。自由基清除实验和 EPR 谱表明，CH 产生氯 (Cl•) 自由基</w:t>
      </w:r>
      <w:r>
        <w:rPr>
          <w:vertAlign w:val="subscript"/>
        </w:rPr>
        <w:t>2</w:t>
      </w:r>
      <w:r>
        <w:t>氯</w:t>
      </w:r>
      <w:r>
        <w:rPr>
          <w:vertAlign w:val="subscript"/>
        </w:rPr>
        <w:t>2</w:t>
      </w:r>
      <w:r>
        <w:t>在辐照下，PS中的C─H/C─C键断裂，导致C6-C8芳香族产物的形成。在有氧条件下，这些Cl•自由基还促进PS转化为羰基化中间体，作为吸收范围为300-500 nm的光吸收物种，从而加速PS及其衍生物的活化。重要的是，这项工作首次确定了 CH</w:t>
      </w:r>
      <w:r>
        <w:rPr>
          <w:vertAlign w:val="subscript"/>
        </w:rPr>
        <w:t>2</w:t>
      </w:r>
      <w:r>
        <w:t>氯</w:t>
      </w:r>
      <w:r>
        <w:rPr>
          <w:vertAlign w:val="subscript"/>
        </w:rPr>
        <w:t>2</w:t>
      </w:r>
      <w:r>
        <w:t>作为 PS 转化为价值的重要光化学试剂</w:t>
      </w:r>
    </w:p>
    <w:p>
      <w:pPr>
        <w:spacing w:before="0" w:after="200" w:lineRule="auto" w:line="276"/>
      </w:pPr>
      <w:r>
        <w:rPr>
          <w:b/>
        </w:rPr>
        <w:t xml:space="preserve">Abstract (EN): </w:t>
      </w:r>
      <w:r>
        <w:t>Photocatalytic cracking of polystyrene (PS) into valuable aromatic chemicals presents a key route to plastic waste upcycling under mild conditions, in which CH</w:t>
      </w:r>
      <w:r>
        <w:rPr>
          <w:vertAlign w:val="subscript"/>
        </w:rPr>
        <w:t>2</w:t>
      </w:r>
      <w:r>
        <w:t>Cl</w:t>
      </w:r>
      <w:r>
        <w:rPr>
          <w:vertAlign w:val="subscript"/>
        </w:rPr>
        <w:t>2</w:t>
      </w:r>
      <w:r>
        <w:t>is often used as an inert solvent. Represented herein is to report an unexpected cracking of PS to C6‐C8 aromatic products in CH</w:t>
      </w:r>
      <w:r>
        <w:rPr>
          <w:vertAlign w:val="subscript"/>
        </w:rPr>
        <w:t>2</w:t>
      </w:r>
      <w:r>
        <w:t>Cl</w:t>
      </w:r>
      <w:r>
        <w:rPr>
          <w:vertAlign w:val="subscript"/>
        </w:rPr>
        <w:t>2</w:t>
      </w:r>
      <w:r>
        <w:t>without any additional photocatalysts under an O</w:t>
      </w:r>
      <w:r>
        <w:rPr>
          <w:vertAlign w:val="subscript"/>
        </w:rPr>
        <w:t>2</w:t>
      </w:r>
      <w:r>
        <w:t>atmosphere and 365‐415 nm irradiation. Remarkably, this photocatalyst‐free system achieves a maximum generation rate of 15.9 µmol/h for C6‐C8 aromatic products, competitive with state‐of‐the‐art systems that rely on external photocatalysts. Radical scavenging experiments and EPR spectra reveal that chlorine (Cl•) radicals generated from CH</w:t>
      </w:r>
      <w:r>
        <w:rPr>
          <w:vertAlign w:val="subscript"/>
        </w:rPr>
        <w:t>2</w:t>
      </w:r>
      <w:r>
        <w:t>Cl</w:t>
      </w:r>
      <w:r>
        <w:rPr>
          <w:vertAlign w:val="subscript"/>
        </w:rPr>
        <w:t>2</w:t>
      </w:r>
      <w:r>
        <w:t>under irradiation contribute to the cleavage of C─H/C─C bonds in PS, leading to the formation of C6‐C8 aromatic products. Under aerobic conditions, these Cl• radicals also promote the transformation of PS into carbonylated intermediates as the light‐absorbing species with an absorption range of 300‐500 nm, thereby accelerating the activation of PS and derivatives. Importantly, this work identifies, for the first time, CH</w:t>
      </w:r>
      <w:r>
        <w:rPr>
          <w:vertAlign w:val="subscript"/>
        </w:rPr>
        <w:t>2</w:t>
      </w:r>
      <w:r>
        <w:t>Cl</w:t>
      </w:r>
      <w:r>
        <w:rPr>
          <w:vertAlign w:val="subscript"/>
        </w:rPr>
        <w:t>2</w:t>
      </w:r>
      <w:r>
        <w:t>as a vital photochemical reagent in PS conversion to value‐added aromatics even under visible light irradiation.</w:t>
      </w:r>
    </w:p>
    <w:p>
      <w:pPr>
        <w:spacing w:before="120" w:after="120"/>
      </w:pPr>
      <w:r>
        <w:rPr>
          <w:sz w:val="18"/>
        </w:rPr>
        <w:t>——————————————————————————————————————————————————————————————————————</w:t>
      </w:r>
    </w:p>
    <w:p>
      <w:pPr>
        <w:spacing w:before="160" w:after="40" w:line="240" w:lineRule="auto"/>
      </w:pPr>
      <w:r>
        <w:rPr>
          <w:b/>
        </w:rPr>
        <w:t xml:space="preserve">[6] </w:t>
      </w:r>
      <w:hyperlink r:id="rId320">
        <w:r>
          <w:rPr>
            <w:color w:val="1155CC"/>
            <w:u w:val="single"/>
          </w:rPr>
          <w:t>用于可持续聚丙烯氢解生成长链液体产品的 Co1/Ru 单原子合金催化剂</w:t>
        </w:r>
      </w:hyperlink>
    </w:p>
    <w:p>
      <w:pPr>
        <w:spacing w:before="0" w:after="80"/>
      </w:pPr>
      <w:r>
        <w:rPr>
          <w:i/>
          <w:sz w:val="20"/>
        </w:rPr>
        <w:t>EN: Co1/Ru Single‐Atom Alloy Catalyst for Sustainable Polypropylene Hydrogenolysis to Long‐Chain Liquid Products</w:t>
      </w:r>
    </w:p>
    <w:p>
      <w:pPr>
        <w:spacing w:before="0" w:after="120"/>
      </w:pPr>
      <w:r>
        <w:rPr>
          <w:b/>
        </w:rPr>
        <w:t xml:space="preserve">Source: </w:t>
      </w:r>
      <w:r>
        <w:t>Wiley: Advanced Materials: Table of Contents</w:t>
      </w:r>
      <w:r>
        <w:t xml:space="preserve">    </w:t>
      </w:r>
      <w:r>
        <w:rPr>
          <w:b/>
        </w:rPr>
        <w:t xml:space="preserve">Pub date: </w:t>
      </w:r>
      <w:r>
        <w:t>2026-06-10 14:18:54+00:00</w:t>
      </w:r>
      <w:r>
        <w:t xml:space="preserve">    </w:t>
      </w:r>
      <w:r>
        <w:rPr>
          <w:b/>
        </w:rPr>
        <w:t xml:space="preserve">DOI: </w:t>
      </w:r>
      <w:hyperlink r:id="rId321">
        <w:r>
          <w:rPr>
            <w:color w:val="1155CC"/>
            <w:u w:val="single"/>
          </w:rPr>
          <w:t>10.1002/adma.73643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实现将聚烯烃废物选择性氢解为燃料和化学品需要能够破坏 Ru─Ru 整体的结构，同时又不影响最先进的 Ru 催化剂的固有活性。虽然金属改性剂可以有益地调节选择性，但它们已被证明具有较高的促进剂金属含量，并在结构定义和潜在实用性方面带来相关损失。在这里，我们通过浸渍设计了 Ru 上的钴形态，以揭示促进如何跨越整个组成空间，从而实现二氧化钛负载的 Co</w:t>
      </w:r>
      <w:r>
        <w:rPr>
          <w:vertAlign w:val="subscript"/>
        </w:rPr>
        <w:t>1</w:t>
      </w:r>
      <w:r>
        <w:t>/Ru单原子合金催化剂（Co</w:t>
      </w:r>
      <w:r>
        <w:rPr>
          <w:vertAlign w:val="subscript"/>
        </w:rPr>
        <w:t>10</w:t>
      </w:r>
      <w:r>
        <w:t>茹</w:t>
      </w:r>
      <w:r>
        <w:rPr>
          <w:vertAlign w:val="subscript"/>
        </w:rPr>
        <w:t>90</w:t>
      </w:r>
      <w:r>
        <w:t>，3 mol% 总金属含量）解决了这些权衡问题。异位分析和原位分析表明，这些含有 Ru─Co─Ru 位点的双金属系综在反应后期表现出极高的过度氢解势垒，同时保留了 Ru 的固有活性。结果，原生聚丙烯和消费后废物几乎完全转化，并且具有持续高的 C</w:t>
      </w:r>
      <w:r>
        <w:t xml:space="preserve"> </w:t>
      </w:r>
      <w:r>
        <w:t>11+</w:t>
      </w:r>
      <w:r>
        <w:t xml:space="preserve"> </w:t>
      </w:r>
      <w:r>
        <w:t>产率高达 60%（总液体的 78%），而单金属 Ru 的产率则低于 5%。过程级模拟预测通过长链液体产品的高单程产量实现经济上可行且环境上可持续的操作。这些结果揭示了钌促进的广泛组成景观，并推荐了其第二金属含量单原子</w:t>
      </w:r>
    </w:p>
    <w:p>
      <w:pPr>
        <w:spacing w:before="0" w:after="200" w:lineRule="auto" w:line="276"/>
      </w:pPr>
      <w:r>
        <w:rPr>
          <w:b/>
        </w:rPr>
        <w:t xml:space="preserve">Abstract (EN): </w:t>
      </w:r>
      <w:r>
        <w:t>Achieving selective polyolefin waste hydrogenolysis into fuels and chemicals requires architectures that disrupt Ru─Ru ensembles without compromising the intrinsic activity of the state‐of‐the‐art Ru catalyst. While metal modifiers can beneficially tune selectivity, they have been shown for high promoter‐metal contents, with associated penalties in structural definition and potential practicality. Here, we engineer cobalt speciation on Ru through impregnation to disclose how promotion spans the entire compositional space realizing a titania‐supported Co</w:t>
      </w:r>
      <w:r>
        <w:rPr>
          <w:vertAlign w:val="subscript"/>
        </w:rPr>
        <w:t>1</w:t>
      </w:r>
      <w:r>
        <w:t>/Ru single‐atom alloy catalyst (Co</w:t>
      </w:r>
      <w:r>
        <w:rPr>
          <w:vertAlign w:val="subscript"/>
        </w:rPr>
        <w:t>10</w:t>
      </w:r>
      <w:r>
        <w:t>Ru</w:t>
      </w:r>
      <w:r>
        <w:rPr>
          <w:vertAlign w:val="subscript"/>
        </w:rPr>
        <w:t>90</w:t>
      </w:r>
      <w:r>
        <w:t>, 3 mol% total metal content) that resolves these trade‐offs. Ex situ and operando analyses reveal that these bimetallic ensembles containing Ru─Co─Ru sites display a distinctively high barrier for over‐hydrogenolysis at late reaction stages while preserving the intrinsic activity of Ru. As a result, virgin polypropylene and post‐consumer waste were almost fully converted with a consistently high C</w:t>
      </w:r>
      <w:r>
        <w:t xml:space="preserve"> </w:t>
      </w:r>
      <w:r>
        <w:t>11+</w:t>
      </w:r>
      <w:r>
        <w:t xml:space="preserve"> </w:t>
      </w:r>
      <w:r>
        <w:t>yield of up to 60% (78% total liquids), compared to &amp;lt;5% over the monometallic Ru counterpart. Process‐level simulations predict economically viable and environmentally sustainable operation enabled by the high single‐pass yields of long‐chain liquid products. These results reveal a wide compositional landscape for Ru promotion and recommend its second‐metal‐content single‐atom alloy limit as the most promising strategy for further catalyst design efforts.</w:t>
      </w:r>
    </w:p>
    <w:p>
      <w:pPr>
        <w:spacing w:before="120" w:after="120"/>
      </w:pPr>
      <w:r>
        <w:rPr>
          <w:sz w:val="18"/>
        </w:rPr>
        <w:t>——————————————————————————————————————————————————————————————————————</w:t>
      </w:r>
    </w:p>
    <w:p>
      <w:pPr>
        <w:spacing w:before="160" w:after="40" w:line="240" w:lineRule="auto"/>
      </w:pPr>
      <w:r>
        <w:rPr>
          <w:b/>
        </w:rPr>
        <w:t xml:space="preserve">[7] </w:t>
      </w:r>
      <w:hyperlink r:id="rId322">
        <w:r>
          <w:rPr>
            <w:color w:val="1155CC"/>
            <w:u w:val="single"/>
          </w:rPr>
          <w:t>PET 在良性溶剂中自晶成核产生具有超低导热率的高模量气凝胶</w:t>
        </w:r>
      </w:hyperlink>
    </w:p>
    <w:p>
      <w:pPr>
        <w:spacing w:before="0" w:after="80"/>
      </w:pPr>
      <w:r>
        <w:rPr>
          <w:i/>
          <w:sz w:val="20"/>
        </w:rPr>
        <w:t>EN: Self‐Seeded Nucleation of PET in a Benign Solvent Yields a High Modulus Aerogel With Ultra‐Low Thermal Conductivity</w:t>
      </w:r>
    </w:p>
    <w:p>
      <w:pPr>
        <w:spacing w:before="0" w:after="120"/>
      </w:pPr>
      <w:r>
        <w:rPr>
          <w:b/>
        </w:rPr>
        <w:t xml:space="preserve">Source: </w:t>
      </w:r>
      <w:r>
        <w:t>Wiley-Online-Library: Advanced Materials: Table of Contents</w:t>
      </w:r>
      <w:r>
        <w:t xml:space="preserve">    </w:t>
      </w:r>
      <w:r>
        <w:rPr>
          <w:b/>
        </w:rPr>
        <w:t xml:space="preserve">Pub date: </w:t>
      </w:r>
      <w:r>
        <w:t>2026-06-11 06:12:35+00:00</w:t>
      </w:r>
      <w:r>
        <w:t xml:space="preserve">    </w:t>
      </w:r>
      <w:r>
        <w:rPr>
          <w:b/>
        </w:rPr>
        <w:t xml:space="preserve">DOI: </w:t>
      </w:r>
      <w:hyperlink r:id="rId323">
        <w:r>
          <w:rPr>
            <w:color w:val="1155CC"/>
            <w:u w:val="single"/>
          </w:rPr>
          <w:t>10.1002/adma.73409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聚对苯二甲酸乙二醇酯 (PET) 是回收率最高的塑料；然而，这种商品聚合物升级改造为增值产品的情况仍然有限。最近生产 PET 气凝胶的尝试依赖于有毒溶剂、化学转化和交联以及增强来实现有用的机械性能。现在，我们使用一种新的良性溶剂（1,3-二苯丙酮）报告了一种简单、安全且可持续的溶解和凝胶化程序，将废弃 PET 转化为低密度、具有高机械强度 (E = 20 ± 2 MPa) 和极低导热率 (k = 21.9 至 28.9 mW m) 的整体气凝胶。</w:t>
      </w:r>
      <w:r>
        <w:t xml:space="preserve"> </w:t>
      </w:r>
      <w:r>
        <w:t>−1</w:t>
      </w:r>
      <w:r>
        <w:t xml:space="preserve"> </w:t>
      </w:r>
      <w:r>
        <w:t>K</w:t>
      </w:r>
      <w:r>
        <w:t xml:space="preserve"> </w:t>
      </w:r>
      <w:r>
        <w:t>−1</w:t>
      </w:r>
      <w:r>
        <w:t xml:space="preserve"> </w:t>
      </w:r>
      <w:r>
        <w:t>）。该过程的关键是通过凝胶化过程中的自晶化现象控制晶体成核，从而建立介观纤维框架。我们的策略提供了一种良性的溶胶-凝胶工艺，将塑料废物升级为一种新型的纯 PET，用于先进的隔热材料。</w:t>
      </w:r>
    </w:p>
    <w:p>
      <w:pPr>
        <w:spacing w:before="0" w:after="200" w:lineRule="auto" w:line="276"/>
      </w:pPr>
      <w:r>
        <w:rPr>
          <w:b/>
        </w:rPr>
        <w:t xml:space="preserve">Abstract (EN): </w:t>
      </w:r>
      <w:r>
        <w:t>Poly(ethylene terephthalate) (PET) is the most recycled plastic; however, upcycling of this commodity polymer to value‐added products has remained limited. Recent attempts to produce PET aerogels have relied on toxic solvents, chemical conversions and cross‐linking, and reinforcement to achieve useful mechanical performance. Now, using a new benign solvent (1,3‐diphenylacetone), we report a simple, safe, and sustainable dissolution and gelation procedure to convert waste PET into low density, monolithic aerogels with high mechanical strength (E = 20 ± 2 MPa) and remarkably low thermal conductivity (k = 21.9 to 28.9 mW m</w:t>
      </w:r>
      <w:r>
        <w:t xml:space="preserve"> </w:t>
      </w:r>
      <w:r>
        <w:t>−1</w:t>
      </w:r>
      <w:r>
        <w:t xml:space="preserve"> </w:t>
      </w:r>
      <w:r>
        <w:t>K</w:t>
      </w:r>
      <w:r>
        <w:t xml:space="preserve"> </w:t>
      </w:r>
      <w:r>
        <w:t>−1</w:t>
      </w:r>
      <w:r>
        <w:t xml:space="preserve"> </w:t>
      </w:r>
      <w:r>
        <w:t>). The key to this process is controlled crystal nucleation by a self‐seeding phenomenon during gelation that establishes a mesoscale fibrillar framework. Our strategy offers a benign sol–gel process to upcycle plastic waste into a new form of pure PET for advanced thermal insulation.</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324">
        <w:r>
          <w:rPr>
            <w:color w:val="1155CC"/>
            <w:u w:val="single"/>
          </w:rPr>
          <w:t>使用无模型强化学习在实时不平衡市场中进行自适应电动汽车充电调度</w:t>
        </w:r>
      </w:hyperlink>
    </w:p>
    <w:p>
      <w:pPr>
        <w:spacing w:before="0" w:after="80"/>
      </w:pPr>
      <w:r>
        <w:rPr>
          <w:i/>
          <w:sz w:val="20"/>
        </w:rPr>
        <w:t>EN: Adaptive EV charging scheduling in real-time imbalance markets using model-free reinforcement learning</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325">
        <w:r>
          <w:rPr>
            <w:color w:val="1155CC"/>
            <w:u w:val="single"/>
          </w:rPr>
          <w:t>点接触中边缘磁等离子引起的粘性电子流体的超弹流</w:t>
        </w:r>
      </w:hyperlink>
    </w:p>
    <w:p>
      <w:pPr>
        <w:spacing w:before="0" w:after="80"/>
      </w:pPr>
      <w:r>
        <w:rPr>
          <w:i/>
          <w:sz w:val="20"/>
        </w:rPr>
        <w:t>EN: Superballistic flow of viscous electron fluid induced by edge magnetoplasmons in point contacts</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在窄导体中，电子与电子的碰撞可以产生粘性流体状态，从而使导电性超越弹道输运进入超弹道状态。由超高迁移率二维电子气制成的点接触可以作为研究这种效应的平台。在微波辐射下，点接触中的边缘磁等离子被激发并强烈影响电子动力学。这项研究使用光电导信号（微波暴露引起的变化）来研究超弹道电子流，并通过尺寸相关的光电导、磁场效应和微波功率分析来证实。在低磁场下，弱微波由于超弹道流而导致正光电导，而强辐射由于增强的声子散射而导致负光电导。</w:t>
      </w:r>
    </w:p>
    <w:p>
      <w:pPr>
        <w:spacing w:before="0" w:after="200" w:lineRule="auto" w:line="276"/>
      </w:pPr>
      <w:r>
        <w:rPr>
          <w:b/>
        </w:rPr>
        <w:t xml:space="preserve">Abstract (EN): </w:t>
      </w:r>
      <w:r>
        <w:t>In narrow conductors, electron-electron collisions can create a viscous fluid state, allowing conductivity beyond ballistic transport into the superballistic regime. Point contacts made from ultrahigh-mobility two-dimensional electron gas serve as a platform to study this effect. Under microwave irradiation, edge magnetoplasmons in point contacts are excited and strongly influence electron dynamics. This study uses photoconductivity signals - changes from microwave exposure - to investigate superballistic electron flow, confirmed by size-dependent photoconductivity, magnetic field effects, and microwave power analysis. At low magnetic fields, weak microwaves lead to positive photoconductivity due to superballistic flow, while strong radiation causes negative photoconductivity because of enhanced phonon scattering.</w:t>
      </w:r>
    </w:p>
    <w:p>
      <w:pPr>
        <w:spacing w:before="120" w:after="120"/>
      </w:pPr>
      <w:r>
        <w:rPr>
          <w:sz w:val="18"/>
        </w:rPr>
        <w:t>——————————————————————————————————————————————————————————————————————</w:t>
      </w:r>
    </w:p>
    <w:p>
      <w:pPr>
        <w:spacing w:before="160" w:after="40" w:line="240" w:lineRule="auto"/>
      </w:pPr>
      <w:r>
        <w:rPr>
          <w:b/>
        </w:rPr>
        <w:t xml:space="preserve">[3] </w:t>
      </w:r>
      <w:hyperlink r:id="rId326">
        <w:r>
          <w:rPr>
            <w:color w:val="1155CC"/>
            <w:u w:val="single"/>
          </w:rPr>
          <w:t>具有蜘蛛丝般韧性的纤维素纤维的仿生纳米结构</w:t>
        </w:r>
      </w:hyperlink>
    </w:p>
    <w:p>
      <w:pPr>
        <w:spacing w:before="0" w:after="80"/>
      </w:pPr>
      <w:r>
        <w:rPr>
          <w:i/>
          <w:sz w:val="20"/>
        </w:rPr>
        <w:t>EN: Bioinspired nano-architecture for cellulose fibers with spider silk–like toughness</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源自可再生生物质的纤维素纤维通过分子排列和致密堆积表现出卓越的拉伸强度，但其韧性仍然有限，通常低于 50 MJ m−3。受樱桃树皮螺旋纳米结构的启发，我们引入了一种仿生纳米取向策略，通过可扩展的微流体纺丝技术制造具有双向取向结构的再生纤维素纤维。结合实验表征和分子模拟，我们证明这种双轴纳米结构可以有效地重新分布应力并抑制变形过程中的裂纹扩展，实现 41% 的显着断裂应变以及 553 MPa 的拉伸强度。这种协同作用产生了 184 MJ m−3 的韧性，相对于大多数先前报道的纤维素纤维和合成聚合物表现出极具竞争力的性能，并实现了与天然蜘蛛丝相同数量级的机械性能。此外，这种增强功能从单纤维无缝延伸到机织织物，凸显了其在纺织品、汽车零部件和航空航天应用中作为可持续高性能材料的潜力。我们的研究结果阐明了一种克服纤维素纤维固有脆性的设计，提高了它们作为环保结构材料的适用性。</w:t>
      </w:r>
    </w:p>
    <w:p>
      <w:pPr>
        <w:spacing w:before="0" w:after="200" w:lineRule="auto" w:line="276"/>
      </w:pPr>
      <w:r>
        <w:rPr>
          <w:b/>
        </w:rPr>
        <w:t xml:space="preserve">Abstract (EN): </w:t>
      </w:r>
      <w:r>
        <w:t>Cellulose fibers derived from renewable biomass exhibit exceptional tensile strength through molecular alignment and dense packing, yet their toughness remains limited, typically below 50 MJ m−3. Drawing inspiration from the helical nanoarchitecture of cherry bark, we introduce a bioinspired nano-orientation strategy to fabricate regenerated cellulose fibers with a biaxially oriented structure via a scalable microfluidic spinning technique. Combining experimental characterization and molecular simulations, we demonstrate that this biaxial nano-architecture effectively redistributes stress and suppresses crack propagation during deformation, achieving a remarkable fracture strain of 41% alongside a tensile strength of 553 MPa. This synergy yields a toughness of 184 MJ m−3, exhibiting highly competitive performance relative to most previously reported cellulose fibers and synthetic polymers, and achieving a mechanical performance on the same order of magnitude as natural spider silk. Moreover, this enhancement extends seamlessly from single fibers to woven fabrics, highlighting its potential for sustainable, high-performance materials in textiles, automotive components, and aerospace applications. Our findings illuminate a design for overcoming the intrinsic brittleness of cellulose fibers, advancing their applicability as eco-friendly structural materials.</w:t>
      </w:r>
    </w:p>
    <w:p>
      <w:pPr>
        <w:spacing w:before="120" w:after="120"/>
      </w:pPr>
      <w:r>
        <w:rPr>
          <w:sz w:val="18"/>
        </w:rPr>
        <w:t>——————————————————————————————————————————————————————————————————————</w:t>
      </w:r>
    </w:p>
    <w:p>
      <w:pPr>
        <w:spacing w:before="160" w:after="40" w:line="240" w:lineRule="auto"/>
      </w:pPr>
      <w:r>
        <w:rPr>
          <w:b/>
        </w:rPr>
        <w:t xml:space="preserve">[4] </w:t>
      </w:r>
      <w:hyperlink r:id="rId327">
        <w:r>
          <w:rPr>
            <w:color w:val="1155CC"/>
            <w:u w:val="single"/>
          </w:rPr>
          <w:t>揭示动量编码超表面中隐藏的周期性</w:t>
        </w:r>
      </w:hyperlink>
    </w:p>
    <w:p>
      <w:pPr>
        <w:spacing w:before="0" w:after="80"/>
      </w:pPr>
      <w:r>
        <w:rPr>
          <w:i/>
          <w:sz w:val="20"/>
        </w:rPr>
        <w:t>EN: Revealing hidden periodicity in momentum-encoded metasurfaces</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被称为超表面的结构化平面材料能够在亚波长尺度上对电磁波进行多种操作。特别是，超表面可以用作空间采样晶格，编码指定的面内动量分布，如相位梯度和 Pancharatnam-Berry 超表面中常用的那样。然而，这种动量编码的超表面通常会失去全局周期性，使严格的分析变得复杂。在这里，我们引入了一个通用的几何框架，它将动量编码的超表面解释为通过将一维周期性扰动施加到二维布拉维晶格上而形成的定向莫尔晶格。我们推导了显式的可通约性条件，揭示了其他非周期结构中隐藏的周期性，并使它们能够表示为紧凑的周期性超晶格。这种超级单元表示允许将辐射通道离散化为定义的衍射级，从而实现清晰、直观的性能表征。我们通过将其应用于局部超表面来验证该框架，获得与二维采样理论一致的衍射结果，并将其应用于具有自旋相关的 Rashba 动量的非局部超表面，精确识别其超晶格条件及其谷可寻址特征。我们进一步通过实验证明了使用制造的动量编码光子晶体板预测的谷寻址能力。因此，我们的方法为分析复杂的超表面结构和探索波动物理学中的各种晶格现象提供了有效且可推广的基础</w:t>
      </w:r>
    </w:p>
    <w:p>
      <w:pPr>
        <w:spacing w:before="0" w:after="200" w:lineRule="auto" w:line="276"/>
      </w:pPr>
      <w:r>
        <w:rPr>
          <w:b/>
        </w:rPr>
        <w:t xml:space="preserve">Abstract (EN): </w:t>
      </w:r>
      <w:r>
        <w:t>Structured planar materials known as metasurfaces enable versatile manipulation of electromagnetic waves at subwavelength scales. Especially, metasurfaces can serve as spatial sampling lattices that encode prescribed in-plane momentum profiles, as commonly employed in phase-gradient and Pancharatnam–Berry metasurfaces. However, such momentum-encoded metasurfaces typically lose global periodicity, complicating rigorous analyses. Here, we introduce a universal geometric framework that interprets momentum-encoded metasurfaces as directional Moiré lattices formed by imposing one-dimensional periodic perturbations onto two-dimensional Bravais lattices. We derive explicit commensurability conditions that reveal hidden periodicity in otherwise aperiodic structures and enable their representation as compact periodic superlattices. This supercell representation allows the discretization of radiation channels into defined diffraction orders, enabling clear, intuitive performance characterization. We validate the framework by applying it to local metasurfaces, obtaining diffraction results consistent with two-dimensional sampling theory, and to non-local metasurfaces with spin-dependent Rashba momentum, precisely identifying their superlattice conditions and their valley-addressable character. We further experimentally demonstrate the predicted valley addressability using fabricated momentum-encoded photonic crystal slabs. Our method thus provides an efficient and generalizable basis for analyzing complex metasurface architectures and exploring diverse lattice phenomena in wave physics.</w:t>
      </w:r>
    </w:p>
    <w:p>
      <w:pPr>
        <w:spacing w:before="120" w:after="120"/>
      </w:pPr>
      <w:r>
        <w:rPr>
          <w:sz w:val="18"/>
        </w:rPr>
        <w:t>——————————————————————————————————————————————————————————————————————</w:t>
      </w:r>
    </w:p>
    <w:p>
      <w:pPr>
        <w:spacing w:before="160" w:after="40" w:line="240" w:lineRule="auto"/>
      </w:pPr>
      <w:r>
        <w:rPr>
          <w:b/>
        </w:rPr>
        <w:t xml:space="preserve">[5] </w:t>
      </w:r>
      <w:hyperlink r:id="rId328">
        <w:r>
          <w:rPr>
            <w:color w:val="1155CC"/>
            <w:u w:val="single"/>
          </w:rPr>
          <w:t>铁磁 CoS2 表面五边形晶格上的相关奇异平带</w:t>
        </w:r>
      </w:hyperlink>
    </w:p>
    <w:p>
      <w:pPr>
        <w:spacing w:before="0" w:after="80"/>
      </w:pPr>
      <w:r>
        <w:rPr>
          <w:i/>
          <w:sz w:val="20"/>
        </w:rPr>
        <w:t>EN: Correlated singular flat bands on the surface pentagonal lattice of ferromagnetic CoS2</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平带已在各种几何挫败晶格中提出，但其实验实现仅限于二维 (2D) kagome 和三维 (3D) 烧绿石晶格。虽然合成具有所需晶格几何形状的块状晶体通常具有挑战性，但 3D 块状材料的表面有时会自然地呈现 2D 块状晶体中难以实现的 2D 晶格结构。因此，位于此类二维表面上的电子可以成为驻留在未探索的晶格几何结构上的奇异平带的新平台。在这里，我们报告了在 3D 铁磁拓扑半金属 CoS2 表面的 2D 五边形晶格中首次实验观察到具有带交叉的奇异平带。我们证明，局部表面平带和扩展体拓扑带之间的耦合产生了表面非费米液体行为，其特征是具有线性温度依赖性的准粒子散射率和明显的准粒子展宽。 CoS2 的这项研究强调金属黄铁矿材料是探索位于表面五边形晶格上的自旋极化奇异平带奇异特性的理想平台，这为研究五边形材料中的相关电子现象提供了新的视角。</w:t>
      </w:r>
    </w:p>
    <w:p>
      <w:pPr>
        <w:spacing w:before="0" w:after="200" w:lineRule="auto" w:line="276"/>
      </w:pPr>
      <w:r>
        <w:rPr>
          <w:b/>
        </w:rPr>
        <w:t xml:space="preserve">Abstract (EN): </w:t>
      </w:r>
      <w:r>
        <w:t>Flat bands have been proposed in various geometrically frustrated lattices, yet their experimental realization has been limited only to the two-dimensional (2D) kagome and three-dimensional (3D) pyrochlore lattices. While synthesizing bulk crystals with desired lattice geometry is generally challenging, the surfaces of 3D bulk materials sometimes naturally host 2D lattice structures hardly achievable in 2D bulk crystals. Thus, the electrons localized on such 2D surfaces can be a new platform for exotic flat bands residing on the unexplored lattice geometry. Here, we report the first experimental observation of singular flat bands with band crossings in the 2D pentagonal lattice on the surface of the 3D ferromagnetic topological semimetal CoS2. We demonstrate that the coupling between localized surface flat bands and extended bulk topological bands gives rise to the surface non-Fermi liquid behavior characterized by the quasiparticle scattering rate with linear temperature dependence and pronounced quasiparticle broadening. This study of CoS2 highlights metallic pyrite materials as an ideal platform for exploring the exotic properties of spin-polarized singular flat bands localized on the surface pentagonal lattice, which provides a fresh perspective for investigating correlated electron phenomena in pentagon-based materials.</w:t>
      </w:r>
    </w:p>
    <w:p>
      <w:pPr>
        <w:spacing w:before="120" w:after="120"/>
      </w:pPr>
      <w:r>
        <w:rPr>
          <w:sz w:val="18"/>
        </w:rPr>
        <w:t>——————————————————————————————————————————————————————————————————————</w:t>
      </w:r>
    </w:p>
    <w:p>
      <w:pPr>
        <w:spacing w:before="160" w:after="40" w:line="240" w:lineRule="auto"/>
      </w:pPr>
      <w:r>
        <w:rPr>
          <w:b/>
        </w:rPr>
        <w:t xml:space="preserve">[6] </w:t>
      </w:r>
      <w:hyperlink r:id="rId329">
        <w:r>
          <w:rPr>
            <w:color w:val="1155CC"/>
            <w:u w:val="single"/>
          </w:rPr>
          <w:t>用于评估同地浮动风波发电场的空间明确的技术经济框架</w:t>
        </w:r>
      </w:hyperlink>
    </w:p>
    <w:p>
      <w:pPr>
        <w:spacing w:before="0" w:after="80"/>
      </w:pPr>
      <w:r>
        <w:rPr>
          <w:i/>
          <w:sz w:val="20"/>
        </w:rPr>
        <w:t>EN: A spatially explicit techno-economic framework for assessing co-located floating wind-wave energy farms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330">
        <w:r>
          <w:rPr>
            <w:color w:val="1155CC"/>
            <w:u w:val="single"/>
          </w:rPr>
          <w:t>DNA 纳米级 Jitterbug 变压器</w:t>
        </w:r>
      </w:hyperlink>
    </w:p>
    <w:p>
      <w:pPr>
        <w:spacing w:before="0" w:after="80"/>
      </w:pPr>
      <w:r>
        <w:rPr>
          <w:i/>
          <w:sz w:val="20"/>
        </w:rPr>
        <w:t>EN: A nanoscale Jitterbug transformer from DNA</w:t>
      </w:r>
    </w:p>
    <w:p>
      <w:pPr>
        <w:spacing w:before="0" w:after="120"/>
      </w:pPr>
      <w:r>
        <w:rPr>
          <w:b/>
        </w:rPr>
        <w:t xml:space="preserve">Source: </w:t>
      </w:r>
      <w:r>
        <w:t>Physical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许多病毒已经进化出非常复杂的多面体外壳，能够响应外部刺激而进行对称变换，从而启动有效负载的释放。到目前为止，这种可展开的拉胀纳米结构在合成领域尚不可用。在这里，我们提出了一种由 DNA 折纸结构实现的纳米级 Jitterbug 变压器，它可以根据化学和光学信号重新配置其构象，同时保持泊松比为 -1。通过将机械设计原理与分子动力学模拟相结合，我们设计了 DNA Jitterbug，形成一个紧凑的八面体，它可以存储弹性能量，并通过释放弹性能量自发地转变为扩展的立方八面体。 DNA 转化子被证明与病毒类似，可以在脂质膜上创建纳米孔并调节有效负载释放到囊泡中。这项工作将可编程 DNA 自组装与自由能引导的机械设计相结合，为具有合成细胞器和刺激响应纳米器件潜力的自适应纳米材料提供了一条途径。</w:t>
      </w:r>
    </w:p>
    <w:p>
      <w:pPr>
        <w:spacing w:before="0" w:after="200" w:lineRule="auto" w:line="276"/>
      </w:pPr>
      <w:r>
        <w:rPr>
          <w:b/>
        </w:rPr>
        <w:t xml:space="preserve">Abstract (EN): </w:t>
      </w:r>
      <w:r>
        <w:t>Many viruses have evolved remarkably intricate polyhedral shells capable of undergoing symmetric transformations in response to external stimuli to initiate payload release. So far, such deployable auxetic nanostructures are not available in the synthetic realm. Here we present a nanoscale Jitterbug transformer realized by a DNA origami structure that can reconfigure its conformation upon chemical and optical signals while maintaining a Poisson’s ratio of −1. By combining mechanical design principles with molecular dynamics simulations, we design the DNA Jitterbug to form a compact octahedron that stores elastic energy and spontaneously transitions into an expanded cuboctahedron by releasing it. DNA transformers are demonstrated to act similar to viruses that can create nanopores on lipid membranes and regulate payload release into vesicles. Integrating programmable DNA self-assembly with free-energy-guided mechanical design, this work provides a pathway toward adaptive nanomaterials with potential in synthetic organelles and stimuli-responsive nanodevices.</w:t>
      </w:r>
    </w:p>
    <w:p>
      <w:pPr>
        <w:spacing w:before="120" w:after="120"/>
      </w:pPr>
      <w:r>
        <w:rPr>
          <w:sz w:val="18"/>
        </w:rPr>
        <w:t>——————————————————————————————————————————————————————————————————————</w:t>
      </w:r>
    </w:p>
    <w:p>
      <w:pPr>
        <w:spacing w:before="160" w:after="40" w:line="240" w:lineRule="auto"/>
      </w:pPr>
      <w:r>
        <w:rPr>
          <w:b/>
        </w:rPr>
        <w:t xml:space="preserve">[8] </w:t>
      </w:r>
      <w:hyperlink r:id="rId331">
        <w:r>
          <w:rPr>
            <w:color w:val="1155CC"/>
            <w:u w:val="single"/>
          </w:rPr>
          <w:t>考虑间歇性停车模式的以用户为中心的电动汽车充放电非近视优化</w:t>
        </w:r>
      </w:hyperlink>
    </w:p>
    <w:p>
      <w:pPr>
        <w:spacing w:before="0" w:after="80"/>
      </w:pPr>
      <w:r>
        <w:rPr>
          <w:i/>
          <w:sz w:val="20"/>
        </w:rPr>
        <w:t>EN: Non-myopic optimization of user-centric electric vehicle charging and discharging considering intermittent parking patterns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32">
        <w:r>
          <w:rPr>
            <w:color w:val="1155CC"/>
            <w:u w:val="single"/>
          </w:rPr>
          <w:t>撒哈拉以南非洲的包容性电气化：成本与平等的权衡</w:t>
        </w:r>
      </w:hyperlink>
    </w:p>
    <w:p>
      <w:pPr>
        <w:spacing w:before="0" w:after="80"/>
      </w:pPr>
      <w:r>
        <w:rPr>
          <w:i/>
          <w:sz w:val="20"/>
        </w:rPr>
        <w:t>EN: Inclusive electrification in sub-saharan Africa: Cost–equality trade-offs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333">
        <w:r>
          <w:rPr>
            <w:color w:val="1155CC"/>
            <w:u w:val="single"/>
          </w:rPr>
          <w:t>实现中国页岩气目标：通过系统动力学模型解决生产赤字的政策协同效应</w:t>
        </w:r>
      </w:hyperlink>
    </w:p>
    <w:p>
      <w:pPr>
        <w:spacing w:before="0" w:after="80"/>
      </w:pPr>
      <w:r>
        <w:rPr>
          <w:i/>
          <w:sz w:val="20"/>
        </w:rPr>
        <w:t>EN: Achieving China's shale gas targets: Policy synergies resolving production deficits via system dynamics modeling</w:t>
      </w:r>
    </w:p>
    <w:p>
      <w:pPr>
        <w:spacing w:before="0" w:after="120"/>
      </w:pPr>
      <w:r>
        <w:rPr>
          <w:b/>
        </w:rPr>
        <w:t xml:space="preserve">Source: </w:t>
      </w:r>
      <w:r>
        <w:t>ScienceDirect Publication: Energy Policy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334">
        <w:r>
          <w:rPr>
            <w:color w:val="1155CC"/>
            <w:u w:val="single"/>
          </w:rPr>
          <w:t>基于特征增强和结构感知聚类的自适应条件触发双模态图网络光伏功率预测</w:t>
        </w:r>
      </w:hyperlink>
    </w:p>
    <w:p>
      <w:pPr>
        <w:spacing w:before="0" w:after="80"/>
      </w:pPr>
      <w:r>
        <w:rPr>
          <w:i/>
          <w:sz w:val="20"/>
        </w:rPr>
        <w:t>EN: An adaptive conditional triggered dual-modal graph network for photovoltaic power prediction based on feature enhancement and structure-aware clustering</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335">
        <w:r>
          <w:rPr>
            <w:color w:val="1155CC"/>
            <w:u w:val="single"/>
          </w:rPr>
          <w:t>印度中长期电力需求预测——纳入电动汽车充电和空间冷却影响</w:t>
        </w:r>
      </w:hyperlink>
    </w:p>
    <w:p>
      <w:pPr>
        <w:spacing w:before="0" w:after="80"/>
      </w:pPr>
      <w:r>
        <w:rPr>
          <w:i/>
          <w:sz w:val="20"/>
        </w:rPr>
        <w:t>EN: Medium and long-term electricity demand forecasting for India – Incorporating EV charging and space cooling impacts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336">
        <w:r>
          <w:rPr>
            <w:color w:val="1155CC"/>
            <w:u w:val="single"/>
          </w:rPr>
          <w:t>用于规划综合能源系统能源管理的知识嵌入强化学习框架</w:t>
        </w:r>
      </w:hyperlink>
    </w:p>
    <w:p>
      <w:pPr>
        <w:spacing w:before="0" w:after="80"/>
      </w:pPr>
      <w:r>
        <w:rPr>
          <w:i/>
          <w:sz w:val="20"/>
        </w:rPr>
        <w:t>EN: A knowledge-embedded reinforcement learning framework for energy management of planned integrated energy systems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37">
        <w:r>
          <w:rPr>
            <w:color w:val="1155CC"/>
            <w:u w:val="single"/>
          </w:rPr>
          <w:t>通过具有预测驾驶员模型的自适应驾驶性能地图，为人类驱动的电动汽车实现节能生态驾驶</w:t>
        </w:r>
      </w:hyperlink>
    </w:p>
    <w:p>
      <w:pPr>
        <w:spacing w:before="0" w:after="80"/>
      </w:pPr>
      <w:r>
        <w:rPr>
          <w:i/>
          <w:sz w:val="20"/>
        </w:rPr>
        <w:t>EN: Energy-efficient eco-driving for human-driven electric vehicles via adaptive drivability maps with predictive driver modeling</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38">
        <w:r>
          <w:rPr>
            <w:color w:val="1155CC"/>
            <w:u w:val="single"/>
          </w:rPr>
          <w:t>自上新世早期以来，南极西部冰盖不断推进</w:t>
        </w:r>
      </w:hyperlink>
    </w:p>
    <w:p>
      <w:pPr>
        <w:spacing w:before="0" w:after="80"/>
      </w:pPr>
      <w:r>
        <w:rPr>
          <w:i/>
          <w:sz w:val="20"/>
        </w:rPr>
        <w:t>EN: West Antarctic Ice Sheet advance since the early Pliocene</w:t>
      </w:r>
    </w:p>
    <w:p>
      <w:pPr>
        <w:spacing w:before="0" w:after="120"/>
      </w:pPr>
      <w:r>
        <w:rPr>
          <w:b/>
        </w:rPr>
        <w:t xml:space="preserve">Source: </w:t>
      </w:r>
      <w:r>
        <w:t>Earth and environmental sciences : Nature Communications subject feeds</w:t>
      </w:r>
      <w:r>
        <w:t xml:space="preserve">    </w:t>
      </w:r>
      <w:r>
        <w:rPr>
          <w:b/>
        </w:rPr>
        <w:t xml:space="preserve">Pub date: </w:t>
      </w:r>
      <w:r>
        <w:t>2026-06-06 00:00:00+00:00</w:t>
      </w:r>
    </w:p>
    <w:p>
      <w:pPr>
        <w:spacing w:before="0" w:after="120"/>
      </w:pPr>
      <w:r>
        <w:rPr>
          <w:b/>
        </w:rPr>
        <w:t xml:space="preserve">Notes: </w:t>
      </w:r>
      <w:r>
        <w:t>abstract_source=nature_html</w:t>
      </w:r>
    </w:p>
    <w:p>
      <w:pPr>
        <w:spacing w:before="0" w:after="80" w:lineRule="auto" w:line="276"/>
      </w:pPr>
      <w:r>
        <w:rPr>
          <w:b/>
        </w:rPr>
        <w:t xml:space="preserve">摘要（ZH）: </w:t>
      </w:r>
      <w:r>
        <w:t>目前对阿蒙森海（西南极冰盖（WAIS）最脆弱的部分）过去冰动态的了解仍然不完整，这阻碍了未来的预测。在这里，国际海洋发现计划站点 U1532 大陆隆起的沉积物表明，冰盖动力学强烈影响碎屑磁性矿物的供应。约 4.1-3.8 Ma 期间的最小磁铁矿浓度反映了阿蒙森海区自约 4.33 Ma 以来的最小 WAIS 范围。自约 4.1 Ma 以来，WAIS 扩张与长期全球变冷密切相关。大约 3.2 Ma 后，细粒磁铁矿的升高表明思韦茨冰川流域的沉积物贡献持续增加。大约 3.2 Ma 时冰盖的突然扩张可能反映了气候阈值的跨越，引发了冰盖发展的质变。大约 0.9 Ma 后 WAIS 主要增长的停止与长期稳定的二氧化碳水平和海洋温度一致。总的来说，这些结果强调了阿蒙森海区域对全球气候强迫的高度敏感性。</w:t>
      </w:r>
    </w:p>
    <w:p>
      <w:pPr>
        <w:spacing w:before="0" w:after="200" w:lineRule="auto" w:line="276"/>
      </w:pPr>
      <w:r>
        <w:rPr>
          <w:b/>
        </w:rPr>
        <w:t xml:space="preserve">Abstract (EN): </w:t>
      </w:r>
      <w:r>
        <w:t>Current understanding of past ice dynamics in the Amundsen Sea—the most vulnerable part of the West Antarctic ice sheet (WAIS)—remains incomplete, hampering future predictions. Here, sediments from International Ocean Discovery Program Site U1532 on the continental rise reveal that ice-sheet dynamics strongly influenced detrital magnetic minerals supply. Minimal magnetite concentration during ~4.1-3.8 Ma reflects the smallest WAIS extent in the Amundsen Sea sector since ~4.33 Ma. Since ~4.1 Ma, WAIS expansion was closely linked to long-term global cooling. After ~3.2 Ma, elevated fine-grained magnetite indicates a sustained increase in sediment contribution from the Thwaites Glacier catchment. The abrupt ice-sheet expansion at ~3.2 Ma may reflect the crossing of a climatic threshold that triggered qualitative transformations in ice-sheet development. Cessation of major WAIS growth after ~0.9 Ma aligns with stabilized long-term CO2 levels and ocean temperatures. Collectively, these results underscore the high sensitivity of the Amundsen Sea sector to global climate forcing.</w:t>
      </w:r>
    </w:p>
    <w:p>
      <w:pPr>
        <w:spacing w:before="120" w:after="120"/>
      </w:pPr>
      <w:r>
        <w:rPr>
          <w:sz w:val="18"/>
        </w:rPr>
        <w:t>——————————————————————————————————————————————————————————————————————</w:t>
      </w:r>
    </w:p>
    <w:p>
      <w:pPr>
        <w:spacing w:before="160" w:after="40" w:line="240" w:lineRule="auto"/>
      </w:pPr>
      <w:r>
        <w:rPr>
          <w:b/>
        </w:rPr>
        <w:t xml:space="preserve">[16] </w:t>
      </w:r>
      <w:hyperlink r:id="rId339">
        <w:r>
          <w:rPr>
            <w:color w:val="1155CC"/>
            <w:u w:val="single"/>
          </w:rPr>
          <w:t>南方国家的化石锁定、资源依赖和能源转型政策</w:t>
        </w:r>
      </w:hyperlink>
    </w:p>
    <w:p>
      <w:pPr>
        <w:spacing w:before="0" w:after="80"/>
      </w:pPr>
      <w:r>
        <w:rPr>
          <w:i/>
          <w:sz w:val="20"/>
        </w:rPr>
        <w:t>EN: Fossil lock-in, resource dependence, and energy transition policy in the Global South</w:t>
      </w:r>
    </w:p>
    <w:p>
      <w:pPr>
        <w:spacing w:before="0" w:after="120"/>
      </w:pPr>
      <w:r>
        <w:rPr>
          <w:b/>
        </w:rPr>
        <w:t xml:space="preserve">Source: </w:t>
      </w:r>
      <w:r>
        <w:t>ScienceDirect Publication: Energy Policy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40">
        <w:r>
          <w:rPr>
            <w:color w:val="1155CC"/>
            <w:u w:val="single"/>
          </w:rPr>
          <w:t>用于波浪能转换器部署的电网信息多标准技术经济优化框架</w:t>
        </w:r>
      </w:hyperlink>
    </w:p>
    <w:p>
      <w:pPr>
        <w:spacing w:before="0" w:after="80"/>
      </w:pPr>
      <w:r>
        <w:rPr>
          <w:i/>
          <w:sz w:val="20"/>
        </w:rPr>
        <w:t>EN: A grid-informed multi-criteria techno-economic optimization framework for wave energy converter deployment</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341">
        <w:r>
          <w:rPr>
            <w:color w:val="1155CC"/>
            <w:u w:val="single"/>
          </w:rPr>
          <w:t>协同负荷调节的灵活性共享：机制与解决方案</w:t>
        </w:r>
      </w:hyperlink>
    </w:p>
    <w:p>
      <w:pPr>
        <w:spacing w:before="0" w:after="80"/>
      </w:pPr>
      <w:r>
        <w:rPr>
          <w:i/>
          <w:sz w:val="20"/>
        </w:rPr>
        <w:t>EN: Flexibility sharing for collaborative load regulation: Mechanism and solution</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342">
        <w:r>
          <w:rPr>
            <w:color w:val="1155CC"/>
            <w:u w:val="single"/>
          </w:rPr>
          <w:t>高可再生能源渗透率下现实世界输电网络的电网规模储能的高分辨率选址和规模调整：两阶段元启发式方法</w:t>
        </w:r>
      </w:hyperlink>
    </w:p>
    <w:p>
      <w:pPr>
        <w:spacing w:before="0" w:after="80"/>
      </w:pPr>
      <w:r>
        <w:rPr>
          <w:i/>
          <w:sz w:val="20"/>
        </w:rPr>
        <w:t>EN: High-resolution siting and sizing of grid-scale energy storage for real-world transmission networks under high renewable penetration: a two-stage metaheuristic approach</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43">
        <w:r>
          <w:rPr>
            <w:color w:val="1155CC"/>
            <w:u w:val="single"/>
          </w:rPr>
          <w:t>水光光伏捆绑运行条件下多年调节水库年末水位控制策略研究</w:t>
        </w:r>
      </w:hyperlink>
    </w:p>
    <w:p>
      <w:pPr>
        <w:spacing w:before="0" w:after="80"/>
      </w:pPr>
      <w:r>
        <w:rPr>
          <w:i/>
          <w:sz w:val="20"/>
        </w:rPr>
        <w:t>EN: Study on control strategies of year-end drawdown level in multi-year regulation reservoir under hydro-photovoltaic bundled operation condition</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344">
        <w:r>
          <w:rPr>
            <w:color w:val="1155CC"/>
            <w:u w:val="single"/>
          </w:rPr>
          <w:t>现代电气化电网中非凸能源系统优化的混合神经模糊深度强化学习框架</w:t>
        </w:r>
      </w:hyperlink>
    </w:p>
    <w:p>
      <w:pPr>
        <w:spacing w:before="0" w:after="80"/>
      </w:pPr>
      <w:r>
        <w:rPr>
          <w:i/>
          <w:sz w:val="20"/>
        </w:rPr>
        <w:t>EN: A hybrid neuro-fuzzy deep reinforcement learning framework for non-convex energy system optimization in modern electrified grids</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345">
        <w:r>
          <w:rPr>
            <w:color w:val="1155CC"/>
            <w:u w:val="single"/>
          </w:rPr>
          <w:t>能源和电力系统中的数字孪生：架构、应用程序、支持工具和公用事业规模实施的可行路线图</w:t>
        </w:r>
      </w:hyperlink>
    </w:p>
    <w:p>
      <w:pPr>
        <w:spacing w:before="0" w:after="80"/>
      </w:pPr>
      <w:r>
        <w:rPr>
          <w:i/>
          <w:sz w:val="20"/>
        </w:rPr>
        <w:t>EN: Digital Twins in energy and power systems: architectures, applications, enabling tools, and actionable roadmap for utility-scale implementation</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46">
        <w:r>
          <w:rPr>
            <w:color w:val="1155CC"/>
            <w:u w:val="single"/>
          </w:rPr>
          <w:t>LICA：实时定价下家庭用电调度的多智能体框架</w:t>
        </w:r>
      </w:hyperlink>
    </w:p>
    <w:p>
      <w:pPr>
        <w:spacing w:before="0" w:after="80"/>
      </w:pPr>
      <w:r>
        <w:rPr>
          <w:i/>
          <w:sz w:val="20"/>
        </w:rPr>
        <w:t>EN: LICA: A multi-agent framework for household electricity scheduling under real-time pricing</w:t>
      </w:r>
    </w:p>
    <w:p>
      <w:pPr>
        <w:spacing w:before="0" w:after="120"/>
      </w:pPr>
      <w:r>
        <w:rPr>
          <w:b/>
        </w:rPr>
        <w:t xml:space="preserve">Source: </w:t>
      </w:r>
      <w:r>
        <w:t>ScienceDirect Publication: Applied Energy</w:t>
      </w:r>
      <w:r>
        <w:t xml:space="preserve">    </w:t>
      </w:r>
      <w:r>
        <w:rPr>
          <w:b/>
        </w:rPr>
        <w:t xml:space="preserve">Pub date: </w:t>
      </w:r>
      <w:r>
        <w:t>2026-06-06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47">
        <w:r>
          <w:rPr>
            <w:color w:val="1155CC"/>
            <w:u w:val="single"/>
          </w:rPr>
          <w:t>丝基蛋白 Corona 增强 mRNA-LNP 疫苗功效并预防肿瘤复发</w:t>
        </w:r>
      </w:hyperlink>
    </w:p>
    <w:p>
      <w:pPr>
        <w:spacing w:before="0" w:after="80"/>
      </w:pPr>
      <w:r>
        <w:rPr>
          <w:i/>
          <w:sz w:val="20"/>
        </w:rPr>
        <w:t>EN: Silk‐Based Protein Corona Enhances mRNA‐LNP Vaccine Efficacy and Prevents Tumor Relapse</w:t>
      </w:r>
    </w:p>
    <w:p>
      <w:pPr>
        <w:spacing w:before="0" w:after="120"/>
      </w:pPr>
      <w:r>
        <w:rPr>
          <w:b/>
        </w:rPr>
        <w:t xml:space="preserve">Source: </w:t>
      </w:r>
      <w:r>
        <w:t>Wiley: Advanced Materials: Table of Contents</w:t>
      </w:r>
      <w:r>
        <w:t xml:space="preserve">    </w:t>
      </w:r>
      <w:r>
        <w:rPr>
          <w:b/>
        </w:rPr>
        <w:t xml:space="preserve">Pub date: </w:t>
      </w:r>
      <w:r>
        <w:t>2026-06-06 06:15:20+00:00</w:t>
      </w:r>
      <w:r>
        <w:t xml:space="preserve">    </w:t>
      </w:r>
      <w:r>
        <w:rPr>
          <w:b/>
        </w:rPr>
        <w:t xml:space="preserve">DOI: </w:t>
      </w:r>
      <w:hyperlink r:id="rId348">
        <w:r>
          <w:rPr>
            <w:color w:val="1155CC"/>
            <w:u w:val="single"/>
          </w:rPr>
          <w:t>10.1002/adma.202521487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脂质纳米颗粒（LNP）是经过临床验证的核酸治疗载体；然而，实现对肝、肺和脾以外的网状内皮器官的靶向递送仍然是一个重大挑战。在这里，我们介绍了一种使用阳离子丝素蛋白（SF）（一种生物相容性且化学可调的蛋白质聚合物）在 mRNA-LNP 上进行定制蛋白质冠的后制造工程的策略。与未修饰的 LNP 相比，SF 包被的 LNP 表现出增强的细胞摄取和内体逃逸，导致淋巴结递送增加 3.6 倍，体内蛋白质表达延长 2.5 倍。在癌症疫苗模型中，SF-LNP 显着改善树突状细胞成熟、抗原交叉呈递和细胞毒性 T 细胞激活，从而对肿瘤生长和转移提供强有力的保护，并产生持久的免疫记忆。这项工作扩大了 LNP 的配方空间，并将丝素蛋白建立为模块化表面工程工具，用于增强基于 mRNA 的治疗的功效和特异性。</w:t>
      </w:r>
    </w:p>
    <w:p>
      <w:pPr>
        <w:spacing w:before="0" w:after="200" w:lineRule="auto" w:line="276"/>
      </w:pPr>
      <w:r>
        <w:rPr>
          <w:b/>
        </w:rPr>
        <w:t xml:space="preserve">Abstract (EN): </w:t>
      </w:r>
      <w:r>
        <w:t>Lipid nanoparticles (LNPs) are clinically validated carriers for nucleic acid therapeutics; however, achieving targeted delivery to reticuloendothelial organs beyond the liver, lung, and spleen remains a major challenge. Here, we introduce a strategy for post‐fabrication engineering of a custom protein corona on mRNA‐LNPs using cationic silk fibroin (SF), a biocompatible and chemically tunable protein polymer. SF‐coated LNPs exhibit enhanced cellular uptake and endosomal escape, resulting in a 3.6 fold increase in lymph node delivery and a 2.5 fold extension in in vivo protein expression compared to unmodified LNPs. In a cancer vaccine model, SF‐LNPs significantly improve dendritic cell maturation, antigen cross‐presentation, and cytotoxic T cell activation, leading to robust protection against tumor growth and metastasis, as well as durable immunological memory. This work expands the formulation space for LNPs and establishes silk fibroin as a modular surface engineering tool for enhancing the efficacy and specificity of mRNA‐based therapeutics.</w:t>
      </w:r>
    </w:p>
    <w:p>
      <w:pPr>
        <w:spacing w:before="120" w:after="120"/>
      </w:pPr>
      <w:r>
        <w:rPr>
          <w:sz w:val="18"/>
        </w:rPr>
        <w:t>——————————————————————————————————————————————————————————————————————</w:t>
      </w:r>
    </w:p>
    <w:p>
      <w:pPr>
        <w:spacing w:before="160" w:after="40" w:line="240" w:lineRule="auto"/>
      </w:pPr>
      <w:r>
        <w:rPr>
          <w:b/>
        </w:rPr>
        <w:t xml:space="preserve">[25] </w:t>
      </w:r>
      <w:hyperlink r:id="rId349">
        <w:r>
          <w:rPr>
            <w:color w:val="1155CC"/>
            <w:u w:val="single"/>
          </w:rPr>
          <w:t>用于多维安全通信的相变可重构太赫兹元器件的深度学习逆向设计</w:t>
        </w:r>
      </w:hyperlink>
    </w:p>
    <w:p>
      <w:pPr>
        <w:spacing w:before="0" w:after="80"/>
      </w:pPr>
      <w:r>
        <w:rPr>
          <w:i/>
          <w:sz w:val="20"/>
        </w:rPr>
        <w:t>EN: Deep Learning Inverse Design of Phase‐Change Reconfigurable Terahertz Metadevices for Multidimensional Secure Communication</w:t>
      </w:r>
    </w:p>
    <w:p>
      <w:pPr>
        <w:spacing w:before="0" w:after="120"/>
      </w:pPr>
      <w:r>
        <w:rPr>
          <w:b/>
        </w:rPr>
        <w:t xml:space="preserve">Source: </w:t>
      </w:r>
      <w:r>
        <w:t>Wiley: Advanced Materials: Table of Contents</w:t>
      </w:r>
      <w:r>
        <w:t xml:space="preserve">    </w:t>
      </w:r>
      <w:r>
        <w:rPr>
          <w:b/>
        </w:rPr>
        <w:t xml:space="preserve">Pub date: </w:t>
      </w:r>
      <w:r>
        <w:t>2026-06-06 06:17:33+00:00</w:t>
      </w:r>
      <w:r>
        <w:t xml:space="preserve">    </w:t>
      </w:r>
      <w:r>
        <w:rPr>
          <w:b/>
        </w:rPr>
        <w:t xml:space="preserve">DOI: </w:t>
      </w:r>
      <w:hyperlink r:id="rId350">
        <w:r>
          <w:rPr>
            <w:color w:val="1155CC"/>
            <w:u w:val="single"/>
          </w:rPr>
          <w:t>10.1002/adma.73630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下一代 6G 网络中数据交换和网络威胁呈指数级增长，要求通信系统在物理层具有本质安全性。太赫兹（THz）波将巨大的带宽与强方向性相结合，为高容量和隐蔽的数据传输提供了肥沃的平台。在这里，我们介绍了一种支持深度学习的逆向设计框架，该框架能够创建能够自适应多维加密的动态可重构太赫兹元设备。通过使用经过训练的残差神经网络，将目标电磁响应直接映射到连续材料相变的设备几何形状，我们的方法消除了传统的迭代设计瓶颈，并能够快速、高精度地生成通用元架构。由此产生的器件表现出对Ge的偏振、深度和相变的多重控制</w:t>
      </w:r>
      <w:r>
        <w:rPr>
          <w:vertAlign w:val="subscript"/>
        </w:rPr>
        <w:t>2</w:t>
      </w:r>
      <w:r>
        <w:t>锑</w:t>
      </w:r>
      <w:r>
        <w:rPr>
          <w:vertAlign w:val="subscript"/>
        </w:rPr>
        <w:t>2</w:t>
      </w:r>
      <w:r>
        <w:t>碲</w:t>
      </w:r>
      <w:r>
        <w:rPr>
          <w:vertAlign w:val="subscript"/>
        </w:rPr>
        <w:t>5</w:t>
      </w:r>
      <w:r>
        <w:t>（GST），实现八通道加密全息术，具有最小的串扰和近衍射极限的保真度。此外，我们实现了一种可重新配置的衍射太赫兹神经元设备，它在双密钥安全协议下执行通用逻辑运算，需要物理硬件和数字密钥序列才能准确解密。智能设计自动化和物理层加密的结合为安全、高容量和自适应太赫兹通信建立了新的范例</w:t>
      </w:r>
    </w:p>
    <w:p>
      <w:pPr>
        <w:spacing w:before="0" w:after="200" w:lineRule="auto" w:line="276"/>
      </w:pPr>
      <w:r>
        <w:rPr>
          <w:b/>
        </w:rPr>
        <w:t xml:space="preserve">Abstract (EN): </w:t>
      </w:r>
      <w:r>
        <w:t>The exponential rise in data exchange and cyber threats in next‐generation 6G networks demands communication systems that are inherently secure at the physical layer. Terahertz (THz) waves combine huge bandwidth with strong directionality, offering a fertile platform for high‐capacity and covert data transfer. Here, we introduce a deep‐learning‐enabled inverse‐design framework that enables the creation of dynamically reconfigurable THz metadevices capable of adaptive, multidimensional encryption. By using a residual neural network trained to directly map target electromagnetic responses to device geometries across continuous material phase transitions, our approach eliminates traditional iterative design bottlenecks and enables rapid, high‐precision generation of versatile meta‐architectures. The resulting devices exhibit multiplexed control over polarization, depth, and phase transitions in Ge</w:t>
      </w:r>
      <w:r>
        <w:rPr>
          <w:vertAlign w:val="subscript"/>
        </w:rPr>
        <w:t>2</w:t>
      </w:r>
      <w:r>
        <w:t>Sb</w:t>
      </w:r>
      <w:r>
        <w:rPr>
          <w:vertAlign w:val="subscript"/>
        </w:rPr>
        <w:t>2</w:t>
      </w:r>
      <w:r>
        <w:t>Te</w:t>
      </w:r>
      <w:r>
        <w:rPr>
          <w:vertAlign w:val="subscript"/>
        </w:rPr>
        <w:t>5</w:t>
      </w:r>
      <w:r>
        <w:t>(GST), enabling eight‐channel encrypted holography with minimal crosstalk and near‐diffraction‐limited fidelity. Furthermore, we realize a reconfigurable diffractive THz neural metadevice that performs universal logic operations under a dual‐key security protocol, requiring both the physical hardware and a digital key sequence for accurate decryption. This combination of intelligent design automation and physical‐layer encryption establishes a new paradigm for secure, high‐capacity, and adaptive THz communication, paving the way for dynamically reconfigurable wireless architectures in 6G and beyond.</w:t>
      </w:r>
    </w:p>
    <w:p>
      <w:pPr>
        <w:spacing w:before="120" w:after="120"/>
      </w:pPr>
      <w:r>
        <w:rPr>
          <w:sz w:val="18"/>
        </w:rPr>
        <w:t>——————————————————————————————————————————————————————————————————————</w:t>
      </w:r>
    </w:p>
    <w:p>
      <w:pPr>
        <w:spacing w:before="160" w:after="40" w:line="240" w:lineRule="auto"/>
      </w:pPr>
      <w:r>
        <w:rPr>
          <w:b/>
        </w:rPr>
        <w:t xml:space="preserve">[26] </w:t>
      </w:r>
      <w:hyperlink r:id="rId351">
        <w:r>
          <w:rPr>
            <w:color w:val="1155CC"/>
            <w:u w:val="single"/>
          </w:rPr>
          <w:t>弱微相分离多尺度结构诱导脂环族聚醚-b-酰胺共聚物具有高光学透明度</w:t>
        </w:r>
      </w:hyperlink>
    </w:p>
    <w:p>
      <w:pPr>
        <w:spacing w:before="0" w:after="80"/>
      </w:pPr>
      <w:r>
        <w:rPr>
          <w:i/>
          <w:sz w:val="20"/>
        </w:rPr>
        <w:t>EN: High Optical Transparency in the Alicyclic Poly(Ether‐b‐amide) Copolymer Induced by Multiscale Structure via Weak Microphase Separation</w:t>
      </w:r>
    </w:p>
    <w:p>
      <w:pPr>
        <w:spacing w:before="0" w:after="120"/>
      </w:pPr>
      <w:r>
        <w:rPr>
          <w:b/>
        </w:rPr>
        <w:t xml:space="preserve">Source: </w:t>
      </w:r>
      <w:r>
        <w:t>Wiley: Advanced Materials: Table of Contents</w:t>
      </w:r>
      <w:r>
        <w:t xml:space="preserve">    </w:t>
      </w:r>
      <w:r>
        <w:rPr>
          <w:b/>
        </w:rPr>
        <w:t xml:space="preserve">Pub date: </w:t>
      </w:r>
      <w:r>
        <w:t>2026-06-06 06:18:03+00:00</w:t>
      </w:r>
      <w:r>
        <w:t xml:space="preserve">    </w:t>
      </w:r>
      <w:r>
        <w:rPr>
          <w:b/>
        </w:rPr>
        <w:t xml:space="preserve">DOI: </w:t>
      </w:r>
      <w:hyperlink r:id="rId352">
        <w:r>
          <w:rPr>
            <w:color w:val="1155CC"/>
            <w:u w:val="single"/>
          </w:rPr>
          <w:t>10.1002/adma.73623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将卓越的光学和机械性能与强大的使用稳定性相结合的透明材料仍然是一个重大挑战。在此，通过将双(4-氨基环己基)甲烷(PACM)引入到硬链段(HS)中以抑制结晶，并结合低分子量聚(四亚甲基醚二醇)(PTMEG)作为软链段(SS)以增强链段相容性，合成了无定形脂环族聚(醚-b-酰胺)(PEBA)共聚物。这种分子设计导致弱微相分离结构，纳米微域之间具有扩散的边界。这种“界面擦除”策略产生了一种热压薄膜，其具有以混溶为主的形态，相区域范围为 50 至 100 nm，明显小于可见光波长。有限元分析 (FEA) 模拟进一步证明，这些小相区域与充当折射率 (RI) 缓冲剂的混溶相共同减少了离轴散射，实现了出色的光学清晰度（91.1% 透射率，5.80% 雾度）。该材料还表现出强大的机械性能（&gt;30 MPa、&gt;1000% 伸长率）、低温抗冲击性、使用可靠性、耐溶剂性和阻尼性能。通过整合多尺度表征和理论建模，这项工作为透明高性能弹性体提供了一种简单而有效的分子设计策略和多尺度机理见解，有望作为透明保护层的应用。</w:t>
      </w:r>
    </w:p>
    <w:p>
      <w:pPr>
        <w:spacing w:before="0" w:after="200" w:lineRule="auto" w:line="276"/>
      </w:pPr>
      <w:r>
        <w:rPr>
          <w:b/>
        </w:rPr>
        <w:t xml:space="preserve">Abstract (EN): </w:t>
      </w:r>
      <w:r>
        <w:t>Developing transparent materials combining superior optical and mechanical properties with robust service stability remains a significant challenge. Herein, an amorphous alicyclic poly(ether‐b‐amide) (PEBA) copolymer is synthesized by incorporating bis(4‐aminocyclohexyl) methane (PACM) into the hard segment (HS) to suppress crystallization, combined with low‐molecular‐weight poly(tetramethylene ether glycol) (PTMEG) as the soft segment (SS) to enhance segmental compatibility. Such molecular design results in a weakly microphase‐separated structure with diffused boundaries between the nanometer microdomains. This “interface‐erasing” strategy yields a hot‐pressed film with a miscible‐dominated morphology with phase regions ranging from 50 to 100 nm, significantly smaller than visible‐light wavelengths. Finite element analysis (FEA) simulations further demonstrate that these small phase regions, together with the miscible phase acting as a refractive index (RI) buffer, collectively reduce off‐axis scattering, achieving excellent optical clarity (91.1% transmittance, 5.80% haze). The material also shows robust mechanical properties (&amp;gt;30 MPa, &amp;gt;1000% elongation), low‐temperature impact resistance, service reliability, solvent resistance, and damping performance. By integrating multiscale characterization and theoretical modeling, this work provides a simple yet effective molecular design strategy and a multiscale mechanistic insight for transparent high performance elastomers, promising for applications as transparent protective layers.</w:t>
      </w:r>
    </w:p>
    <w:p>
      <w:pPr>
        <w:spacing w:before="120" w:after="120"/>
      </w:pPr>
      <w:r>
        <w:rPr>
          <w:sz w:val="18"/>
        </w:rPr>
        <w:t>——————————————————————————————————————————————————————————————————————</w:t>
      </w:r>
    </w:p>
    <w:p>
      <w:pPr>
        <w:spacing w:before="160" w:after="40" w:line="240" w:lineRule="auto"/>
      </w:pPr>
      <w:r>
        <w:rPr>
          <w:b/>
        </w:rPr>
        <w:t xml:space="preserve">[27] </w:t>
      </w:r>
      <w:hyperlink r:id="rId353">
        <w:r>
          <w:rPr>
            <w:color w:val="1155CC"/>
            <w:u w:val="single"/>
          </w:rPr>
          <w:t>具有太赫兹手性光学活性和手性-等离子体-手性-声子共振的手性微针阵列</w:t>
        </w:r>
      </w:hyperlink>
    </w:p>
    <w:p>
      <w:pPr>
        <w:spacing w:before="0" w:after="80"/>
      </w:pPr>
      <w:r>
        <w:rPr>
          <w:i/>
          <w:sz w:val="20"/>
        </w:rPr>
        <w:t>EN: Chiral Microneedle Arrays With Terahertz Chiroptical Activity With Chiral‐Plasmon‐Chiral‐Phonon Resonance</w:t>
      </w:r>
    </w:p>
    <w:p>
      <w:pPr>
        <w:spacing w:before="0" w:after="120"/>
      </w:pPr>
      <w:r>
        <w:rPr>
          <w:b/>
        </w:rPr>
        <w:t xml:space="preserve">Source: </w:t>
      </w:r>
      <w:r>
        <w:t>Wiley: Advanced Materials: Table of Contents</w:t>
      </w:r>
      <w:r>
        <w:t xml:space="preserve">    </w:t>
      </w:r>
      <w:r>
        <w:rPr>
          <w:b/>
        </w:rPr>
        <w:t xml:space="preserve">Pub date: </w:t>
      </w:r>
      <w:r>
        <w:t>2026-06-06 15:18:28+00:00</w:t>
      </w:r>
      <w:r>
        <w:t xml:space="preserve">    </w:t>
      </w:r>
      <w:r>
        <w:rPr>
          <w:b/>
        </w:rPr>
        <w:t xml:space="preserve">DOI: </w:t>
      </w:r>
      <w:hyperlink r:id="rId354">
        <w:r>
          <w:rPr>
            <w:color w:val="1155CC"/>
            <w:u w:val="single"/>
          </w:rPr>
          <w:t>10.1002/adma.202521439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微针阵列（MNA）是一种快速新兴的技术，在药物输送和生物传感方面具有广泛的生物医学应用。 MNA 具有亚毫米尺寸和周期性，其几何形状几乎非常适合在太赫兹 (THz) 光谱窗口内运行的生物医学设备。由于手性对于沉积药物和周围组织的功能至关重要，因此在 MNA 内实现手性光学共振可以为基于微针的技术赋予新的功能。然而，制造手性 MNA 的方法在很大程度上仍是未知的，其重要性在很大程度上仍未得到认识。在这里，我们提出了一种手性微针阵列（ARCHIM）的途径，该阵列在太赫兹范围内表现出强烈且可预测的手性光学共振。这些手性等离子微针是通过两个连续的金层的掠射角沉积来制备的。每根针上带有薄的非中心对称帽的 ARCHIM 表现出强手性等离子体模式，其特征是明显的太赫兹圆二色性 (TCD) 频带和高达 5 度的偏振旋转。为了模拟手性药物和生物制剂，我们在 ARCHIM 上涂覆了</w:t>
      </w:r>
      <w:r>
        <w:t xml:space="preserve"> </w:t>
      </w:r>
      <w:r>
        <w:t>L</w:t>
      </w:r>
      <w:r>
        <w:t xml:space="preserve"> </w:t>
      </w:r>
      <w:r>
        <w:t>‐ 和</w:t>
      </w:r>
      <w:r>
        <w:t xml:space="preserve"> </w:t>
      </w:r>
      <w:r>
        <w:t>D</w:t>
      </w:r>
      <w:r>
        <w:t xml:space="preserve"> </w:t>
      </w:r>
      <w:r>
        <w:t>‐胱氨酸晶体。我们发现生物晶体中的手性声子与微针中的手性等离子体共振；它们的耦合会引起 TCD 光谱中用手习惯相关的变化。使用修正的时间耦合模式理论定量描述了这种光子效应，该理论结合了偏振相关的理论</w:t>
      </w:r>
    </w:p>
    <w:p>
      <w:pPr>
        <w:spacing w:before="0" w:after="200" w:lineRule="auto" w:line="276"/>
      </w:pPr>
      <w:r>
        <w:rPr>
          <w:b/>
        </w:rPr>
        <w:t xml:space="preserve">Abstract (EN): </w:t>
      </w:r>
      <w:r>
        <w:t>Microneedle arrays (MNAs) is a rapidly emerging technology with broad biomedical applications in drug delivery and biosensing. With sub‐millimeter dimensions and periodicity, MNAs possess geometries nearly ideal for biomedical devices operating within the terahertz (THz) spectral window. Because chirality is crucial to the function of deposited drugs and surrounding tissues, realizing chiroptical resonances within MNAs could impart new capabilities to microneedle‐based technologies. However, methodologies for fabricating chiral MNAs are largely unknown and their importance remains largerly unrecognized. Here, we present a pathway to arrays of chiral microneedles (ARCHIMs) that exhibit strong and predictable chiroptical resonances in the THz range. These chiroplasmonic microneedles were prepared by glancing angle deposition of two sequential gold layers. ARCHIMs with thin, non‐centrosymmetric caps on each needle exhibit strong chiral plasmonic modes characterized by distinct THz circular dichroism (TCD) bands and polarization rotations as large as 5 degrees. To emulate chiral drugs and biologics, we coated the ARCHIMs with</w:t>
      </w:r>
      <w:r>
        <w:t xml:space="preserve"> </w:t>
      </w:r>
      <w:r>
        <w:t>L</w:t>
      </w:r>
      <w:r>
        <w:t xml:space="preserve"> </w:t>
      </w:r>
      <w:r>
        <w:t>‐ and</w:t>
      </w:r>
      <w:r>
        <w:t xml:space="preserve"> </w:t>
      </w:r>
      <w:r>
        <w:t>D</w:t>
      </w:r>
      <w:r>
        <w:t xml:space="preserve"> </w:t>
      </w:r>
      <w:r>
        <w:t>‐cystine crystals. We found that chiral phonons in the biocrystals resonate with chiral plasmons in the microneedles; their coupling induces handedness‐dependent shifts in the TCD spectra. This photonic effect was quantitatively described using a modified temporal coupled mode theory that incorporates polarization‐dependent resonator parameters. Our findings demonstrate that ARCHIMs provide an effective, tunable, and scalable platform for exploiting chiral light‐matter interactions, opening new opportunities in TCD sensing, chiral diagnostics, chiral phonon detection and THz photonics.</w:t>
      </w:r>
    </w:p>
    <w:p>
      <w:pPr>
        <w:spacing w:before="120" w:after="120"/>
      </w:pPr>
      <w:r>
        <w:rPr>
          <w:sz w:val="18"/>
        </w:rPr>
        <w:t>——————————————————————————————————————————————————————————————————————</w:t>
      </w:r>
    </w:p>
    <w:p>
      <w:pPr>
        <w:spacing w:before="160" w:after="40" w:line="240" w:lineRule="auto"/>
      </w:pPr>
      <w:r>
        <w:rPr>
          <w:b/>
        </w:rPr>
        <w:t xml:space="preserve">[28] </w:t>
      </w:r>
      <w:hyperlink r:id="rId355">
        <w:r>
          <w:rPr>
            <w:color w:val="1155CC"/>
            <w:u w:val="single"/>
          </w:rPr>
          <w:t>基于超分辨率超声的聚合物纳米气泡细胞追踪</w:t>
        </w:r>
      </w:hyperlink>
    </w:p>
    <w:p>
      <w:pPr>
        <w:spacing w:before="0" w:after="80"/>
      </w:pPr>
      <w:r>
        <w:rPr>
          <w:i/>
          <w:sz w:val="20"/>
        </w:rPr>
        <w:t>EN: Super‐Resolution Ultrasound Based Cell Tracking With Polymeric Nanobubbles</w:t>
      </w:r>
    </w:p>
    <w:p>
      <w:pPr>
        <w:spacing w:before="0" w:after="120"/>
      </w:pPr>
      <w:r>
        <w:rPr>
          <w:b/>
        </w:rPr>
        <w:t xml:space="preserve">Source: </w:t>
      </w:r>
      <w:r>
        <w:t>Wiley: Advanced Materials: Table of Contents</w:t>
      </w:r>
      <w:r>
        <w:t xml:space="preserve">    </w:t>
      </w:r>
      <w:r>
        <w:rPr>
          <w:b/>
        </w:rPr>
        <w:t xml:space="preserve">Pub date: </w:t>
      </w:r>
      <w:r>
        <w:t>2026-06-06 15:22:10+00:00</w:t>
      </w:r>
      <w:r>
        <w:t xml:space="preserve">    </w:t>
      </w:r>
      <w:r>
        <w:rPr>
          <w:b/>
        </w:rPr>
        <w:t xml:space="preserve">DOI: </w:t>
      </w:r>
      <w:hyperlink r:id="rId356">
        <w:r>
          <w:rPr>
            <w:color w:val="1155CC"/>
            <w:u w:val="single"/>
          </w:rPr>
          <w:t>10.1002/adma.73639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追踪体内移植细胞的命运仍然是基于细胞的疗法的开发和监测的主要挑战。在这里，我们报告了一种基于纳米气泡（NB）的声学标记策略，该策略使超声定位显微镜（ULM）能够以单细胞规模的灵敏度和超分辨率空间精度跟踪肿瘤中的移植细胞。我们开发了稳定的、生物相容性的聚（氰基丙烯酸丁酯）NB，它可以被细胞有效内化并产生强烈的细胞内超声信号。此外，ULM 可以实时可视化单个细胞、它们的定位以及流模型和小鼠乳腺癌中的轨迹重建。在后者中，动脉内注射后在体内追踪了 NB 标记的骨髓来源的单核细胞，而未标记的细胞仍然检测不到。通过将细胞轨迹与基于微泡的超分辨率血管图相结合，我们的方法可以识别输送细胞的血管。这种临床兼容的成像策略将 ULM 的应用扩展到血管绘图之外，并为基于细胞的治疗提供高分辨率、动态监测的平台。</w:t>
      </w:r>
    </w:p>
    <w:p>
      <w:pPr>
        <w:spacing w:before="0" w:after="200" w:lineRule="auto" w:line="276"/>
      </w:pPr>
      <w:r>
        <w:rPr>
          <w:b/>
        </w:rPr>
        <w:t xml:space="preserve">Abstract (EN): </w:t>
      </w:r>
      <w:r>
        <w:t>Tracking the fate of transplanted cells in vivo remains a major challenge for the development and monitoring of cell‐based therapies. Here, we report a nanobubble (NB) based acoustic labeling strategy that enables ultrasound localization microscopy (ULM) to track transplanted cells in tumors with single‐cell‐scale sensitivity and super‐resolution spatial precision. We developed stable, biocompatible poly(butyl cyanoacrylate) NB that are efficiently internalized by cells and generate strong intracellular ultrasound signals. Furthermore, ULM allows the real‐time visualization of individual cells, their localization, and trajectory reconstruction in flow phantoms and murine breast cancers. In the latter, NB‐labeled bone marrow‐derived mononuclear cells were tracked in vivo following intra‐arterial injection, whereas unlabeled cells remained undetectable. By integrating cell trajectories with microbubble‐based super‐resolution vascular maps, our approach allows identification of the blood vessels that delivered the cells. This clinically compatible imaging strategy expands the application of ULM beyond vascular mapping and provides a platform for high‐resolution, dynamic monitoring of cell‐based therapies.</w:t>
      </w:r>
    </w:p>
    <w:p>
      <w:pPr>
        <w:spacing w:before="120" w:after="120"/>
      </w:pPr>
      <w:r>
        <w:rPr>
          <w:sz w:val="18"/>
        </w:rPr>
        <w:t>——————————————————————————————————————————————————————————————————————</w:t>
      </w:r>
    </w:p>
    <w:p>
      <w:pPr>
        <w:spacing w:before="160" w:after="40" w:line="240" w:lineRule="auto"/>
      </w:pPr>
      <w:r>
        <w:rPr>
          <w:b/>
        </w:rPr>
        <w:t xml:space="preserve">[29] </w:t>
      </w:r>
      <w:hyperlink r:id="rId357">
        <w:r>
          <w:rPr>
            <w:color w:val="1155CC"/>
            <w:u w:val="single"/>
          </w:rPr>
          <w:t>光伏不确定性下可靠的净零微电网的统一鲁棒随机调度</w:t>
        </w:r>
      </w:hyperlink>
    </w:p>
    <w:p>
      <w:pPr>
        <w:spacing w:before="0" w:after="80"/>
      </w:pPr>
      <w:r>
        <w:rPr>
          <w:i/>
          <w:sz w:val="20"/>
        </w:rPr>
        <w:t>EN: Unified robust–stochastic dispatch for reliable net-zero microgrids under PV uncertainty</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358">
        <w:r>
          <w:rPr>
            <w:color w:val="1155CC"/>
            <w:u w:val="single"/>
          </w:rPr>
          <w:t>用于非侵入式负载监控的卷积神经网络：关键分析和未来方向</w:t>
        </w:r>
      </w:hyperlink>
    </w:p>
    <w:p>
      <w:pPr>
        <w:spacing w:before="0" w:after="80"/>
      </w:pPr>
      <w:r>
        <w:rPr>
          <w:i/>
          <w:sz w:val="20"/>
        </w:rPr>
        <w:t>EN: Convolutional neural networks for non-intrusive load monitoring: a critical analysis and future directions</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359">
        <w:r>
          <w:rPr>
            <w:color w:val="1155CC"/>
            <w:u w:val="single"/>
          </w:rPr>
          <w:t>货币社会互惠对中国农村家庭能源贫困减少的积极作用</w:t>
        </w:r>
      </w:hyperlink>
    </w:p>
    <w:p>
      <w:pPr>
        <w:spacing w:before="0" w:after="80"/>
      </w:pPr>
      <w:r>
        <w:rPr>
          <w:i/>
          <w:sz w:val="20"/>
        </w:rPr>
        <w:t>EN: The positive effect of monetary social reciprocity on energy poverty reduction in rural Chinese households</w:t>
      </w:r>
    </w:p>
    <w:p>
      <w:pPr>
        <w:spacing w:before="0" w:after="120"/>
      </w:pPr>
      <w:r>
        <w:rPr>
          <w:b/>
        </w:rPr>
        <w:t xml:space="preserve">Source: </w:t>
      </w:r>
      <w:r>
        <w:t>ScienceDirect Publication: Energy Policy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360">
        <w:r>
          <w:rPr>
            <w:color w:val="1155CC"/>
            <w:u w:val="single"/>
          </w:rPr>
          <w:t>中美贸易战是否会加剧能源贫困？来自中国家庭的证据</w:t>
        </w:r>
      </w:hyperlink>
    </w:p>
    <w:p>
      <w:pPr>
        <w:spacing w:before="0" w:after="80"/>
      </w:pPr>
      <w:r>
        <w:rPr>
          <w:i/>
          <w:sz w:val="20"/>
        </w:rPr>
        <w:t>EN: Does U.S.-China trade war exacerbate energy poverty? Evidence from Chinese households</w:t>
      </w:r>
    </w:p>
    <w:p>
      <w:pPr>
        <w:spacing w:before="0" w:after="120"/>
      </w:pPr>
      <w:r>
        <w:rPr>
          <w:b/>
        </w:rPr>
        <w:t xml:space="preserve">Source: </w:t>
      </w:r>
      <w:r>
        <w:t>ScienceDirect Publication: Energy Policy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361">
        <w:r>
          <w:rPr>
            <w:color w:val="1155CC"/>
            <w:u w:val="single"/>
          </w:rPr>
          <w:t>经济和能源政策不确定性下的能源贫困与财富</w:t>
        </w:r>
      </w:hyperlink>
    </w:p>
    <w:p>
      <w:pPr>
        <w:spacing w:before="0" w:after="80"/>
      </w:pPr>
      <w:r>
        <w:rPr>
          <w:i/>
          <w:sz w:val="20"/>
        </w:rPr>
        <w:t>EN: Energy poverty and wealth under economic and energy policy uncertainty</w:t>
      </w:r>
    </w:p>
    <w:p>
      <w:pPr>
        <w:spacing w:before="0" w:after="120"/>
      </w:pPr>
      <w:r>
        <w:rPr>
          <w:b/>
        </w:rPr>
        <w:t xml:space="preserve">Source: </w:t>
      </w:r>
      <w:r>
        <w:t>ScienceDirect Publication: Energy Policy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362">
        <w:r>
          <w:rPr>
            <w:color w:val="1155CC"/>
            <w:u w:val="single"/>
          </w:rPr>
          <w:t>耦合电力和交通网络的弹性定价驱动协调：学习增强的混合整数重构方法</w:t>
        </w:r>
      </w:hyperlink>
    </w:p>
    <w:p>
      <w:pPr>
        <w:spacing w:before="0" w:after="80"/>
      </w:pPr>
      <w:r>
        <w:rPr>
          <w:i/>
          <w:sz w:val="20"/>
        </w:rPr>
        <w:t>EN: Resilient pricing-driven coordination of coupled power and transportation networks: A learning-augmented mixed-integer reformulation approach</w:t>
      </w:r>
    </w:p>
    <w:p>
      <w:pPr>
        <w:spacing w:before="0" w:after="120"/>
      </w:pPr>
      <w:r>
        <w:rPr>
          <w:b/>
        </w:rPr>
        <w:t xml:space="preserve">Source: </w:t>
      </w:r>
      <w:r>
        <w:t>ScienceDirect Publication: Applied Energy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363">
        <w:r>
          <w:rPr>
            <w:color w:val="1155CC"/>
            <w:u w:val="single"/>
          </w:rPr>
          <w:t>中美紧张局势阴影下的能源通胀：能源转型是通向稳定的途径吗？</w:t>
        </w:r>
      </w:hyperlink>
    </w:p>
    <w:p>
      <w:pPr>
        <w:spacing w:before="0" w:after="80"/>
      </w:pPr>
      <w:r>
        <w:rPr>
          <w:i/>
          <w:sz w:val="20"/>
        </w:rPr>
        <w:t>EN: Energy inflation in the shadow of US–China tensions: Is the energy transition a pathway to stability?</w:t>
      </w:r>
    </w:p>
    <w:p>
      <w:pPr>
        <w:spacing w:before="0" w:after="120"/>
      </w:pPr>
      <w:r>
        <w:rPr>
          <w:b/>
        </w:rPr>
        <w:t xml:space="preserve">Source: </w:t>
      </w:r>
      <w:r>
        <w:t>ScienceDirect Publication: Energy Policy</w:t>
      </w:r>
      <w:r>
        <w:t xml:space="preserve">    </w:t>
      </w:r>
      <w:r>
        <w:rPr>
          <w:b/>
        </w:rPr>
        <w:t xml:space="preserve">Pub date: </w:t>
      </w:r>
      <w:r>
        <w:t>2026-06-07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364">
        <w:r>
          <w:rPr>
            <w:color w:val="1155CC"/>
            <w:u w:val="single"/>
          </w:rPr>
          <w:t>α,β-不饱和酯的催化对映选择性分子内 Aza-Michael 加成</w:t>
        </w:r>
      </w:hyperlink>
    </w:p>
    <w:p>
      <w:pPr>
        <w:spacing w:before="0" w:after="80"/>
      </w:pPr>
      <w:r>
        <w:rPr>
          <w:i/>
          <w:sz w:val="20"/>
        </w:rPr>
        <w:t>EN: Catalytic Enantioselective Intramolecular Aza‐Michael Addition to α,β‐Unsaturated Esters</w:t>
      </w:r>
    </w:p>
    <w:p>
      <w:pPr>
        <w:spacing w:before="0" w:after="120"/>
      </w:pPr>
      <w:r>
        <w:rPr>
          <w:b/>
        </w:rPr>
        <w:t xml:space="preserve">Source: </w:t>
      </w:r>
      <w:r>
        <w:t>Wiley: Angewandte Chemie International Edition: Table of Contents</w:t>
      </w:r>
      <w:r>
        <w:t xml:space="preserve">    </w:t>
      </w:r>
      <w:r>
        <w:rPr>
          <w:b/>
        </w:rPr>
        <w:t xml:space="preserve">Pub date: </w:t>
      </w:r>
      <w:r>
        <w:t>2026-06-07 16:23:06+00:00</w:t>
      </w:r>
      <w:r>
        <w:t xml:space="preserve">    </w:t>
      </w:r>
      <w:r>
        <w:rPr>
          <w:b/>
        </w:rPr>
        <w:t xml:space="preserve">DOI: </w:t>
      </w:r>
      <w:hyperlink r:id="rId365">
        <w:r>
          <w:rPr>
            <w:color w:val="1155CC"/>
            <w:u w:val="single"/>
          </w:rPr>
          <w:t>10.1002/anie.5995443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描述了磺酰胺与束缚的 α,β-不饱和酯的双功能亚氨基正膦 (BIMP) 催化的对映选择性分子内 aza-Michael 反应。通过仔细的催化剂设计，可以实现对传统上具有挑战性的酯迈克尔受体的反应性，从而能够在操作简单的条件下以优异的产率（高达 99%）和对映体比率（高达 97.5:2.5 er）合成对映体富集的吡咯烷、哌啶和二氢吲哚衍生物。广泛的反应范围表现出对磺酰胺基团、迈克尔受体以及其间连接臂上的取代基变化的优异耐受性。此外，该方法的合成效用通过减少催化剂负载量下的克级反应以及多种对映体纯产物的下游衍生化得以凸显。</w:t>
      </w:r>
    </w:p>
    <w:p>
      <w:pPr>
        <w:spacing w:before="0" w:after="200" w:lineRule="auto" w:line="276"/>
      </w:pPr>
      <w:r>
        <w:rPr>
          <w:b/>
        </w:rPr>
        <w:t xml:space="preserve">Abstract (EN): </w:t>
      </w:r>
      <w:r>
        <w:t>A bifunctional iminophosphorane (BIMP)‐catalyzed enantioselective intramolecular aza‐Michael reaction of sulfonamides to tethered α,β‐unsaturated esters is described. Reactivity toward traditionally challenging ester Michael acceptors is achieved through careful catalyst design, enabling the synthesis of enantioenriched pyrrolidines, piperidines, and indoline derivatives in excellent yields (up to 99%) and enantiomeric ratios (up to 97.5:2.5 er) under operationally simple conditions. The broad reaction scope demonstrates excellent tolerance to variation in the sulfonamide group, the Michael acceptor, and substituents on the tether in between. Furthermore, the synthetic utility of the method is highlighted by gram‐scale reactions at reduced catalyst loadings and by downstream derivatization of multiple enantiopure products.</w:t>
      </w:r>
    </w:p>
    <w:p>
      <w:pPr>
        <w:spacing w:before="120" w:after="120"/>
      </w:pPr>
      <w:r>
        <w:rPr>
          <w:sz w:val="18"/>
        </w:rPr>
        <w:t>——————————————————————————————————————————————————————————————————————</w:t>
      </w:r>
    </w:p>
    <w:p>
      <w:pPr>
        <w:spacing w:before="160" w:after="40" w:line="240" w:lineRule="auto"/>
      </w:pPr>
      <w:r>
        <w:rPr>
          <w:b/>
        </w:rPr>
        <w:t xml:space="preserve">[37] </w:t>
      </w:r>
      <w:hyperlink r:id="rId366">
        <w:r>
          <w:rPr>
            <w:color w:val="1155CC"/>
            <w:u w:val="single"/>
          </w:rPr>
          <w:t>轴向配位协调单原子铁中的反键态费米能级接近度和氧亲和力，用于选择性化学发光</w:t>
        </w:r>
      </w:hyperlink>
    </w:p>
    <w:p>
      <w:pPr>
        <w:spacing w:before="0" w:after="80"/>
      </w:pPr>
      <w:r>
        <w:rPr>
          <w:i/>
          <w:sz w:val="20"/>
        </w:rPr>
        <w:t>EN: Axial Coordination Orchestrates Antibonding‐State Fermi‐Level Proximity and Oxygen Affinity in Single‐Atom Iron for Selective Chemiluminescence</w:t>
      </w:r>
    </w:p>
    <w:p>
      <w:pPr>
        <w:spacing w:before="0" w:after="120"/>
      </w:pPr>
      <w:r>
        <w:rPr>
          <w:b/>
        </w:rPr>
        <w:t xml:space="preserve">Source: </w:t>
      </w:r>
      <w:r>
        <w:t>Wiley: Angewandte Chemie International Edition: Table of Contents</w:t>
      </w:r>
      <w:r>
        <w:t xml:space="preserve">    </w:t>
      </w:r>
      <w:r>
        <w:rPr>
          <w:b/>
        </w:rPr>
        <w:t xml:space="preserve">Pub date: </w:t>
      </w:r>
      <w:r>
        <w:t>2026-06-07 16:24:51+00:00</w:t>
      </w:r>
      <w:r>
        <w:t xml:space="preserve">    </w:t>
      </w:r>
      <w:r>
        <w:rPr>
          <w:b/>
        </w:rPr>
        <w:t xml:space="preserve">DOI: </w:t>
      </w:r>
      <w:hyperlink r:id="rId367">
        <w:r>
          <w:rPr>
            <w:color w:val="1155CC"/>
            <w:u w:val="single"/>
          </w:rPr>
          <w:t>10.1002/anie.1246514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由于水环境中自由基途径的特异性差，选择性化学发光传感系统面临挑战。为了解决这个问题，具有不对称高自旋 N−FeN 的轴向配位 Fe 单原子催化剂（Fe-SAC）</w:t>
      </w:r>
      <w:r>
        <w:rPr>
          <w:vertAlign w:val="subscript"/>
        </w:rPr>
        <w:t>4</w:t>
      </w:r>
      <w:r>
        <w:t>通过一步煅烧合成位点，从而能够在中性条件下选择性生成活性铁物种（RFeS）。原位X射线吸收精细结构和密度泛函理论分析表明，轴向N配位稳定了高自旋态，降低了轨道分裂能，增强了</w:t>
      </w:r>
      <w:r>
        <w:t xml:space="preserve"> </w:t>
      </w:r>
      <w:r>
        <w:t>d</w:t>
      </w:r>
      <w:r>
        <w:t xml:space="preserve"> </w:t>
      </w:r>
      <w:r>
        <w:t>–</w:t>
      </w:r>
      <w:r>
        <w:t xml:space="preserve"> </w:t>
      </w:r>
      <w:r>
        <w:t>p</w:t>
      </w:r>
      <w:r>
        <w:t xml:space="preserve"> </w:t>
      </w:r>
      <w:r>
        <w:t>与过一硫酸盐（PMS）杂交，从而使RFeS的形成能降低42%。同时，它调节</w:t>
      </w:r>
      <w:r>
        <w:t xml:space="preserve"> </w:t>
      </w:r>
      <w:r>
        <w:t>d</w:t>
      </w:r>
      <w:r>
        <w:t xml:space="preserve"> </w:t>
      </w:r>
      <w:r>
        <w:t>x</w:t>
      </w:r>
      <w:r>
        <w:rPr>
          <w:vertAlign w:val="subscript"/>
        </w:rPr>
        <w:t>2</w:t>
      </w:r>
      <w:r>
        <w:t>‐</w:t>
      </w:r>
      <w:r>
        <w:t xml:space="preserve"> </w:t>
      </w:r>
      <w:r>
        <w:t>y</w:t>
      </w:r>
      <w:r>
        <w:rPr>
          <w:vertAlign w:val="subscript"/>
        </w:rPr>
        <w:t>2</w:t>
      </w:r>
      <w:r>
        <w:t xml:space="preserve"> </w:t>
      </w:r>
      <w:r>
        <w:t>和</w:t>
      </w:r>
      <w:r>
        <w:t xml:space="preserve"> </w:t>
      </w:r>
      <w:r>
        <w:t>d</w:t>
      </w:r>
      <w:r>
        <w:t xml:space="preserve"> </w:t>
      </w:r>
      <w:r>
        <w:t>XY</w:t>
      </w:r>
      <w:r>
        <w:t xml:space="preserve"> </w:t>
      </w:r>
      <w:r>
        <w:t>轨道以削弱氧结合并促进电子离域。这种双重调制可实现 &gt; 99% RFeS 选择性，抑制非选择性自由基。 Fe-SAC/PMS/鲁米诺系统表现出 826 倍的信号放大和 &lt; 5.8% 干扰引起的信号变化，能够对复杂水中的总酚类物质（使用苯酚作为模型）进行超灵敏评估，偏差 &lt; 8.3%</w:t>
      </w:r>
    </w:p>
    <w:p>
      <w:pPr>
        <w:spacing w:before="0" w:after="200" w:lineRule="auto" w:line="276"/>
      </w:pPr>
      <w:r>
        <w:rPr>
          <w:b/>
        </w:rPr>
        <w:t xml:space="preserve">Abstract (EN): </w:t>
      </w:r>
      <w:r>
        <w:t>Selective chemiluminescence sensing systems face challenges due to poor specificity of radical pathways in aqueous environments. To address this issue, axially coordinated Fe single‐atom catalysts (Fe‐SACs) with asymmetric high‐spin N−FeN</w:t>
      </w:r>
      <w:r>
        <w:rPr>
          <w:vertAlign w:val="subscript"/>
        </w:rPr>
        <w:t>4</w:t>
      </w:r>
      <w:r>
        <w:t>sites were synthesized via one‐step calcination, enabling selective reactive iron species (RFeS) generation under neutral conditions. In situ x‐ray absorption fine structure and the density functional theory analyses revealed that the axial N‐coordination stabilizes high‐spin states, reduces orbital splitting energy, and enhances</w:t>
      </w:r>
      <w:r>
        <w:t xml:space="preserve"> </w:t>
      </w:r>
      <w:r>
        <w:t>d</w:t>
      </w:r>
      <w:r>
        <w:t xml:space="preserve"> </w:t>
      </w:r>
      <w:r>
        <w:t>–</w:t>
      </w:r>
      <w:r>
        <w:t xml:space="preserve"> </w:t>
      </w:r>
      <w:r>
        <w:t>p</w:t>
      </w:r>
      <w:r>
        <w:t xml:space="preserve"> </w:t>
      </w:r>
      <w:r>
        <w:t>hybridization with peroxymonosulfate (PMS), thereby lowering the formation energy of RFeS by 42%. Concurrently, it modulates</w:t>
      </w:r>
      <w:r>
        <w:t xml:space="preserve"> </w:t>
      </w:r>
      <w:r>
        <w:t>d</w:t>
      </w:r>
      <w:r>
        <w:t xml:space="preserve"> </w:t>
      </w:r>
      <w:r>
        <w:t>x</w:t>
      </w:r>
      <w:r>
        <w:rPr>
          <w:vertAlign w:val="subscript"/>
        </w:rPr>
        <w:t>2</w:t>
      </w:r>
      <w:r>
        <w:t>‐</w:t>
      </w:r>
      <w:r>
        <w:t xml:space="preserve"> </w:t>
      </w:r>
      <w:r>
        <w:t>y</w:t>
      </w:r>
      <w:r>
        <w:rPr>
          <w:vertAlign w:val="subscript"/>
        </w:rPr>
        <w:t>2</w:t>
      </w:r>
      <w:r>
        <w:t xml:space="preserve"> </w:t>
      </w:r>
      <w:r>
        <w:t>and</w:t>
      </w:r>
      <w:r>
        <w:t xml:space="preserve"> </w:t>
      </w:r>
      <w:r>
        <w:t>d</w:t>
      </w:r>
      <w:r>
        <w:t xml:space="preserve"> </w:t>
      </w:r>
      <w:r>
        <w:t>xy</w:t>
      </w:r>
      <w:r>
        <w:t xml:space="preserve"> </w:t>
      </w:r>
      <w:r>
        <w:t>orbitals to weaken oxygen binding and promote electron delocalization. This dual modulation achieves &amp;gt; 99% RFeS selectivity, suppressing non‐selective radicals. The Fe‐SACs/PMS/luminol system exhibits 826‐fold signal amplification and &amp;lt; 5.8% interferent‐induced signal variation, enabling ultrasensitive evaluation of total phenolics (using phenol as a model) in complex water with &amp;lt; 8.3% deviation from high‐performance liquid chromatography. This work establishes axial‐coordination‐directed electronic modulation as a universal design principle for selective catalysis.</w:t>
      </w:r>
    </w:p>
    <w:p>
      <w:pPr>
        <w:spacing w:before="120" w:after="120"/>
      </w:pPr>
      <w:r>
        <w:rPr>
          <w:sz w:val="18"/>
        </w:rPr>
        <w:t>——————————————————————————————————————————————————————————————————————</w:t>
      </w:r>
    </w:p>
    <w:p>
      <w:pPr>
        <w:spacing w:before="160" w:after="40" w:line="240" w:lineRule="auto"/>
      </w:pPr>
      <w:r>
        <w:rPr>
          <w:b/>
        </w:rPr>
        <w:t xml:space="preserve">[38] </w:t>
      </w:r>
      <w:hyperlink r:id="rId368">
        <w:r>
          <w:rPr>
            <w:color w:val="1155CC"/>
            <w:u w:val="single"/>
          </w:rPr>
          <w:t>用于光开关电子器件的原位生长含偶氮二维共轭共价有机框架薄膜的湿法转移</w:t>
        </w:r>
      </w:hyperlink>
    </w:p>
    <w:p>
      <w:pPr>
        <w:spacing w:before="0" w:after="80"/>
      </w:pPr>
      <w:r>
        <w:rPr>
          <w:i/>
          <w:sz w:val="20"/>
        </w:rPr>
        <w:t>EN: Wet Transfer of In Situ Grown Azo‐Containing Two‐Dimensional Conjugated Covalent Organic Framework Films for Photoswitchable Electronic Devices</w:t>
      </w:r>
    </w:p>
    <w:p>
      <w:pPr>
        <w:spacing w:before="0" w:after="120"/>
      </w:pPr>
      <w:r>
        <w:rPr>
          <w:b/>
        </w:rPr>
        <w:t xml:space="preserve">Source: </w:t>
      </w:r>
      <w:r>
        <w:t>Wiley: Angewandte Chemie International Edition: Table of Contents</w:t>
      </w:r>
      <w:r>
        <w:t xml:space="preserve">    </w:t>
      </w:r>
      <w:r>
        <w:rPr>
          <w:b/>
        </w:rPr>
        <w:t xml:space="preserve">Pub date: </w:t>
      </w:r>
      <w:r>
        <w:t>2026-06-07 16:25:55+00:00</w:t>
      </w:r>
      <w:r>
        <w:t xml:space="preserve">    </w:t>
      </w:r>
      <w:r>
        <w:rPr>
          <w:b/>
        </w:rPr>
        <w:t xml:space="preserve">DOI: </w:t>
      </w:r>
      <w:hyperlink r:id="rId369">
        <w:r>
          <w:rPr>
            <w:color w:val="1155CC"/>
            <w:u w:val="single"/>
          </w:rPr>
          <w:t>10.1002/anie.2260268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二维π共轭共价有机框架（2D π-COF）将平面内π离域与周期性开放通道相结合，使其成为将功能基团集成到光电和神经形态系统中的多功能平台。然而，它们的主要粉末形式从根本上限制了器件集成和界面工程。在此，我们展示了构建高质量过渡金属硫属化物@2D π-COF范德华异质结构（vdWH）的一般策略。首先在 SiO2 上生长大面积、原子级平坦的 2D π-COF 薄膜</w:t>
      </w:r>
      <w:r>
        <w:rPr>
          <w:vertAlign w:val="subscript"/>
        </w:rPr>
        <w:t>2</w:t>
      </w:r>
      <w:r>
        <w:t>通过液固界面反应将基质转移到单层MoS上</w:t>
      </w:r>
      <w:r>
        <w:rPr>
          <w:vertAlign w:val="subscript"/>
        </w:rPr>
        <w:t>2</w:t>
      </w:r>
      <w:r>
        <w:t>通过温和的原位湿转移过程。由此产生的 COF 薄膜表现出原子级平坦度并形成干净的界面，促进 COF@MoS2 中有效的界面电荷转移</w:t>
      </w:r>
      <w:r>
        <w:rPr>
          <w:vertAlign w:val="subscript"/>
        </w:rPr>
        <w:t>2</w:t>
      </w:r>
      <w:r>
        <w:t>异质结。作为模型系统，我们采用了一种鲁棒的咪唑连接的 2D π-COF (COF-Azo)，其具有偶氮苯部分功能，其可逆</w:t>
      </w:r>
      <w:r>
        <w:t xml:space="preserve"> </w:t>
      </w:r>
      <w:r>
        <w:t>反式-顺式</w:t>
      </w:r>
      <w:r>
        <w:t xml:space="preserve"> </w:t>
      </w:r>
      <w:r>
        <w:t>光异构化动态地调节异质结的电子结构。 COF-偶氮@MoS</w:t>
      </w:r>
      <w:r>
        <w:rPr>
          <w:vertAlign w:val="subscript"/>
        </w:rPr>
        <w:t>2</w:t>
      </w:r>
      <w:r>
        <w:t>器件表现出明显且可逆的光开关行为，实现~6.7×10的载流子密度调制</w:t>
      </w:r>
      <w:r>
        <w:rPr>
          <w:vertAlign w:val="subscript"/>
        </w:rPr>
        <w:t>11</w:t>
      </w:r>
      <w:r>
        <w:t>厘米</w:t>
      </w:r>
      <w:r>
        <w:t xml:space="preserve"> </w:t>
      </w:r>
      <w:r>
        <w:t>−2</w:t>
      </w:r>
      <w:r>
        <w:t xml:space="preserve"> </w:t>
      </w:r>
      <w:r>
        <w:t>和一个通态</w:t>
      </w:r>
    </w:p>
    <w:p>
      <w:pPr>
        <w:spacing w:before="0" w:after="200" w:lineRule="auto" w:line="276"/>
      </w:pPr>
      <w:r>
        <w:rPr>
          <w:b/>
        </w:rPr>
        <w:t xml:space="preserve">Abstract (EN): </w:t>
      </w:r>
      <w:r>
        <w:t>Two‐dimensional π‐conjugated covalent organic frameworks (2D π‐COFs) combine in‐plane π‐delocalization with periodic open channels, making them versatile platforms for integrating functional groups into optoelectronic and neuromorphic systems. However, their predominant powder form has fundamentally constrained device integration and interfacial engineering. Herein, we demonstrate a general strategy for constructing high‐quality transition‐metal chalcogenide@2D π‐COF van der Waals heterostructures (vdWHs). Large‐area, atomically flat 2D π‐COF films are first grown on SiO</w:t>
      </w:r>
      <w:r>
        <w:rPr>
          <w:vertAlign w:val="subscript"/>
        </w:rPr>
        <w:t>2</w:t>
      </w:r>
      <w:r>
        <w:t>substrates via a liquid–solid interfacial reaction and subsequently transferred onto monolayer MoS</w:t>
      </w:r>
      <w:r>
        <w:rPr>
          <w:vertAlign w:val="subscript"/>
        </w:rPr>
        <w:t>2</w:t>
      </w:r>
      <w:r>
        <w:t>through a mild in situ wet‐transfer process. The resulting COF films exhibit atomic‐scale flatness and form clean interfaces, promoting efficient interfacial charge transfer in COF@MoS</w:t>
      </w:r>
      <w:r>
        <w:rPr>
          <w:vertAlign w:val="subscript"/>
        </w:rPr>
        <w:t>2</w:t>
      </w:r>
      <w:r>
        <w:t>heterojunctions. As a model system, we employ a robust imidazole‐linked 2D π‐COF (COF‐Azo) functionalized with azobenzene moieties, whose reversible</w:t>
      </w:r>
      <w:r>
        <w:t xml:space="preserve"> </w:t>
      </w:r>
      <w:r>
        <w:t>trans‐cis</w:t>
      </w:r>
      <w:r>
        <w:t xml:space="preserve"> </w:t>
      </w:r>
      <w:r>
        <w:t>photoisomerization dynamically modulates the heterojunction's electronic structure. The COF‐Azo@MoS</w:t>
      </w:r>
      <w:r>
        <w:rPr>
          <w:vertAlign w:val="subscript"/>
        </w:rPr>
        <w:t>2</w:t>
      </w:r>
      <w:r>
        <w:t>devices display pronounced and reversible photoswitching behavior, achieving a carrier density modulation of ∼6.7 × 10</w:t>
      </w:r>
      <w:r>
        <w:rPr>
          <w:vertAlign w:val="subscript"/>
        </w:rPr>
        <w:t>11</w:t>
      </w:r>
      <w:r>
        <w:t>cm</w:t>
      </w:r>
      <w:r>
        <w:t xml:space="preserve"> </w:t>
      </w:r>
      <w:r>
        <w:t>−2</w:t>
      </w:r>
      <w:r>
        <w:t xml:space="preserve"> </w:t>
      </w:r>
      <w:r>
        <w:t>and an on‐state current variation of ∼43.7%. Importantly, optical control over the isomerization fraction enables non‐volatile memory behavior within the vdWHs. This work establishes a scalable route to atomically flat 2D π‐COF films as viable building blocks for vdW heterostructures and introduces a robust platform for optically reconfigurable optoelectronics and memory devices.</w:t>
      </w:r>
    </w:p>
    <w:p>
      <w:pPr>
        <w:spacing w:before="120" w:after="120"/>
      </w:pPr>
      <w:r>
        <w:rPr>
          <w:sz w:val="18"/>
        </w:rPr>
        <w:t>——————————————————————————————————————————————————————————————————————</w:t>
      </w:r>
    </w:p>
    <w:p>
      <w:pPr>
        <w:spacing w:before="160" w:after="40" w:line="240" w:lineRule="auto"/>
      </w:pPr>
      <w:r>
        <w:rPr>
          <w:b/>
        </w:rPr>
        <w:t xml:space="preserve">[39] </w:t>
      </w:r>
      <w:hyperlink r:id="rId370">
        <w:r>
          <w:rPr>
            <w:color w:val="1155CC"/>
            <w:u w:val="single"/>
          </w:rPr>
          <w:t>金属有机框架中空间取向依赖的双氢键/光氧化还原协同催化</w:t>
        </w:r>
      </w:hyperlink>
    </w:p>
    <w:p>
      <w:pPr>
        <w:spacing w:before="0" w:after="80"/>
      </w:pPr>
      <w:r>
        <w:rPr>
          <w:i/>
          <w:sz w:val="20"/>
        </w:rPr>
        <w:t>EN: Spatial Orientation‐Dependent Double Hydrogen Bond/Photoredox Cooperative Catalysis in Metal–Organic Frameworks</w:t>
      </w:r>
    </w:p>
    <w:p>
      <w:pPr>
        <w:spacing w:before="0" w:after="120"/>
      </w:pPr>
      <w:r>
        <w:rPr>
          <w:b/>
        </w:rPr>
        <w:t xml:space="preserve">Source: </w:t>
      </w:r>
      <w:r>
        <w:t>Wiley: Angewandte Chemie International Edition: Table of Contents</w:t>
      </w:r>
      <w:r>
        <w:t xml:space="preserve">    </w:t>
      </w:r>
      <w:r>
        <w:rPr>
          <w:b/>
        </w:rPr>
        <w:t xml:space="preserve">Pub date: </w:t>
      </w:r>
      <w:r>
        <w:t>2026-06-07 16:32:40+00:00</w:t>
      </w:r>
      <w:r>
        <w:t xml:space="preserve">    </w:t>
      </w:r>
      <w:r>
        <w:rPr>
          <w:b/>
        </w:rPr>
        <w:t xml:space="preserve">DOI: </w:t>
      </w:r>
      <w:hyperlink r:id="rId371">
        <w:r>
          <w:rPr>
            <w:color w:val="1155CC"/>
            <w:u w:val="single"/>
          </w:rPr>
          <w:t>10.1002/anie.5181076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剂活性通常是设计催化系统的首要任务。预计更高的催化剂活性将赋予更强大和更有效的催化性能。在这里，我们报道了一种非均相双氢键/光氧化还原协同催化，其中催化中心的灵活性和空间取向，而不是催化剂活性，在催化性能中起主导作用。我们合成了六种具有光催化和双氢键供体（DHBD）中心的金属有机框架（MOF）。</w:t>
      </w:r>
      <w:r>
        <w:t xml:space="preserve"> </w:t>
      </w:r>
      <w:r>
        <w:t>MOF-F-TU</w:t>
      </w:r>
      <w:r>
        <w:t xml:space="preserve"> </w:t>
      </w:r>
      <w:r>
        <w:t>具有相对柔性的（F）硫脲（TU）中心已被证明在促进脱卤和还原偶联反应方面最有效。相比之下，</w:t>
      </w:r>
      <w:r>
        <w:t xml:space="preserve"> </w:t>
      </w:r>
      <w:r>
        <w:t>MOF-R-SQA1</w:t>
      </w:r>
      <w:r>
        <w:t xml:space="preserve"> </w:t>
      </w:r>
      <w:r>
        <w:t>具有更强但刚性的 (R) 方酰胺 (SQA1) 位点，没有表现出催化活性。机理研究合理化了这一独特现象，暗示底物通过与DHBD的双氢键和与光催化中心重叠的π-π键协同活化，这与协同催化中心的空间排列密切相关。</w:t>
      </w:r>
      <w:r>
        <w:t xml:space="preserve"> </w:t>
      </w:r>
      <w:r>
        <w:t>MOF-F-TU</w:t>
      </w:r>
      <w:r>
        <w:t xml:space="preserve"> </w:t>
      </w:r>
      <w:r>
        <w:t>也优于同质同行，成交量高达 9500。</w:t>
      </w:r>
    </w:p>
    <w:p>
      <w:pPr>
        <w:spacing w:before="0" w:after="200" w:lineRule="auto" w:line="276"/>
      </w:pPr>
      <w:r>
        <w:rPr>
          <w:b/>
        </w:rPr>
        <w:t xml:space="preserve">Abstract (EN): </w:t>
      </w:r>
      <w:r>
        <w:t>Catalyst activity is typically the primary priority in designing a catalytic system. The higher catalyst activity is envisioned to confer more powerful and effective catalytic performance. Here, we report a heterogeneous double hydrogen bond/photoredox synergistic catalysis, wherein the flexibility and spatial orientation of catalytic centers, rather than catalyst activity, play a dominant role in catalytic performance. We synthesized six metal–organic frameworks (MOFs) with photocatalytic and double hydrogen bond donor (DHBD) centers.</w:t>
      </w:r>
      <w:r>
        <w:t xml:space="preserve"> </w:t>
      </w:r>
      <w:r>
        <w:t>MOF‐F‐TU</w:t>
      </w:r>
      <w:r>
        <w:t xml:space="preserve"> </w:t>
      </w:r>
      <w:r>
        <w:t>featuring the relatively flexible (F) thiourea (TU) center has proved most effective in promoting dehalogenation and reductive coupling reactions. In contrast,</w:t>
      </w:r>
      <w:r>
        <w:t xml:space="preserve"> </w:t>
      </w:r>
      <w:r>
        <w:t>MOF‐R‐SQA1</w:t>
      </w:r>
      <w:r>
        <w:t xml:space="preserve"> </w:t>
      </w:r>
      <w:r>
        <w:t>with a stronger but rigid (R) squaramide (SQA1) site exhibits no catalytic activity. Mechanistic studies rationalize this unique phenomenon by implying a cooperative activation of the substrate via its double hydrogen bonding with DHBD and π–π overlapping with photocatalytic center, which is closely associated with the spatial arrangement of synergistic catalytic centers.</w:t>
      </w:r>
      <w:r>
        <w:t xml:space="preserve"> </w:t>
      </w:r>
      <w:r>
        <w:t>MOF‐F‐TU</w:t>
      </w:r>
      <w:r>
        <w:t xml:space="preserve"> </w:t>
      </w:r>
      <w:r>
        <w:t>also outperforms homogeneous counterparts, displaying turnover numbers of up to 9500.</w:t>
      </w:r>
    </w:p>
    <w:p>
      <w:pPr>
        <w:spacing w:before="120" w:after="120"/>
      </w:pPr>
      <w:r>
        <w:rPr>
          <w:sz w:val="18"/>
        </w:rPr>
        <w:t>——————————————————————————————————————————————————————————————————————</w:t>
      </w:r>
    </w:p>
    <w:p>
      <w:pPr>
        <w:spacing w:before="160" w:after="40" w:line="240" w:lineRule="auto"/>
      </w:pPr>
      <w:r>
        <w:rPr>
          <w:b/>
        </w:rPr>
        <w:t xml:space="preserve">[40] </w:t>
      </w:r>
      <w:hyperlink r:id="rId372">
        <w:r>
          <w:rPr>
            <w:color w:val="1155CC"/>
            <w:u w:val="single"/>
          </w:rPr>
          <w:t>Ni 催化获得具有四元立构中心的磷酸化羟吲哚的底物控制的对映体发散</w:t>
        </w:r>
      </w:hyperlink>
    </w:p>
    <w:p>
      <w:pPr>
        <w:spacing w:before="0" w:after="80"/>
      </w:pPr>
      <w:r>
        <w:rPr>
          <w:i/>
          <w:sz w:val="20"/>
        </w:rPr>
        <w:t>EN: Substrate‐Controlled Enantiodivergence in Ni‐Catalyzed Access to Phosphorylated Oxindoles With Quaternary Stereocenters</w:t>
      </w:r>
    </w:p>
    <w:p>
      <w:pPr>
        <w:spacing w:before="0" w:after="120"/>
      </w:pPr>
      <w:r>
        <w:rPr>
          <w:b/>
        </w:rPr>
        <w:t xml:space="preserve">Source: </w:t>
      </w:r>
      <w:r>
        <w:t>Wiley: Angewandte Chemie International Edition: Table of Contents</w:t>
      </w:r>
      <w:r>
        <w:t xml:space="preserve">    </w:t>
      </w:r>
      <w:r>
        <w:rPr>
          <w:b/>
        </w:rPr>
        <w:t xml:space="preserve">Pub date: </w:t>
      </w:r>
      <w:r>
        <w:t>2026-06-07 16:37:45+00:00</w:t>
      </w:r>
      <w:r>
        <w:t xml:space="preserve">    </w:t>
      </w:r>
      <w:r>
        <w:rPr>
          <w:b/>
        </w:rPr>
        <w:t xml:space="preserve">DOI: </w:t>
      </w:r>
      <w:hyperlink r:id="rId373">
        <w:r>
          <w:rPr>
            <w:color w:val="1155CC"/>
            <w:u w:val="single"/>
          </w:rPr>
          <w:t>10.1002/anie.4623924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开发了一种镍催化的 N-芳基丙烯酰胺与氧化膦的对映选择性分子间 Heck 磷酸化反应。这种氧化还原中性级联同时形成 C─C 和 C─P 键，从而以良好的产率和高 ee 值直接获得有价值的具有四元立构中心的 3,3-二取代磷酸化羟吲哚。值得注意的是，该反应表现出独特的底物控制的对映体发散：只需改变烯烃伴侣上的离去基团（I vs. OTf）即可改变产物的构型，同时使用相同的手性催化剂对映体。通过产品衍生化进一步证明了合成效用。密度泛函理论（DFT）计算表明，离去基团决定了迁移插入与阴离子交换的顺序，并且至关重要的是，在决定对映选择性的氧化加成过渡态处反转了手性环境，为观察到的立体发散提供了明确的原理。</w:t>
      </w:r>
    </w:p>
    <w:p>
      <w:pPr>
        <w:spacing w:before="0" w:after="200" w:lineRule="auto" w:line="276"/>
      </w:pPr>
      <w:r>
        <w:rPr>
          <w:b/>
        </w:rPr>
        <w:t xml:space="preserve">Abstract (EN): </w:t>
      </w:r>
      <w:r>
        <w:t>A Ni‐catalyzed enantioselective intermolecular Heck‐phosphorylation of N‐aryl acrylamides with phosphine oxides is developed. This redox‐neutral cascade simultaneously forges C─C and C─P bonds, providing direct access to valuable 3,3‐disubstituted phosphorylated oxindoles with quaternary stereocenters in good yields and high ee values. Notably, the reaction exhibits a unique substrate‐controlled enantiodivergence: simply changing the leaving group (I vs. OTf) on the alkene partner switches the configuration of the product while employing the same enantiomer of the chiral catalyst. The synthetic utility is further demonstrated through product derivatizations. Density functional theory (DFT) calculations reveal that the leaving group dictates the order of migratory insertion versus anion exchange and, crucially, inverts the chiral environment at the enantioselectivity‐determining oxidative addition transition state, providing a clear rationale for the observed stereodivergence.</w:t>
      </w:r>
    </w:p>
    <w:p>
      <w:pPr>
        <w:spacing w:before="120" w:after="120"/>
      </w:pPr>
      <w:r>
        <w:rPr>
          <w:sz w:val="18"/>
        </w:rPr>
        <w:t>——————————————————————————————————————————————————————————————————————</w:t>
      </w:r>
    </w:p>
    <w:p>
      <w:pPr>
        <w:spacing w:before="160" w:after="40" w:line="240" w:lineRule="auto"/>
      </w:pPr>
      <w:r>
        <w:rPr>
          <w:b/>
        </w:rPr>
        <w:t xml:space="preserve">[41] </w:t>
      </w:r>
      <w:hyperlink r:id="rId374">
        <w:r>
          <w:rPr>
            <w:color w:val="1155CC"/>
            <w:u w:val="single"/>
          </w:rPr>
          <w:t>不对称铁催化邻位C(sp3)─H羧酸二胺化</w:t>
        </w:r>
      </w:hyperlink>
    </w:p>
    <w:p>
      <w:pPr>
        <w:spacing w:before="0" w:after="80"/>
      </w:pPr>
      <w:r>
        <w:rPr>
          <w:i/>
          <w:sz w:val="20"/>
        </w:rPr>
        <w:t>EN: Asymmetric Iron‐Catalyzed Vicinal C(sp3)─H Diamination of Carboxylic Acids</w:t>
      </w:r>
    </w:p>
    <w:p>
      <w:pPr>
        <w:spacing w:before="0" w:after="120"/>
      </w:pPr>
      <w:r>
        <w:rPr>
          <w:b/>
        </w:rPr>
        <w:t xml:space="preserve">Source: </w:t>
      </w:r>
      <w:r>
        <w:t>Wiley: Angewandte Chemie International Edition: Table of Contents</w:t>
      </w:r>
      <w:r>
        <w:t xml:space="preserve">    </w:t>
      </w:r>
      <w:r>
        <w:rPr>
          <w:b/>
        </w:rPr>
        <w:t xml:space="preserve">Pub date: </w:t>
      </w:r>
      <w:r>
        <w:t>2026-06-07 16:39:14+00:00</w:t>
      </w:r>
      <w:r>
        <w:t xml:space="preserve">    </w:t>
      </w:r>
      <w:r>
        <w:rPr>
          <w:b/>
        </w:rPr>
        <w:t xml:space="preserve">DOI: </w:t>
      </w:r>
      <w:hyperlink r:id="rId375">
        <w:r>
          <w:rPr>
            <w:color w:val="1155CC"/>
            <w:u w:val="single"/>
          </w:rPr>
          <w:t>10.1002/anie.4041858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通过两个邻位C(sp)的立体选择性功能化直接构建手性1,2-二胺</w:t>
      </w:r>
      <w:r>
        <w:rPr>
          <w:vertAlign w:val="subscript"/>
        </w:rPr>
        <w:t>3</w:t>
      </w:r>
      <w:r>
        <w:t>)──H 债券仍然是一个重大的综合挑战。我们报道了一种铁催化的、羧酸盐导向的不对称邻位 α,β-C(sp</w:t>
      </w:r>
      <w:r>
        <w:rPr>
          <w:vertAlign w:val="subscript"/>
        </w:rPr>
        <w:t>3</w:t>
      </w:r>
      <w:r>
        <w:t>) ─对容易获得的羧酸进行 H 二胺化，在一个锅中提供手性 α,β-二氨基酸，具有高区域选择性、非对映选择性和对映选择性（高达 &gt;20:1 dr 和 &gt;99% ee）。使用手性四齿 N4 连接的 Fe(II) 催化剂和 BocNHOM 作为胺化试剂，多种芳香族和脂肪族底物在温和条件下经历两次连续的氮宾介导的 C─H 胺化。机理研究表明通过铁-氮烯类物质进行逐步胺化，其中氢原子转移的初始位点（芳香族底物为β，脂肪族底物为α）决定了官能化的顺序。该方法可耐受不同的官能团，并对选定的外消旋底物进行对映收敛。这种可持续的铁催化策略能够将丰富的羧酸直接转化为适合肽合成和杂环形成的多功能手性 α,β-二氨基结构单元。</w:t>
      </w:r>
    </w:p>
    <w:p>
      <w:pPr>
        <w:spacing w:before="0" w:after="200" w:lineRule="auto" w:line="276"/>
      </w:pPr>
      <w:r>
        <w:rPr>
          <w:b/>
        </w:rPr>
        <w:t xml:space="preserve">Abstract (EN): </w:t>
      </w:r>
      <w:r>
        <w:t>The direct construction of chiral 1,2‐diamines through the stereoselective functionalization of two vicinal C(sp</w:t>
      </w:r>
      <w:r>
        <w:rPr>
          <w:vertAlign w:val="subscript"/>
        </w:rPr>
        <w:t>3</w:t>
      </w:r>
      <w:r>
        <w:t>)─H bonds remains a significant synthetic challenge. We report an iron‐catalyzed, carboxylate‐directed asymmetric vicinal α,β‐C(sp</w:t>
      </w:r>
      <w:r>
        <w:rPr>
          <w:vertAlign w:val="subscript"/>
        </w:rPr>
        <w:t>3</w:t>
      </w:r>
      <w:r>
        <w:t>) ─H diamination of readily available carboxylic acids that furnishes chiral α,β‐diamino acids in a single pot with high regio‐, diastereo‐, and enantioselectivity (up to &amp;gt;20:1 dr and &amp;gt;99% ee). Using a chiral tetradentate N4‐ligated Fe(II) catalyst and BocNHOMs as the aminating reagent, a broad range of aromatic and aliphatic substrates undergo two sequential, nitrene‐mediated C─H aminations under mild conditions. Mechanistic studies indicate stepwise amination via iron−nitrenoid species, where the initial site of hydrogen‐atom transfer (β for aromatic substrates, α for aliphatic ones) dictates the order of functionalization. The method tolerates diverse functional groups and operates enantioconvergently for selected racemic substrates. This sustainable iron‐catalyzed strategy enables direct conversion of abundant carboxylic acids into versatile chiral α,β‐diamino building blocks amenable to peptide synthesis and heterocycle formation.</w:t>
      </w:r>
    </w:p>
    <w:p>
      <w:pPr>
        <w:spacing w:before="120" w:after="120"/>
      </w:pPr>
      <w:r>
        <w:rPr>
          <w:sz w:val="18"/>
        </w:rPr>
        <w:t>——————————————————————————————————————————————————————————————————————</w:t>
      </w:r>
    </w:p>
    <w:p>
      <w:pPr>
        <w:spacing w:before="160" w:after="40" w:line="240" w:lineRule="auto"/>
      </w:pPr>
      <w:r>
        <w:rPr>
          <w:b/>
        </w:rPr>
        <w:t xml:space="preserve">[42] </w:t>
      </w:r>
      <w:hyperlink r:id="rId376">
        <w:r>
          <w:rPr>
            <w:color w:val="1155CC"/>
            <w:u w:val="single"/>
          </w:rPr>
          <w:t>用于 KRAS 驱动的癌症治疗的独特平行 G-四链体稳定剂的结构知情设计</w:t>
        </w:r>
      </w:hyperlink>
    </w:p>
    <w:p>
      <w:pPr>
        <w:spacing w:before="0" w:after="80"/>
      </w:pPr>
      <w:r>
        <w:rPr>
          <w:i/>
          <w:sz w:val="20"/>
        </w:rPr>
        <w:t>EN: Structure‐Informed Design of Distinct Parallel G‐Quadruplex Stabilizers for KRAS‐Driven Cancer Therapy</w:t>
      </w:r>
    </w:p>
    <w:p>
      <w:pPr>
        <w:spacing w:before="0" w:after="120"/>
      </w:pPr>
      <w:r>
        <w:rPr>
          <w:b/>
        </w:rPr>
        <w:t xml:space="preserve">Source: </w:t>
      </w:r>
      <w:r>
        <w:t>Wiley: Angewandte Chemie International Edition: Table of Contents</w:t>
      </w:r>
      <w:r>
        <w:t xml:space="preserve">    </w:t>
      </w:r>
      <w:r>
        <w:rPr>
          <w:b/>
        </w:rPr>
        <w:t xml:space="preserve">Pub date: </w:t>
      </w:r>
      <w:r>
        <w:t>2026-06-07 16:42:12+00:00</w:t>
      </w:r>
      <w:r>
        <w:t xml:space="preserve">    </w:t>
      </w:r>
      <w:r>
        <w:rPr>
          <w:b/>
        </w:rPr>
        <w:t xml:space="preserve">DOI: </w:t>
      </w:r>
      <w:hyperlink r:id="rId377">
        <w:r>
          <w:rPr>
            <w:color w:val="1155CC"/>
            <w:u w:val="single"/>
          </w:rPr>
          <w:t>10.1002/anie.8271527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靶向癌基因启动子 G-四链体 (G4s) 是针对人类恶性肿瘤的一种引人注目的治疗策略。然而，由于缺乏有效且结构多样的 G4 靶向配体，临床进展受到阻碍。这里，使用并行</w:t>
      </w:r>
      <w:r>
        <w:t xml:space="preserve"> </w:t>
      </w:r>
      <w:r>
        <w:t>克拉斯</w:t>
      </w:r>
      <w:r>
        <w:t xml:space="preserve"> </w:t>
      </w:r>
      <w:r>
        <w:t>近端启动子 G4 (</w:t>
      </w:r>
      <w:r>
        <w:t xml:space="preserve"> </w:t>
      </w:r>
      <w:r>
        <w:t>克拉斯</w:t>
      </w:r>
      <w:r>
        <w:t xml:space="preserve"> </w:t>
      </w:r>
      <w:r>
        <w:t>‐G4）作为模型系统，我们筛选了内部天然产物库，并确定脱氢吴茱萸碱（DEE）作为一种新型 G4 稳定剂。尽管 DEE 仅表现出适度的抗癌活性，但结构分析确定了其主要结合模式</w:t>
      </w:r>
      <w:r>
        <w:t xml:space="preserve"> </w:t>
      </w:r>
      <w:r>
        <w:t>克拉斯</w:t>
      </w:r>
      <w:r>
        <w:t xml:space="preserve"> </w:t>
      </w:r>
      <w:r>
        <w:t>‐G4。利用这些结构见解，我们合理设计并合成了 15 个 DEE 类似物。其中，复合</w:t>
      </w:r>
      <w:r>
        <w:t xml:space="preserve"> </w:t>
      </w:r>
      <w:r>
        <w:t>7i</w:t>
      </w:r>
      <w:r>
        <w:t xml:space="preserve"> </w:t>
      </w:r>
      <w:r>
        <w:t>成为主要候选者，其结合亲和力比 DEE 高 9 倍，抗增殖活性比 DEE 高 20 倍。我们进一步确定了该化合物的高分辨率 NMR 结构</w:t>
      </w:r>
      <w:r>
        <w:t xml:space="preserve"> </w:t>
      </w:r>
      <w:r>
        <w:t>克拉斯</w:t>
      </w:r>
      <w:r>
        <w:t xml:space="preserve"> </w:t>
      </w:r>
      <w:r>
        <w:t>‐G4–</w:t>
      </w:r>
      <w:r>
        <w:t xml:space="preserve"> </w:t>
      </w:r>
      <w:r>
        <w:t>7i</w:t>
      </w:r>
      <w:r>
        <w:t xml:space="preserve"> </w:t>
      </w:r>
      <w:r>
        <w:t>复杂，揭示了独特的双结合模式，具有与外部 G 四分体的广泛 π-π 堆积相互作用以及凹槽区域内的特定氢键。泛函分析表明</w:t>
      </w:r>
      <w:r>
        <w:t xml:space="preserve"> </w:t>
      </w:r>
      <w:r>
        <w:t>7i</w:t>
      </w:r>
      <w:r>
        <w:t xml:space="preserve"> </w:t>
      </w:r>
      <w:r>
        <w:t>有效抑制多种含 G4 癌基因的转录，诱导全基因组 G4 形成，并引发结直肠癌细胞中的 DNA 损伤。而且，</w:t>
      </w:r>
    </w:p>
    <w:p>
      <w:pPr>
        <w:spacing w:before="0" w:after="200" w:lineRule="auto" w:line="276"/>
      </w:pPr>
      <w:r>
        <w:rPr>
          <w:b/>
        </w:rPr>
        <w:t xml:space="preserve">Abstract (EN): </w:t>
      </w:r>
      <w:r>
        <w:t>Targeting oncogene promoter G‐quadruplexes (G4s) is a compelling therapeutic strategy against human malignancies. However, clinical progress has been hindered by the lack of potent and structurally diverse G4‐targeting ligands. Herein, using parallel</w:t>
      </w:r>
      <w:r>
        <w:t xml:space="preserve"> </w:t>
      </w:r>
      <w:r>
        <w:t>KRAS</w:t>
      </w:r>
      <w:r>
        <w:t xml:space="preserve"> </w:t>
      </w:r>
      <w:r>
        <w:t>proximal promoter G4 (</w:t>
      </w:r>
      <w:r>
        <w:t xml:space="preserve"> </w:t>
      </w:r>
      <w:r>
        <w:t>KRAS</w:t>
      </w:r>
      <w:r>
        <w:t xml:space="preserve"> </w:t>
      </w:r>
      <w:r>
        <w:t>‐G4) as a model system, we screened an in‐house natural product library and identified dehydroevodiamine (DEE) as a novel G4 stabilizer. Although DEE showed only modest anticancer activity, structural analyses determined its predominant binding mode to</w:t>
      </w:r>
      <w:r>
        <w:t xml:space="preserve"> </w:t>
      </w:r>
      <w:r>
        <w:t>KRAS</w:t>
      </w:r>
      <w:r>
        <w:t xml:space="preserve"> </w:t>
      </w:r>
      <w:r>
        <w:t>‐G4. Leveraging these structural insights, we rationally designed and synthesized 15 DEE analogues. Among them, compound</w:t>
      </w:r>
      <w:r>
        <w:t xml:space="preserve"> </w:t>
      </w:r>
      <w:r>
        <w:t>7i</w:t>
      </w:r>
      <w:r>
        <w:t xml:space="preserve"> </w:t>
      </w:r>
      <w:r>
        <w:t>emerged as the lead candidate, demonstrating a 9‐fold higher binding affinity and up to 20‐fold improvement in antiproliferative activity over DEE. We further determined the high‐resolution NMR structure of the</w:t>
      </w:r>
      <w:r>
        <w:t xml:space="preserve"> </w:t>
      </w:r>
      <w:r>
        <w:t>KRAS</w:t>
      </w:r>
      <w:r>
        <w:t xml:space="preserve"> </w:t>
      </w:r>
      <w:r>
        <w:t>‐G4–</w:t>
      </w:r>
      <w:r>
        <w:t xml:space="preserve"> </w:t>
      </w:r>
      <w:r>
        <w:t>7i</w:t>
      </w:r>
      <w:r>
        <w:t xml:space="preserve"> </w:t>
      </w:r>
      <w:r>
        <w:t>complex, uncovering a distinct dual‐binding mode, featuring extensive π–π stacking interactions with outer G‐tetrads and specific hydrogen bonding within groove regions. Functional analysis showed</w:t>
      </w:r>
      <w:r>
        <w:t xml:space="preserve"> </w:t>
      </w:r>
      <w:r>
        <w:t>7i</w:t>
      </w:r>
      <w:r>
        <w:t xml:space="preserve"> </w:t>
      </w:r>
      <w:r>
        <w:t>effectively suppressed transcription of several G4‐containing oncogenes, induced genome‐wide G4 formation, and triggered DNA damage in colorectal cancer cells. Moreover,</w:t>
      </w:r>
      <w:r>
        <w:t xml:space="preserve"> </w:t>
      </w:r>
      <w:r>
        <w:t>7i</w:t>
      </w:r>
      <w:r>
        <w:t xml:space="preserve"> </w:t>
      </w:r>
      <w:r>
        <w:t>significantly inhibited the growth of patient‐derived colorectal tumor organoids. Overall, our findings establish a structural framework for rational design of parallel G4‐targeting ligands and emphasize an alternative G4‐based therapeutic strategy for</w:t>
      </w:r>
      <w:r>
        <w:t xml:space="preserve"> </w:t>
      </w:r>
      <w:r>
        <w:t>KRAS</w:t>
      </w:r>
      <w:r>
        <w:t xml:space="preserve"> </w:t>
      </w:r>
      <w:r>
        <w:t>‐driven cancers.</w:t>
      </w:r>
    </w:p>
    <w:p>
      <w:pPr>
        <w:spacing w:before="120" w:after="120"/>
      </w:pPr>
      <w:r>
        <w:rPr>
          <w:sz w:val="18"/>
        </w:rPr>
        <w:t>——————————————————————————————————————————————————————————————————————</w:t>
      </w:r>
    </w:p>
    <w:p>
      <w:pPr>
        <w:spacing w:before="160" w:after="40" w:line="240" w:lineRule="auto"/>
      </w:pPr>
      <w:r>
        <w:rPr>
          <w:b/>
        </w:rPr>
        <w:t xml:space="preserve">[43] </w:t>
      </w:r>
      <w:hyperlink r:id="rId378">
        <w:r>
          <w:rPr>
            <w:color w:val="1155CC"/>
            <w:u w:val="single"/>
          </w:rPr>
          <w:t>通过与亚胺取代的氧化膦进行同源霍纳-沃兹沃斯-埃蒙斯型反应将立体特异性环氧化物转化为环丙胺</w:t>
        </w:r>
      </w:hyperlink>
    </w:p>
    <w:p>
      <w:pPr>
        <w:spacing w:before="0" w:after="80"/>
      </w:pPr>
      <w:r>
        <w:rPr>
          <w:i/>
          <w:sz w:val="20"/>
        </w:rPr>
        <w:t>EN: Stereospecific Epoxide‐to‐Cyclopropylamine Conversion by a Homologous Horner–Wadsworth–Emmons‐Type Reaction With an Imine‐Substituted Phosphine Oxide</w:t>
      </w:r>
    </w:p>
    <w:p>
      <w:pPr>
        <w:spacing w:before="0" w:after="120"/>
      </w:pPr>
      <w:r>
        <w:rPr>
          <w:b/>
        </w:rPr>
        <w:t xml:space="preserve">Source: </w:t>
      </w:r>
      <w:r>
        <w:t>Wiley: Angewandte Chemie International Edition: Table of Contents</w:t>
      </w:r>
      <w:r>
        <w:t xml:space="preserve">    </w:t>
      </w:r>
      <w:r>
        <w:rPr>
          <w:b/>
        </w:rPr>
        <w:t xml:space="preserve">Pub date: </w:t>
      </w:r>
      <w:r>
        <w:t>2026-06-07 16:43:49+00:00</w:t>
      </w:r>
      <w:r>
        <w:t xml:space="preserve">    </w:t>
      </w:r>
      <w:r>
        <w:rPr>
          <w:b/>
        </w:rPr>
        <w:t xml:space="preserve">DOI: </w:t>
      </w:r>
      <w:hyperlink r:id="rId379">
        <w:r>
          <w:rPr>
            <w:color w:val="1155CC"/>
            <w:u w:val="single"/>
          </w:rPr>
          <w:t>10.1002/anie.8295271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我们报道了亚胺取代的氧化膦与环氧化物的同源霍纳-沃兹沃斯-埃蒙斯型反应，从而能够形成正式的 O-to-C(NH</w:t>
      </w:r>
      <w:r>
        <w:rPr>
          <w:vertAlign w:val="subscript"/>
        </w:rPr>
        <w:t>2</w:t>
      </w:r>
      <w:r>
        <w:t>）原子交换以获得结构上重要的环丙胺。这种转化以高立体化学保真度进行，将环氧化物的手性转化为对映体特异性≥98%的环丙胺，并适应各种单取代、2,2-和2,3-二取代环氧化物。该策略的稳健性通过生物活性分子（如替格瑞洛和反苯环丙明）核心支架的高效、可扩展合成得到证明。 DFT 计算阐明了亚氨基在促进反应中的作用，并通过刚性的螯合过渡态模型说明了非对映选择性的起源。</w:t>
      </w:r>
    </w:p>
    <w:p>
      <w:pPr>
        <w:spacing w:before="0" w:after="200" w:lineRule="auto" w:line="276"/>
      </w:pPr>
      <w:r>
        <w:rPr>
          <w:b/>
        </w:rPr>
        <w:t xml:space="preserve">Abstract (EN): </w:t>
      </w:r>
      <w:r>
        <w:t>We report a homologous Horner–Wadsworth–Emmons‐type reaction of an imine‐substituted phosphine oxide with epoxides, enabling a formal O‐to‐C(NH</w:t>
      </w:r>
      <w:r>
        <w:rPr>
          <w:vertAlign w:val="subscript"/>
        </w:rPr>
        <w:t>2</w:t>
      </w:r>
      <w:r>
        <w:t>) atom swap to access structurally important cyclopropylamines. This transformation proceeds with high stereochemical fidelity, translating the chirality of epoxides into cyclopropylamines with ≥ 98% enantiospecificity, and accommodating a wide range of mono‐, 2,2‐, and 2,3‐disubstituted epoxides. The strategy's robustness is demonstrated by the efficient, scalable synthesis of the core scaffolds of bioactive molecules such as ticagrelor and tranylcypromine. DFT calculations elucidate the role of the imino group in facilitating the reaction and illustrate the origin of diastereoselectivity through a rigid, chelated transition state model.</w:t>
      </w:r>
    </w:p>
    <w:p>
      <w:pPr>
        <w:spacing w:before="120" w:after="120"/>
      </w:pPr>
      <w:r>
        <w:rPr>
          <w:sz w:val="18"/>
        </w:rPr>
        <w:t>——————————————————————————————————————————————————————————————————————</w:t>
      </w:r>
    </w:p>
    <w:p>
      <w:pPr>
        <w:spacing w:before="160" w:after="40" w:line="240" w:lineRule="auto"/>
      </w:pPr>
      <w:r>
        <w:rPr>
          <w:b/>
        </w:rPr>
        <w:t xml:space="preserve">[44] </w:t>
      </w:r>
      <w:hyperlink r:id="rId380">
        <w:r>
          <w:rPr>
            <w:color w:val="1155CC"/>
            <w:u w:val="single"/>
          </w:rPr>
          <w:t>能量转移催化实现 2-吡啶酮的桦木型还原</w:t>
        </w:r>
      </w:hyperlink>
    </w:p>
    <w:p>
      <w:pPr>
        <w:spacing w:before="0" w:after="80"/>
      </w:pPr>
      <w:r>
        <w:rPr>
          <w:i/>
          <w:sz w:val="20"/>
        </w:rPr>
        <w:t>EN: Energy‐Transfer Catalysis Enables the Birch‐Type Reduction of 2‐Pyridones</w:t>
      </w:r>
    </w:p>
    <w:p>
      <w:pPr>
        <w:spacing w:before="0" w:after="120"/>
      </w:pPr>
      <w:r>
        <w:rPr>
          <w:b/>
        </w:rPr>
        <w:t xml:space="preserve">Source: </w:t>
      </w:r>
      <w:r>
        <w:t>Wiley: Angewandte Chemie International Edition: Table of Contents</w:t>
      </w:r>
      <w:r>
        <w:t xml:space="preserve">    </w:t>
      </w:r>
      <w:r>
        <w:rPr>
          <w:b/>
        </w:rPr>
        <w:t xml:space="preserve">Pub date: </w:t>
      </w:r>
      <w:r>
        <w:t>2026-06-07 16:44:57+00:00</w:t>
      </w:r>
      <w:r>
        <w:t xml:space="preserve">    </w:t>
      </w:r>
      <w:r>
        <w:rPr>
          <w:b/>
        </w:rPr>
        <w:t xml:space="preserve">DOI: </w:t>
      </w:r>
      <w:hyperlink r:id="rId381">
        <w:r>
          <w:rPr>
            <w:color w:val="1155CC"/>
            <w:u w:val="single"/>
          </w:rPr>
          <w:t>10.1002/anie.9565676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部分饱和杂芳烃是药物开发中的关键中间体，因为它们的 C(sp</w:t>
      </w:r>
      <w:r>
        <w:rPr>
          <w:vertAlign w:val="subscript"/>
        </w:rPr>
        <w:t>3</w:t>
      </w:r>
      <w:r>
        <w:t>）特征和固有的合成多功能性使得能够快速生成改进的先导结构。尽管它们具有价值，但由于安全性和化学选择性的挑战，在桦木条件下直接获取其芳香族前体仍然受到限制。在这种背景下，能量转移（EnT）驱动的桦木型还原已成为（化学）选择性产物形成的强大策略。然而，它在很大程度上仅限于双环（杂）芳烃，而其更常见的单环对应物仍远未得到充分开发。在此，我们描述了 2-吡啶酮及其衍生物的三重态敏化、部分饱和，它们被称为药物发现中的特权支架。我们的方法显示了 Birch 型产品卓越的区域选择性，并能耐受大量官能团，绕过了传统的高度还原反应条件。通过实验和计算研究了反应机理，为所提出的 EnT-HAT 反应途径提供了强有力的证据，并合理化了观察到的区域选择性。最后，多功能且尚未充分开发的产品基序可以应用于下游修饰，以扩展类药 C(sp</w:t>
      </w:r>
      <w:r>
        <w:rPr>
          <w:vertAlign w:val="subscript"/>
        </w:rPr>
        <w:t>3</w:t>
      </w:r>
      <w:r>
        <w:t>)-丰富的化学空间。</w:t>
      </w:r>
    </w:p>
    <w:p>
      <w:pPr>
        <w:spacing w:before="0" w:after="200" w:lineRule="auto" w:line="276"/>
      </w:pPr>
      <w:r>
        <w:rPr>
          <w:b/>
        </w:rPr>
        <w:t xml:space="preserve">Abstract (EN): </w:t>
      </w:r>
      <w:r>
        <w:t>Partially saturated heteroarenes are key intermediates in drug development, as their increased C(sp</w:t>
      </w:r>
      <w:r>
        <w:rPr>
          <w:vertAlign w:val="subscript"/>
        </w:rPr>
        <w:t>3</w:t>
      </w:r>
      <w:r>
        <w:t>) character and inherent synthetic versatility enables the rapid generation of improved lead structures. Despite their value, direct access from their aromatic precursors under Birch conditions remains limited due to safety, as well as chemoselectivity challenges. In this context, energy‐transfer (EnT)‐enabled Birch‐type reductions have emerged as a powerful strategy for (chemo)selective product formation. However, it has been largely confined to bicyclic (hetero)arenes, while their more prevalent monocyclic counterparts remain vastly underexplored. Herein, we describe the triplet sensitized, partial saturation of 2‐pyridones and its derivatives, which are known as privileged scaffolds in drug discovery. Our methodology shows exceptional regioselectivity for the Birch‐type product and tolerates a vast number of functional groups, bypassing conventional highly reducing reaction conditions. The reaction mechanism was investigated experimentally and computationally, providing strong evidence for the proposed EnT‐HAT reaction pathway and rationalizing the observed regioselectivity. Lastly, the versatile and underexplored product motifs could be applied in downstream modifications to expand the drug‐like C(sp</w:t>
      </w:r>
      <w:r>
        <w:rPr>
          <w:vertAlign w:val="subscript"/>
        </w:rPr>
        <w:t>3</w:t>
      </w:r>
      <w:r>
        <w:t>)‐rich chemical space.</w:t>
      </w:r>
    </w:p>
    <w:p>
      <w:pPr>
        <w:spacing w:before="120" w:after="120"/>
      </w:pPr>
      <w:r>
        <w:rPr>
          <w:sz w:val="18"/>
        </w:rPr>
        <w:t>——————————————————————————————————————————————————————————————————————</w:t>
      </w:r>
    </w:p>
    <w:p>
      <w:pPr>
        <w:spacing w:before="160" w:after="40" w:line="240" w:lineRule="auto"/>
      </w:pPr>
      <w:r>
        <w:rPr>
          <w:b/>
        </w:rPr>
        <w:t xml:space="preserve">[45] </w:t>
      </w:r>
      <w:hyperlink r:id="rId382">
        <w:r>
          <w:rPr>
            <w:color w:val="1155CC"/>
            <w:u w:val="single"/>
          </w:rPr>
          <w:t>通过不同的水-烷醇络合物对 TiO2 上的烷醇脱水进行面依赖性水抑制</w:t>
        </w:r>
      </w:hyperlink>
    </w:p>
    <w:p>
      <w:pPr>
        <w:spacing w:before="0" w:after="80"/>
      </w:pPr>
      <w:r>
        <w:rPr>
          <w:i/>
          <w:sz w:val="20"/>
        </w:rPr>
        <w:t>EN: Facet‐Dependent Water Inhibition of Alkanol Dehydration on TiO2 via Distinct Water–Alkanol Complexes</w:t>
      </w:r>
    </w:p>
    <w:p>
      <w:pPr>
        <w:spacing w:before="0" w:after="120"/>
      </w:pPr>
      <w:r>
        <w:rPr>
          <w:b/>
        </w:rPr>
        <w:t xml:space="preserve">Source: </w:t>
      </w:r>
      <w:r>
        <w:t>Wiley: Angewandte Chemie International Edition: Table of Contents</w:t>
      </w:r>
      <w:r>
        <w:t xml:space="preserve">    </w:t>
      </w:r>
      <w:r>
        <w:rPr>
          <w:b/>
        </w:rPr>
        <w:t xml:space="preserve">Pub date: </w:t>
      </w:r>
      <w:r>
        <w:t>2026-06-07 16:45:36+00:00</w:t>
      </w:r>
      <w:r>
        <w:t xml:space="preserve">    </w:t>
      </w:r>
      <w:r>
        <w:rPr>
          <w:b/>
        </w:rPr>
        <w:t xml:space="preserve">DOI: </w:t>
      </w:r>
      <w:hyperlink r:id="rId383">
        <w:r>
          <w:rPr>
            <w:color w:val="1155CC"/>
            <w:u w:val="single"/>
          </w:rPr>
          <w:t>10.1002/anie.2431054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水在生物质原料中无处不在，但其对氧消除反应的分子影响仍然知之甚少，特别是对于暴露不同方面的催化剂。在这里，我们利用明确定义的 TiO2</w:t>
      </w:r>
      <w:r>
        <w:rPr>
          <w:vertAlign w:val="subscript"/>
        </w:rPr>
        <w:t>2</w:t>
      </w:r>
      <w:r>
        <w:t>具有主要 (101) 和 (001) 晶面的纳米晶体揭示了水的明显晶面依赖性效应，其中异丙醇 (IPA) 对 TiO2 脱水的抑制作用</w:t>
      </w:r>
      <w:r>
        <w:rPr>
          <w:vertAlign w:val="subscript"/>
        </w:rPr>
        <w:t>2</w:t>
      </w:r>
      <w:r>
        <w:t>(001) 表面的粗糙度约为 TiO 的四倍</w:t>
      </w:r>
      <w:r>
        <w:rPr>
          <w:vertAlign w:val="subscript"/>
        </w:rPr>
        <w:t>2</w:t>
      </w:r>
      <w:r>
        <w:t>（101）。通过结合原位固态核磁共振、原位红外光谱、动力学研究和理论计算，我们证明这种差异是由不同的烷醇-水复合中间体的形成引起的。关于二氧化钛</w:t>
      </w:r>
      <w:r>
        <w:rPr>
          <w:vertAlign w:val="subscript"/>
        </w:rPr>
        <w:t>2</w:t>
      </w:r>
      <w:r>
        <w:t>(001)，IPA发生解离吸附，形成异丙醇-H</w:t>
      </w:r>
      <w:r>
        <w:rPr>
          <w:vertAlign w:val="subscript"/>
        </w:rPr>
        <w:t>2</w:t>
      </w:r>
      <w:r>
        <w:t>O复合物很容易将表面驱动到复合物主导的状态。该途径将 C-H 裂解的激活势垒增加了 40 kJ mol</w:t>
      </w:r>
      <w:r>
        <w:t xml:space="preserve"> </w:t>
      </w:r>
      <w:r>
        <w:t>−1</w:t>
      </w:r>
      <w:r>
        <w:t xml:space="preserve"> </w:t>
      </w:r>
      <w:r>
        <w:t>通过诱导无序过渡态。相比之下，二氧化钛</w:t>
      </w:r>
      <w:r>
        <w:rPr>
          <w:vertAlign w:val="subscript"/>
        </w:rPr>
        <w:t>2</w:t>
      </w:r>
      <w:r>
        <w:t>(101) 有利于分子 IPA 吸附，与水形成弱氢键，从而导致更小的络合物形成常数和更小的活化势垒增加（25 kJ mol</w:t>
      </w:r>
      <w:r>
        <w:t xml:space="preserve"> </w:t>
      </w:r>
      <w:r>
        <w:t>−1</w:t>
      </w:r>
      <w:r>
        <w:t xml:space="preserve"> </w:t>
      </w:r>
      <w:r>
        <w:t>）。通过定量连接依赖于面的复合物</w:t>
      </w:r>
    </w:p>
    <w:p>
      <w:pPr>
        <w:spacing w:before="0" w:after="200" w:lineRule="auto" w:line="276"/>
      </w:pPr>
      <w:r>
        <w:rPr>
          <w:b/>
        </w:rPr>
        <w:t xml:space="preserve">Abstract (EN): </w:t>
      </w:r>
      <w:r>
        <w:t>Water is ubiquitous in biomass‐derived feeds, yet its molecular impact on oxygen‐elimination reactions remains poorly understood, particularly for catalysts exposing different facets. Here, we utilize well‐defined TiO</w:t>
      </w:r>
      <w:r>
        <w:rPr>
          <w:vertAlign w:val="subscript"/>
        </w:rPr>
        <w:t>2</w:t>
      </w:r>
      <w:r>
        <w:t>nanocrystals with dominant (101) and (001) facets to reveal a pronounced facet‐dependent effect of water, where inhibition for dehydration of isopropanol (IPA) on the TiO</w:t>
      </w:r>
      <w:r>
        <w:rPr>
          <w:vertAlign w:val="subscript"/>
        </w:rPr>
        <w:t>2</w:t>
      </w:r>
      <w:r>
        <w:t>(001) surface is about four times more severe than TiO</w:t>
      </w:r>
      <w:r>
        <w:rPr>
          <w:vertAlign w:val="subscript"/>
        </w:rPr>
        <w:t>2</w:t>
      </w:r>
      <w:r>
        <w:t>(101). Through a combination of in situ solid state NMR, in situ infrared spectroscopy, kinetics studies, and theoretical calculations, we demonstrate that this disparity arises from the formation of distinct alkanol‐water complex intermediates. On TiO</w:t>
      </w:r>
      <w:r>
        <w:rPr>
          <w:vertAlign w:val="subscript"/>
        </w:rPr>
        <w:t>2</w:t>
      </w:r>
      <w:r>
        <w:t>(001), IPA undergoes dissociative adsorption to form an isopropoxide‐H</w:t>
      </w:r>
      <w:r>
        <w:rPr>
          <w:vertAlign w:val="subscript"/>
        </w:rPr>
        <w:t>2</w:t>
      </w:r>
      <w:r>
        <w:t>O complex that readily drives the surface into a complex‐dominated regime. This pathway increases the activation barrier for C–H cleavage by 40 kJ mol</w:t>
      </w:r>
      <w:r>
        <w:t xml:space="preserve"> </w:t>
      </w:r>
      <w:r>
        <w:t>−1</w:t>
      </w:r>
      <w:r>
        <w:t xml:space="preserve"> </w:t>
      </w:r>
      <w:r>
        <w:t>by inducing a disordered transition state. In contrast, TiO</w:t>
      </w:r>
      <w:r>
        <w:rPr>
          <w:vertAlign w:val="subscript"/>
        </w:rPr>
        <w:t>2</w:t>
      </w:r>
      <w:r>
        <w:t>(101) favors molecular IPA adsorption with weak hydrogen bonding to water, resulting in a smaller complex formation constant and a much smaller activation barrier increase (25 kJ mol</w:t>
      </w:r>
      <w:r>
        <w:t xml:space="preserve"> </w:t>
      </w:r>
      <w:r>
        <w:t>−1</w:t>
      </w:r>
      <w:r>
        <w:t xml:space="preserve"> </w:t>
      </w:r>
      <w:r>
        <w:t>). By quantitatively linking facet‐dependent complex coverage to transition‐state destabilization, this work moves beyond simple site‐blocking models and provides a conceptual framework for designing catalysts that remain active in water‐containing environments.</w:t>
      </w:r>
    </w:p>
    <w:p>
      <w:pPr>
        <w:spacing w:before="120" w:after="120"/>
      </w:pPr>
      <w:r>
        <w:rPr>
          <w:sz w:val="18"/>
        </w:rPr>
        <w:t>——————————————————————————————————————————————————————————————————————</w:t>
      </w:r>
    </w:p>
    <w:p>
      <w:pPr>
        <w:spacing w:before="160" w:after="40" w:line="240" w:lineRule="auto"/>
      </w:pPr>
      <w:r>
        <w:rPr>
          <w:b/>
        </w:rPr>
        <w:t xml:space="preserve">[46] </w:t>
      </w:r>
      <w:hyperlink r:id="rId384">
        <w:r>
          <w:rPr>
            <w:color w:val="1155CC"/>
            <w:u w:val="single"/>
          </w:rPr>
          <w:t>通过阳极-阴极协同工程实现界面钝化抑制，实现过渡金属的高效电沉积</w:t>
        </w:r>
      </w:hyperlink>
    </w:p>
    <w:p>
      <w:pPr>
        <w:spacing w:before="0" w:after="80"/>
      </w:pPr>
      <w:r>
        <w:rPr>
          <w:i/>
          <w:sz w:val="20"/>
        </w:rPr>
        <w:t>EN: Interface Passivation Inhibition Enabled by Anode–Cathode Synergistic Engineering for High‐Efficiency Electrodeposition of Transition Metals</w:t>
      </w:r>
    </w:p>
    <w:p>
      <w:pPr>
        <w:spacing w:before="0" w:after="120"/>
      </w:pPr>
      <w:r>
        <w:rPr>
          <w:b/>
        </w:rPr>
        <w:t xml:space="preserve">Source: </w:t>
      </w:r>
      <w:r>
        <w:t>Wiley: Angewandte Chemie International Edition: Table of Contents</w:t>
      </w:r>
      <w:r>
        <w:t xml:space="preserve">    </w:t>
      </w:r>
      <w:r>
        <w:rPr>
          <w:b/>
        </w:rPr>
        <w:t xml:space="preserve">Pub date: </w:t>
      </w:r>
      <w:r>
        <w:t>2026-06-07 16:47:09+00:00</w:t>
      </w:r>
      <w:r>
        <w:t xml:space="preserve">    </w:t>
      </w:r>
      <w:r>
        <w:rPr>
          <w:b/>
        </w:rPr>
        <w:t xml:space="preserve">DOI: </w:t>
      </w:r>
      <w:hyperlink r:id="rId385">
        <w:r>
          <w:rPr>
            <w:color w:val="1155CC"/>
            <w:u w:val="single"/>
          </w:rPr>
          <w:t>10.1002/anie.6309576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室温电沉积广泛用于制造过渡金属材料和合金，但严重的界面钝化大大降低了电流效率。更重要的是，界面钝化的内在根源仍然没有得到充分的了解，这阻碍了有效缓解策略的发展。在此，以多价 Ti 为代表，我们证明 Ti−Cl 与电极之间的键合使电极的 d 带中心下移 0.15 eV，显着抑制界面处的离子吸附和电荷转移。进一步的操作研究表明阳极溶解产生[Ti(Al</w:t>
      </w:r>
      <w:r>
        <w:rPr>
          <w:vertAlign w:val="subscript"/>
        </w:rPr>
        <w:t>2</w:t>
      </w:r>
      <w:r>
        <w:t>氯</w:t>
      </w:r>
      <w:r>
        <w:rPr>
          <w:vertAlign w:val="subscript"/>
        </w:rPr>
        <w:t>7</w:t>
      </w:r>
      <w:r>
        <w:t>）</w:t>
      </w:r>
      <w:r>
        <w:rPr>
          <w:vertAlign w:val="subscript"/>
        </w:rPr>
        <w:t>4</w:t>
      </w:r>
      <w:r>
        <w:t>]</w:t>
      </w:r>
      <w:r>
        <w:t xml:space="preserve"> </w:t>
      </w:r>
      <w:r>
        <w:t>2−</w:t>
      </w:r>
      <w:r>
        <w:t>具有独特的配位环境，可防止 Ti-Cl 与电极之间的结合，同时提供更快的迁移速率和更低的去溶剂化能量。基于这些见解，阳极和阴极电位被共同调节以耦合 Ti (II) 溶解和沉积。此外，引入了优化的脉冲电解方案来共同调节界面离子迁移和反应动力学，从而保持 Ti/Ti (II) 氧化还原的稳定电极电位。通过这种阳极-阴极协同工程，即使在高钛含量下也能实现前所未有的 93% 电流效率。这项工作提供了对电子秤内部的洞察</w:t>
      </w:r>
    </w:p>
    <w:p>
      <w:pPr>
        <w:spacing w:before="0" w:after="200" w:lineRule="auto" w:line="276"/>
      </w:pPr>
      <w:r>
        <w:rPr>
          <w:b/>
        </w:rPr>
        <w:t xml:space="preserve">Abstract (EN): </w:t>
      </w:r>
      <w:r>
        <w:t>Room‐temperature electrodeposition is widely used to fabricate transition‐metal materials and alloys, but severe interfacial passivation drastically reduces current efficiency. More importantly, the intrinsic origin of interfacial passivation remains insufficiently understood, which has hampered the development of effective mitigation strategies. Herein, taking multivalent Ti as a representative example, we demonstrated that the bonding between Ti−Cl and the electrode downshifts the d‐band center of the electrode by 0.15 eV, markedly suppressing ion adsorption and charge transfer at the interface. Further operando studies showed that anodic dissolution generated [Ti(Al</w:t>
      </w:r>
      <w:r>
        <w:rPr>
          <w:vertAlign w:val="subscript"/>
        </w:rPr>
        <w:t>2</w:t>
      </w:r>
      <w:r>
        <w:t>Cl</w:t>
      </w:r>
      <w:r>
        <w:rPr>
          <w:vertAlign w:val="subscript"/>
        </w:rPr>
        <w:t>7</w:t>
      </w:r>
      <w:r>
        <w:t>)</w:t>
      </w:r>
      <w:r>
        <w:rPr>
          <w:vertAlign w:val="subscript"/>
        </w:rPr>
        <w:t>4</w:t>
      </w:r>
      <w:r>
        <w:t>]</w:t>
      </w:r>
      <w:r>
        <w:t xml:space="preserve"> </w:t>
      </w:r>
      <w:r>
        <w:t>2−</w:t>
      </w:r>
      <w:r>
        <w:t>with a unique coordination environment that prevented the bonding between Ti–Cl and the electrode, while offering a faster migration rate and lower desolvation energy. Building on these insights, anodic and cathodic potentials were co‐regulated to couple Ti (II) dissolution and deposition. Furthermore, an optimized pulsed electrolysis protocol was introduced to jointly regulate interfacial ion migration and reaction kinetics, consequently maintaining stable electrode potentials for Ti/Ti (II) redox. Enabled by this anode–cathode synergistic engineering, an unprecedented current efficiency 93% was achieved even at a high Ti content. This work provides electronic‐scale insight into the interfacial passivation during room‐temperature transition‐metal electrodeposition and offers a straightforward and implementable strategy for scalable manufacturing of transition‐metal materials and alloys.</w:t>
      </w:r>
    </w:p>
    <w:p>
      <w:pPr>
        <w:spacing w:before="120" w:after="120"/>
      </w:pPr>
      <w:r>
        <w:rPr>
          <w:sz w:val="18"/>
        </w:rPr>
        <w:t>——————————————————————————————————————————————————————————————————————</w:t>
      </w:r>
    </w:p>
    <w:p>
      <w:pPr>
        <w:spacing w:before="160" w:after="40" w:line="240" w:lineRule="auto"/>
      </w:pPr>
      <w:r>
        <w:rPr>
          <w:b/>
        </w:rPr>
        <w:t xml:space="preserve">[47] </w:t>
      </w:r>
      <w:hyperlink r:id="rId386">
        <w:r>
          <w:rPr>
            <w:color w:val="1155CC"/>
            <w:u w:val="single"/>
          </w:rPr>
          <w:t>使用手性 α-蒎烯衍生茚基配体，铑 (III) 催化从重氮化合物不对称合成硅烷和环丙烷</w:t>
        </w:r>
      </w:hyperlink>
    </w:p>
    <w:p>
      <w:pPr>
        <w:spacing w:before="0" w:after="80"/>
      </w:pPr>
      <w:r>
        <w:rPr>
          <w:i/>
          <w:sz w:val="20"/>
        </w:rPr>
        <w:t>EN: Rhodium(III)‐Catalyzed Asymmetric Synthesis of Silanes and Cyclopropanes From Diazo Compounds Using Chiral α‐Pinene‐Derived Indenyl Ligands</w:t>
      </w:r>
    </w:p>
    <w:p>
      <w:pPr>
        <w:spacing w:before="0" w:after="120"/>
      </w:pPr>
      <w:r>
        <w:rPr>
          <w:b/>
        </w:rPr>
        <w:t xml:space="preserve">Source: </w:t>
      </w:r>
      <w:r>
        <w:t>Wiley: Angewandte Chemie International Edition: Table of Contents</w:t>
      </w:r>
      <w:r>
        <w:t xml:space="preserve">    </w:t>
      </w:r>
      <w:r>
        <w:rPr>
          <w:b/>
        </w:rPr>
        <w:t xml:space="preserve">Pub date: </w:t>
      </w:r>
      <w:r>
        <w:t>2026-06-07 16:49:09+00:00</w:t>
      </w:r>
      <w:r>
        <w:t xml:space="preserve">    </w:t>
      </w:r>
      <w:r>
        <w:rPr>
          <w:b/>
        </w:rPr>
        <w:t xml:space="preserve">DOI: </w:t>
      </w:r>
      <w:hyperlink r:id="rId387">
        <w:r>
          <w:rPr>
            <w:color w:val="1155CC"/>
            <w:u w:val="single"/>
          </w:rPr>
          <w:t>10.1002/anie.5880430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铑催化的不对称有机反应是合成药物和天然化合物的有效工具，但寻找现成的手性催化剂仍然是一个挑战。在这项工作中，我们描述了一组苯环上带有供体取代基的手性四氢芴基铑(III)配合物的直接合成。这些复合物可以通过简单的四步程序从天然存在的 (−)-α-蒎烯开始轻松获得，无需多步骤且耗时的技术，例如手性 HPLC 或非对映体拆分。利用二甲基取代的配合物，在 Rh(III) 配合物的催化下，重氮化合物与氢硅烷和富电子烯烃进行了首次不对称反应，得到了相应的手性硅烷和环丙烷（高达 96% ee）。该配合物在异羟肟酸芳基酯与烯烃的不对称 C─H 环化中也显示出优异的结果，得到各种手性二氢异喹诺酮（高达 97% ee）。 DFT 计算表明，甲氧基对 C─H 活化步骤和烯烃插入步骤的立体选择性具有至关重要的影响。开发的方案用于合成原小檗碱生物碱的前体（</w:t>
      </w:r>
      <w:r>
        <w:t xml:space="preserve"> </w:t>
      </w:r>
      <w:r>
        <w:t>S</w:t>
      </w:r>
      <w:r>
        <w:t xml:space="preserve"> </w:t>
      </w:r>
      <w:r>
        <w:t>)-四氢延胡索乙素和(</w:t>
      </w:r>
      <w:r>
        <w:t xml:space="preserve"> </w:t>
      </w:r>
      <w:r>
        <w:t>S</w:t>
      </w:r>
      <w:r>
        <w:t xml:space="preserve"> </w:t>
      </w:r>
      <w:r>
        <w:t>)-O-甲基巴拉他明。</w:t>
      </w:r>
    </w:p>
    <w:p>
      <w:pPr>
        <w:spacing w:before="0" w:after="200" w:lineRule="auto" w:line="276"/>
      </w:pPr>
      <w:r>
        <w:rPr>
          <w:b/>
        </w:rPr>
        <w:t xml:space="preserve">Abstract (EN): </w:t>
      </w:r>
      <w:r>
        <w:t>Rhodium‐catalyzed asymmetric organic reactions are efficient tools for the synthesis of pharmaceuticals and natural compounds, but the search for readily available chiral catalysts remains a challenge. In this work, we describe a straightforward synthesis of a set of chiral tetrahydrofluorenyl rhodium(III) complexes bearing donor substituents on the benzene ring. These complexes are readily accessible via a simple four‐step procedure starting from naturally occurring (−)‐α‐pinene, without the need for multi‐step and time‐consuming techniques such as chiral HPLC or diastereomeric resolution. With the dimethyl‐substituted complex, the first asymmetric reactions of diazo compounds with hydrosilanes and electron‐rich alkenes catalyzed by Rh(III)‐complexes were performed, giving the corresponding chiral silanes and cyclopropanes (up to 96% ee). The complexes also showed excellent results in asymmetric C─H annulation of aryl hydroxamates with alkenes, affording various chiral dihydroisoquinolones (up to 97% ee). DFT calculations revealed that methoxy groups exert a crucial influence on the stereoselectivity of both the C─H activation step and the alkene insertion step. The developed protocol was used for the synthesis of precursors of protoberberine alkaloids (</w:t>
      </w:r>
      <w:r>
        <w:t xml:space="preserve"> </w:t>
      </w:r>
      <w:r>
        <w:t>S</w:t>
      </w:r>
      <w:r>
        <w:t xml:space="preserve"> </w:t>
      </w:r>
      <w:r>
        <w:t>)‐tetrahydropalmatine and (</w:t>
      </w:r>
      <w:r>
        <w:t xml:space="preserve"> </w:t>
      </w:r>
      <w:r>
        <w:t>S</w:t>
      </w:r>
      <w:r>
        <w:t xml:space="preserve"> </w:t>
      </w:r>
      <w:r>
        <w:t>)‐O‐methylbharatamine.</w:t>
      </w:r>
    </w:p>
    <w:p>
      <w:pPr>
        <w:spacing w:before="120" w:after="120"/>
      </w:pPr>
      <w:r>
        <w:rPr>
          <w:sz w:val="18"/>
        </w:rPr>
        <w:t>——————————————————————————————————————————————————————————————————————</w:t>
      </w:r>
    </w:p>
    <w:p>
      <w:pPr>
        <w:spacing w:before="160" w:after="40" w:line="240" w:lineRule="auto"/>
      </w:pPr>
      <w:r>
        <w:rPr>
          <w:b/>
        </w:rPr>
        <w:t xml:space="preserve">[48] </w:t>
      </w:r>
      <w:hyperlink r:id="rId388">
        <w:r>
          <w:rPr>
            <w:color w:val="1155CC"/>
            <w:u w:val="single"/>
          </w:rPr>
          <w:t>利用分子量分散性，通过准聚合诱导的自组装实现纳米圆柱体的可扩展、精确合成</w:t>
        </w:r>
      </w:hyperlink>
    </w:p>
    <w:p>
      <w:pPr>
        <w:spacing w:before="0" w:after="80"/>
      </w:pPr>
      <w:r>
        <w:rPr>
          <w:i/>
          <w:sz w:val="20"/>
        </w:rPr>
        <w:t>EN: Leveraging Molecular Weight Dispersity for Scalable, Precise Synthesis of Nanocylinders Via Quasi‐Polymerization‐Induced Self‐Assembly</w:t>
      </w:r>
    </w:p>
    <w:p>
      <w:pPr>
        <w:spacing w:before="0" w:after="120"/>
      </w:pPr>
      <w:r>
        <w:rPr>
          <w:b/>
        </w:rPr>
        <w:t xml:space="preserve">Source: </w:t>
      </w:r>
      <w:r>
        <w:t>Wiley: Angewandte Chemie International Edition: Table of Contents</w:t>
      </w:r>
      <w:r>
        <w:t xml:space="preserve">    </w:t>
      </w:r>
      <w:r>
        <w:rPr>
          <w:b/>
        </w:rPr>
        <w:t xml:space="preserve">Pub date: </w:t>
      </w:r>
      <w:r>
        <w:t>2026-06-07 16:50:45+00:00</w:t>
      </w:r>
      <w:r>
        <w:t xml:space="preserve">    </w:t>
      </w:r>
      <w:r>
        <w:rPr>
          <w:b/>
        </w:rPr>
        <w:t xml:space="preserve">DOI: </w:t>
      </w:r>
      <w:hyperlink r:id="rId389">
        <w:r>
          <w:rPr>
            <w:color w:val="1155CC"/>
            <w:u w:val="single"/>
          </w:rPr>
          <w:t>10.1002/anie.7899696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由于生产效率和形态控制之间固有的权衡，聚合物纳米结构的可扩展和精确合成是一个重大挑战。在这里，我们介绍一个</w:t>
      </w:r>
      <w:r>
        <w:t xml:space="preserve"> </w:t>
      </w:r>
      <w:r>
        <w:t>准</w:t>
      </w:r>
      <w:r>
        <w:t xml:space="preserve"> </w:t>
      </w:r>
      <w:r>
        <w:t>‐聚合诱导的自组装（</w:t>
      </w:r>
      <w:r>
        <w:t xml:space="preserve"> </w:t>
      </w:r>
      <w:r>
        <w:t>准</w:t>
      </w:r>
      <w:r>
        <w:t xml:space="preserve"> </w:t>
      </w:r>
      <w:r>
        <w:t>‐PISA）策略，整合原位成核生长动力学，以高浓度（高达 10 wt.%）的液晶嵌段共聚物制造均匀的圆柱形胶束。与直觉相反，我们证明了 PISA 的宽分子量分布（通常被认为是一个缺点）可以作为精确组装的关键变量。通过调节聚合条件，原纤维长度可以很好地控制在 100 nm 至 3 µm 以上（长度分散度 &lt; 1.10），无需预先形成种子。这使得三嵌段连环胶的一锅合成和克级生产成为可能。流变分析揭示了溶液粘度和原纤维长度之间的比例关系（</w:t>
      </w:r>
      <w:r>
        <w:t xml:space="preserve"> </w:t>
      </w:r>
      <w:r>
        <w:t>η</w:t>
      </w:r>
      <w:r>
        <w:t xml:space="preserve"> </w:t>
      </w:r>
      <w:r>
        <w:t>∝</w:t>
      </w:r>
      <w:r>
        <w:t xml:space="preserve"> </w:t>
      </w:r>
      <w:r>
        <w:t>L</w:t>
      </w:r>
      <w:r>
        <w:t xml:space="preserve"> </w:t>
      </w:r>
      <w:r>
        <w:t>0.667</w:t>
      </w:r>
      <w:r>
        <w:t xml:space="preserve"> </w:t>
      </w:r>
      <w:r>
        <w:t>）。这项工作推进了长度控制的圆柱形纳米结构的可扩展制造，为其在不同领域的实际应用提供了设计原则。</w:t>
      </w:r>
    </w:p>
    <w:p>
      <w:pPr>
        <w:spacing w:before="0" w:after="200" w:lineRule="auto" w:line="276"/>
      </w:pPr>
      <w:r>
        <w:rPr>
          <w:b/>
        </w:rPr>
        <w:t xml:space="preserve">Abstract (EN): </w:t>
      </w:r>
      <w:r>
        <w:t>The scalable and precise synthesis of polymeric nanostructures represents a significant challenge due to the inherent trade‐off between production efficiency and morphological control. Here, we introduce a</w:t>
      </w:r>
      <w:r>
        <w:t xml:space="preserve"> </w:t>
      </w:r>
      <w:r>
        <w:t>quasi</w:t>
      </w:r>
      <w:r>
        <w:t xml:space="preserve"> </w:t>
      </w:r>
      <w:r>
        <w:t>‐polymerization‐induced self‐assembly (</w:t>
      </w:r>
      <w:r>
        <w:t xml:space="preserve"> </w:t>
      </w:r>
      <w:r>
        <w:t>quasi</w:t>
      </w:r>
      <w:r>
        <w:t xml:space="preserve"> </w:t>
      </w:r>
      <w:r>
        <w:t>‐PISA) strategy that integrates in situ nucleation‐growth kinetics to fabricate uniform cylindrical micelles from liquid crystalline block copolymers at high concentrations (up to 10 wt.%). Counterintuitively, we demonstrate that the broad molecular weight distribution of PISA, often considered a drawback, can be harnessed as a key variable for precise assembly. By modulating polymerization conditions, fibril lengths were well controlled from 100 nm to over 3 µm (with length dispersity &amp;lt; 1.10) without requiring pre‐formed seeds. This enables the one‐pot synthesis of triblock comicelles and gram‐scale production. Rheological analysis revealed a scaling relationship between solution viscosity and fibril length (</w:t>
      </w:r>
      <w:r>
        <w:t xml:space="preserve"> </w:t>
      </w:r>
      <w:r>
        <w:t>η</w:t>
      </w:r>
      <w:r>
        <w:t xml:space="preserve"> </w:t>
      </w:r>
      <w:r>
        <w:t>∝</w:t>
      </w:r>
      <w:r>
        <w:t xml:space="preserve"> </w:t>
      </w:r>
      <w:r>
        <w:t>L</w:t>
      </w:r>
      <w:r>
        <w:t xml:space="preserve"> </w:t>
      </w:r>
      <w:r>
        <w:t>0.667</w:t>
      </w:r>
      <w:r>
        <w:t xml:space="preserve"> </w:t>
      </w:r>
      <w:r>
        <w:t>). This work advances the scalable fabrication of length‐controlled cylindrical nanostructures, offering design principles for their practical applications in diverse fields.</w:t>
      </w:r>
    </w:p>
    <w:p>
      <w:pPr>
        <w:spacing w:before="120" w:after="120"/>
      </w:pPr>
      <w:r>
        <w:rPr>
          <w:sz w:val="18"/>
        </w:rPr>
        <w:t>——————————————————————————————————————————————————————————————————————</w:t>
      </w:r>
    </w:p>
    <w:p>
      <w:pPr>
        <w:spacing w:before="160" w:after="40" w:line="240" w:lineRule="auto"/>
      </w:pPr>
      <w:r>
        <w:rPr>
          <w:b/>
        </w:rPr>
        <w:t xml:space="preserve">[49] </w:t>
      </w:r>
      <w:hyperlink r:id="rId390">
        <w:r>
          <w:rPr>
            <w:color w:val="1155CC"/>
            <w:u w:val="single"/>
          </w:rPr>
          <w:t>BODIPY衍生物用于抗菌光疗的研究进展</w:t>
        </w:r>
      </w:hyperlink>
    </w:p>
    <w:p>
      <w:pPr>
        <w:spacing w:before="0" w:after="80"/>
      </w:pPr>
      <w:r>
        <w:rPr>
          <w:i/>
          <w:sz w:val="20"/>
        </w:rPr>
        <w:t>EN: Advances in BODIPY Derivatives for Antibacterial Phototherapy</w:t>
      </w:r>
    </w:p>
    <w:p>
      <w:pPr>
        <w:spacing w:before="0" w:after="120"/>
      </w:pPr>
      <w:r>
        <w:rPr>
          <w:b/>
        </w:rPr>
        <w:t xml:space="preserve">Source: </w:t>
      </w:r>
      <w:r>
        <w:t>Wiley: Angewandte Chemie International Edition: Table of Contents</w:t>
      </w:r>
      <w:r>
        <w:t xml:space="preserve">    </w:t>
      </w:r>
      <w:r>
        <w:rPr>
          <w:b/>
        </w:rPr>
        <w:t xml:space="preserve">Pub date: </w:t>
      </w:r>
      <w:r>
        <w:t>2026-06-07 16:52:17+00:00</w:t>
      </w:r>
      <w:r>
        <w:t xml:space="preserve">    </w:t>
      </w:r>
      <w:r>
        <w:rPr>
          <w:b/>
        </w:rPr>
        <w:t xml:space="preserve">DOI: </w:t>
      </w:r>
      <w:hyperlink r:id="rId391">
        <w:r>
          <w:rPr>
            <w:color w:val="1155CC"/>
            <w:u w:val="single"/>
          </w:rPr>
          <w:t>10.1002/anie.9448235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抗生素耐药细菌和生物膜相关感染造成的威胁不断升级，促使人们对非抗生素抗菌策略越来越感兴趣。抗菌光疗（PT），包括光动力疗法（PDT）和光热疗法（PTT），由于其时空可控性、广谱抗菌活性和低耐药性而受到广泛关注。硼二吡咯亚甲基（BODIPY）染料具有出色的结构可调性和良好的光物理性质，已成为构建抗菌光疗系统的多功能支架。通过阳离子化、重原子掺入和π共轭延伸等分子工程策略，结合纳米组装方法，BODIPY的激发态过程及其与细菌界面的相互作用都可以得到精确调控。集成到不同的纳米平台中进一步提高水分散性、生物稳定性以及在细菌或生物膜界面处的积累，从而增强活性氧（ROS）的产生或实现光热效应以实现PDT、PTT或协同抗菌治疗。本文系统总结了过去五年来报道的基于BODIPY的抗菌光疗的设计策略和构效关系，涵盖小分子光敏剂和纳米平台的分子工程、细菌靶向和载体设计，并讨论了挑战</w:t>
      </w:r>
    </w:p>
    <w:p>
      <w:pPr>
        <w:spacing w:before="0" w:after="200" w:lineRule="auto" w:line="276"/>
      </w:pPr>
      <w:r>
        <w:rPr>
          <w:b/>
        </w:rPr>
        <w:t xml:space="preserve">Abstract (EN): </w:t>
      </w:r>
      <w:r>
        <w:t>The escalating threat posed by antibiotic‐resistant bacteria and biofilm‐associated infections has driven increasing interest in non‐antibiotic antibacterial strategies. Antibacterial phototherapy (PT), including photodynamic therapy (PDT) and photothermal therapy (PTT), has attracted considerable attention owing to its spatiotemporal controllability, broad‐spectrum antibacterial activity, and low propensity for inducing drug resistance. Boron‐dipyrromethene (BODIPY) dyes, featuring exceptional structural tunability and favorable photophysical properties, have emerged as versatile scaffolds for the construction of antibacterial phototherapeutic systems. Through molecular engineering strategies including cationization, heavy‐atom incorporation, and π‐conjugation extension, combined with nanoassembly approaches, both the excited‐state processes of BODIPY and its interactions with bacterial interfaces can be precisely regulated. Integration into diverse nanoplatforms further improves aqueous dispersibility, biological stability, and accumulation at bacterial or biofilm interfaces, thereby enhancing reactive oxygen species (ROS) generation or enabling photothermal effects to achieve PDT, PTT, or synergistic antibacterial therapy. This review systematically summarizes the design strategies and structure‐activity relationships of BODIPY‐based antibacterial phototherapy reported over the past five years, covering molecular engineering of small‐molecule photosensitizers and nanoplatforms, bacterial targeting and carrier design, and discussing the challenges and future perspectives associated with clinical translation, particularly in terms of biosafety and targeted delivery.</w:t>
      </w:r>
    </w:p>
    <w:p>
      <w:pPr>
        <w:spacing w:before="120" w:after="120"/>
      </w:pPr>
      <w:r>
        <w:rPr>
          <w:sz w:val="18"/>
        </w:rPr>
        <w:t>——————————————————————————————————————————————————————————————————————</w:t>
      </w:r>
    </w:p>
    <w:p>
      <w:pPr>
        <w:spacing w:before="160" w:after="40" w:line="240" w:lineRule="auto"/>
      </w:pPr>
      <w:r>
        <w:rPr>
          <w:b/>
        </w:rPr>
        <w:t xml:space="preserve">[50] </w:t>
      </w:r>
      <w:hyperlink r:id="rId392">
        <w:r>
          <w:rPr>
            <w:color w:val="1155CC"/>
            <w:u w:val="single"/>
          </w:rPr>
          <w:t>用于细胞内药物输送的具有无痕可交联双层的光响应盘状聚合物囊泡</w:t>
        </w:r>
      </w:hyperlink>
    </w:p>
    <w:p>
      <w:pPr>
        <w:spacing w:before="0" w:after="80"/>
      </w:pPr>
      <w:r>
        <w:rPr>
          <w:i/>
          <w:sz w:val="20"/>
        </w:rPr>
        <w:t>EN: Photoresponsive Discoidal Polymersomes With Tracelessly Crosslinkable Bilayers for Intracellular Drug Delivery</w:t>
      </w:r>
    </w:p>
    <w:p>
      <w:pPr>
        <w:spacing w:before="0" w:after="120"/>
      </w:pPr>
      <w:r>
        <w:rPr>
          <w:b/>
        </w:rPr>
        <w:t xml:space="preserve">Source: </w:t>
      </w:r>
      <w:r>
        <w:t>Wiley: Angewandte Chemie International Edition: Table of Contents</w:t>
      </w:r>
      <w:r>
        <w:t xml:space="preserve">    </w:t>
      </w:r>
      <w:r>
        <w:rPr>
          <w:b/>
        </w:rPr>
        <w:t xml:space="preserve">Pub date: </w:t>
      </w:r>
      <w:r>
        <w:t>2026-06-07 16:53:22+00:00</w:t>
      </w:r>
      <w:r>
        <w:t xml:space="preserve">    </w:t>
      </w:r>
      <w:r>
        <w:rPr>
          <w:b/>
        </w:rPr>
        <w:t xml:space="preserve">DOI: </w:t>
      </w:r>
      <w:hyperlink r:id="rId393">
        <w:r>
          <w:rPr>
            <w:color w:val="1155CC"/>
            <w:u w:val="single"/>
          </w:rPr>
          <w:t>10.1002/anie.9958935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层生物结构激发了合成纳米材料的设计，但由于热力学限制，自下而上获得非球形聚合物囊泡，特别是红细胞（RBC）等盘状结构仍然难以捉摸。此外，对这种非球形囊泡的刺激响应控制在很大程度上尚未被探索。在这里，我们报道了在疏水侧链中带有不稳定性硫代香豆素单元的光响应性嵌段共聚物（BCP）两亲物，通过在共溶剂介导的自组装过程中调节嵌段比和加水速率，它们自组装成五种不同的纳米结构，包括罕见的聚合物囊泡盘细胞（PD）。与其他形态相比，盘状细胞表现出优异的细胞摄取能力。可见光照射触发硫代香豆素裂解，产生伯胺，伯胺自发进行酰胺化，产生原位交联，维持盘细胞形状，同时增加双层膜的通透性。这种双重作用确保了亲水性物质在光控选择性释放过程中形态的保存。这些发现建立了一种通用的自下而上的策略，用于构建仿生、形状工程和刺激响应的囊泡，为下一代治疗和诊断平台开辟了途径。</w:t>
      </w:r>
    </w:p>
    <w:p>
      <w:pPr>
        <w:spacing w:before="0" w:after="200" w:lineRule="auto" w:line="276"/>
      </w:pPr>
      <w:r>
        <w:rPr>
          <w:b/>
        </w:rPr>
        <w:t xml:space="preserve">Abstract (EN): </w:t>
      </w:r>
      <w:r>
        <w:t>Hierarchical biological structures inspire the design of synthetic nanomaterials, yet bottom‐up access to nonspherical polymersomes, particularly discoidal architectures like red blood cells (RBCs)—remains elusive due to thermodynamic constraints. Moreover, stimuli‐responsive control over such nonspherical vesicles is largely unexplored. Here we report photoresponsive block copolymer (BCP) amphiphiles bearing photolabile thiocoumarin units in the hydrophobic side chains that self‐assemble into five distinct nanostructures, including rare polymersome discocytes (PDs), by tuning block ratio and water addition rate during cosolvent‐mediated self‐assembly. Discocytes display superior cellular uptake compared to other morphologies. Visible light irradiation triggers thiocoumarin cleavage to generate primary amines that spontaneously undergo amidation, yielding in situ crosslinking that maintains the discocyte shape while simultaneously increasing bilayer membrane permeability. This dual action ensures morphological preservation during photo‐controlled selective release of hydrophilic cargos. These findings establish a general bottom‐up strategy for constructing biomimetic, shape‐engineered, and stimuli‐responsive vesicles, opening avenues for next‐generation therapeutic and diagnostic platforms.</w:t>
      </w:r>
    </w:p>
    <w:p>
      <w:pPr>
        <w:spacing w:before="120" w:after="120"/>
      </w:pPr>
      <w:r>
        <w:rPr>
          <w:sz w:val="18"/>
        </w:rPr>
        <w:t>——————————————————————————————————————————————————————————————————————</w:t>
      </w:r>
    </w:p>
    <w:p>
      <w:pPr>
        <w:spacing w:before="160" w:after="40" w:line="240" w:lineRule="auto"/>
      </w:pPr>
      <w:r>
        <w:rPr>
          <w:b/>
        </w:rPr>
        <w:t xml:space="preserve">[51] </w:t>
      </w:r>
      <w:hyperlink r:id="rId394">
        <w:r>
          <w:rPr>
            <w:color w:val="1155CC"/>
            <w:u w:val="single"/>
          </w:rPr>
          <w:t>人工间隙连接通道抑制肝癌细胞增殖</w:t>
        </w:r>
      </w:hyperlink>
    </w:p>
    <w:p>
      <w:pPr>
        <w:spacing w:before="0" w:after="80"/>
      </w:pPr>
      <w:r>
        <w:rPr>
          <w:i/>
          <w:sz w:val="20"/>
        </w:rPr>
        <w:t>EN: Artificial Gap Junctional Channel Inhibiting the Proliferation of Hepatocellular Carcinoma Cells</w:t>
      </w:r>
    </w:p>
    <w:p>
      <w:pPr>
        <w:spacing w:before="0" w:after="120"/>
      </w:pPr>
      <w:r>
        <w:rPr>
          <w:b/>
        </w:rPr>
        <w:t xml:space="preserve">Source: </w:t>
      </w:r>
      <w:r>
        <w:t>Wiley: Angewandte Chemie International Edition: Table of Contents</w:t>
      </w:r>
      <w:r>
        <w:t xml:space="preserve">    </w:t>
      </w:r>
      <w:r>
        <w:rPr>
          <w:b/>
        </w:rPr>
        <w:t xml:space="preserve">Pub date: </w:t>
      </w:r>
      <w:r>
        <w:t>2026-06-07 16:54:29+00:00</w:t>
      </w:r>
      <w:r>
        <w:t xml:space="preserve">    </w:t>
      </w:r>
      <w:r>
        <w:rPr>
          <w:b/>
        </w:rPr>
        <w:t xml:space="preserve">DOI: </w:t>
      </w:r>
      <w:hyperlink r:id="rId395">
        <w:r>
          <w:rPr>
            <w:color w:val="1155CC"/>
            <w:u w:val="single"/>
          </w:rPr>
          <w:t>10.1002/anie.9685133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间隙连接在细胞间通讯中发挥着至关重要的作用，参与生理和病理过程。尽管人工间隙连接已经被开发出来，但它们在基本细胞间通讯之外的生理功能仍然很大程度上未被探索。在此，我们报告了一种通过两亲性跨膜通道和亲水性细胞外通道的静电共组装构建的功能性人工间隙连接通道系统。两亲通道的高效离子传输能力，加上细胞间隙内亲水模块的广泛聚集，使得能够形成稳定的细胞间连接。与天然间隙连接类似，这些人工通道不仅介导细胞间离子转运，还诱导G1期细胞周期停滞并抑制肝细胞癌细胞的增殖。这项工作提供了一种干预细胞间通讯的新策略，并为癌症和间隙连接相关疾病提供了潜在的治疗途径。</w:t>
      </w:r>
    </w:p>
    <w:p>
      <w:pPr>
        <w:spacing w:before="0" w:after="200" w:lineRule="auto" w:line="276"/>
      </w:pPr>
      <w:r>
        <w:rPr>
          <w:b/>
        </w:rPr>
        <w:t xml:space="preserve">Abstract (EN): </w:t>
      </w:r>
      <w:r>
        <w:t>Gap junctions play a crucial role in intercellular communication, participating in both physiological and pathological processes. Although artificial gap junctions have been developed, their physiological functions beyond basic intercellular communication remain largely unexplored. Herein, we report a functional artificial gap junctional channel system constructed via electrostatic co‐assembly of an amphiphilic transmembrane channel and a hydrophilic extracellular channel. The efficient ion transport capability of the amphiphilic channel, coupled with the extensive aggregation of the hydrophilic module within the intercellular gap, enables the formation of stable intercellular junctions. Similar to natural gap junctions, these artificial channels not only mediate intercellular ion transport but also induce G1 phase cell cycle arrest and inhibit the proliferation of hepatocellular carcinoma cells. This work provides a new strategy for intervening in cell–cell communication and offers a potential therapeutic avenue for cancer and gap junction‐related diseases.</w:t>
      </w:r>
    </w:p>
    <w:p>
      <w:pPr>
        <w:spacing w:before="120" w:after="120"/>
      </w:pPr>
      <w:r>
        <w:rPr>
          <w:sz w:val="18"/>
        </w:rPr>
        <w:t>——————————————————————————————————————————————————————————————————————</w:t>
      </w:r>
    </w:p>
    <w:p>
      <w:pPr>
        <w:spacing w:before="160" w:after="40" w:line="240" w:lineRule="auto"/>
      </w:pPr>
      <w:r>
        <w:rPr>
          <w:b/>
        </w:rPr>
        <w:t xml:space="preserve">[52] </w:t>
      </w:r>
      <w:hyperlink r:id="rId396">
        <w:r>
          <w:rPr>
            <w:color w:val="1155CC"/>
            <w:u w:val="single"/>
          </w:rPr>
          <w:t>用于高效全钙钛矿串联太阳能电池的 Sn-Pb 钙钛矿结晶的混合晶种模板调制</w:t>
        </w:r>
      </w:hyperlink>
    </w:p>
    <w:p>
      <w:pPr>
        <w:spacing w:before="0" w:after="80"/>
      </w:pPr>
      <w:r>
        <w:rPr>
          <w:i/>
          <w:sz w:val="20"/>
        </w:rPr>
        <w:t>EN: Hybrid Seeding‐Template Modulation of Sn–Pb Perovskite Crystallization for High‐Efficiency All‐Perovskite Tandem Solar Cells</w:t>
      </w:r>
    </w:p>
    <w:p>
      <w:pPr>
        <w:spacing w:before="0" w:after="120"/>
      </w:pPr>
      <w:r>
        <w:rPr>
          <w:b/>
        </w:rPr>
        <w:t xml:space="preserve">Source: </w:t>
      </w:r>
      <w:r>
        <w:t>Wiley: Angewandte Chemie International Edition: Table of Contents</w:t>
      </w:r>
      <w:r>
        <w:t xml:space="preserve">    </w:t>
      </w:r>
      <w:r>
        <w:rPr>
          <w:b/>
        </w:rPr>
        <w:t xml:space="preserve">Pub date: </w:t>
      </w:r>
      <w:r>
        <w:t>2026-06-07 16:58:16+00:00</w:t>
      </w:r>
      <w:r>
        <w:t xml:space="preserve">    </w:t>
      </w:r>
      <w:r>
        <w:rPr>
          <w:b/>
        </w:rPr>
        <w:t xml:space="preserve">DOI: </w:t>
      </w:r>
      <w:hyperlink r:id="rId397">
        <w:r>
          <w:rPr>
            <w:color w:val="1155CC"/>
            <w:u w:val="single"/>
          </w:rPr>
          <w:t>10.1002/anie.5595275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窄带隙（NBG）Sn-Pb钙钛矿对于实现高效全钙钛矿串联太阳能电池（TSC）是必不可少的。然而，Sn 的路易斯酸度存在明显差异</w:t>
      </w:r>
      <w:r>
        <w:t xml:space="preserve"> </w:t>
      </w:r>
      <w:r>
        <w:t>2+</w:t>
      </w:r>
      <w:r>
        <w:t xml:space="preserve"> </w:t>
      </w:r>
      <w:r>
        <w:t>和铅</w:t>
      </w:r>
      <w:r>
        <w:t xml:space="preserve"> </w:t>
      </w:r>
      <w:r>
        <w:t>2+</w:t>
      </w:r>
      <w:r>
        <w:t xml:space="preserve"> </w:t>
      </w:r>
      <w:r>
        <w:t>通常会导致异步成核和失控结晶，严重限制器件性能。在这里，我们提出了一种集成 CsPbBr 的混合异质播种和生长模板策略</w:t>
      </w:r>
      <w:r>
        <w:rPr>
          <w:vertAlign w:val="subscript"/>
        </w:rPr>
        <w:t>3</w:t>
      </w:r>
      <w:r>
        <w:t>量子点（QD）与多孔UiO-66金属有机框架（MOF）通过接枝聚（4-乙烯基吡啶）（P4VP）来获得均质的Sn-Pb钙钛矿薄膜。具体来说，嵌入式 CsPbBr</w:t>
      </w:r>
      <w:r>
        <w:rPr>
          <w:vertAlign w:val="subscript"/>
        </w:rPr>
        <w:t>3</w:t>
      </w:r>
      <w:r>
        <w:t>QD 充当丰富的成核中心，降低能垒并提供外延生长模板，而 UiO-66 配体的羰基 (C=O) 基团和 P4VP 的亚胺 (C=N) 部分与 Sn 配位</w:t>
      </w:r>
      <w:r>
        <w:t xml:space="preserve"> </w:t>
      </w:r>
      <w:r>
        <w:t>2+</w:t>
      </w:r>
      <w:r>
        <w:t xml:space="preserve"> </w:t>
      </w:r>
      <w:r>
        <w:t>/铅</w:t>
      </w:r>
      <w:r>
        <w:t xml:space="preserve"> </w:t>
      </w:r>
      <w:r>
        <w:t>2+</w:t>
      </w:r>
      <w:r>
        <w:t xml:space="preserve"> </w:t>
      </w:r>
      <w:r>
        <w:t>精细调节结晶动力学。此外，UiO-66-P4VP框架充当支架，促进均匀的薄膜生长，从而产生成分均匀且缺陷密度降低的Sn-Pb钙钛矿薄膜。结果，优化的单结NBG钙钛矿太阳能电池实现了超过81%的填充因子和23.32%的功率转换效率（PCE）。此外，双端全钙钛矿串联器件的 PCE 为 29.18</w:t>
      </w:r>
    </w:p>
    <w:p>
      <w:pPr>
        <w:spacing w:before="0" w:after="200" w:lineRule="auto" w:line="276"/>
      </w:pPr>
      <w:r>
        <w:rPr>
          <w:b/>
        </w:rPr>
        <w:t xml:space="preserve">Abstract (EN): </w:t>
      </w:r>
      <w:r>
        <w:t>Narrow‐bandgap (NBG) Sn–Pb perovskites are indispensable for achieving high‐efficiency all‐perovskite tandem solar cells (TSCs). However, the pronounced disparity in the Lewis acidity of Sn</w:t>
      </w:r>
      <w:r>
        <w:t xml:space="preserve"> </w:t>
      </w:r>
      <w:r>
        <w:t>2+</w:t>
      </w:r>
      <w:r>
        <w:t xml:space="preserve"> </w:t>
      </w:r>
      <w:r>
        <w:t>and Pb</w:t>
      </w:r>
      <w:r>
        <w:t xml:space="preserve"> </w:t>
      </w:r>
      <w:r>
        <w:t>2+</w:t>
      </w:r>
      <w:r>
        <w:t xml:space="preserve"> </w:t>
      </w:r>
      <w:r>
        <w:t>often causes asynchronous nucleation and uncontrolled crystallization, severely limiting the device performance. Here, we propose a hybrid heterogeneous seeding and growth‐template strategy that integrates CsPbBr</w:t>
      </w:r>
      <w:r>
        <w:rPr>
          <w:vertAlign w:val="subscript"/>
        </w:rPr>
        <w:t>3</w:t>
      </w:r>
      <w:r>
        <w:t>quantum dots (QDs) with porous UiO‐66 metal–organic frameworks (MOFs) through grafted poly(4‐vinylpyridine) (P4VP) to achieve homogenous Sn–Pb perovskite films. Specifically, the embedded CsPbBr</w:t>
      </w:r>
      <w:r>
        <w:rPr>
          <w:vertAlign w:val="subscript"/>
        </w:rPr>
        <w:t>3</w:t>
      </w:r>
      <w:r>
        <w:t>QDs act as abundant nucleation centers, lowering the energy barrier and providing an epitaxial growth template, while the carbonyl (C═O) groups of UiO‐66 ligands and the imine (C═N) moieties of P4VP coordinate with Sn</w:t>
      </w:r>
      <w:r>
        <w:t xml:space="preserve"> </w:t>
      </w:r>
      <w:r>
        <w:t>2+</w:t>
      </w:r>
      <w:r>
        <w:t xml:space="preserve"> </w:t>
      </w:r>
      <w:r>
        <w:t>/Pb</w:t>
      </w:r>
      <w:r>
        <w:t xml:space="preserve"> </w:t>
      </w:r>
      <w:r>
        <w:t>2+</w:t>
      </w:r>
      <w:r>
        <w:t xml:space="preserve"> </w:t>
      </w:r>
      <w:r>
        <w:t>to finely regulate crystallization kinetics. Moreover, the UiO‐66‐P4VP framework functions as a scaffold to promote uniform film growth, resulting in Sn–Pb perovskite films with homogeneous composition and reduced defect density. As a result, the optimized single‐junction NBG perovskite solar cell achieves a fill factor exceeding 81% and a power conversion efficiency (PCE) of 23.32%. Furthermore, the two‐terminal all‐perovskite tandem device delivers a PCE of 29.18% and retains 80% of its initial efficiency after 500 h of continuous maximum power point tracking under simulated sunlight, demonstrating remarkable operational stability.</w:t>
      </w:r>
    </w:p>
    <w:p>
      <w:pPr>
        <w:spacing w:before="120" w:after="120"/>
      </w:pPr>
      <w:r>
        <w:rPr>
          <w:sz w:val="18"/>
        </w:rPr>
        <w:t>——————————————————————————————————————————————————————————————————————</w:t>
      </w:r>
    </w:p>
    <w:p>
      <w:pPr>
        <w:spacing w:before="160" w:after="40" w:line="240" w:lineRule="auto"/>
      </w:pPr>
      <w:r>
        <w:rPr>
          <w:b/>
        </w:rPr>
        <w:t xml:space="preserve">[53] </w:t>
      </w:r>
      <w:hyperlink r:id="rId398">
        <w:r>
          <w:rPr>
            <w:color w:val="1155CC"/>
            <w:u w:val="single"/>
          </w:rPr>
          <w:t>通过共轭聚电解质的非共价构象锁定实现聚集诱导的掺杂增强，以实现有机太阳能电池中的高效空穴收集</w:t>
        </w:r>
      </w:hyperlink>
    </w:p>
    <w:p>
      <w:pPr>
        <w:spacing w:before="0" w:after="80"/>
      </w:pPr>
      <w:r>
        <w:rPr>
          <w:i/>
          <w:sz w:val="20"/>
        </w:rPr>
        <w:t>EN: Aggregation‐Induced Doping Enhancement Enabled by Non‐Covalent Conformation Locking on Conjugated Polyelectrolyte Toward Efficient Hole Collection in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2026-06-07 16:59:29+00:00</w:t>
      </w:r>
      <w:r>
        <w:t xml:space="preserve">    </w:t>
      </w:r>
      <w:r>
        <w:rPr>
          <w:b/>
        </w:rPr>
        <w:t xml:space="preserve">DOI: </w:t>
      </w:r>
      <w:hyperlink r:id="rId399">
        <w:r>
          <w:rPr>
            <w:color w:val="1155CC"/>
            <w:u w:val="single"/>
          </w:rPr>
          <w:t>10.1002/anie.1334595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开发具有无腐蚀性且与大面积制造技术良好兼容性的阳极中间层（AIL）一直是有机太阳能电池（OSC）领域的一个重要课题。然而，大多数 AIL 材料的掺杂密度较低，导致导电性差，最终降低其性能。在这里，我们证明了共轭聚电解质（CPE）中聚集诱导的掺杂增强，这是通过引入非共价 S-O 和 S-F 相互作用作为构象锁​​来产生共面共轭主链而实现的。凝聚结构的表征结果表明，CPE薄膜的有序且致密的分子聚集可以引起显着的p掺杂效应，从而显着增强电荷传输能力。特别是，PEP-2SF 表现出</w:t>
      </w:r>
      <w:r>
        <w:t xml:space="preserve"> </w:t>
      </w:r>
      <w:r>
        <w:t>π</w:t>
      </w:r>
      <w:r>
        <w:t xml:space="preserve"> </w:t>
      </w:r>
      <w:r>
        <w:t>–</w:t>
      </w:r>
      <w:r>
        <w:t xml:space="preserve"> </w:t>
      </w:r>
      <w:r>
        <w:t>π</w:t>
      </w:r>
      <w:r>
        <w:t xml:space="preserve"> </w:t>
      </w:r>
      <w:r>
        <w:t>堆叠距离为 3.53 Å，并表现出 4.34 × 10 的出色电导率</w:t>
      </w:r>
      <w:r>
        <w:t xml:space="preserve"> </w:t>
      </w:r>
      <w:r>
        <w:t>-</w:t>
      </w:r>
      <w:r>
        <w:rPr>
          <w:vertAlign w:val="subscript"/>
        </w:rPr>
        <w:t>2</w:t>
      </w:r>
      <w:r>
        <w:t>多金属氧酸盐（POM）掺杂后的S/m。基于 PEP-2SF 的 AIL 修饰的 OSC 表现出 20.28% 的功率转换效率 (PCE)。此外，高电导率使得 PEP-2SF:P 具有出色的厚度不敏感性以及与大面积加工方法的良好兼容性。 1.2厘米</w:t>
      </w:r>
      <w:r>
        <w:rPr>
          <w:vertAlign w:val="subscript"/>
        </w:rPr>
        <w:t>2</w:t>
      </w:r>
      <w:r>
        <w:t>装置是基于刀片涂层 PEP-2SF:P 制造的，PCE 为 17.31%。我们的结果表明聚集诱导的多普</w:t>
      </w:r>
    </w:p>
    <w:p>
      <w:pPr>
        <w:spacing w:before="0" w:after="200" w:lineRule="auto" w:line="276"/>
      </w:pPr>
      <w:r>
        <w:rPr>
          <w:b/>
        </w:rPr>
        <w:t xml:space="preserve">Abstract (EN): </w:t>
      </w:r>
      <w:r>
        <w:t>The development of anode interlayers (AIL) with a non‐corrosive nature and good compatibility with large‐area fabrication techniques has long been an important topic in the field of organic solar cells (OSCs). However, most AIL materials suffer from low doping density, which results in poor conductivity, ultimately degrading their performances. Here, we demonstrate an aggregation‐induced doping enhancement in conjugated polyelectrolytes (CPEs), enabled by the introduction of non‐covalent S–O and S–F interactions as conformational locks to yield coplanar conjugated backbones. The characterization results of condensed structure revealed that the ordered and compact molecular aggregation of CPE films can induce a pronounced p‐doping effect, which significantly enhances charge‐transporting capabilities. In particular, the PEP‐2SF exhibited a</w:t>
      </w:r>
      <w:r>
        <w:t xml:space="preserve"> </w:t>
      </w:r>
      <w:r>
        <w:t>π</w:t>
      </w:r>
      <w:r>
        <w:t xml:space="preserve"> </w:t>
      </w:r>
      <w:r>
        <w:t>–</w:t>
      </w:r>
      <w:r>
        <w:t xml:space="preserve"> </w:t>
      </w:r>
      <w:r>
        <w:t>π</w:t>
      </w:r>
      <w:r>
        <w:t xml:space="preserve"> </w:t>
      </w:r>
      <w:r>
        <w:t>stacking distance of 3.53 Å and showed an exceptional conductivity of 4.34 × 10</w:t>
      </w:r>
      <w:r>
        <w:t xml:space="preserve"> </w:t>
      </w:r>
      <w:r>
        <w:t>−</w:t>
      </w:r>
      <w:r>
        <w:rPr>
          <w:vertAlign w:val="subscript"/>
        </w:rPr>
        <w:t>2</w:t>
      </w:r>
      <w:r>
        <w:t>S/m after being doped by polyoxometalate (POM). OSCs modified by the PEP‐2SF‐based AIL exhibited a power conversion efficiency (PCE) of 20.28%. Moreover, the high conductivity enables excellent thickness insensitivity and good compatibility of PEP‐2SF:P with large‐area processing methods. A 1.2‐cm</w:t>
      </w:r>
      <w:r>
        <w:rPr>
          <w:vertAlign w:val="subscript"/>
        </w:rPr>
        <w:t>2</w:t>
      </w:r>
      <w:r>
        <w:t>device was fabricated based on blade‐coated PEP‐2SF:P, exhibiting a PCE of 17.31%. Our results suggest that aggregation‐induced doping enhancement of CPEs will provide an effective approach for developing high‐performance AIL materials.</w:t>
      </w:r>
    </w:p>
    <w:p>
      <w:pPr>
        <w:spacing w:before="120" w:after="120"/>
      </w:pPr>
      <w:r>
        <w:rPr>
          <w:sz w:val="18"/>
        </w:rPr>
        <w:t>——————————————————————————————————————————————————————————————————————</w:t>
      </w:r>
    </w:p>
    <w:p>
      <w:pPr>
        <w:spacing w:before="160" w:after="40" w:line="240" w:lineRule="auto"/>
      </w:pPr>
      <w:r>
        <w:rPr>
          <w:b/>
        </w:rPr>
        <w:t xml:space="preserve">[54] </w:t>
      </w:r>
      <w:hyperlink r:id="rId400">
        <w:r>
          <w:rPr>
            <w:color w:val="1155CC"/>
            <w:u w:val="single"/>
          </w:rPr>
          <w:t>倒置钙钛矿太阳能电池：从基础知识到可扩展的商业化</w:t>
        </w:r>
      </w:hyperlink>
    </w:p>
    <w:p>
      <w:pPr>
        <w:spacing w:before="0" w:after="80"/>
      </w:pPr>
      <w:r>
        <w:rPr>
          <w:i/>
          <w:sz w:val="20"/>
        </w:rPr>
        <w:t>EN: Inverted perovskite solar cells: from fundamentals to scalable commercialization</w:t>
      </w:r>
    </w:p>
    <w:p>
      <w:pPr>
        <w:spacing w:before="0" w:after="120"/>
      </w:pPr>
      <w:r>
        <w:rPr>
          <w:b/>
        </w:rPr>
        <w:t xml:space="preserve">Source: </w:t>
      </w:r>
      <w:r>
        <w:t>RSC - Chem. Soc. Rev. latest articles</w:t>
      </w:r>
      <w:r>
        <w:t xml:space="preserve">    </w:t>
      </w:r>
      <w:r>
        <w:rPr>
          <w:b/>
        </w:rPr>
        <w:t xml:space="preserve">Pub date: </w:t>
      </w:r>
      <w:r>
        <w:t>2026-06-07 23:00:00+00:00</w:t>
      </w:r>
    </w:p>
    <w:p>
      <w:pPr>
        <w:spacing w:before="0" w:after="120"/>
      </w:pPr>
      <w:r>
        <w:rPr>
          <w:b/>
        </w:rPr>
        <w:t xml:space="preserve">Notes: </w:t>
      </w:r>
      <w:r>
        <w:t>abstract_source=rsc_html</w:t>
      </w:r>
    </w:p>
    <w:p>
      <w:pPr>
        <w:spacing w:before="0" w:after="80" w:lineRule="auto" w:line="276"/>
      </w:pPr>
      <w:r>
        <w:rPr>
          <w:b/>
        </w:rPr>
        <w:t xml:space="preserve">摘要（ZH）: </w:t>
      </w:r>
      <w:r>
        <w:t>倒置（p-i-n结构）钙钛矿太阳能电池（PSC）因其卓越的运行稳定性、溶液加工性以及与串联结构的固有兼容性而获得了巨大的商业利益。最近在性能方面取得的成就可与常规（n-i-p 结构）器件相媲美，再加上大规模制造方面的重大进展，增强了该领域的研究势头。然而，倒置 PSC 的效率仍然受到限制，仍然是一个严峻的挑战，需要基本的理解和解决。在此，我们总结了倒置 PSC 的最新进展，深入研究了能量损失的根源及其对器件性能的影响。我们重点介绍增强倒置 PSC 高性能的有效策略，重点关注电荷传输层、界面工程和钙钛矿薄膜改性方面的进展。此外，我们严格评估可扩展制造和长期稳定性方面的最新进展。最后，我们描绘了实现高效率、耐用性和可制造性所必需的未来关键研究方向，以确保这项有前途的技术的商业可行性。</w:t>
      </w:r>
    </w:p>
    <w:p>
      <w:pPr>
        <w:spacing w:before="0" w:after="200" w:lineRule="auto" w:line="276"/>
      </w:pPr>
      <w:r>
        <w:rPr>
          <w:b/>
        </w:rPr>
        <w:t xml:space="preserve">Abstract (EN): </w:t>
      </w:r>
      <w:r>
        <w:t>Inverted (p–i–n structure) perovskite solar cells (PSCs) have garnered substantial commercial interest owing to their superior operational stability, solution-processability, and inherent compatibility with tandem architectures. Recent achievements in performance rivaling that of regular (n–i–p structure) devices, coupled with significant progress in large-scale fabrication, have intensified research momentum in this field. Nevertheless, the still-constrained efficiency of inverted PSCs remains a critical challenge that requires fundamental understanding and resolution. Herein, we summarize recent advancements in inverted PSCs, delving into the origins of energy losses and their impact on device performance. We highlight effective strategies to enhance the high-performance capabilities of inverted PSCs, focusing on advances in charge transport layers, interface engineering and perovskite film modification. Furthermore, we critically evaluate the latest progress in scalable fabrication and long-term stability. Finally, we delineate key future research directions essential for achieving high efficiency, durability and manufacturability to ensure the commercial viability of this promising technology.</w:t>
      </w:r>
    </w:p>
    <w:p>
      <w:pPr>
        <w:spacing w:before="120" w:after="120"/>
      </w:pPr>
      <w:r>
        <w:rPr>
          <w:sz w:val="18"/>
        </w:rPr>
        <w:t>——————————————————————————————————————————————————————————————————————</w:t>
      </w:r>
    </w:p>
    <w:p>
      <w:pPr>
        <w:spacing w:before="160" w:after="40" w:line="240" w:lineRule="auto"/>
      </w:pPr>
      <w:r>
        <w:rPr>
          <w:b/>
        </w:rPr>
        <w:t xml:space="preserve">[55] </w:t>
      </w:r>
      <w:hyperlink r:id="rId401">
        <w:r>
          <w:rPr>
            <w:color w:val="1155CC"/>
            <w:u w:val="single"/>
          </w:rPr>
          <w:t>为什么这么多年轻人得癌症？研究人员知道什么和不知道什么</w:t>
        </w:r>
      </w:hyperlink>
    </w:p>
    <w:p>
      <w:pPr>
        <w:spacing w:before="0" w:after="80"/>
      </w:pPr>
      <w:r>
        <w:rPr>
          <w:i/>
          <w:sz w:val="20"/>
        </w:rPr>
        <w:t>EN: Why are so many young people getting cancer? What researchers do and don't know</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402">
        <w:r>
          <w:rPr>
            <w:color w:val="1155CC"/>
            <w:u w:val="single"/>
          </w:rPr>
          <w:t>10.1038/d41586-026-01780-6</w:t>
        </w:r>
      </w:hyperlink>
    </w:p>
    <w:p>
      <w:pPr>
        <w:spacing w:before="0" w:after="120"/>
      </w:pPr>
      <w:r>
        <w:rPr>
          <w:b/>
        </w:rPr>
        <w:t xml:space="preserve">Notes: </w:t>
      </w:r>
      <w:r>
        <w:t>abstract_source=nature_html</w:t>
      </w:r>
    </w:p>
    <w:p>
      <w:pPr>
        <w:spacing w:before="0" w:after="80" w:lineRule="auto" w:line="276"/>
      </w:pPr>
      <w:r>
        <w:rPr>
          <w:b/>
        </w:rPr>
        <w:t xml:space="preserve">摘要（ZH）: </w:t>
      </w:r>
      <w:r>
        <w:t>这一趋势的候选者正在出现，但可能因一种肿瘤类型而异。这一趋势的候选者正在出现，但可能因一种肿瘤类型而异。</w:t>
      </w:r>
    </w:p>
    <w:p>
      <w:pPr>
        <w:spacing w:before="0" w:after="200" w:lineRule="auto" w:line="276"/>
      </w:pPr>
      <w:r>
        <w:rPr>
          <w:b/>
        </w:rPr>
        <w:t xml:space="preserve">Abstract (EN): </w:t>
      </w:r>
      <w:r>
        <w:t>Candidates for the trend are emerging, but are likely to vary from one type of tumor to another. Candidates for the trend are emerging, but are likely to vary from one type of tumor to another.</w:t>
      </w:r>
    </w:p>
    <w:p>
      <w:pPr>
        <w:spacing w:before="120" w:after="120"/>
      </w:pPr>
      <w:r>
        <w:rPr>
          <w:sz w:val="18"/>
        </w:rPr>
        <w:t>——————————————————————————————————————————————————————————————————————</w:t>
      </w:r>
    </w:p>
    <w:p>
      <w:pPr>
        <w:spacing w:before="160" w:after="40" w:line="240" w:lineRule="auto"/>
      </w:pPr>
      <w:r>
        <w:rPr>
          <w:b/>
        </w:rPr>
        <w:t xml:space="preserve">[56] </w:t>
      </w:r>
      <w:hyperlink r:id="rId403">
        <w:r>
          <w:rPr>
            <w:color w:val="1155CC"/>
            <w:u w:val="single"/>
          </w:rPr>
          <w:t>五十年前，一个简单的方程描述了生物学的混乱</w:t>
        </w:r>
      </w:hyperlink>
    </w:p>
    <w:p>
      <w:pPr>
        <w:spacing w:before="0" w:after="80"/>
      </w:pPr>
      <w:r>
        <w:rPr>
          <w:i/>
          <w:sz w:val="20"/>
        </w:rPr>
        <w:t>EN: Fifty years since a simple equation described the chaos of biology</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404">
        <w:r>
          <w:rPr>
            <w:color w:val="1155CC"/>
            <w:u w:val="single"/>
          </w:rPr>
          <w:t>10.1038/d41586-026-01584-8</w:t>
        </w:r>
      </w:hyperlink>
    </w:p>
    <w:p>
      <w:pPr>
        <w:spacing w:before="0" w:after="120"/>
      </w:pPr>
      <w:r>
        <w:rPr>
          <w:b/>
        </w:rPr>
        <w:t xml:space="preserve">Notes: </w:t>
      </w:r>
      <w:r>
        <w:t>abstract_source=nature_html</w:t>
      </w:r>
    </w:p>
    <w:p>
      <w:pPr>
        <w:spacing w:before="0" w:after="80" w:lineRule="auto" w:line="276"/>
      </w:pPr>
      <w:r>
        <w:rPr>
          <w:b/>
        </w:rPr>
        <w:t xml:space="preserve">摘要（ZH）: </w:t>
      </w:r>
      <w:r>
        <w:t>对种群动态中的混沌理论的探索表明，不可预测的系统通常可以使用极其简单的数学来建模。对种群动态中的混沌理论的探索表明，不可预测的系统通常可以使用极其简单的数学来建模。</w:t>
      </w:r>
    </w:p>
    <w:p>
      <w:pPr>
        <w:spacing w:before="0" w:after="200" w:lineRule="auto" w:line="276"/>
      </w:pPr>
      <w:r>
        <w:rPr>
          <w:b/>
        </w:rPr>
        <w:t xml:space="preserve">Abstract (EN): </w:t>
      </w:r>
      <w:r>
        <w:t>An exploration of chaos theory in population dynamics showed that unpredictable systems can often be modelled using surprisingly simple mathematics. An exploration of chaos theory in population dynamics showed that unpredictable systems can often be modelled using surprisingly simple mathematics.</w:t>
      </w:r>
    </w:p>
    <w:p>
      <w:pPr>
        <w:spacing w:before="120" w:after="120"/>
      </w:pPr>
      <w:r>
        <w:rPr>
          <w:sz w:val="18"/>
        </w:rPr>
        <w:t>——————————————————————————————————————————————————————————————————————</w:t>
      </w:r>
    </w:p>
    <w:p>
      <w:pPr>
        <w:spacing w:before="160" w:after="40" w:line="240" w:lineRule="auto"/>
      </w:pPr>
      <w:r>
        <w:rPr>
          <w:b/>
        </w:rPr>
        <w:t xml:space="preserve">[57] </w:t>
      </w:r>
      <w:hyperlink r:id="rId405">
        <w:r>
          <w:rPr>
            <w:color w:val="1155CC"/>
            <w:u w:val="single"/>
          </w:rPr>
          <w:t>每日简报：人类胚胎基因组被精确改变</w:t>
        </w:r>
      </w:hyperlink>
    </w:p>
    <w:p>
      <w:pPr>
        <w:spacing w:before="0" w:after="80"/>
      </w:pPr>
      <w:r>
        <w:rPr>
          <w:i/>
          <w:sz w:val="20"/>
        </w:rPr>
        <w:t>EN: Daily briefing: Human embryo genomes precisely altered</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406">
        <w:r>
          <w:rPr>
            <w:color w:val="1155CC"/>
            <w:u w:val="single"/>
          </w:rPr>
          <w:t>10.1038/d41586-026-01852-7</w:t>
        </w:r>
      </w:hyperlink>
    </w:p>
    <w:p>
      <w:pPr>
        <w:spacing w:before="0" w:after="120"/>
      </w:pPr>
      <w:r>
        <w:rPr>
          <w:b/>
        </w:rPr>
        <w:t xml:space="preserve">Notes: </w:t>
      </w:r>
      <w:r>
        <w:t>abstract_source=nature_html</w:t>
      </w:r>
    </w:p>
    <w:p>
      <w:pPr>
        <w:spacing w:before="0" w:after="80" w:lineRule="auto" w:line="276"/>
      </w:pPr>
      <w:r>
        <w:rPr>
          <w:b/>
        </w:rPr>
        <w:t xml:space="preserve">摘要（ZH）: </w:t>
      </w:r>
      <w:r>
        <w:t>使用“碱基编辑”来精确调整人类胚胎的做法引起了研究人员的分歧。此外，中国污染较少的汽车拯救了多少生命，以及如何引导世界走向可持续的未来。使用“碱基编辑”来精确调整人类胚胎的做法引起了研究人员的分歧。此外，中国污染较少的汽车拯救了多少生命，以及如何引导世界走向可持续的未来。</w:t>
      </w:r>
    </w:p>
    <w:p>
      <w:pPr>
        <w:spacing w:before="0" w:after="200" w:lineRule="auto" w:line="276"/>
      </w:pPr>
      <w:r>
        <w:rPr>
          <w:b/>
        </w:rPr>
        <w:t xml:space="preserve">Abstract (EN): </w:t>
      </w:r>
      <w:r>
        <w:t>The use of 'base editing' to precisely tweak human embryos has divided researchers. Plus, the number of lives saved by less-polluting cars in China and how to tip the world towards a sustainable future. The use of 'base editing' to precisely tweak human embryos has divided researchers. Plus, the number of lives saved by less-polluting cars in China and how to tip the world towards a sustainable future.</w:t>
      </w:r>
    </w:p>
    <w:p>
      <w:pPr>
        <w:spacing w:before="120" w:after="120"/>
      </w:pPr>
      <w:r>
        <w:rPr>
          <w:sz w:val="18"/>
        </w:rPr>
        <w:t>——————————————————————————————————————————————————————————————————————</w:t>
      </w:r>
    </w:p>
    <w:p>
      <w:pPr>
        <w:spacing w:before="160" w:after="40" w:line="240" w:lineRule="auto"/>
      </w:pPr>
      <w:r>
        <w:rPr>
          <w:b/>
        </w:rPr>
        <w:t xml:space="preserve">[58] </w:t>
      </w:r>
      <w:hyperlink r:id="rId407">
        <w:r>
          <w:rPr>
            <w:color w:val="1155CC"/>
            <w:u w:val="single"/>
          </w:rPr>
          <w:t>通过 RNA 触发的染色质粉碎来靶向癌症特异性突变</w:t>
        </w:r>
      </w:hyperlink>
    </w:p>
    <w:p>
      <w:pPr>
        <w:spacing w:before="0" w:after="80"/>
      </w:pPr>
      <w:r>
        <w:rPr>
          <w:i/>
          <w:sz w:val="20"/>
        </w:rPr>
        <w:t>EN: Targeting Cancer-Specific Mutations with RNA-Triggered Chromatin Shredding</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408">
        <w:r>
          <w:rPr>
            <w:color w:val="1155CC"/>
            <w:u w:val="single"/>
          </w:rPr>
          <w:t>10.1038/s41586-026-10738-7</w:t>
        </w:r>
      </w:hyperlink>
    </w:p>
    <w:p>
      <w:pPr>
        <w:spacing w:before="0" w:after="120"/>
      </w:pPr>
      <w:r>
        <w:rPr>
          <w:b/>
        </w:rPr>
        <w:t xml:space="preserve">Notes: </w:t>
      </w:r>
      <w:r>
        <w:t>abstract_source=nature_html</w:t>
      </w:r>
    </w:p>
    <w:p>
      <w:pPr>
        <w:spacing w:before="0" w:after="80" w:lineRule="auto" w:line="276"/>
      </w:pPr>
      <w:r>
        <w:rPr>
          <w:b/>
        </w:rPr>
        <w:t xml:space="preserve">摘要（ZH）: </w:t>
      </w:r>
      <w:r>
        <w:t>导致癌症的基因突变通常发生在肿瘤抑制蛋白中，包括 p53 转录因子，该因子在约 40-50% 的病例中发生改变1,2。然而，目前的疗法无法针对大多数此类突变，因为突变蛋白通常缺乏明确的药物结合袋，并且恢复内源功能已被证明具有挑战性。在这里，我们编程了 CRISPR-Cas12a2，一种具有反式溶核活性的 RNA 引导核酸酶 3,4，通过靶向癌症特异性转录本来选择性杀死癌细胞。这种方法通过诱导染色质反式破碎、触发 DNA 损伤反应和细胞死亡来限制细胞生长。与现有方法不同，RNA 引导的 Cas12a2 能够感知细胞 RNA 特征，从而能够精确靶向不可成药的突变。转录激活的染色质粉碎为不可成药靶标的精准疾病治疗提供了一种新方法。</w:t>
      </w:r>
    </w:p>
    <w:p>
      <w:pPr>
        <w:spacing w:before="0" w:after="200" w:lineRule="auto" w:line="276"/>
      </w:pPr>
      <w:r>
        <w:rPr>
          <w:b/>
        </w:rPr>
        <w:t xml:space="preserve">Abstract (EN): </w:t>
      </w:r>
      <w:r>
        <w:t>Genetic mutations that drive cancer often occur in tumor suppressor proteins, including the p53 transcription factor which is altered in ~40-50% of cases1,2. However, current therapies fail to target most such mutations because the mutant proteins typically lack defined drug-binding pockets, and restoring the endogenous function has proven challenging. Here, we programmed CRISPR-Cas12a2, an RNA-guided nuclease with trans-nucleolytic cleavage activities3,4, to selectively kill cancer cells by targeting cancer-specific transcripts. This approach limits cell growth by inducing trans shredding of chromatin, triggering DNA damage responses and cell death. Unlike existing methods, RNA-guided Cas12a2 senses cellular RNA signatures, enabling precise targeting of undruggable mutations. Transcript-activated chromatin shredding provides a new approach to precision disease treatments for undruggable targets.</w:t>
      </w:r>
    </w:p>
    <w:p>
      <w:pPr>
        <w:spacing w:before="120" w:after="120"/>
      </w:pPr>
      <w:r>
        <w:rPr>
          <w:sz w:val="18"/>
        </w:rPr>
        <w:t>——————————————————————————————————————————————————————————————————————</w:t>
      </w:r>
    </w:p>
    <w:p>
      <w:pPr>
        <w:spacing w:before="160" w:after="40" w:line="240" w:lineRule="auto"/>
      </w:pPr>
      <w:r>
        <w:rPr>
          <w:b/>
        </w:rPr>
        <w:t xml:space="preserve">[59] </w:t>
      </w:r>
      <w:hyperlink r:id="rId409">
        <w:r>
          <w:rPr>
            <w:color w:val="1155CC"/>
            <w:u w:val="single"/>
          </w:rPr>
          <w:t>跨大脑和绳索连接组的分布式控制电路</w:t>
        </w:r>
      </w:hyperlink>
    </w:p>
    <w:p>
      <w:pPr>
        <w:spacing w:before="0" w:after="80"/>
      </w:pPr>
      <w:r>
        <w:rPr>
          <w:i/>
          <w:sz w:val="20"/>
        </w:rPr>
        <w:t>EN: Distributed control circuits across a brain-and-cord connectome</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410">
        <w:r>
          <w:rPr>
            <w:color w:val="1155CC"/>
            <w:u w:val="single"/>
          </w:rPr>
          <w:t>10.1038/s41586-026-10735-w</w:t>
        </w:r>
      </w:hyperlink>
    </w:p>
    <w:p>
      <w:pPr>
        <w:spacing w:before="0" w:after="120"/>
      </w:pPr>
      <w:r>
        <w:rPr>
          <w:b/>
        </w:rPr>
        <w:t xml:space="preserve">Notes: </w:t>
      </w:r>
      <w:r>
        <w:t>abstract_source=nature_html</w:t>
      </w:r>
    </w:p>
    <w:p>
      <w:pPr>
        <w:spacing w:before="0" w:after="80" w:lineRule="auto" w:line="276"/>
      </w:pPr>
      <w:r>
        <w:rPr>
          <w:b/>
        </w:rPr>
        <w:t xml:space="preserve">摘要（ZH）: </w:t>
      </w:r>
      <w:r>
        <w:t>正如基因组彻底改变了分子遗传学一样，连接组（神经元和突触图谱）正在改变神经科学。迄今为止，唯一具有完整连接体的生物是蠕虫1-3、海鞘4和栉水母5（103-104个突触）。相比之下，果蝇更为复杂（108 个突触连接），具有支持学习和空间记忆的大脑 6,7 以及类似于脊椎动物脊髓的复杂腹侧神经索 8-12。在这里，我们报告了第一个密集重建的成蝇连接组，它将大脑和腹神经索结合在一起，我们利用这一资源来研究神经控制的原理。我们发现效应神经元（运动神经元、内分泌细胞和针对内脏的传出神经元）主要受到同一身体部位的感觉神经元的影响，形成局部反馈回路。这些局部环路通过远程环路连接，涉及组织成以行为为中心的模块的上升和下降神经元。单个上升和下降神经元通常会影响多个身体部位的自主运动，以及支持这些运动的内分泌细胞或内脏器官。参与学习和导航的大脑区域监督这些回路。这些结果揭示了一种分布式、并行化和具体化的架构，让人想起工程系统中的分布式控制架构13,14。</w:t>
      </w:r>
    </w:p>
    <w:p>
      <w:pPr>
        <w:spacing w:before="0" w:after="200" w:lineRule="auto" w:line="276"/>
      </w:pPr>
      <w:r>
        <w:rPr>
          <w:b/>
        </w:rPr>
        <w:t xml:space="preserve">Abstract (EN): </w:t>
      </w:r>
      <w:r>
        <w:t>Just as genomes revolutionized molecular genetics, connectomes (maps of neurons and synapses) are transforming neuroscience. To date, the only organisms with complete connectomes are worms1–3, sea squirts4, and comb jellies5 (103–104 synapses). By contrast, the fruit fly is more complex (108 synaptic connections), with a brain that supports learning and spatial memory6,7 and an intricate ventral nerve cord analogous to the vertebrate spinal cord8–12. Here we report the first densely-reconstructed adult fly connectome that unites the brain and ventral nerve cord, and we leverage this resource to investigate principles of neural control. We show that effector neurons (motor neurons, endocrine cells, and efferent neurons targeting the viscera) are primarily influenced by sensory neurons in the same body part, forming local feedback loops. These local loops are linked by long-range circuits involving ascending and descending neurons organized into behavior-centric modules. Single ascending and descending neurons are often positioned to influence the voluntary movements of multiple body parts, together with the endocrine cells or visceral organs that support those movements. Brain regions involved in learning and navigation supervise these circuits. These results reveal an architecture that is distributed, parallelized, and embodied, reminiscent of distributed control architectures in engineered systems13,14.</w:t>
      </w:r>
    </w:p>
    <w:p>
      <w:pPr>
        <w:spacing w:before="120" w:after="120"/>
      </w:pPr>
      <w:r>
        <w:rPr>
          <w:sz w:val="18"/>
        </w:rPr>
        <w:t>——————————————————————————————————————————————————————————————————————</w:t>
      </w:r>
    </w:p>
    <w:p>
      <w:pPr>
        <w:spacing w:before="160" w:after="40" w:line="240" w:lineRule="auto"/>
      </w:pPr>
      <w:r>
        <w:rPr>
          <w:b/>
        </w:rPr>
        <w:t xml:space="preserve">[60] </w:t>
      </w:r>
      <w:hyperlink r:id="rId411">
        <w:r>
          <w:rPr>
            <w:color w:val="1155CC"/>
            <w:u w:val="single"/>
          </w:rPr>
          <w:t>GPR15引导的CD8+ T调节细胞控制肠道炎症</w:t>
        </w:r>
      </w:hyperlink>
    </w:p>
    <w:p>
      <w:pPr>
        <w:spacing w:before="0" w:after="80"/>
      </w:pPr>
      <w:r>
        <w:rPr>
          <w:i/>
          <w:sz w:val="20"/>
        </w:rPr>
        <w:t>EN: GPR15-guided CD8+ T regulatory cells control intestinal inflammation</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412">
        <w:r>
          <w:rPr>
            <w:color w:val="1155CC"/>
            <w:u w:val="single"/>
          </w:rPr>
          <w:t>10.1038/s41586-026-10749-4</w:t>
        </w:r>
      </w:hyperlink>
    </w:p>
    <w:p>
      <w:pPr>
        <w:spacing w:before="0" w:after="120"/>
      </w:pPr>
      <w:r>
        <w:rPr>
          <w:b/>
        </w:rPr>
        <w:t xml:space="preserve">Notes: </w:t>
      </w:r>
      <w:r>
        <w:t>abstract_source=nature_html</w:t>
      </w:r>
    </w:p>
    <w:p>
      <w:pPr>
        <w:spacing w:before="0" w:after="80" w:lineRule="auto" w:line="276"/>
      </w:pPr>
      <w:r>
        <w:rPr>
          <w:b/>
        </w:rPr>
        <w:t xml:space="preserve">摘要（ZH）: </w:t>
      </w:r>
      <w:r>
        <w:t>炎症性肠病 (IBD) 会导致慢性胃肠道炎症和功能障碍，并可能进展为结肠癌1,2。该疾病的患病率正在增加，迫切需要更好地了解其致病机制以改善治疗。我们发现，GPR15 是一种在免疫细胞中表达的 G 蛋白偶联受体 (GPCR)，之前被描述为人类和猿类免疫缺陷病毒的进入辅助因子3，它是粘膜内 GPR15 引导的调节性 CD8+ T 淋巴细胞 (CD8+ TIGR) 子集的标记物和归巢受体。人类中有害的 GPR15 基因变异会导致 CD8+ TIGR 归巢缺陷，并与严重的早发性 IBD 相关。此外，散发性IBD患者肠粘膜中CD8+ TIGR细胞减少。在小鼠中，GPR15 缺陷会损害 CD8+ TIGR 细胞的结肠归巢，导致炎症巨噬细胞积聚并增加结肠炎的易感性。 CD8+ TIGR 细胞使用 Fas 配体 (FasL) 和 TNF 相关的弱凋亡诱导剂 (TWEAK) 有效杀死因肠道损伤或疾病而激活的巨噬细胞。 CD8+ TIGR 细胞的鉴定为器官特异性免疫调节和 IBD 的潜在治疗提供了新的见解。</w:t>
      </w:r>
    </w:p>
    <w:p>
      <w:pPr>
        <w:spacing w:before="0" w:after="200" w:lineRule="auto" w:line="276"/>
      </w:pPr>
      <w:r>
        <w:rPr>
          <w:b/>
        </w:rPr>
        <w:t xml:space="preserve">Abstract (EN): </w:t>
      </w:r>
      <w:r>
        <w:t>Inflammatory bowel disease (IBD) causes chronic suffering from gastrointestinal inflammation and dysfunction that can progress to colon cancer1,2. The disease prevalence is increasing and there is an urgent need to better understand its pathogenic mechanisms to improve treatment. We show that GPR15, a G protein-coupled receptor (GPCR) expressed in immune cells and previously described as an entry co-factor for human and simian immunodeficiency viruses3, is a marker and homing receptor for a subset of intramucosal GPR15-guided regulatory CD8+ T lymphocytes (CD8+ TIGR). Deleterious GPR15 gene variants in humans cause defective homing of CD8+ TIGR and are associated with severe early-onset IBD. Moreover, CD8+ TIGR cells are reduced in the intestinal mucosa of sporadic IBD patients. In mice, GPR15 deficiency impairs colonic homing of CD8+ TIGR cells, leading to accumulation of inflammatory macrophages and increased susceptibility to colitis. CD8+ TIGR cells potently kill macrophages activated by intestinal damage or disease using Fas ligand (FasL) and TNF-related weak inducer of apoptosis (TWEAK). The identification of CD8+ TIGR cells yields new insights into organ-specific immune regulation and potential therapeutics for IBD.</w:t>
      </w:r>
    </w:p>
    <w:p>
      <w:pPr>
        <w:spacing w:before="120" w:after="120"/>
      </w:pPr>
      <w:r>
        <w:rPr>
          <w:sz w:val="18"/>
        </w:rPr>
        <w:t>——————————————————————————————————————————————————————————————————————</w:t>
      </w:r>
    </w:p>
    <w:p>
      <w:pPr>
        <w:spacing w:before="160" w:after="40" w:line="240" w:lineRule="auto"/>
      </w:pPr>
      <w:r>
        <w:rPr>
          <w:b/>
        </w:rPr>
        <w:t xml:space="preserve">[61] </w:t>
      </w:r>
      <w:hyperlink r:id="rId413">
        <w:r>
          <w:rPr>
            <w:color w:val="1155CC"/>
            <w:u w:val="single"/>
          </w:rPr>
          <w:t>具有钉扎和宽横向复合的超低压电化学有机发光晶体管</w:t>
        </w:r>
      </w:hyperlink>
    </w:p>
    <w:p>
      <w:pPr>
        <w:spacing w:before="0" w:after="80"/>
      </w:pPr>
      <w:r>
        <w:rPr>
          <w:i/>
          <w:sz w:val="20"/>
        </w:rPr>
        <w:t>EN: Ultralow-voltage electrochemical organic light-emitting transistors with pinned and wide lateral recombination</w:t>
      </w:r>
    </w:p>
    <w:p>
      <w:pPr>
        <w:spacing w:before="0" w:after="120"/>
      </w:pPr>
      <w:r>
        <w:rPr>
          <w:b/>
        </w:rPr>
        <w:t xml:space="preserve">Source: </w:t>
      </w:r>
      <w:r>
        <w:t>Nature Materials</w:t>
      </w:r>
      <w:r>
        <w:t xml:space="preserve">    </w:t>
      </w:r>
      <w:r>
        <w:rPr>
          <w:b/>
        </w:rPr>
        <w:t xml:space="preserve">Pub date: </w:t>
      </w:r>
      <w:r>
        <w:t>2026-06-08 00:00:00+00:00</w:t>
      </w:r>
      <w:r>
        <w:t xml:space="preserve">    </w:t>
      </w:r>
      <w:r>
        <w:rPr>
          <w:b/>
        </w:rPr>
        <w:t xml:space="preserve">DOI: </w:t>
      </w:r>
      <w:hyperlink r:id="rId414">
        <w:r>
          <w:rPr>
            <w:color w:val="1155CC"/>
            <w:u w:val="single"/>
          </w:rPr>
          <w:t>10.1038/s41563-026-02613-7</w:t>
        </w:r>
      </w:hyperlink>
    </w:p>
    <w:p>
      <w:pPr>
        <w:spacing w:before="0" w:after="120"/>
      </w:pPr>
      <w:r>
        <w:rPr>
          <w:b/>
        </w:rPr>
        <w:t xml:space="preserve">Notes: </w:t>
      </w:r>
      <w:r>
        <w:t>abstract_source=nature_html</w:t>
      </w:r>
    </w:p>
    <w:p>
      <w:pPr>
        <w:spacing w:before="0" w:after="80" w:lineRule="auto" w:line="276"/>
      </w:pPr>
      <w:r>
        <w:rPr>
          <w:b/>
        </w:rPr>
        <w:t xml:space="preserve">摘要（ZH）: </w:t>
      </w:r>
      <w:r>
        <w:t>有机晶体管的光发射在从可穿戴和生物集成系统到神经形态电子产品等各种应用中具有强大的用户交互功能潜力。然而，传统的单活性层有机晶体管存在载流子注入效率低的问题，导致漏极电压较高（在场效应器件中&gt;80 V，在具有p-i-n结的电化学器件中&gt;3.5 V）和狭窄的空间动态复合区（3.5 V时为−2，并使用两个1.5 V电池运行。这项工作改进了单活性层OLET，并为具有直观、用户友好的可视化功能的有机电子系统铺平了道路。</w:t>
      </w:r>
    </w:p>
    <w:p>
      <w:pPr>
        <w:spacing w:before="0" w:after="200" w:lineRule="auto" w:line="276"/>
      </w:pPr>
      <w:r>
        <w:rPr>
          <w:b/>
        </w:rPr>
        <w:t xml:space="preserve">Abstract (EN): </w:t>
      </w:r>
      <w:r>
        <w:t>Light emission from organic transistors holds strong potential for user-interactive functionality across applications ranging from wearable and biointegrated systems to neuromorphic electronics. However, conventional single-active-layer organic transistors suffer from inefficient charge carrier injection, resulting in high drain voltages (&gt;80 V in field-effect devices and &gt;3.5 V in electrochemical devices with p–i–n junctions) and narrow, spatially dynamic recombination zones (−2 at 3.5 V, and operation with two 1.5-V batteries. This work advances single-active-layer OLETs and paves the way for organic electronic systems with intuitive, user-friendly visualization functions.</w:t>
      </w:r>
    </w:p>
    <w:p>
      <w:pPr>
        <w:spacing w:before="120" w:after="120"/>
      </w:pPr>
      <w:r>
        <w:rPr>
          <w:sz w:val="18"/>
        </w:rPr>
        <w:t>——————————————————————————————————————————————————————————————————————</w:t>
      </w:r>
    </w:p>
    <w:p>
      <w:pPr>
        <w:spacing w:before="160" w:after="40" w:line="240" w:lineRule="auto"/>
      </w:pPr>
      <w:r>
        <w:rPr>
          <w:b/>
        </w:rPr>
        <w:t xml:space="preserve">[62] </w:t>
      </w:r>
      <w:hyperlink r:id="rId415">
        <w:r>
          <w:rPr>
            <w:color w:val="1155CC"/>
            <w:u w:val="single"/>
          </w:rPr>
          <w:t>用于递送环状二核苷酸的氧化胺脂质纳米颗粒</w:t>
        </w:r>
      </w:hyperlink>
    </w:p>
    <w:p>
      <w:pPr>
        <w:spacing w:before="0" w:after="80"/>
      </w:pPr>
      <w:r>
        <w:rPr>
          <w:i/>
          <w:sz w:val="20"/>
        </w:rPr>
        <w:t>EN: Amine oxide lipid nanoparticles for delivery of cyclic dinucleotides</w:t>
      </w:r>
    </w:p>
    <w:p>
      <w:pPr>
        <w:spacing w:before="0" w:after="120"/>
      </w:pPr>
      <w:r>
        <w:rPr>
          <w:b/>
        </w:rPr>
        <w:t xml:space="preserve">Source: </w:t>
      </w:r>
      <w:r>
        <w:t>National Science Review Advance Access</w:t>
      </w:r>
      <w:r>
        <w:t xml:space="preserve">    </w:t>
      </w:r>
      <w:r>
        <w:rPr>
          <w:b/>
        </w:rPr>
        <w:t xml:space="preserve">Pub date: </w:t>
      </w:r>
      <w:r>
        <w:t>2026-06-08 00:00:00+00:00</w:t>
      </w:r>
      <w:r>
        <w:t xml:space="preserve">    </w:t>
      </w:r>
      <w:r>
        <w:rPr>
          <w:b/>
        </w:rPr>
        <w:t xml:space="preserve">DOI: </w:t>
      </w:r>
      <w:hyperlink r:id="rId416">
        <w:r>
          <w:rPr>
            <w:color w:val="1155CC"/>
            <w:u w:val="single"/>
          </w:rPr>
          <w:t>10.1093/nsr/nwag340</w:t>
        </w:r>
      </w:hyperlink>
    </w:p>
    <w:p>
      <w:pPr>
        <w:spacing w:before="0" w:after="120"/>
      </w:pPr>
      <w:r>
        <w:rPr>
          <w:b/>
        </w:rPr>
        <w:t xml:space="preserve">Notes: </w:t>
      </w:r>
      <w:r>
        <w:t>abstract_source=rss_oup</w:t>
      </w:r>
    </w:p>
    <w:p>
      <w:pPr>
        <w:spacing w:before="0" w:after="80" w:lineRule="auto" w:line="276"/>
      </w:pPr>
      <w:r>
        <w:rPr>
          <w:b/>
        </w:rPr>
        <w:t xml:space="preserve">摘要（ZH）: </w:t>
      </w:r>
      <w:r>
        <w:t>环状二核苷酸（CDN）作为干扰素基因刺激物（STING）的有效激动剂的临床潜力因缺乏强大的递送系统而受到阻碍。虽然脂质纳米粒子 (LNP) 擅长处理大核酸，但它们不适合传递小型、两性离子和高亲水性 CDN。在这里，我们发现叔胺氧化物脂质（AOL）通过增强的氢键和静电相互作用促进CDNs稳定封装到LNP中，从而产生86.8%的超高封装效率。与阳离子脂质体相比，结合 AOL 的 LNP 表现出优异的肿瘤渗透性和胞质货物递送能力，引发广泛而有效的肿瘤内 STING 激活。随着肿瘤学中对联合治疗的日益重视，我们进一步在 LNP 中加入脂质化米托蒽醌作为免疫原性细胞死亡的诱导剂，以增强肿瘤抗原呈递和 STING 驱动的免疫治疗。获得的 LNP 在多种具有挑战性的动物模型中激发了有效的免疫刺激和抗肿瘤作用，包括三阴性乳腺癌、胰腺癌和黑色素瘤。</w:t>
      </w:r>
    </w:p>
    <w:p>
      <w:pPr>
        <w:spacing w:before="0" w:after="200" w:lineRule="auto" w:line="276"/>
      </w:pPr>
      <w:r>
        <w:rPr>
          <w:b/>
        </w:rPr>
        <w:t xml:space="preserve">Abstract (EN): </w:t>
      </w:r>
      <w:r>
        <w:t>The clinical potential of cyclic dinucleotides (CDNs) as potent agonists of stimulator of interferon gene (STING) has been hampered by the lack of robust delivery systems. While lipid nanoparticles (LNPs) excel with large nucleic acids, they are unsuitable for delivering small, zwitterionic and highly hydrophilic CDNs. Here, we find that the tertiary amine oxide lipid (AOL) promotes stable encapsulation of CDNs into LNP through enhanced hydrogen bonding and electrostatic interactions, resulting in ultra-high encapsulation efficiency of 86.8%. Compared to cationic liposomes, AOL-incorporating LNP exhibits superior tumor penetration and cytosolic cargo delivery, eliciting broad and potent intratumoral STING activation. In line with growing emphasis on combination therapy in oncology, we further incorporate lipidated mitoxantrone in the LNP as an inducer of immunogenic cell death to enhance tumor antigen presentation and STING-driven immunotherapy. The obtained LNP provokes potent immunostimulatory and anti-tumor effects in multiple challenging animal models, including triple-negative breast cancer, pancreatic cancer and melanoma.</w:t>
      </w:r>
    </w:p>
    <w:p>
      <w:pPr>
        <w:spacing w:before="120" w:after="120"/>
      </w:pPr>
      <w:r>
        <w:rPr>
          <w:sz w:val="18"/>
        </w:rPr>
        <w:t>——————————————————————————————————————————————————————————————————————</w:t>
      </w:r>
    </w:p>
    <w:p>
      <w:pPr>
        <w:spacing w:before="160" w:after="40" w:line="240" w:lineRule="auto"/>
      </w:pPr>
      <w:r>
        <w:rPr>
          <w:b/>
        </w:rPr>
        <w:t xml:space="preserve">[63] </w:t>
      </w:r>
      <w:hyperlink r:id="rId417">
        <w:r>
          <w:rPr>
            <w:color w:val="1155CC"/>
            <w:u w:val="single"/>
          </w:rPr>
          <w:t>宫内 NK 细胞治疗不明原因复发性妊娠失败</w:t>
        </w:r>
      </w:hyperlink>
    </w:p>
    <w:p>
      <w:pPr>
        <w:spacing w:before="0" w:after="80"/>
      </w:pPr>
      <w:r>
        <w:rPr>
          <w:i/>
          <w:sz w:val="20"/>
        </w:rPr>
        <w:t>EN: Intrauterine NK Cell Therapy for Unexplained Recurrent Pregnancy Failure</w:t>
      </w:r>
    </w:p>
    <w:p>
      <w:pPr>
        <w:spacing w:before="0" w:after="120"/>
      </w:pPr>
      <w:r>
        <w:rPr>
          <w:b/>
        </w:rPr>
        <w:t xml:space="preserve">Source: </w:t>
      </w:r>
      <w:r>
        <w:t>National Science Review Advance Access</w:t>
      </w:r>
      <w:r>
        <w:t xml:space="preserve">    </w:t>
      </w:r>
      <w:r>
        <w:rPr>
          <w:b/>
        </w:rPr>
        <w:t xml:space="preserve">Pub date: </w:t>
      </w:r>
      <w:r>
        <w:t>2026-06-08 00:00:00+00:00</w:t>
      </w:r>
      <w:r>
        <w:t xml:space="preserve">    </w:t>
      </w:r>
      <w:r>
        <w:rPr>
          <w:b/>
        </w:rPr>
        <w:t xml:space="preserve">DOI: </w:t>
      </w:r>
      <w:hyperlink r:id="rId418">
        <w:r>
          <w:rPr>
            <w:color w:val="1155CC"/>
            <w:u w:val="single"/>
          </w:rPr>
          <w:t>10.1093/nsr/nwag332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419">
        <w:r>
          <w:rPr>
            <w:color w:val="1155CC"/>
            <w:u w:val="single"/>
          </w:rPr>
          <w:t>用于健康监测的聚合物柔性无线传感器</w:t>
        </w:r>
      </w:hyperlink>
    </w:p>
    <w:p>
      <w:pPr>
        <w:spacing w:before="0" w:after="80"/>
      </w:pPr>
      <w:r>
        <w:rPr>
          <w:i/>
          <w:sz w:val="20"/>
        </w:rPr>
        <w:t>EN: Polymer-Based Flexible Wireless Sensors for Health Monitoring</w:t>
      </w:r>
    </w:p>
    <w:p>
      <w:pPr>
        <w:spacing w:before="0" w:after="120"/>
      </w:pPr>
      <w:r>
        <w:rPr>
          <w:b/>
        </w:rPr>
        <w:t xml:space="preserve">Source: </w:t>
      </w:r>
      <w:r>
        <w:t>Nano-Micro Letters</w:t>
      </w:r>
      <w:r>
        <w:t xml:space="preserve">    </w:t>
      </w:r>
      <w:r>
        <w:rPr>
          <w:b/>
        </w:rPr>
        <w:t xml:space="preserve">Pub date: </w:t>
      </w:r>
      <w:r>
        <w:t>2026-06-08 00:00:00+00:00</w:t>
      </w:r>
      <w:r>
        <w:t xml:space="preserve">    </w:t>
      </w:r>
      <w:r>
        <w:rPr>
          <w:b/>
        </w:rPr>
        <w:t xml:space="preserve">DOI: </w:t>
      </w:r>
      <w:hyperlink r:id="rId420">
        <w:r>
          <w:rPr>
            <w:color w:val="1155CC"/>
            <w:u w:val="single"/>
          </w:rPr>
          <w:t>10.1007/s40820-026-02233-5</w:t>
        </w:r>
      </w:hyperlink>
    </w:p>
    <w:p>
      <w:pPr>
        <w:spacing w:before="0" w:after="120"/>
      </w:pPr>
      <w:r>
        <w:rPr>
          <w:b/>
        </w:rPr>
        <w:t xml:space="preserve">Notes: </w:t>
      </w:r>
      <w:r>
        <w:t>abstract_source=rss_description</w:t>
      </w:r>
    </w:p>
    <w:p>
      <w:pPr>
        <w:spacing w:before="0" w:after="80" w:lineRule="auto" w:line="276"/>
      </w:pPr>
      <w:r>
        <w:rPr>
          <w:b/>
        </w:rPr>
        <w:t xml:space="preserve">摘要（ZH）: </w:t>
      </w:r>
      <w:r>
        <w:t>基于聚合物的柔性无线传感器在健康监测方面已展现出巨大的潜力。然而，现有的研究主要集中在材料设计、能量收集和无线通信上，而针对无线链路内信号衰减、噪声积累和数据失真的研究仍然相对有限。生理信号在采集和传输过程中极易受到多源干扰；如果没有有效的数据处理和智能分析策略，监测结果可能无法满足临床应用的准确性和稳定性要求。为了弥补这一研究空白，本综述基于柔性材料和无线供能模式的进步，构建了一个涵盖信号传感、链路传输和智能处理的综合框架。特别关注通道补偿、噪声抑制、特征提取、轻量级人工智能模型和边缘计算在提高数据质量和降低能耗方面的关键作用。此外，该评论系统地分析了无线链路稳定性和能源管理对监控性能的影响。通过强化数据处理和通信之间的协同机制，本工作旨在为下一代高可靠、低功耗、智能无线柔性健康监测系统提供设计原则和发展方向。亮点：1 基于聚合物的柔性无线传感器的系统级审查</w:t>
      </w:r>
    </w:p>
    <w:p>
      <w:pPr>
        <w:spacing w:before="0" w:after="200" w:lineRule="auto" w:line="276"/>
      </w:pPr>
      <w:r>
        <w:rPr>
          <w:b/>
        </w:rPr>
        <w:t xml:space="preserve">Abstract (EN): </w:t>
      </w:r>
      <w:r>
        <w:t>Polymer-based flexible wireless sensors have demonstrated significant potential in health monitoring. However, existing studies have predominantly focused on material design, energy harvesting, and wireless communication, while research addressing signal attenuation, noise accumulation, and data distortion within wireless links remains relatively limited. Physiological signals are highly susceptible to multi-source interference during acquisition and transmission; without effective data processing and intelligent analysis strategies, monitoring outcomes may fail to meet the accuracy and stability requirements of clinical applications. To address this research gap, this review constructs a comprehensive framework encompassing signal sensing, link transmission, and intelligent processing, building on advances in flexible materials and wireless energy supply modes. Special attention is given to the critical roles of channel compensation, noise suppression, feature extraction, lightweight artificial intelligence models, and edge computing in enhancing data quality and reducing energy consumption. Furthermore, the review systematically analyzes the impact of wireless link stability and energy management on monitoring performance. By reinforcing the synergistic mechanisms between data processing and communication, this work aims to provide design principles and development directions for the next generation of high-reliability, low-power, and intelligent wireless flexible health monitoring systems. Highlights:1 A system-level review of polymer-based flexible wireless sensors for epidermal, subcutaneous, and short-term implantable health monitoring is presented, elucidating the coupling among materials, interfaces, and wireless links.2 Materials design and application studies are systematically integrated to clarify how different material systems influence sensing performance, signal stability, and monitoring reliability.3 Key challenges and future trends are summarized, with emphasis on mitigating material-level noise, high sensitivity, multifunctional integration, and clinical translation potential.</w:t>
      </w:r>
    </w:p>
    <w:p>
      <w:pPr>
        <w:spacing w:before="120" w:after="120"/>
      </w:pPr>
      <w:r>
        <w:rPr>
          <w:sz w:val="18"/>
        </w:rPr>
        <w:t>——————————————————————————————————————————————————————————————————————</w:t>
      </w:r>
    </w:p>
    <w:p>
      <w:pPr>
        <w:spacing w:before="160" w:after="40" w:line="240" w:lineRule="auto"/>
      </w:pPr>
      <w:r>
        <w:rPr>
          <w:b/>
        </w:rPr>
        <w:t xml:space="preserve">[65] </w:t>
      </w:r>
      <w:hyperlink r:id="rId421">
        <w:r>
          <w:rPr>
            <w:color w:val="1155CC"/>
            <w:u w:val="single"/>
          </w:rPr>
          <w:t>机器人正在抓取开放数据——研究人员应该如何应对？</w:t>
        </w:r>
      </w:hyperlink>
    </w:p>
    <w:p>
      <w:pPr>
        <w:spacing w:before="0" w:after="80"/>
      </w:pPr>
      <w:r>
        <w:rPr>
          <w:i/>
          <w:sz w:val="20"/>
        </w:rPr>
        <w:t>EN: Bots are scraping open data — how should researchers respond?</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422">
        <w:r>
          <w:rPr>
            <w:color w:val="1155CC"/>
            <w:u w:val="single"/>
          </w:rPr>
          <w:t>10.1038/d41586-026-01689-0</w:t>
        </w:r>
      </w:hyperlink>
    </w:p>
    <w:p>
      <w:pPr>
        <w:spacing w:before="0" w:after="120"/>
      </w:pPr>
      <w:r>
        <w:rPr>
          <w:b/>
        </w:rPr>
        <w:t xml:space="preserve">Notes: </w:t>
      </w:r>
      <w:r>
        <w:t>abstract_source=nature_html</w:t>
      </w:r>
    </w:p>
    <w:p>
      <w:pPr>
        <w:spacing w:before="0" w:after="80" w:lineRule="auto" w:line="276"/>
      </w:pPr>
      <w:r>
        <w:rPr>
          <w:b/>
        </w:rPr>
        <w:t xml:space="preserve">摘要（ZH）: </w:t>
      </w:r>
      <w:r>
        <w:t>人工智能搜索开放数据集的能力如滚雪球般不断增长，这让一些科学家担心失去对信息的控制。人工智能搜索开放数据集的能力如滚雪球般不断增长，这让一些科学家担心失去对信息的控制。</w:t>
      </w:r>
    </w:p>
    <w:p>
      <w:pPr>
        <w:spacing w:before="0" w:after="200" w:lineRule="auto" w:line="276"/>
      </w:pPr>
      <w:r>
        <w:rPr>
          <w:b/>
        </w:rPr>
        <w:t xml:space="preserve">Abstract (EN): </w:t>
      </w:r>
      <w:r>
        <w:t>The snowballing ability of artificial intelligence to trawl open data sets has some scientists worried about losing control of their information. The snowballing ability of artificial intelligence to trawl open data sets has some scientists worried about losing control of their information.</w:t>
      </w:r>
    </w:p>
    <w:p>
      <w:pPr>
        <w:spacing w:before="120" w:after="120"/>
      </w:pPr>
      <w:r>
        <w:rPr>
          <w:sz w:val="18"/>
        </w:rPr>
        <w:t>——————————————————————————————————————————————————————————————————————</w:t>
      </w:r>
    </w:p>
    <w:p>
      <w:pPr>
        <w:spacing w:before="160" w:after="40" w:line="240" w:lineRule="auto"/>
      </w:pPr>
      <w:r>
        <w:rPr>
          <w:b/>
        </w:rPr>
        <w:t xml:space="preserve">[66] </w:t>
      </w:r>
      <w:hyperlink r:id="rId423">
        <w:r>
          <w:rPr>
            <w:color w:val="1155CC"/>
            <w:u w:val="single"/>
          </w:rPr>
          <w:t>用于多级视觉采集和深度传感的可拉伸高填充因子硅液态金属平台</w:t>
        </w:r>
      </w:hyperlink>
    </w:p>
    <w:p>
      <w:pPr>
        <w:spacing w:before="0" w:after="80"/>
      </w:pPr>
      <w:r>
        <w:rPr>
          <w:i/>
          <w:sz w:val="20"/>
        </w:rPr>
        <w:t>EN: Stretchable high-fill-factor silicon–liquid metal platform for multilevel visual acquisition and depth sensing</w:t>
      </w:r>
    </w:p>
    <w:p>
      <w:pPr>
        <w:spacing w:before="0" w:after="120"/>
      </w:pPr>
      <w:r>
        <w:rPr>
          <w:b/>
        </w:rPr>
        <w:t xml:space="preserve">Source: </w:t>
      </w:r>
      <w:r>
        <w:t>Nature Materials</w:t>
      </w:r>
      <w:r>
        <w:t xml:space="preserve">    </w:t>
      </w:r>
      <w:r>
        <w:rPr>
          <w:b/>
        </w:rPr>
        <w:t xml:space="preserve">Pub date: </w:t>
      </w:r>
      <w:r>
        <w:t>2026-06-08 00:00:00+00:00</w:t>
      </w:r>
      <w:r>
        <w:t xml:space="preserve">    </w:t>
      </w:r>
      <w:r>
        <w:rPr>
          <w:b/>
        </w:rPr>
        <w:t xml:space="preserve">DOI: </w:t>
      </w:r>
      <w:hyperlink r:id="rId424">
        <w:r>
          <w:rPr>
            <w:color w:val="1155CC"/>
            <w:u w:val="single"/>
          </w:rPr>
          <w:t>10.1038/s41563-026-02627-1</w:t>
        </w:r>
      </w:hyperlink>
    </w:p>
    <w:p>
      <w:pPr>
        <w:spacing w:before="0" w:after="120"/>
      </w:pPr>
      <w:r>
        <w:rPr>
          <w:b/>
        </w:rPr>
        <w:t xml:space="preserve">Notes: </w:t>
      </w:r>
      <w:r>
        <w:t>abstract_source=nature_html</w:t>
      </w:r>
    </w:p>
    <w:p>
      <w:pPr>
        <w:spacing w:before="0" w:after="80" w:lineRule="auto" w:line="276"/>
      </w:pPr>
      <w:r>
        <w:rPr>
          <w:b/>
        </w:rPr>
        <w:t xml:space="preserve">摘要（ZH）: </w:t>
      </w:r>
      <w:r>
        <w:t>符合复杂、不可展开表面的高密度可拉伸像素化电子产品是下一代机器人视觉系统、皮肤安装传感器和可穿戴电子产品的关键推动者。可拉伸像素化设备阵列的现有策略（例如屈曲机制、弹出结构、蛇形互连和剪纸设计）已经提供了部分解决方案。然而，同时实现高器件性能、可拉伸性、填充因子和集成密度的策略仍然难以实现。在这里，我们提出了用于可拉伸像素化电子产品的下一代平台，该平台将高性能单晶硅像素与超薄弹性体基板上的精细图案液态金属互连集成在一起。我们开发了一种单片微加工策略，可实现可定制、密集封装且机械兼容的像素化设备阵列。使用该平台，我们展示了可重构形状的成像设备，该设备可实现高达 81% 的出色填充因子和 100% 的双轴拉伸性。我们还推出了一种受人眼启发的机器人视觉系统，具有可调焦距和可安装在皮肤上的无透镜成像系统。视网膜和表皮成像系统的互补操作可实现多尺度视觉采集和深度感测。</w:t>
      </w:r>
    </w:p>
    <w:p>
      <w:pPr>
        <w:spacing w:before="0" w:after="200" w:lineRule="auto" w:line="276"/>
      </w:pPr>
      <w:r>
        <w:rPr>
          <w:b/>
        </w:rPr>
        <w:t xml:space="preserve">Abstract (EN): </w:t>
      </w:r>
      <w:r>
        <w:t>High-density stretchable pixelated electronics that conform to complex, non-developable surfaces are key enablers of next-generation robotic vision systems, skin-mountable sensors and wearable electronics. Existing strategies for stretchable pixelated device arrays—such as buckling mechanics, pop-up structures, serpentine interconnects and kirigami designs—have offered partial solutions. However, a strategy that simultaneously achieves high device performance, stretchability, fill factor and integration density has remained elusive. Here we present a next-generation platform for stretchable pixelated electronics that integrates high-performance single-crystalline silicon pixels with finely patterned liquid metal interconnects on ultrathin elastomeric substrates. We developed a monolithic microfabrication strategy that enables customizable, densely packed and mechanically compliant pixelated device arrays. Using this platform, we demonstrate shape-reconfigurable imaging devices that achieve superb fill factors of up to 81% and a biaxial stretchability of 100%. We also present a human-eye-inspired robotic vision system with tunable focus and a skin-mountable lens-free imaging system. The complementary operation of retinal and epidermal imaging systems enables multiscale visual acquisition and depth sensing.</w:t>
      </w:r>
    </w:p>
    <w:p>
      <w:pPr>
        <w:spacing w:before="120" w:after="120"/>
      </w:pPr>
      <w:r>
        <w:rPr>
          <w:sz w:val="18"/>
        </w:rPr>
        <w:t>——————————————————————————————————————————————————————————————————————</w:t>
      </w:r>
    </w:p>
    <w:p>
      <w:pPr>
        <w:spacing w:before="160" w:after="40" w:line="240" w:lineRule="auto"/>
      </w:pPr>
      <w:r>
        <w:rPr>
          <w:b/>
        </w:rPr>
        <w:t xml:space="preserve">[67] </w:t>
      </w:r>
      <w:hyperlink r:id="rId425">
        <w:r>
          <w:rPr>
            <w:color w:val="1155CC"/>
            <w:u w:val="single"/>
          </w:rPr>
          <w:t>人工智能正在应对抗生素耐药性——具体方法如下</w:t>
        </w:r>
      </w:hyperlink>
    </w:p>
    <w:p>
      <w:pPr>
        <w:spacing w:before="0" w:after="80"/>
      </w:pPr>
      <w:r>
        <w:rPr>
          <w:i/>
          <w:sz w:val="20"/>
        </w:rPr>
        <w:t>EN: AI is taking on antibiotic resistance — here’s how</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426">
        <w:r>
          <w:rPr>
            <w:color w:val="1155CC"/>
            <w:u w:val="single"/>
          </w:rPr>
          <w:t>10.1038/d41586-026-01818-9</w:t>
        </w:r>
      </w:hyperlink>
    </w:p>
    <w:p>
      <w:pPr>
        <w:spacing w:before="0" w:after="120"/>
      </w:pPr>
      <w:r>
        <w:rPr>
          <w:b/>
        </w:rPr>
        <w:t xml:space="preserve">Notes: </w:t>
      </w:r>
      <w:r>
        <w:t>abstract_source=nature_html</w:t>
      </w:r>
    </w:p>
    <w:p>
      <w:pPr>
        <w:spacing w:before="0" w:after="80" w:lineRule="auto" w:line="276"/>
      </w:pPr>
      <w:r>
        <w:rPr>
          <w:b/>
        </w:rPr>
        <w:t xml:space="preserve">摘要（ZH）: </w:t>
      </w:r>
      <w:r>
        <w:t>一套人工智能工具正在帮助加快发现新抗生素的过程。一套人工智能工具正在帮助加快发现新抗生素的过程。</w:t>
      </w:r>
    </w:p>
    <w:p>
      <w:pPr>
        <w:spacing w:before="0" w:after="200" w:lineRule="auto" w:line="276"/>
      </w:pPr>
      <w:r>
        <w:rPr>
          <w:b/>
        </w:rPr>
        <w:t xml:space="preserve">Abstract (EN): </w:t>
      </w:r>
      <w:r>
        <w:t>A suite of artificial-intelligence tools is helping to speed up the process of discovering new antibiotics. A suite of artificial-intelligence tools is helping to speed up the process of discovering new antibiotics.</w:t>
      </w:r>
    </w:p>
    <w:p>
      <w:pPr>
        <w:spacing w:before="120" w:after="120"/>
      </w:pPr>
      <w:r>
        <w:rPr>
          <w:sz w:val="18"/>
        </w:rPr>
        <w:t>——————————————————————————————————————————————————————————————————————</w:t>
      </w:r>
    </w:p>
    <w:p>
      <w:pPr>
        <w:spacing w:before="160" w:after="40" w:line="240" w:lineRule="auto"/>
      </w:pPr>
      <w:r>
        <w:rPr>
          <w:b/>
        </w:rPr>
        <w:t xml:space="preserve">[68] </w:t>
      </w:r>
      <w:hyperlink r:id="rId427">
        <w:r>
          <w:rPr>
            <w:color w:val="1155CC"/>
            <w:u w:val="single"/>
          </w:rPr>
          <w:t>金属有机-无机配合物的玻璃形成</w:t>
        </w:r>
      </w:hyperlink>
    </w:p>
    <w:p>
      <w:pPr>
        <w:spacing w:before="0" w:after="80"/>
      </w:pPr>
      <w:r>
        <w:rPr>
          <w:i/>
          <w:sz w:val="20"/>
        </w:rPr>
        <w:t>EN: Glass formation of metal organic-inorganic complexes</w:t>
      </w:r>
    </w:p>
    <w:p>
      <w:pPr>
        <w:spacing w:before="0" w:after="120"/>
      </w:pPr>
      <w:r>
        <w:rPr>
          <w:b/>
        </w:rPr>
        <w:t xml:space="preserve">Source: </w:t>
      </w:r>
      <w:r>
        <w:t>National Science Review Advance Access</w:t>
      </w:r>
      <w:r>
        <w:t xml:space="preserve">    </w:t>
      </w:r>
      <w:r>
        <w:rPr>
          <w:b/>
        </w:rPr>
        <w:t xml:space="preserve">Pub date: </w:t>
      </w:r>
      <w:r>
        <w:t>2026-06-08 00:00:00+00:00</w:t>
      </w:r>
      <w:r>
        <w:t xml:space="preserve">    </w:t>
      </w:r>
      <w:r>
        <w:rPr>
          <w:b/>
        </w:rPr>
        <w:t xml:space="preserve">DOI: </w:t>
      </w:r>
      <w:hyperlink r:id="rId428">
        <w:r>
          <w:rPr>
            <w:color w:val="1155CC"/>
            <w:u w:val="single"/>
          </w:rPr>
          <w:t>10.1093/nsr/nwag349</w:t>
        </w:r>
      </w:hyperlink>
    </w:p>
    <w:p>
      <w:pPr>
        <w:spacing w:before="0" w:after="120"/>
      </w:pPr>
      <w:r>
        <w:rPr>
          <w:b/>
        </w:rPr>
        <w:t xml:space="preserve">Notes: </w:t>
      </w:r>
      <w:r>
        <w:t>abstract_source=rss_oup</w:t>
      </w:r>
    </w:p>
    <w:p>
      <w:pPr>
        <w:spacing w:before="0" w:after="80" w:lineRule="auto" w:line="276"/>
      </w:pPr>
      <w:r>
        <w:rPr>
          <w:b/>
        </w:rPr>
        <w:t xml:space="preserve">摘要（ZH）: </w:t>
      </w:r>
      <w:r>
        <w:t>一些金属-有机-无机络合物（MOIC）以其玻璃形成能力而闻名。然而，由于 MOIC 玻璃形成的机理尚未得到很好的了解，因此形成玻璃的 MOIC 的组成范围相当有限。在这里，我们揭示了控制 MOIC 玻璃形成的结构因素，从而开发出新的 MOIC 玻璃形成剂。 MOIC 玻璃的形成依赖于氢键结构网络的形成。通过适当选择MOIC的金属中心、阴离子和有机配体，可以构建超分子结构网络，从而实现性能调节。此外，具有混合晶体的 MOIC 系统是通过配体混合生成的，然后通过熔融淬火玻璃化。衍生玻璃的玻璃化转变温度（Tg）可以通过用苯并咪唑取代咪唑来线性调节。有趣的是，玻璃化导致 MOIC 中短程、中程和长程尺度的氢键网络无序。这项工作扩大了具有各种功能的 MOIC 玻璃的成分范围。</w:t>
      </w:r>
    </w:p>
    <w:p>
      <w:pPr>
        <w:spacing w:before="0" w:after="200" w:lineRule="auto" w:line="276"/>
      </w:pPr>
      <w:r>
        <w:rPr>
          <w:b/>
        </w:rPr>
        <w:t xml:space="preserve">Abstract (EN): </w:t>
      </w:r>
      <w:r>
        <w:t>Some metal-organic-inorganic complexes (MOICs) are known for their glass-forming ability. However, the composition range of glass-forming MOICs is rather limited as the mechanism of MOIC glass formation has not been well understood. Here, we uncover the structural factors controlling MOIC glass formation and thereby develop new MOIC glass formers. MOIC glass formation relies on the creation of a hydrogen-bonded structural network. By properly choosing metal centers, anions, and organic ligands of MOICs, a supramolecular structural network can be constructed, thereby allowing property modulation. Furthermore, MOIC systems with mixed crystals are generated by ligand-mixing and then vitrified by melt-quenching. The glass-transition temperature (Tg) of the derived glasses can be linearly tuned through the substitution of benzimidazole for imidazole. Interestingly, vitrification led to disordering of hydrogen-bonded networks in MOICs at short-, medium-, and long-range scales. This work enables the expansion of the composition range of MOIC glasses with various functionalities.</w:t>
      </w:r>
    </w:p>
    <w:p>
      <w:pPr>
        <w:spacing w:before="120" w:after="120"/>
      </w:pPr>
      <w:r>
        <w:rPr>
          <w:sz w:val="18"/>
        </w:rPr>
        <w:t>——————————————————————————————————————————————————————————————————————</w:t>
      </w:r>
    </w:p>
    <w:p>
      <w:pPr>
        <w:spacing w:before="160" w:after="40" w:line="240" w:lineRule="auto"/>
      </w:pPr>
      <w:r>
        <w:rPr>
          <w:b/>
        </w:rPr>
        <w:t xml:space="preserve">[69] </w:t>
      </w:r>
      <w:hyperlink r:id="rId429">
        <w:r>
          <w:rPr>
            <w:color w:val="1155CC"/>
            <w:u w:val="single"/>
          </w:rPr>
          <w:t>可持续性还是反乌托邦？过去的模式告诉我们社会的发展方向</w:t>
        </w:r>
      </w:hyperlink>
    </w:p>
    <w:p>
      <w:pPr>
        <w:spacing w:before="0" w:after="80"/>
      </w:pPr>
      <w:r>
        <w:rPr>
          <w:i/>
          <w:sz w:val="20"/>
        </w:rPr>
        <w:t>EN: Sustainability or dystopia? What past patterns tell us about where society is heading</w:t>
      </w:r>
    </w:p>
    <w:p>
      <w:pPr>
        <w:spacing w:before="0" w:after="120"/>
      </w:pPr>
      <w:r>
        <w:rPr>
          <w:b/>
        </w:rPr>
        <w:t xml:space="preserve">Source: </w:t>
      </w:r>
      <w:r>
        <w:t>Nature</w:t>
      </w:r>
      <w:r>
        <w:t xml:space="preserve">    </w:t>
      </w:r>
      <w:r>
        <w:rPr>
          <w:b/>
        </w:rPr>
        <w:t xml:space="preserve">Pub date: </w:t>
      </w:r>
      <w:r>
        <w:t>2026-06-08 00:00:00+00:00</w:t>
      </w:r>
      <w:r>
        <w:t xml:space="preserve">    </w:t>
      </w:r>
      <w:r>
        <w:rPr>
          <w:b/>
        </w:rPr>
        <w:t xml:space="preserve">DOI: </w:t>
      </w:r>
      <w:hyperlink r:id="rId430">
        <w:r>
          <w:rPr>
            <w:color w:val="1155CC"/>
            <w:u w:val="single"/>
          </w:rPr>
          <w:t>10.1038/d41586-026-01821-0</w:t>
        </w:r>
      </w:hyperlink>
    </w:p>
    <w:p>
      <w:pPr>
        <w:spacing w:before="0" w:after="120"/>
      </w:pPr>
      <w:r>
        <w:rPr>
          <w:b/>
        </w:rPr>
        <w:t xml:space="preserve">Notes: </w:t>
      </w:r>
      <w:r>
        <w:t>abstract_source=nature_html</w:t>
      </w:r>
    </w:p>
    <w:p>
      <w:pPr>
        <w:spacing w:before="0" w:after="80" w:lineRule="auto" w:line="276"/>
      </w:pPr>
      <w:r>
        <w:rPr>
          <w:b/>
        </w:rPr>
        <w:t xml:space="preserve">摘要（ZH）: </w:t>
      </w:r>
      <w:r>
        <w:t>一本新书将环境临界点原则应用于过去的社会变革，并试图从今天的未来中吸取教训。一本新书将环境临界点原则应用于过去的社会变革，并试图从今天的未来中吸取教训。</w:t>
      </w:r>
    </w:p>
    <w:p>
      <w:pPr>
        <w:spacing w:before="0" w:after="200" w:lineRule="auto" w:line="276"/>
      </w:pPr>
      <w:r>
        <w:rPr>
          <w:b/>
        </w:rPr>
        <w:t xml:space="preserve">Abstract (EN): </w:t>
      </w:r>
      <w:r>
        <w:t>A new book applies principles of environmental tipping points to past societal transformations — and attempts to draw lessons about what the future holds today. A new book applies principles of environmental tipping points to past societal transformations — and attempts to draw lessons about what the future holds today.</w:t>
      </w:r>
    </w:p>
    <w:p>
      <w:pPr>
        <w:spacing w:before="120" w:after="120"/>
      </w:pPr>
      <w:r>
        <w:rPr>
          <w:sz w:val="18"/>
        </w:rPr>
        <w:t>——————————————————————————————————————————————————————————————————————</w:t>
      </w:r>
    </w:p>
    <w:p>
      <w:pPr>
        <w:spacing w:before="160" w:after="40" w:line="240" w:lineRule="auto"/>
      </w:pPr>
      <w:r>
        <w:rPr>
          <w:b/>
        </w:rPr>
        <w:t xml:space="preserve">[70] </w:t>
      </w:r>
      <w:hyperlink r:id="rId431">
        <w:r>
          <w:rPr>
            <w:color w:val="1155CC"/>
            <w:u w:val="single"/>
          </w:rPr>
          <w:t>释放微生物潜力，促进营养和可持续的粮食系统</w:t>
        </w:r>
      </w:hyperlink>
    </w:p>
    <w:p>
      <w:pPr>
        <w:spacing w:before="0" w:after="80"/>
      </w:pPr>
      <w:r>
        <w:rPr>
          <w:i/>
          <w:sz w:val="20"/>
        </w:rPr>
        <w:t>EN: Unlocking microbial potential to advance nutritious and sustainable food systems</w:t>
      </w:r>
    </w:p>
    <w:p>
      <w:pPr>
        <w:spacing w:before="0" w:after="120"/>
      </w:pPr>
      <w:r>
        <w:rPr>
          <w:b/>
        </w:rPr>
        <w:t xml:space="preserve">Source: </w:t>
      </w:r>
      <w:r>
        <w:t>One Earth</w:t>
      </w:r>
      <w:r>
        <w:t xml:space="preserve">    </w:t>
      </w:r>
      <w:r>
        <w:rPr>
          <w:b/>
        </w:rPr>
        <w:t xml:space="preserve">Pub date: </w:t>
      </w:r>
      <w:r>
        <w:t>2026-06-08 00:00:00+00:00</w:t>
      </w:r>
      <w:r>
        <w:t xml:space="preserve">    </w:t>
      </w:r>
      <w:r>
        <w:rPr>
          <w:b/>
        </w:rPr>
        <w:t xml:space="preserve">DOI: </w:t>
      </w:r>
      <w:hyperlink r:id="rId432">
        <w:r>
          <w:rPr>
            <w:color w:val="1155CC"/>
            <w:u w:val="single"/>
          </w:rPr>
          <w:t>10.1016/j.oneear.2026.101714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433">
        <w:r>
          <w:rPr>
            <w:color w:val="1155CC"/>
            <w:u w:val="single"/>
          </w:rPr>
          <w:t>野火风险指标对公共安全断电成本节省的影响</w:t>
        </w:r>
      </w:hyperlink>
    </w:p>
    <w:p>
      <w:pPr>
        <w:spacing w:before="0" w:after="80"/>
      </w:pPr>
      <w:r>
        <w:rPr>
          <w:i/>
          <w:sz w:val="20"/>
        </w:rPr>
        <w:t>EN: Wildfire risk metric impact on public safety power shutoff cost savings</w:t>
      </w:r>
    </w:p>
    <w:p>
      <w:pPr>
        <w:spacing w:before="0" w:after="120"/>
      </w:pPr>
      <w:r>
        <w:rPr>
          <w:b/>
        </w:rPr>
        <w:t xml:space="preserve">Source: </w:t>
      </w:r>
      <w:r>
        <w:t>ScienceDirect Publication: Applied Energy</w:t>
      </w:r>
      <w:r>
        <w:t xml:space="preserve">    </w:t>
      </w:r>
      <w:r>
        <w:rPr>
          <w:b/>
        </w:rPr>
        <w:t xml:space="preserve">Pub date: </w:t>
      </w:r>
      <w:r>
        <w:t>2026-06-08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 </w:t>
      </w:r>
      <w:hyperlink r:id="rId434">
        <w:r>
          <w:rPr>
            <w:color w:val="1155CC"/>
            <w:u w:val="single"/>
          </w:rPr>
          <w:t>与人工智能半导体初创企业一起寻求成功</w:t>
        </w:r>
      </w:hyperlink>
    </w:p>
    <w:p>
      <w:pPr>
        <w:spacing w:before="0" w:after="80"/>
      </w:pPr>
      <w:r>
        <w:rPr>
          <w:i/>
          <w:sz w:val="20"/>
        </w:rPr>
        <w:t>EN: Searching for success with semiconductor start-ups for artificial intelligence</w:t>
      </w:r>
    </w:p>
    <w:p>
      <w:pPr>
        <w:spacing w:before="0" w:after="120"/>
      </w:pPr>
      <w:r>
        <w:rPr>
          <w:b/>
        </w:rPr>
        <w:t xml:space="preserve">Source: </w:t>
      </w:r>
      <w:r>
        <w:t>Nature Electronics</w:t>
      </w:r>
      <w:r>
        <w:t xml:space="preserve">    </w:t>
      </w:r>
      <w:r>
        <w:rPr>
          <w:b/>
        </w:rPr>
        <w:t xml:space="preserve">Pub date: </w:t>
      </w:r>
      <w:r>
        <w:t>2026-06-08 00:00:00+00:00</w:t>
      </w:r>
      <w:r>
        <w:t xml:space="preserve">    </w:t>
      </w:r>
      <w:r>
        <w:rPr>
          <w:b/>
        </w:rPr>
        <w:t xml:space="preserve">DOI: </w:t>
      </w:r>
      <w:hyperlink r:id="rId435">
        <w:r>
          <w:rPr>
            <w:color w:val="1155CC"/>
            <w:u w:val="single"/>
          </w:rPr>
          <w:t>10.1038/s41928-026-01645-w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436">
        <w:r>
          <w:rPr>
            <w:color w:val="1155CC"/>
            <w:u w:val="single"/>
          </w:rPr>
          <w:t>能源政策如何支持全球南方国家的公正转型？南非可再生能源采购的见解</w:t>
        </w:r>
      </w:hyperlink>
    </w:p>
    <w:p>
      <w:pPr>
        <w:spacing w:before="0" w:after="80"/>
      </w:pPr>
      <w:r>
        <w:rPr>
          <w:i/>
          <w:sz w:val="20"/>
        </w:rPr>
        <w:t>EN: How can energy policy support a just transition for countries in the global South? Insights from South Africa's renewables procurement</w:t>
      </w:r>
    </w:p>
    <w:p>
      <w:pPr>
        <w:spacing w:before="0" w:after="120"/>
      </w:pPr>
      <w:r>
        <w:rPr>
          <w:b/>
        </w:rPr>
        <w:t xml:space="preserve">Source: </w:t>
      </w:r>
      <w:r>
        <w:t>ScienceDirect Publication: Energy Policy</w:t>
      </w:r>
      <w:r>
        <w:t xml:space="preserve">    </w:t>
      </w:r>
      <w:r>
        <w:rPr>
          <w:b/>
        </w:rPr>
        <w:t xml:space="preserve">Pub date: </w:t>
      </w:r>
      <w:r>
        <w:t>2026-06-08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 </w:t>
      </w:r>
      <w:hyperlink r:id="rId437">
        <w:r>
          <w:rPr>
            <w:color w:val="1155CC"/>
            <w:u w:val="single"/>
          </w:rPr>
          <w:t>舰载多能源混合推进系统的多目标尺寸优化及可行性和敏感性分析</w:t>
        </w:r>
      </w:hyperlink>
    </w:p>
    <w:p>
      <w:pPr>
        <w:spacing w:before="0" w:after="80"/>
      </w:pPr>
      <w:r>
        <w:rPr>
          <w:i/>
          <w:sz w:val="20"/>
        </w:rPr>
        <w:t>EN: Multi-objective sizing optimization of shipboard multi-energy hybrid propulsion systems with feasibility and sensitivity analysis</w:t>
      </w:r>
    </w:p>
    <w:p>
      <w:pPr>
        <w:spacing w:before="0" w:after="120"/>
      </w:pPr>
      <w:r>
        <w:rPr>
          <w:b/>
        </w:rPr>
        <w:t xml:space="preserve">Source: </w:t>
      </w:r>
      <w:r>
        <w:t>ScienceDirect Publication: Applied Energy</w:t>
      </w:r>
      <w:r>
        <w:t xml:space="preserve">    </w:t>
      </w:r>
      <w:r>
        <w:rPr>
          <w:b/>
        </w:rPr>
        <w:t xml:space="preserve">Pub date: </w:t>
      </w:r>
      <w:r>
        <w:t>2026-06-08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 </w:t>
      </w:r>
      <w:hyperlink r:id="rId438">
        <w:r>
          <w:rPr>
            <w:color w:val="1155CC"/>
            <w:u w:val="single"/>
          </w:rPr>
          <w:t>用于高度并行光计算的 192 维波长/模式/偏振复用光子架构</w:t>
        </w:r>
      </w:hyperlink>
    </w:p>
    <w:p>
      <w:pPr>
        <w:spacing w:before="0" w:after="80"/>
      </w:pPr>
      <w:r>
        <w:rPr>
          <w:i/>
          <w:sz w:val="20"/>
        </w:rPr>
        <w:t>EN: 192-dimensional wavelength-/mode-/polarization-multiplexed photonic architecture for highly-parallel optical computing</w:t>
      </w:r>
    </w:p>
    <w:p>
      <w:pPr>
        <w:spacing w:before="0" w:after="120"/>
      </w:pPr>
      <w:r>
        <w:rPr>
          <w:b/>
        </w:rPr>
        <w:t xml:space="preserve">Source: </w:t>
      </w:r>
      <w:r>
        <w:t>National Science Review Advance Access</w:t>
      </w:r>
      <w:r>
        <w:t xml:space="preserve">    </w:t>
      </w:r>
      <w:r>
        <w:rPr>
          <w:b/>
        </w:rPr>
        <w:t xml:space="preserve">Pub date: </w:t>
      </w:r>
      <w:r>
        <w:t>2026-06-08 00:00:00+00:00</w:t>
      </w:r>
      <w:r>
        <w:t xml:space="preserve">    </w:t>
      </w:r>
      <w:r>
        <w:rPr>
          <w:b/>
        </w:rPr>
        <w:t xml:space="preserve">DOI: </w:t>
      </w:r>
      <w:hyperlink r:id="rId439">
        <w:r>
          <w:rPr>
            <w:color w:val="1155CC"/>
            <w:u w:val="single"/>
          </w:rPr>
          <w:t>10.1093/nsr/nwag350</w:t>
        </w:r>
      </w:hyperlink>
    </w:p>
    <w:p>
      <w:pPr>
        <w:spacing w:before="0" w:after="120"/>
      </w:pPr>
      <w:r>
        <w:rPr>
          <w:b/>
        </w:rPr>
        <w:t xml:space="preserve">Notes: </w:t>
      </w:r>
      <w:r>
        <w:t>abstract_source=rss_oup</w:t>
      </w:r>
    </w:p>
    <w:p>
      <w:pPr>
        <w:spacing w:before="0" w:after="80" w:lineRule="auto" w:line="276"/>
      </w:pPr>
      <w:r>
        <w:rPr>
          <w:b/>
        </w:rPr>
        <w:t xml:space="preserve">摘要（ZH）: </w:t>
      </w:r>
      <w:r>
        <w:t>光子矩阵向量乘法 (MVM) 构成片上光子神经网络 (PNN) 的核心计算原语，可实现超高速乘法累加运算。大多数现有的光子 MVM 实现没有充分利用光固有的多维自由度，从而限制了并行性、可扩展性和功能灵活性。在这里，我们提出了一种 192 维多路复用光子计算架构，它同时利用 32 种波长、三种空间模式和双偏振，在单个集成平台内实现高度并行和完全可重构的光学计算。通过动态选择和组合多路复用通道，我们演示了灵活的卷积核重新配置，支持高达 13 × 13 的大型且可变的核大小，以及多通道并行信号处理。通过大规模和适应性强的卷积运算，我们通过实验证明了结构噪声的有效抑制、不同空间特征的增强提取以及整体轮廓信息的保存，这些功能仅使用传统的小内核架构很难实现。该光芯片可实现每秒15.36万亿次操作（TOPS）的吞吐量，通过采用更高速的调制和扩展光维度通道可以进一步提高吞吐量。总体而言，所提出的架构建立了一个强大且可扩展的光子计算范式，在计算机视觉、生物医学成像和新领域具有强大的潜力。</w:t>
      </w:r>
    </w:p>
    <w:p>
      <w:pPr>
        <w:spacing w:before="0" w:after="200" w:lineRule="auto" w:line="276"/>
      </w:pPr>
      <w:r>
        <w:rPr>
          <w:b/>
        </w:rPr>
        <w:t xml:space="preserve">Abstract (EN): </w:t>
      </w:r>
      <w:r>
        <w:t>Photonic matrix–vector multiplication (MVM) constitutes a core computational primitive in on-chip photonic neural networks (PNNs), enabling ultrahigh-speed multiply–accumulate operations. Most existing photonic MVM implementations do not fully exploit the intrinsic multi-dimensional degrees of freedom of light, thereby constraining parallelism, scalability, and functional flexibility. Here, we present a 192-dimensional multiplexed photonic computing architecture that simultaneously harnesses thirty-two wavelengths, three spatial modes, and dual polarizations, enabling highly parallel and fully reconfigurable optical computation within a single integrated platform. By dynamically selecting and combining multiplexed channels, we demonstrate flexible convolution-kernel reconfiguration, supporting large and variable kernel sizes up to 13 × 13, as well as multi-channel parallel signal processing. Enabled by large-scale and adaptable convolution operations, we experimentally demonstrate effective suppression of structured noise, enhanced extraction of diverse spatial features, and preservation of holistic contour information—capabilities that are difficult to achieve using conventional small-kernel architectures alone. The optical chip can achieve a throughput of 15.36 tera-operations per second (TOPS), which can be further improved by adopting higher-speed modulation and expanding the optical dimension channels. Overall, the proposed architecture establishes a powerful and scalable photonic computing paradigm, with strong potential for computer vision, biomedical imaging, and next-generation artificial intelligence systems, especially those demanding high-precision visual processing.</w:t>
      </w:r>
    </w:p>
    <w:p>
      <w:pPr>
        <w:spacing w:before="120" w:after="120"/>
      </w:pPr>
      <w:r>
        <w:rPr>
          <w:sz w:val="18"/>
        </w:rPr>
        <w:t>——————————————————————————————————————————————————————————————————————</w:t>
      </w:r>
    </w:p>
    <w:p>
      <w:pPr>
        <w:spacing w:before="160" w:after="40" w:line="240" w:lineRule="auto"/>
      </w:pPr>
      <w:r>
        <w:rPr>
          <w:b/>
        </w:rPr>
        <w:t xml:space="preserve">[76] </w:t>
      </w:r>
      <w:hyperlink r:id="rId440">
        <w:r>
          <w:rPr>
            <w:color w:val="1155CC"/>
            <w:u w:val="single"/>
          </w:rPr>
          <w:t>重新思考供体稀释有机太阳能电池中的电荷传输和复合</w:t>
        </w:r>
      </w:hyperlink>
    </w:p>
    <w:p>
      <w:pPr>
        <w:spacing w:before="0" w:after="80"/>
      </w:pPr>
      <w:r>
        <w:rPr>
          <w:i/>
          <w:sz w:val="20"/>
        </w:rPr>
        <w:t>EN: Rethinking Charge Transport and Recombination in Donor‐Diluted Organic Solar Cells</w:t>
      </w:r>
    </w:p>
    <w:p>
      <w:pPr>
        <w:spacing w:before="0" w:after="120"/>
      </w:pPr>
      <w:r>
        <w:rPr>
          <w:b/>
        </w:rPr>
        <w:t xml:space="preserve">Source: </w:t>
      </w:r>
      <w:r>
        <w:t>Wiley: Advanced Materials: Table of Contents</w:t>
      </w:r>
      <w:r>
        <w:t xml:space="preserve">    </w:t>
      </w:r>
      <w:r>
        <w:rPr>
          <w:b/>
        </w:rPr>
        <w:t xml:space="preserve">Pub date: </w:t>
      </w:r>
      <w:r>
        <w:t>2026-06-08 06:55:34+00:00</w:t>
      </w:r>
      <w:r>
        <w:t xml:space="preserve">    </w:t>
      </w:r>
      <w:r>
        <w:rPr>
          <w:b/>
        </w:rPr>
        <w:t xml:space="preserve">DOI: </w:t>
      </w:r>
      <w:hyperlink r:id="rId441">
        <w:r>
          <w:rPr>
            <w:color w:val="1155CC"/>
            <w:u w:val="single"/>
          </w:rPr>
          <w:t>10.1002/adma.202523681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我们系统地研究了供体比例为 1% 至 45% 的 PM6:Y12 体异质结太阳能电池，将形态、电荷传输和重组与器件性能联系起来。互补的结构和光谱方法表明，即使供体含量低于 5%，也会形成渗透性 PM6 网络，其层状堆积和垂直成分梯度不会阻碍电荷提取。有效活性层电导率向低供体分数的降低遵循三维渗流模型，表明电荷传输由网络拓扑控制，而不是没有明显的渗流阈值。从非成对 Langevin 重组到分散 Smoluchowski 型损失的转变发生在供体分数低于 5% 的情况下。后一种情况也是非成对的，即涉及总载流子密度的重组。相应地，我们观察到较高供体分数中的朗之万还原（主要由相遇后电子-空穴对的再解离主导）向低供体分数变化：在这些情况下，非成对损失率超出了朗之万模型的预测。这种状态与拓扑限制空穴传导导致的传输电阻增加相一致，尽管保留电荷产生效率较高，但导致填充因子降低。我们的结果表明，如果维持连续的供体网络，强供体稀释可以保留光生成，并揭示拓扑控制的传输和非朗之万重组如何结合</w:t>
      </w:r>
    </w:p>
    <w:p>
      <w:pPr>
        <w:spacing w:before="0" w:after="200" w:lineRule="auto" w:line="276"/>
      </w:pPr>
      <w:r>
        <w:rPr>
          <w:b/>
        </w:rPr>
        <w:t xml:space="preserve">Abstract (EN): </w:t>
      </w:r>
      <w:r>
        <w:t>We systematically investigate PM6:Y12 bulk‐heterojunction solar cells with donor fractions ranging from 1% to 45%, linking morphology, charge transport, and recombination to device performance. Complementary structural and spectroscopic methods reveal that a percolating PM6 network forms even at below 5% donor content, with lamellar stacking and vertical composition gradients that do not hinder the charge extraction. The reduction of the effective active layer conductivity toward low donor fractions obeys a three‐dimensional percolation model, indicating that charge transport is governed by network topology rather without a pronounced percolation threshold. A transition from nongeminate Langevin recombination to a dispersive Smoluchowski‐type loss occurs below 5% donor fraction. The latter regime is also nongeminate, i.e., pertains to recombination of the total charge carrier density. Correspondingly, we observe that the Langevin reduction in the higher donor fractions – mostly dominated by redissociation of electron–hole pairs after encounter – changes toward low donor fractions: in these cases, the nongeminate loss rate exceeds the prediction of the Langevin model. This regime coincides with increasing transport resistance due to topology‐limited hole conduction, leading to reduced fill factors despite a high retained charge‐generation efficiency. Our results demonstrate that strong donor dilution preserves photogeneration if a continuous donor network is maintained, and unveil how topology‐controlled transport and non‐Langevin recombination jointly define the performance limits of donor‐diluted organic solar blends.</w:t>
      </w:r>
    </w:p>
    <w:p>
      <w:pPr>
        <w:spacing w:before="120" w:after="120"/>
      </w:pPr>
      <w:r>
        <w:rPr>
          <w:sz w:val="18"/>
        </w:rPr>
        <w:t>——————————————————————————————————————————————————————————————————————</w:t>
      </w:r>
    </w:p>
    <w:p>
      <w:pPr>
        <w:spacing w:before="160" w:after="40" w:line="240" w:lineRule="auto"/>
      </w:pPr>
      <w:r>
        <w:rPr>
          <w:b/>
        </w:rPr>
        <w:t xml:space="preserve">[77] </w:t>
      </w:r>
      <w:hyperlink r:id="rId442">
        <w:r>
          <w:rPr>
            <w:color w:val="1155CC"/>
            <w:u w:val="single"/>
          </w:rPr>
          <w:t>可编程 DNA 水凝胶，通过多价 LYTAC 模拟物和转录沉默实现双模式 PD-L1 抑制</w:t>
        </w:r>
      </w:hyperlink>
    </w:p>
    <w:p>
      <w:pPr>
        <w:spacing w:before="0" w:after="80"/>
      </w:pPr>
      <w:r>
        <w:rPr>
          <w:i/>
          <w:sz w:val="20"/>
        </w:rPr>
        <w:t>EN: Programmable DNA hydrogels for dual-mode PD-L1 suppression via polyvalent LYTAC mimics and transcriptional silencing</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43">
        <w:r>
          <w:rPr>
            <w:color w:val="1155CC"/>
            <w:u w:val="single"/>
          </w:rPr>
          <w:t>10.1073/pnas.2602147123</w:t>
        </w:r>
      </w:hyperlink>
    </w:p>
    <w:p>
      <w:pPr>
        <w:spacing w:before="0" w:after="120"/>
      </w:pPr>
      <w:r>
        <w:rPr>
          <w:b/>
        </w:rPr>
        <w:t xml:space="preserve">Notes: </w:t>
      </w:r>
      <w:r>
        <w:t>abstract_source=crossref</w:t>
      </w:r>
    </w:p>
    <w:p>
      <w:pPr>
        <w:spacing w:before="0" w:after="80" w:lineRule="auto" w:line="276"/>
      </w:pPr>
      <w:r>
        <w:rPr>
          <w:b/>
        </w:rPr>
        <w:t xml:space="preserve">摘要（ZH）: </w:t>
      </w:r>
      <w:r>
        <w:t>免疫检查点封锁彻底改变了肿瘤学，但低反应率和获得性耐药（通常是由于程序性死亡配体 1 (PD-L1) 抑制不足所致）仍然是重大障碍。虽然基于降解的蛋白水解靶向嵌合体为传统抗体提供了一种有前途的替代品，但针对检查点表达的细胞内和转录驱动因素仍然是一个挑战。我们报告了一种可编程的肿瘤响应性 DNA 水凝胶平台，该平台通过滚环扩增合成，旨在对 PD-L1 进行全面的双模式调节。这种模块化核酸框架共同传递基于多价适体的溶酶体靶向嵌合体（LYTAC 模拟物）以诱导细胞外 PD-L1 降解，并传递 siSMARCAL1 以沉默染色质重塑驱动的 PD-L1 转录激活。通过在肿瘤微环境中整合局部、顺序释放，该系统实现了协同“降解和沉默”效应，有效消除 PD-1/PD-L1 介导的免疫抑制，同时触发免疫原性细胞死亡。在小鼠黑色素瘤模型中，水凝胶显着抑制原发性肿瘤生长并防止术后复发，从而引发强大而持久的全身抗肿瘤免疫反应。我们的研究结果建立了一种通用的、基于 DNA 的材料策略，用于可编程蛋白质降解和多级检查点调节，为增强癌症免疫疗法的功效提供了一种通用的方法。</w:t>
      </w:r>
    </w:p>
    <w:p>
      <w:pPr>
        <w:spacing w:before="0" w:after="200" w:lineRule="auto" w:line="276"/>
      </w:pPr>
      <w:r>
        <w:rPr>
          <w:b/>
        </w:rPr>
        <w:t xml:space="preserve">Abstract (EN): </w:t>
      </w:r>
      <w:r>
        <w:t>Immune checkpoint blockade has revolutionized oncology, yet low response rates and acquired resistance—often driven by inadequate Programmed death-ligand 1 (PD-L1) suppression—remain significant barriers. While degradation-based proteolysis-targeting chimeras offer a promising alternative to traditional antibodies, targeting the intracellular and transcriptional drivers of checkpoint expression remains a challenge. We report a programmable, tumor-responsive DNA hydrogel platform, synthesized via rolling circle amplification, designed for the comprehensive, dual-mode modulation of PD-L1. This modular nucleic acid framework codelivers polyvalent aptamer-based lysosome-targeting chimeras (LYTAC mimics) to induce extracellular PD-L1 degradation and siSMARCAL1 to silence the chromatin-remodeling-driven transcriptional activation of PD-L1. By integrating localized, sequential release within the tumor microenvironment, this system achieves a synergistic “degrade-and-silence” effect that effectively dismantles PD-1/PD-L1-mediated immunosuppression while concurrently triggering immunogenic cell death. In murine melanoma models, the hydrogel significantly suppressed primary tumor growth and prevented postoperative recurrence, eliciting a robust and durable systemic antitumor immune response. Our findings establish a versatile, DNA-based materials strategy for programmable protein degradation and multilevel checkpoint modulation, offering a generalizable approach for enhancing the efficacy of cancer immunotherapy.</w:t>
      </w:r>
    </w:p>
    <w:p>
      <w:pPr>
        <w:spacing w:before="120" w:after="120"/>
      </w:pPr>
      <w:r>
        <w:rPr>
          <w:sz w:val="18"/>
        </w:rPr>
        <w:t>——————————————————————————————————————————————————————————————————————</w:t>
      </w:r>
    </w:p>
    <w:p>
      <w:pPr>
        <w:spacing w:before="160" w:after="40" w:line="240" w:lineRule="auto"/>
      </w:pPr>
      <w:r>
        <w:rPr>
          <w:b/>
        </w:rPr>
        <w:t xml:space="preserve">[78] </w:t>
      </w:r>
      <w:hyperlink r:id="rId444">
        <w:r>
          <w:rPr>
            <w:color w:val="1155CC"/>
            <w:u w:val="single"/>
          </w:rPr>
          <w:t>抗 CRISPR 蛋白普查显示 AcrIE9 和 AcrIE13 是大肠杆菌 K12 型 IE CRISPR-Cas 系统的抑制剂</w:t>
        </w:r>
      </w:hyperlink>
    </w:p>
    <w:p>
      <w:pPr>
        <w:spacing w:before="0" w:after="80"/>
      </w:pPr>
      <w:r>
        <w:rPr>
          <w:i/>
          <w:sz w:val="20"/>
        </w:rPr>
        <w:t>EN: A census of anti-CRISPR proteins reveals AcrIE9 and AcrIE13 as inhibitors of the Escherichia coli K12 type IE CRISPR-Cas system</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45">
        <w:r>
          <w:rPr>
            <w:color w:val="1155CC"/>
            <w:u w:val="single"/>
          </w:rPr>
          <w:t>10.1073/pnas.2529903123</w:t>
        </w:r>
      </w:hyperlink>
    </w:p>
    <w:p>
      <w:pPr>
        <w:spacing w:before="0" w:after="120"/>
      </w:pPr>
      <w:r>
        <w:rPr>
          <w:b/>
        </w:rPr>
        <w:t xml:space="preserve">Notes: </w:t>
      </w:r>
      <w:r>
        <w:t>abstract_source=crossref</w:t>
      </w:r>
    </w:p>
    <w:p>
      <w:pPr>
        <w:spacing w:before="0" w:after="80" w:lineRule="auto" w:line="276"/>
      </w:pPr>
      <w:r>
        <w:rPr>
          <w:b/>
        </w:rPr>
        <w:t xml:space="preserve">摘要（ZH）: </w:t>
      </w:r>
      <w:r>
        <w:t>CRISPR-Cas 适应性免疫系统可防御移动遗传元件，并且通常会被多种抗 CRISPR (Acr) 蛋白对抗。 IE型CRISPR-Cas</w:t>
      </w:r>
      <w:r>
        <w:t xml:space="preserve"> </w:t>
      </w:r>
      <w:r>
        <w:t>大肠杆菌</w:t>
      </w:r>
      <w:r>
        <w:t xml:space="preserve"> </w:t>
      </w:r>
      <w:r>
        <w:t>K12 一直是结构和功能研究的模型，并且是该物种核心基因组的一部分。然而，该系统在转录上是沉默的，这引发了对其真正生物学功能的质疑。为了阐明该系统在防御中的作用，我们对 Acr 蛋白进行了普查</w:t>
      </w:r>
      <w:r>
        <w:t xml:space="preserve"> </w:t>
      </w:r>
      <w:r>
        <w:t>肠杆菌目</w:t>
      </w:r>
      <w:r>
        <w:t xml:space="preserve"> </w:t>
      </w:r>
      <w:r>
        <w:t>并确定 AcrIE9 是一种有效的抑制剂</w:t>
      </w:r>
      <w:r>
        <w:t xml:space="preserve"> </w:t>
      </w:r>
      <w:r>
        <w:t>大肠杆菌</w:t>
      </w:r>
      <w:r>
        <w:t xml:space="preserve"> </w:t>
      </w:r>
      <w:r>
        <w:t>K12型IE CRISPR-Cas系统。虽然几乎没有序列同一性，但 AcrIE9 蛋白来自</w:t>
      </w:r>
      <w:r>
        <w:t xml:space="preserve"> </w:t>
      </w:r>
      <w:r>
        <w:t>假单胞菌属</w:t>
      </w:r>
      <w:r>
        <w:t xml:space="preserve"> </w:t>
      </w:r>
      <w:r>
        <w:t>和</w:t>
      </w:r>
      <w:r>
        <w:t xml:space="preserve"> </w:t>
      </w:r>
      <w:r>
        <w:t>埃希氏菌属</w:t>
      </w:r>
      <w:r>
        <w:t xml:space="preserve"> </w:t>
      </w:r>
      <w:r>
        <w:t>两者都与级联复合物的 Cas7 亚基相互作用，从而阻止其与 DNA 结合。我们进一步表明，AcrIE9 与 AcrIE10 存在遗传连锁，形成了最广泛的抗 CRISPR 簇。</w:t>
      </w:r>
      <w:r>
        <w:t xml:space="preserve"> </w:t>
      </w:r>
      <w:r>
        <w:t>肠杆菌目</w:t>
      </w:r>
      <w:r>
        <w:t xml:space="preserve"> </w:t>
      </w:r>
      <w:r>
        <w:t>;该模块通常与具有不寻常的类似 HTH 结构的 AcrIE13 蛋白同时出现。</w:t>
      </w:r>
    </w:p>
    <w:p>
      <w:pPr>
        <w:spacing w:before="0" w:after="200" w:lineRule="auto" w:line="276"/>
      </w:pPr>
      <w:r>
        <w:rPr>
          <w:b/>
        </w:rPr>
        <w:t xml:space="preserve">Abstract (EN): </w:t>
      </w:r>
      <w:r>
        <w:t>CRISPR-Cas adaptive immunity systems provide defense against mobile genetic elements and are often countered by diverse anti-CRISPR (Acr) proteins. The type IE CRISPR-Cas of</w:t>
      </w:r>
      <w:r>
        <w:t xml:space="preserve"> </w:t>
      </w:r>
      <w:r>
        <w:t>Escherichia coli</w:t>
      </w:r>
      <w:r>
        <w:t xml:space="preserve"> </w:t>
      </w:r>
      <w:r>
        <w:t>K12 has been a model for structural and functional studies and is a part of the species’ core genome. However, this system is transcriptionally silent, which has fueled questions about its true biological function. To clarify the role of this system in defense, we carried out a census of Acr proteins in</w:t>
      </w:r>
      <w:r>
        <w:t xml:space="preserve"> </w:t>
      </w:r>
      <w:r>
        <w:t>Enterobacterales</w:t>
      </w:r>
      <w:r>
        <w:t xml:space="preserve"> </w:t>
      </w:r>
      <w:r>
        <w:t>and identified AcrIE9 as a potent inhibitor of the</w:t>
      </w:r>
      <w:r>
        <w:t xml:space="preserve"> </w:t>
      </w:r>
      <w:r>
        <w:t>E. coli</w:t>
      </w:r>
      <w:r>
        <w:t xml:space="preserve"> </w:t>
      </w:r>
      <w:r>
        <w:t>K12 type IE CRISPR-Cas system. While sharing little sequence identity, AcrIE9 proteins from</w:t>
      </w:r>
      <w:r>
        <w:t xml:space="preserve"> </w:t>
      </w:r>
      <w:r>
        <w:t>Pseudomonas</w:t>
      </w:r>
      <w:r>
        <w:t xml:space="preserve"> </w:t>
      </w:r>
      <w:r>
        <w:t>and</w:t>
      </w:r>
      <w:r>
        <w:t xml:space="preserve"> </w:t>
      </w:r>
      <w:r>
        <w:t>Escherichia</w:t>
      </w:r>
      <w:r>
        <w:t xml:space="preserve"> </w:t>
      </w:r>
      <w:r>
        <w:t>both interact with the Cas7 subunit of the Cascade complex, thus preventing its binding to DNA. We further show that AcrIE9 is genetically linked to AcrIE10, forming the most widespread anti-CRISPR cluster in</w:t>
      </w:r>
      <w:r>
        <w:t xml:space="preserve"> </w:t>
      </w:r>
      <w:r>
        <w:t>Enterobacterales</w:t>
      </w:r>
      <w:r>
        <w:t xml:space="preserve"> </w:t>
      </w:r>
      <w:r>
        <w:t>; this module often co-occurs with an AcrIE13 protein with an unusual HTH-like architecture.</w:t>
      </w:r>
    </w:p>
    <w:p>
      <w:pPr>
        <w:spacing w:before="120" w:after="120"/>
      </w:pPr>
      <w:r>
        <w:rPr>
          <w:sz w:val="18"/>
        </w:rPr>
        <w:t>——————————————————————————————————————————————————————————————————————</w:t>
      </w:r>
    </w:p>
    <w:p>
      <w:pPr>
        <w:spacing w:before="160" w:after="40" w:line="240" w:lineRule="auto"/>
      </w:pPr>
      <w:r>
        <w:rPr>
          <w:b/>
        </w:rPr>
        <w:t xml:space="preserve">[79] </w:t>
      </w:r>
      <w:hyperlink r:id="rId446">
        <w:r>
          <w:rPr>
            <w:color w:val="1155CC"/>
            <w:u w:val="single"/>
          </w:rPr>
          <w:t>Madhav Gadgil（1942-2026）：印度生态学家先驱，在生物多样性保护和人类共存方面留下的遗产</w:t>
        </w:r>
      </w:hyperlink>
    </w:p>
    <w:p>
      <w:pPr>
        <w:spacing w:before="0" w:after="80"/>
      </w:pPr>
      <w:r>
        <w:rPr>
          <w:i/>
          <w:sz w:val="20"/>
        </w:rPr>
        <w:t>EN: Madhav Gadgil (1942–2026): A pioneering Indian ecologist’s legacy of biodiversity conservation and human coexistence</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47">
        <w:r>
          <w:rPr>
            <w:color w:val="1155CC"/>
            <w:u w:val="single"/>
          </w:rPr>
          <w:t>10.1073/pnas.2611387123</w:t>
        </w:r>
      </w:hyperlink>
    </w:p>
    <w:p>
      <w:pPr>
        <w:spacing w:before="0" w:after="120"/>
      </w:pPr>
      <w:r>
        <w:rPr>
          <w:b/>
        </w:rPr>
        <w:t xml:space="preserve">Notes: </w:t>
      </w:r>
      <w:r>
        <w:t>abstract_source=crossref</w:t>
      </w:r>
    </w:p>
    <w:p>
      <w:pPr>
        <w:spacing w:before="0" w:after="80" w:lineRule="auto" w:line="276"/>
      </w:pPr>
      <w:r>
        <w:rPr>
          <w:b/>
        </w:rPr>
        <w:t xml:space="preserve">摘要（ZH）: </w:t>
      </w:r>
      <w:r>
        <w:t>马达夫·加德吉尔 (Madhav Gadgil) 是一位进化生态学家，也是生物多样性保护、人类与自然共存以及土著人的土地权、自然资源和自治权等政府和政府间政策的倡导者。他为生物多样性科学、人类生态学、人类传统知识以及通过生物多样性登记册记录的这些知识的固有权利的发展做出了基础性贡献。加德吉尔主张在印度制定一项将人类福利和生物多样性保护结合起来的连贯政策。他将作为一位学术巨人、一位无与伦比的思想家、政策倡导者、制度建设者和人道主义者而被人们铭记。</w:t>
      </w:r>
    </w:p>
    <w:p>
      <w:pPr>
        <w:spacing w:before="0" w:after="200" w:lineRule="auto" w:line="276"/>
      </w:pPr>
      <w:r>
        <w:rPr>
          <w:b/>
        </w:rPr>
        <w:t xml:space="preserve">Abstract (EN): </w:t>
      </w:r>
      <w:r>
        <w:t>Madhav Gadgil was an evolutionary ecologist and champion of governmental and intergovernmental policies for biodiversity conservation, human coexistence with nature, and indigenous rights to land, natural resources, and self-governance. He made foundational contributions to the development of biodiversity sciences, human ecology, people’s traditional knowledge—and inherent rights to that knowledge as documented through biodiversity registers. Gadgil advocated a coherent policy integrating human welfare and biodiversity conservation in India. He will be remembered as an academic giant and an unmatched thinker, policy advocate, institution-builder, and humanitarian.</w:t>
      </w:r>
    </w:p>
    <w:p>
      <w:pPr>
        <w:spacing w:before="120" w:after="120"/>
      </w:pPr>
      <w:r>
        <w:rPr>
          <w:sz w:val="18"/>
        </w:rPr>
        <w:t>——————————————————————————————————————————————————————————————————————</w:t>
      </w:r>
    </w:p>
    <w:p>
      <w:pPr>
        <w:spacing w:before="160" w:after="40" w:line="240" w:lineRule="auto"/>
      </w:pPr>
      <w:r>
        <w:rPr>
          <w:b/>
        </w:rPr>
        <w:t xml:space="preserve">[80] </w:t>
      </w:r>
      <w:hyperlink r:id="rId448">
        <w:r>
          <w:rPr>
            <w:color w:val="1155CC"/>
            <w:u w:val="single"/>
          </w:rPr>
          <w:t>亚马逊森林砍伐减少了巴西南部的降水量和大豆产量</w:t>
        </w:r>
      </w:hyperlink>
    </w:p>
    <w:p>
      <w:pPr>
        <w:spacing w:before="0" w:after="80"/>
      </w:pPr>
      <w:r>
        <w:rPr>
          <w:i/>
          <w:sz w:val="20"/>
        </w:rPr>
        <w:t>EN: Amazon deforestation reduces precipitation and soybean yields across Southern Brazil</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49">
        <w:r>
          <w:rPr>
            <w:color w:val="1155CC"/>
            <w:u w:val="single"/>
          </w:rPr>
          <w:t>10.1073/pnas.2525378123</w:t>
        </w:r>
      </w:hyperlink>
    </w:p>
    <w:p>
      <w:pPr>
        <w:spacing w:before="0" w:after="120"/>
      </w:pPr>
      <w:r>
        <w:rPr>
          <w:b/>
        </w:rPr>
        <w:t xml:space="preserve">Notes: </w:t>
      </w:r>
      <w:r>
        <w:t>abstract_source=crossref</w:t>
      </w:r>
    </w:p>
    <w:p>
      <w:pPr>
        <w:spacing w:before="0" w:after="80" w:lineRule="auto" w:line="276"/>
      </w:pPr>
      <w:r>
        <w:rPr>
          <w:b/>
        </w:rPr>
        <w:t xml:space="preserve">摘要（ZH）: </w:t>
      </w:r>
      <w:r>
        <w:t>农业的快速扩张导致了全球森林的丧失。森林砍伐减少了蒸发，可能会减少降水量和远远超出农业边界的农作物产量。在这里，我们使用拉格朗日湿度跟踪模型量化了 1982 年至 2018 年亚马逊森林砍伐对巴西各地降水和大豆产量的遥相关影响。我们的分析表明，树木蒸发贡献了生长季节降水的三分之一，但最近的森林砍伐使巴西大豆州的季节性降水减少了 6% 至 30%，而替代土地覆盖对损失的补偿有限。尽管降水量减少在亚马逊森林砍伐附近最为明显，但产量减少幅度最大（227 吨，或</w:t>
      </w:r>
      <w:r>
        <w:t xml:space="preserve"> </w:t>
      </w:r>
      <w:r>
        <w:t>～</w:t>
      </w:r>
      <w:r>
        <w:t xml:space="preserve"> </w:t>
      </w:r>
      <w:r>
        <w:t>6% 的损失）发生在南部的南里奥格兰德州。森林砍伐导致的降水量减少累计导致大豆总产量损失</w:t>
      </w:r>
      <w:r>
        <w:t xml:space="preserve"> </w:t>
      </w:r>
      <w:r>
        <w:t>～</w:t>
      </w:r>
      <w:r>
        <w:t xml:space="preserve"> </w:t>
      </w:r>
      <w:r>
        <w:t>700 千吨。这些发现表明，将农业扩展到森林会损害现有农田的产量，可能会产生反馈，产量损失会推动额外森林砍伐的需求。在持续的森林砍伐和气候变化的情况下，这种反馈可能会加剧，威胁巴西雨养农业的未来。</w:t>
      </w:r>
    </w:p>
    <w:p>
      <w:pPr>
        <w:spacing w:before="0" w:after="200" w:lineRule="auto" w:line="276"/>
      </w:pPr>
      <w:r>
        <w:rPr>
          <w:b/>
        </w:rPr>
        <w:t xml:space="preserve">Abstract (EN): </w:t>
      </w:r>
      <w:r>
        <w:t>Rapid agricultural expansion has driven forest loss worldwide. Deforestation reduces evaporation, potentially decreasing precipitation and crop yields far beyond agricultural frontiers. Here, we quantified the teleconnection impacts of Amazon deforestation on precipitation and soybean yields across Brazil during 1982–2018, using a Lagrangian moisture tracking model. Our analysis indicates that tree evaporation contributes one-third of growing-season precipitation, yet recent deforestation decreased seasonal precipitation by 6 to 30% across Brazilian soybean states, with replacement land covers providing limited compensation for the losses. Although precipitation declines were most pronounced near Amazonian deforestation, the largest yield reductions (227 kton, or</w:t>
      </w:r>
      <w:r>
        <w:t xml:space="preserve"> </w:t>
      </w:r>
      <w:r>
        <w:t>∼</w:t>
      </w:r>
      <w:r>
        <w:t xml:space="preserve"> </w:t>
      </w:r>
      <w:r>
        <w:t>6% loss) occurred in the southern state of Rio Grande do Sul. Cumulatively, deforestation-driven precipitation declines resulted in a total soybean production loss of</w:t>
      </w:r>
      <w:r>
        <w:t xml:space="preserve"> </w:t>
      </w:r>
      <w:r>
        <w:t>∼</w:t>
      </w:r>
      <w:r>
        <w:t xml:space="preserve"> </w:t>
      </w:r>
      <w:r>
        <w:t>700 kton. These findings reveal that expanding agriculture into forests undermines yields in established croplands, potentially creating a feedback where yield losses drive demand for additional forest clearing. Under continued deforestation and climate change, this feedback is likely to intensify, threatening Brazilian rainfed agriculture into the future.</w:t>
      </w:r>
    </w:p>
    <w:p>
      <w:pPr>
        <w:spacing w:before="120" w:after="120"/>
      </w:pPr>
      <w:r>
        <w:rPr>
          <w:sz w:val="18"/>
        </w:rPr>
        <w:t>——————————————————————————————————————————————————————————————————————</w:t>
      </w:r>
    </w:p>
    <w:p>
      <w:pPr>
        <w:spacing w:before="160" w:after="40" w:line="240" w:lineRule="auto"/>
      </w:pPr>
      <w:r>
        <w:rPr>
          <w:b/>
        </w:rPr>
        <w:t xml:space="preserve">[81] </w:t>
      </w:r>
      <w:hyperlink r:id="rId450">
        <w:r>
          <w:rPr>
            <w:color w:val="1155CC"/>
            <w:u w:val="single"/>
          </w:rPr>
          <w:t>活性区可塑性耦合睡眠需要突触前低磷酸化</w:t>
        </w:r>
      </w:hyperlink>
    </w:p>
    <w:p>
      <w:pPr>
        <w:spacing w:before="0" w:after="80"/>
      </w:pPr>
      <w:r>
        <w:rPr>
          <w:i/>
          <w:sz w:val="20"/>
        </w:rPr>
        <w:t>EN: Active zone plasticity couples sleep need to presynaptic hypophosphorylation</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51">
        <w:r>
          <w:rPr>
            <w:color w:val="1155CC"/>
            <w:u w:val="single"/>
          </w:rPr>
          <w:t>10.1073/pnas.2524065123</w:t>
        </w:r>
      </w:hyperlink>
    </w:p>
    <w:p>
      <w:pPr>
        <w:spacing w:before="0" w:after="120"/>
      </w:pPr>
      <w:r>
        <w:rPr>
          <w:b/>
        </w:rPr>
        <w:t xml:space="preserve">Notes: </w:t>
      </w:r>
      <w:r>
        <w:t>abstract_source=crossref</w:t>
      </w:r>
    </w:p>
    <w:p>
      <w:pPr>
        <w:spacing w:before="0" w:after="80" w:lineRule="auto" w:line="276"/>
      </w:pPr>
      <w:r>
        <w:rPr>
          <w:b/>
        </w:rPr>
        <w:t xml:space="preserve">摘要（ZH）: </w:t>
      </w:r>
      <w:r>
        <w:t>睡眠需求与回路动力学和广泛的突触可塑性相关，但睡眠稳态的具体突触变化仍不完全清楚。在</w:t>
      </w:r>
      <w:r>
        <w:t xml:space="preserve"> </w:t>
      </w:r>
      <w:r>
        <w:t>果蝇</w:t>
      </w:r>
      <w:r>
        <w:t xml:space="preserve"> </w:t>
      </w:r>
      <w:r>
        <w:t>研究表明，睡眠不足会引发突触前活动区的可塑性，其标志是 ELKS 家族支架蛋白 Bruchpilot (BRP) 水平增加。通过滴定</w:t>
      </w:r>
      <w:r>
        <w:t xml:space="preserve"> </w:t>
      </w:r>
      <w:r>
        <w:t>BRP</w:t>
      </w:r>
      <w:r>
        <w:t xml:space="preserve"> </w:t>
      </w:r>
      <w:r>
        <w:t>基因拷贝数，我们之前建立了一种突触前特异性、剂量依赖性的调节睡眠压力的范例。在这里，为了阐明这种可塑性的分子景观，我们进行了突触富集的整合组学。蛋白质组学和生物信息学分析揭示了免疫和应激反应途径以及局部翻译控制的变化。引人注目的是，磷酸化蛋白质组学分析揭示了整体向低磷酸化的转变，特别是在突触前蛋白质中，表明磷酸化-去磷酸化平衡的重新编程。这种突触前低磷酸化可能是由蛋白激酶 A (PKA) 活性降低和蛋白磷酸酶 1 (PP1) 的底物亲和力增强引起的，而蛋白磷酸酶 1 (PP1) 的底物亲和力由其调节亚单位 Spinophilin (Spn) 介导。操纵 PKA 或 PP1 活性足以抑制 BRP 调节的睡眠表型。我们提出，突触前低磷酸化构成了局部突触重塑的分子特征，通过可逆的翻译后修饰适应性地调节睡眠需求，这种机制可能在物种间保守。</w:t>
      </w:r>
    </w:p>
    <w:p>
      <w:pPr>
        <w:spacing w:before="0" w:after="200" w:lineRule="auto" w:line="276"/>
      </w:pPr>
      <w:r>
        <w:rPr>
          <w:b/>
        </w:rPr>
        <w:t xml:space="preserve">Abstract (EN): </w:t>
      </w:r>
      <w:r>
        <w:t>Sleep need is associated with both circuit dynamics and widespread synaptic plasticity, yet the specific synaptic changes underlying sleep homeostasis remain incompletely understood. In</w:t>
      </w:r>
      <w:r>
        <w:t xml:space="preserve"> </w:t>
      </w:r>
      <w:r>
        <w:t>Drosophila</w:t>
      </w:r>
      <w:r>
        <w:t xml:space="preserve"> </w:t>
      </w:r>
      <w:r>
        <w:t>, sleep loss has been shown to trigger plasticity of the presynaptic active zone, marked by increasing levels of the ELKS-family scaffold protein Bruchpilot (BRP). By titrating</w:t>
      </w:r>
      <w:r>
        <w:t xml:space="preserve"> </w:t>
      </w:r>
      <w:r>
        <w:t>brp</w:t>
      </w:r>
      <w:r>
        <w:t xml:space="preserve"> </w:t>
      </w:r>
      <w:r>
        <w:t>gene copy number, we previously established a presynapse-specific, dosage-dependent paradigm that modulates sleep pressure. Here, to elucidate the molecular landscape of this plasticity, we performed synapse-enriched integrated-omics. Proteomic and bioinformatic analyses revealed changes in immune and stress response pathways and local translation control. Strikingly, phospho-proteomic analysis uncovered a global shift toward hypophosphorylation, particularly in presynaptic proteins, indicating a reprogramming of the phosphorylation–dephosphorylation balance. This presynaptic hypophosphorylation is likely contributed by reduced activity of Protein Kinase A (PKA) and enhanced substrate affinity of Protein Phosphatase 1 (PP1) mediated by its regulatory subunit Spinophilin (Spn). Manipulating either PKA or PP1 activity was sufficient to suppress BRP-modulated sleep phenotypes. We propose that presynaptic hypophosphorylation constitutes a molecular signature of local synaptic remodeling that adaptively tunes sleep need via reversible posttranslational modification, a mechanism likely conserved across species.</w:t>
      </w:r>
    </w:p>
    <w:p>
      <w:pPr>
        <w:spacing w:before="120" w:after="120"/>
      </w:pPr>
      <w:r>
        <w:rPr>
          <w:sz w:val="18"/>
        </w:rPr>
        <w:t>——————————————————————————————————————————————————————————————————————</w:t>
      </w:r>
    </w:p>
    <w:p>
      <w:pPr>
        <w:spacing w:before="160" w:after="40" w:line="240" w:lineRule="auto"/>
      </w:pPr>
      <w:r>
        <w:rPr>
          <w:b/>
        </w:rPr>
        <w:t xml:space="preserve">[82] </w:t>
      </w:r>
      <w:hyperlink r:id="rId452">
        <w:r>
          <w:rPr>
            <w:color w:val="1155CC"/>
            <w:u w:val="single"/>
          </w:rPr>
          <w:t>水甘油孔蛋白控制与海洋钙化器中的囊泡矿物质形成相关的细胞水和二氧化碳电导</w:t>
        </w:r>
      </w:hyperlink>
    </w:p>
    <w:p>
      <w:pPr>
        <w:spacing w:before="0" w:after="80"/>
      </w:pPr>
      <w:r>
        <w:rPr>
          <w:i/>
          <w:sz w:val="20"/>
        </w:rPr>
        <w:t>EN: An aquaglyceroporin governs cellular water and CO2 conductance relevant for vesicular mineral formation in a marine calcifier</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53">
        <w:r>
          <w:rPr>
            <w:color w:val="1155CC"/>
            <w:u w:val="single"/>
          </w:rPr>
          <w:t>10.1073/pnas.2524614123</w:t>
        </w:r>
      </w:hyperlink>
    </w:p>
    <w:p>
      <w:pPr>
        <w:spacing w:before="0" w:after="120"/>
      </w:pPr>
      <w:r>
        <w:rPr>
          <w:b/>
        </w:rPr>
        <w:t xml:space="preserve">Notes: </w:t>
      </w:r>
      <w:r>
        <w:t>abstract_source=crossref</w:t>
      </w:r>
    </w:p>
    <w:p>
      <w:pPr>
        <w:spacing w:before="0" w:after="80" w:lineRule="auto" w:line="276"/>
      </w:pPr>
      <w:r>
        <w:rPr>
          <w:b/>
        </w:rPr>
        <w:t xml:space="preserve">摘要（ZH）: </w:t>
      </w:r>
      <w:r>
        <w:t>许多海洋生物通过内吞吸收海水来产生生物矿物质，这些海水在钙化细胞内进行修饰，产生形成矿化外壳或骨骼所需的无定形矿物质前体。在此过程中，必须从内吞囊泡和细胞中除去水，以促进钙化底物的浓缩和无水矿物质的产生。在这里，我们证明在海胆幼虫中，水甘油孔蛋白（spAQP9）参与细胞钙化过程。 spAQP9 仅存在于钙化原代间充质细胞 (PMC) 中，并且 spAQP9 表达在矿化过程中增加，强调了其在骨骼形成中的作用。 sp的异源表达</w:t>
      </w:r>
      <w:r>
        <w:t xml:space="preserve"> </w:t>
      </w:r>
      <w:r>
        <w:t>水通道蛋白9</w:t>
      </w:r>
      <w:r>
        <w:t xml:space="preserve"> </w:t>
      </w:r>
      <w:r>
        <w:t>在</w:t>
      </w:r>
      <w:r>
        <w:t xml:space="preserve"> </w:t>
      </w:r>
      <w:r>
        <w:t>非洲爪蟾</w:t>
      </w:r>
      <w:r>
        <w:t xml:space="preserve"> </w:t>
      </w:r>
      <w:r>
        <w:t>卵母细胞证明该通道传导水和二氧化碳。 spAQP9 的水电导率对 IC 根皮素敏感</w:t>
      </w:r>
      <w:r>
        <w:rPr>
          <w:vertAlign w:val="subscript"/>
        </w:rPr>
        <w:t>50</w:t>
      </w:r>
      <w:r>
        <w:t>∼38 µM 并用根皮素处理幼虫或敲除 spAQP9 会损害骨骼形成。免疫组织学分析揭示了 spAQP9 在具有不同亚细胞分布的囊泡中的定位，具体取决于 PMC 的钙化活性。最后，我们开发了一种体内测定法来测量 PMC 中细胞和囊泡的水渗透性，并发现质膜和富含钙的囊泡膜具有显着的水渗透性。这项工作的结果凸显了水路运输的重要性</w:t>
      </w:r>
    </w:p>
    <w:p>
      <w:pPr>
        <w:spacing w:before="0" w:after="200" w:lineRule="auto" w:line="276"/>
      </w:pPr>
      <w:r>
        <w:rPr>
          <w:b/>
        </w:rPr>
        <w:t xml:space="preserve">Abstract (EN): </w:t>
      </w:r>
      <w:r>
        <w:t>Many marine organisms generate biominerals by endocytotic uptake of seawater which is modified within calcifying cells to produce an amorphous mineral precursor required to form the mineralized shell or skeleton. In this process, water must be removed from the endocytotic vesicles and the cell to promote concentration of calcification substrates and production of a water-free mineral. Here, we demonstrate that in the sea urchin larva, an aquaglyceroporin (spAQP9) is involved in the cellular calcification process. spAQP9 is found exclusively in the calcifying primary mesenchyme cells (PMCs), and spAQP9 expression is increased during mineralization underlining its role in skeleton formation. Heterologous expression of sp</w:t>
      </w:r>
      <w:r>
        <w:t xml:space="preserve"> </w:t>
      </w:r>
      <w:r>
        <w:t>AQP9</w:t>
      </w:r>
      <w:r>
        <w:t xml:space="preserve"> </w:t>
      </w:r>
      <w:r>
        <w:t>in</w:t>
      </w:r>
      <w:r>
        <w:t xml:space="preserve"> </w:t>
      </w:r>
      <w:r>
        <w:t>Xenopus laevis</w:t>
      </w:r>
      <w:r>
        <w:t xml:space="preserve"> </w:t>
      </w:r>
      <w:r>
        <w:t>oocytes demonstrated that this channel conducts water and carbon dioxide. The water conductance by spAQP9 is sensitive to phloretin with an IC</w:t>
      </w:r>
      <w:r>
        <w:rPr>
          <w:vertAlign w:val="subscript"/>
        </w:rPr>
        <w:t>50</w:t>
      </w:r>
      <w:r>
        <w:t>of ∼38 µM and treatment of larvae with phloretin or knock-down of spAQP9 impaired skeleton formation. Immunohistological analyses revealed localization of spAQP9 in vesicles with different subcellular distribution depending on the calcification activity of PMCs. Finally, we developed an in vivo assay to measure cellular and vesicular water permeability in PMCs and found a significant water permeability of the plasma membrane and membranes of calcium-rich vesicles. The results of this work highlight the importance of water transport mechanisms in the mineralization process. Here, aquaporins like spAQP9 represent key players that serve a dual function as a water and CO</w:t>
      </w:r>
      <w:r>
        <w:rPr>
          <w:vertAlign w:val="subscript"/>
        </w:rPr>
        <w:t>2</w:t>
      </w:r>
      <w:r>
        <w:t>conductance pathway and thereby can support ion concentration and carbon transport, two processes that are of fundamental importance to promote intracellular mineral precursor formation.</w:t>
      </w:r>
    </w:p>
    <w:p>
      <w:pPr>
        <w:spacing w:before="120" w:after="120"/>
      </w:pPr>
      <w:r>
        <w:rPr>
          <w:sz w:val="18"/>
        </w:rPr>
        <w:t>——————————————————————————————————————————————————————————————————————</w:t>
      </w:r>
    </w:p>
    <w:p>
      <w:pPr>
        <w:spacing w:before="160" w:after="40" w:line="240" w:lineRule="auto"/>
      </w:pPr>
      <w:r>
        <w:rPr>
          <w:b/>
        </w:rPr>
        <w:t xml:space="preserve">[83] </w:t>
      </w:r>
      <w:hyperlink r:id="rId454">
        <w:r>
          <w:rPr>
            <w:color w:val="1155CC"/>
            <w:u w:val="single"/>
          </w:rPr>
          <w:t>避免 MAIT 细胞是单核细胞增生李斯特菌发病机制的重要决定因素</w:t>
        </w:r>
      </w:hyperlink>
    </w:p>
    <w:p>
      <w:pPr>
        <w:spacing w:before="0" w:after="80"/>
      </w:pPr>
      <w:r>
        <w:rPr>
          <w:i/>
          <w:sz w:val="20"/>
        </w:rPr>
        <w:t>EN: Avoidance of MAIT cells is an essential determinant of Listeria monocytogenes pathogenesis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55">
        <w:r>
          <w:rPr>
            <w:color w:val="1155CC"/>
            <w:u w:val="single"/>
          </w:rPr>
          <w:t>10.1073/pnas.2601925123</w:t>
        </w:r>
      </w:hyperlink>
    </w:p>
    <w:p>
      <w:pPr>
        <w:spacing w:before="0" w:after="120"/>
      </w:pPr>
      <w:r>
        <w:rPr>
          <w:b/>
        </w:rPr>
        <w:t xml:space="preserve">Notes: </w:t>
      </w:r>
      <w:r>
        <w:t>abstract_source=crossref</w:t>
      </w:r>
    </w:p>
    <w:p>
      <w:pPr>
        <w:spacing w:before="0" w:after="80" w:lineRule="auto" w:line="276"/>
      </w:pPr>
      <w:r>
        <w:rPr>
          <w:b/>
        </w:rPr>
        <w:t xml:space="preserve">摘要（ZH）: </w:t>
      </w:r>
      <w:r>
        <w:t>粘膜相关不变 T (MAIT) 细胞是人类中最保守、最丰富的先天性 T 细胞之一，可识别微生物来源的核黄素前体并引发有效的抗菌反应。食源性病原体</w:t>
      </w:r>
      <w:r>
        <w:t xml:space="preserve"> </w:t>
      </w:r>
      <w:r>
        <w:t>李斯特菌</w:t>
      </w:r>
      <w:r>
        <w:t xml:space="preserve"> </w:t>
      </w:r>
      <w:r>
        <w:t>单核细胞增多症</w:t>
      </w:r>
      <w:r>
        <w:t xml:space="preserve"> </w:t>
      </w:r>
      <w:r>
        <w:t>是一种广泛宿主范围的兼性细胞内病原体，缺乏核黄素生物合成途径，使我们推测这种缺陷具有病理适应性，并使病原体能够逃避 MAIT 细胞。在这里，我们表明</w:t>
      </w:r>
      <w:r>
        <w:t xml:space="preserve"> </w:t>
      </w:r>
      <w:r>
        <w:t>单核细胞增生利斯特氏菌</w:t>
      </w:r>
      <w:r>
        <w:t xml:space="preserve"> </w:t>
      </w:r>
      <w:r>
        <w:t>经改造可产生核黄素的菌株（</w:t>
      </w:r>
      <w:r>
        <w:t xml:space="preserve"> </w:t>
      </w:r>
      <w:r>
        <w:t>单核细胞增生利斯特氏菌</w:t>
      </w:r>
      <w:r>
        <w:t xml:space="preserve"> </w:t>
      </w:r>
      <w:r>
        <w:t>-</w:t>
      </w:r>
      <w:r>
        <w:t>肋骨DEAHT</w:t>
      </w:r>
      <w:r>
        <w:t xml:space="preserve"> </w:t>
      </w:r>
      <w:r>
        <w:t>）在野生型小鼠中减弱，但在 MAIT 细胞缺陷小鼠中完全有毒。感染</w:t>
      </w:r>
      <w:r>
        <w:t xml:space="preserve"> </w:t>
      </w:r>
      <w:r>
        <w:t>单核细胞增生利斯特氏菌</w:t>
      </w:r>
      <w:r>
        <w:t xml:space="preserve"> </w:t>
      </w:r>
      <w:r>
        <w:t>-</w:t>
      </w:r>
      <w:r>
        <w:t>肋骨DEAHT</w:t>
      </w:r>
      <w:r>
        <w:t xml:space="preserve"> </w:t>
      </w:r>
      <w:r>
        <w:t>促使 MAIT 细胞在多个组织中快速而有力地扩增，并需要细胞溶解效应器穿孔素来消除体内和体外感染的细胞。我们还评估了治疗潜力</w:t>
      </w:r>
      <w:r>
        <w:t xml:space="preserve"> </w:t>
      </w:r>
      <w:r>
        <w:t>单核细胞增生利斯特氏菌</w:t>
      </w:r>
      <w:r>
        <w:t xml:space="preserve"> </w:t>
      </w:r>
      <w:r>
        <w:t>-</w:t>
      </w:r>
      <w:r>
        <w:t>ribDEAHT-</w:t>
      </w:r>
      <w:r>
        <w:t>在传染病和癌症小鼠模型中刺激 MAIT 细胞。治疗管理</w:t>
      </w:r>
    </w:p>
    <w:p>
      <w:pPr>
        <w:spacing w:before="0" w:after="200" w:lineRule="auto" w:line="276"/>
      </w:pPr>
      <w:r>
        <w:rPr>
          <w:b/>
        </w:rPr>
        <w:t xml:space="preserve">Abstract (EN): </w:t>
      </w:r>
      <w:r>
        <w:t>Mucosal-associated invariant T (MAIT) cells are among the most conserved and abundant innate-like T cells in humans that recognize microbial-derived riboflavin precursors and elicit potent antimicrobial responses. The foodborne pathogen</w:t>
      </w:r>
      <w:r>
        <w:t xml:space="preserve"> </w:t>
      </w:r>
      <w:r>
        <w:t>Listeria</w:t>
      </w:r>
      <w:r>
        <w:t xml:space="preserve"> </w:t>
      </w:r>
      <w:r>
        <w:t>monocytogenes</w:t>
      </w:r>
      <w:r>
        <w:t xml:space="preserve"> </w:t>
      </w:r>
      <w:r>
        <w:t>is a broad host-range facultative intracellular pathogen that lacks the riboflavin biosynthetic pathway, leading us to hypothesize that this deficiency is pathoadaptive and allows the pathogen to evade MAIT cells. Here, we show that</w:t>
      </w:r>
      <w:r>
        <w:t xml:space="preserve"> </w:t>
      </w:r>
      <w:r>
        <w:t>L. monocytogenes</w:t>
      </w:r>
      <w:r>
        <w:t xml:space="preserve"> </w:t>
      </w:r>
      <w:r>
        <w:t>strains engineered to produce riboflavin (</w:t>
      </w:r>
      <w:r>
        <w:t xml:space="preserve"> </w:t>
      </w:r>
      <w:r>
        <w:t>L. monocytogenes</w:t>
      </w:r>
      <w:r>
        <w:t xml:space="preserve"> </w:t>
      </w:r>
      <w:r>
        <w:t>-</w:t>
      </w:r>
      <w:r>
        <w:t>ribDEAHT</w:t>
      </w:r>
      <w:r>
        <w:t xml:space="preserve"> </w:t>
      </w:r>
      <w:r>
        <w:t>) are attenuated in wild-type mice but fully virulent in MAIT cell–deficient mice. Infection with</w:t>
      </w:r>
      <w:r>
        <w:t xml:space="preserve"> </w:t>
      </w:r>
      <w:r>
        <w:t>L. monocytogenes</w:t>
      </w:r>
      <w:r>
        <w:t xml:space="preserve"> </w:t>
      </w:r>
      <w:r>
        <w:t>-</w:t>
      </w:r>
      <w:r>
        <w:t>ribDEAHT</w:t>
      </w:r>
      <w:r>
        <w:t xml:space="preserve"> </w:t>
      </w:r>
      <w:r>
        <w:t>prompted rapid and robust MAIT cell expansion in multiple tissues and required the cytolytic effector perforin to eliminate infected cells in vivo and in vitro. We also assessed the therapeutic potential of</w:t>
      </w:r>
      <w:r>
        <w:t xml:space="preserve"> </w:t>
      </w:r>
      <w:r>
        <w:t>L. monocytogenes</w:t>
      </w:r>
      <w:r>
        <w:t xml:space="preserve"> </w:t>
      </w:r>
      <w:r>
        <w:t>-</w:t>
      </w:r>
      <w:r>
        <w:t>ribDEAHT-</w:t>
      </w:r>
      <w:r>
        <w:t>stimulated MAIT cells in both infectious disease and cancer mouse models. Therapeutic administration of</w:t>
      </w:r>
      <w:r>
        <w:t xml:space="preserve"> </w:t>
      </w:r>
      <w:r>
        <w:t>L. monocytogenes</w:t>
      </w:r>
      <w:r>
        <w:t xml:space="preserve"> </w:t>
      </w:r>
      <w:r>
        <w:t>-</w:t>
      </w:r>
      <w:r>
        <w:t>ribDEAHT</w:t>
      </w:r>
      <w:r>
        <w:t xml:space="preserve"> </w:t>
      </w:r>
      <w:r>
        <w:t>provided protection against</w:t>
      </w:r>
      <w:r>
        <w:t xml:space="preserve"> </w:t>
      </w:r>
      <w:r>
        <w:t>Francisella tularensis</w:t>
      </w:r>
      <w:r>
        <w:t xml:space="preserve"> </w:t>
      </w:r>
      <w:r>
        <w:t>in the lungs and inhibited tumor growth even in the absence of CD8</w:t>
      </w:r>
      <w:r>
        <w:t xml:space="preserve"> </w:t>
      </w:r>
      <w:r>
        <w:t>+</w:t>
      </w:r>
      <w:r>
        <w:t xml:space="preserve"> </w:t>
      </w:r>
      <w:r>
        <w:t>T cells. These findings reveal the importance of MAIT cell evasion during</w:t>
      </w:r>
      <w:r>
        <w:t xml:space="preserve"> </w:t>
      </w:r>
      <w:r>
        <w:t>L. monocytogenes</w:t>
      </w:r>
      <w:r>
        <w:t xml:space="preserve"> </w:t>
      </w:r>
      <w:r>
        <w:t>infection and highlight the therapeutic potential of engineered</w:t>
      </w:r>
      <w:r>
        <w:t xml:space="preserve"> </w:t>
      </w:r>
      <w:r>
        <w:t>L. monocytogenes</w:t>
      </w:r>
      <w:r>
        <w:t xml:space="preserve"> </w:t>
      </w:r>
      <w:r>
        <w:t>to activate and harness MAIT cells for protection against infectious disease and cancer.</w:t>
      </w:r>
    </w:p>
    <w:p>
      <w:pPr>
        <w:spacing w:before="120" w:after="120"/>
      </w:pPr>
      <w:r>
        <w:rPr>
          <w:sz w:val="18"/>
        </w:rPr>
        <w:t>——————————————————————————————————————————————————————————————————————</w:t>
      </w:r>
    </w:p>
    <w:p>
      <w:pPr>
        <w:spacing w:before="160" w:after="40" w:line="240" w:lineRule="auto"/>
      </w:pPr>
      <w:r>
        <w:rPr>
          <w:b/>
        </w:rPr>
        <w:t xml:space="preserve">[84] </w:t>
      </w:r>
      <w:hyperlink r:id="rId456">
        <w:r>
          <w:rPr>
            <w:color w:val="1155CC"/>
            <w:u w:val="single"/>
          </w:rPr>
          <w:t>拟南芥 YEATS 结构域蛋白通过同源定向途径促进 DNA 双链断裂修复</w:t>
        </w:r>
      </w:hyperlink>
    </w:p>
    <w:p>
      <w:pPr>
        <w:spacing w:before="0" w:after="80"/>
      </w:pPr>
      <w:r>
        <w:rPr>
          <w:i/>
          <w:sz w:val="20"/>
        </w:rPr>
        <w:t>EN: Arabidopsis YEATS domain proteins facilitate DNA double-strand break repair via homology-directed pathways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57">
        <w:r>
          <w:rPr>
            <w:color w:val="1155CC"/>
            <w:u w:val="single"/>
          </w:rPr>
          <w:t>10.1073/pnas.2612171123</w:t>
        </w:r>
      </w:hyperlink>
    </w:p>
    <w:p>
      <w:pPr>
        <w:spacing w:before="0" w:after="120"/>
      </w:pPr>
      <w:r>
        <w:rPr>
          <w:b/>
        </w:rPr>
        <w:t xml:space="preserve">Notes: </w:t>
      </w:r>
      <w:r>
        <w:t>abstract_source=crossref</w:t>
      </w:r>
    </w:p>
    <w:p>
      <w:pPr>
        <w:spacing w:before="0" w:after="80" w:lineRule="auto" w:line="276"/>
      </w:pPr>
      <w:r>
        <w:rPr>
          <w:b/>
        </w:rPr>
        <w:t xml:space="preserve">摘要（ZH）: </w:t>
      </w:r>
      <w:r>
        <w:t>DNA 双链断裂 (DSB) 修复对于维持基因组完整性和有机体适应性是必需的。这一过程发生在染色质内，尽管准确的修复需要染色质结构和组成的广泛改变，但促进 DSB 修复的染色质效应器在植物中仍然很大程度上未知。使用反向遗传学，我们确定了两个染色质阅读器 YAF9A 和 YAF9B，作为 DSB 修复所需的新因子。</w:t>
      </w:r>
      <w:r>
        <w:t xml:space="preserve"> </w:t>
      </w:r>
      <w:r>
        <w:t>拟南芥</w:t>
      </w:r>
      <w:r>
        <w:t xml:space="preserve"> </w:t>
      </w:r>
      <w:r>
        <w:t>。虽然只有</w:t>
      </w:r>
      <w:r>
        <w:t xml:space="preserve"> </w:t>
      </w:r>
      <w:r>
        <w:t>亚夫9B</w:t>
      </w:r>
      <w:r>
        <w:t xml:space="preserve"> </w:t>
      </w:r>
      <w:r>
        <w:t>由于 DNA 损伤诱导，YAF9A 和 YAF9B 都是 DSB 修复所必需的，包括通过同源定向修复途径。从机制上讲，我们发现 YAF9A 和 YAF9B 表示不同的重塑复合物：虽然 YAF9A 与 NuA4 和 SWR1 相关，但 YAF9B 只与 NuA4 相关，定义了该重塑复合物的 DNA 损伤特异性版本，并将 NuA4 与植物中的 DSB 修复联系起来。我们还发现了 YAF9A 和 YAF9B 在 DNA 修复中的直接作用，而不是在基因调控中的间接作用，如</w:t>
      </w:r>
      <w:r>
        <w:t xml:space="preserve"> </w:t>
      </w:r>
      <w:r>
        <w:t>yaf9</w:t>
      </w:r>
      <w:r>
        <w:t xml:space="preserve"> </w:t>
      </w:r>
      <w:r>
        <w:t>突变体对 DNA 损伤表现出正常的转录反应。最后，我们证明 DSB 修复需要 YAF9B 读取器域。这些结果以组蛋白阅读器依赖的方式将 YAF9A、YAF9B 及其各自的重塑复合物与 DSB 修复联系起来，扩展了我们对染色质效应子如何调节植物中 DSB 修复的理解。</w:t>
      </w:r>
    </w:p>
    <w:p>
      <w:pPr>
        <w:spacing w:before="0" w:after="200" w:lineRule="auto" w:line="276"/>
      </w:pPr>
      <w:r>
        <w:rPr>
          <w:b/>
        </w:rPr>
        <w:t xml:space="preserve">Abstract (EN): </w:t>
      </w:r>
      <w:r>
        <w:t>DNA double-strand break (DSB) repair is required to maintain genome integrity and organismal fitness. This process occurs within chromatin and although accurate repair requires extensive changes in chromatin structure and composition, chromatin effectors facilitating DSB repair remain largely unknown in plants. Using reverse genetics, we identified two chromatin readers, YAF9A and YAF9B, as new factors required for DSB repair in</w:t>
      </w:r>
      <w:r>
        <w:t xml:space="preserve"> </w:t>
      </w:r>
      <w:r>
        <w:t>Arabidopsis</w:t>
      </w:r>
      <w:r>
        <w:t xml:space="preserve"> </w:t>
      </w:r>
      <w:r>
        <w:t>. While only</w:t>
      </w:r>
      <w:r>
        <w:t xml:space="preserve"> </w:t>
      </w:r>
      <w:r>
        <w:t>YAF9B</w:t>
      </w:r>
      <w:r>
        <w:t xml:space="preserve"> </w:t>
      </w:r>
      <w:r>
        <w:t>is induced by DNA damage, both YAF9A and YAF9B are required for DSB repair, including via homology-directed repair pathways. Mechanistically, we found YAF9A and YAF9B denote distinct remodeling complexes: While YAF9A associates with both NuA4 and SWR1, YAF9B only associates with NuA4, defining a DNA-damage-specific version of this remodeling complex and linking NuA4 to DSB repair in plants. We also uncovered direct roles for YAF9A and YAF9B in DNA repair, rather than indirect roles in gene regulation, as</w:t>
      </w:r>
      <w:r>
        <w:t xml:space="preserve"> </w:t>
      </w:r>
      <w:r>
        <w:t>yaf9</w:t>
      </w:r>
      <w:r>
        <w:t xml:space="preserve"> </w:t>
      </w:r>
      <w:r>
        <w:t>mutants showed normal transcriptional responses to DNA damage. Finally, we demonstrate that the YAF9B reader domain is required for DSB repair. These results link YAF9A, YAF9B, and their respective remodeling complexes, to DSB repair in a histone reader-dependent manner, expanding our understanding of how chromatin effectors regulate DSB repair in plants.</w:t>
      </w:r>
    </w:p>
    <w:p>
      <w:pPr>
        <w:spacing w:before="120" w:after="120"/>
      </w:pPr>
      <w:r>
        <w:rPr>
          <w:sz w:val="18"/>
        </w:rPr>
        <w:t>——————————————————————————————————————————————————————————————————————</w:t>
      </w:r>
    </w:p>
    <w:p>
      <w:pPr>
        <w:spacing w:before="160" w:after="40" w:line="240" w:lineRule="auto"/>
      </w:pPr>
      <w:r>
        <w:rPr>
          <w:b/>
        </w:rPr>
        <w:t xml:space="preserve">[85] </w:t>
      </w:r>
      <w:hyperlink r:id="rId458">
        <w:r>
          <w:rPr>
            <w:color w:val="1155CC"/>
            <w:u w:val="single"/>
          </w:rPr>
          <w:t>结构模型揭示了 IV 型菌毛回缩过程中运动 ATP 酶协调的机制</w:t>
        </w:r>
      </w:hyperlink>
    </w:p>
    <w:p>
      <w:pPr>
        <w:spacing w:before="0" w:after="80"/>
      </w:pPr>
      <w:r>
        <w:rPr>
          <w:i/>
          <w:sz w:val="20"/>
        </w:rPr>
        <w:t>EN: Structural modeling reveals the mechanism of motor ATPase coordination during type IV pilus retraction</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59">
        <w:r>
          <w:rPr>
            <w:color w:val="1155CC"/>
            <w:u w:val="single"/>
          </w:rPr>
          <w:t>10.1073/pnas.2531253123</w:t>
        </w:r>
      </w:hyperlink>
    </w:p>
    <w:p>
      <w:pPr>
        <w:spacing w:before="0" w:after="120"/>
      </w:pPr>
      <w:r>
        <w:rPr>
          <w:b/>
        </w:rPr>
        <w:t xml:space="preserve">Notes: </w:t>
      </w:r>
      <w:r>
        <w:t>abstract_source=crossref</w:t>
      </w:r>
    </w:p>
    <w:p>
      <w:pPr>
        <w:spacing w:before="0" w:after="80" w:lineRule="auto" w:line="276"/>
      </w:pPr>
      <w:r>
        <w:rPr>
          <w:b/>
        </w:rPr>
        <w:t xml:space="preserve">摘要（ZH）: </w:t>
      </w:r>
      <w:r>
        <w:t>不同的细菌种类利用称为 IV 型菌毛 (T4P) 的表面附属物与环境相互作用。这些结构从细胞表面动态延伸和缩回，这对于多种功能至关重要。一些 T4P 系统依赖于两种不同的运动 ATP 酶：PilT 和 PilU，它们的联合活动需要为 T4P 的强力收缩提供动力。然而，这些电机协调促进 T4P 收缩的机制仍不清楚。在这里，我们利用 T4P 能力</w:t>
      </w:r>
      <w:r>
        <w:t xml:space="preserve"> </w:t>
      </w:r>
      <w:r>
        <w:t>霍乱弧菌</w:t>
      </w:r>
      <w:r>
        <w:t xml:space="preserve"> </w:t>
      </w:r>
      <w:r>
        <w:t>作为一个模型系统来阐明 T4P 收缩过程中 PilT-PilU 协调的分子基础。具体来说，我们使用 AlphaFold 3 和分子动力学 (MD) 模拟对 PilT 和 PilU 之间的相互作用进行了建模。然后，我们结合细胞学和高分辨率遗传学方法对这些模型进行了实证测试。我们的结果表明，PilT 和 PilU C 端之间的相互作用对于这些电机协调驱动 T4P 回缩至关重要。最后，我们表明 PilT-PilU 相互作用在来自不同细菌物种的 T4P 系统中广泛保守，并且我们通过实验验证它们是 T4P 收缩所必需的。</w:t>
      </w:r>
      <w:r>
        <w:t xml:space="preserve"> </w:t>
      </w:r>
      <w:r>
        <w:t>不动杆菌属</w:t>
      </w:r>
      <w:r>
        <w:t xml:space="preserve"> </w:t>
      </w:r>
      <w:r>
        <w:t>拜伊</w:t>
      </w:r>
      <w:r>
        <w:t xml:space="preserve"> </w:t>
      </w:r>
      <w:r>
        <w:t>。总之，这项工作扩展了我们对 T4P 动力学的基本理解，更广泛地讲，它提供了关于这些 ATP 酶如何协调组装自然界中一些最强大的生物马达的机制见解。</w:t>
      </w:r>
    </w:p>
    <w:p>
      <w:pPr>
        <w:spacing w:before="0" w:after="200" w:lineRule="auto" w:line="276"/>
      </w:pPr>
      <w:r>
        <w:rPr>
          <w:b/>
        </w:rPr>
        <w:t xml:space="preserve">Abstract (EN): </w:t>
      </w:r>
      <w:r>
        <w:t>Diverse bacterial species utilize surface appendages called type IV pili (T4P) to interact with their environment. These structures are dynamically extended and retracted from the cell surface, which is critical for diverse functions. Some T4P systems rely on two distinct motor ATPases, PilT and PilU, whose combined activities are required to power forceful T4P retraction. However, the mechanism by which these motors coordinate to facilitate T4P retraction has remained unclear. Here, we utilize the competence T4P in</w:t>
      </w:r>
      <w:r>
        <w:t xml:space="preserve"> </w:t>
      </w:r>
      <w:r>
        <w:t>Vibrio cholerae</w:t>
      </w:r>
      <w:r>
        <w:t xml:space="preserve"> </w:t>
      </w:r>
      <w:r>
        <w:t>as a model system to elucidate the molecular basis for PilT–PilU coordination during T4P retraction. Specifically, we modeled the interactions between PilT and PilU using AlphaFold 3 and molecular dynamics (MD) simulations. We then empirically tested these models using a combination of cytological and high-resolution genetic approaches. Our results reveal that interactions between PilT and the PilU C-terminus are critical for these motors to coordinate to drive T4P retraction. Finally, we show that PilT–PilU interactions are broadly conserved in T4P systems from diverse bacterial species, and we experimentally validate that they are required for T4P retraction in</w:t>
      </w:r>
      <w:r>
        <w:t xml:space="preserve"> </w:t>
      </w:r>
      <w:r>
        <w:t>Acinetobacter</w:t>
      </w:r>
      <w:r>
        <w:t xml:space="preserve"> </w:t>
      </w:r>
      <w:r>
        <w:t>baylyi</w:t>
      </w:r>
      <w:r>
        <w:t xml:space="preserve"> </w:t>
      </w:r>
      <w:r>
        <w:t>. Together, this work expands our fundamental understanding of T4P dynamics, and more broadly it provides mechanistic insight into how these ATPases coordinate to assemble some of the strongest biological motors in nature.</w:t>
      </w:r>
    </w:p>
    <w:p>
      <w:pPr>
        <w:spacing w:before="120" w:after="120"/>
      </w:pPr>
      <w:r>
        <w:rPr>
          <w:sz w:val="18"/>
        </w:rPr>
        <w:t>——————————————————————————————————————————————————————————————————————</w:t>
      </w:r>
    </w:p>
    <w:p>
      <w:pPr>
        <w:spacing w:before="160" w:after="40" w:line="240" w:lineRule="auto"/>
      </w:pPr>
      <w:r>
        <w:rPr>
          <w:b/>
        </w:rPr>
        <w:t xml:space="preserve">[86] </w:t>
      </w:r>
      <w:hyperlink r:id="rId460">
        <w:r>
          <w:rPr>
            <w:color w:val="1155CC"/>
            <w:u w:val="single"/>
          </w:rPr>
          <w:t>两种成分的植物防御优于一种成分</w:t>
        </w:r>
      </w:hyperlink>
    </w:p>
    <w:p>
      <w:pPr>
        <w:spacing w:before="0" w:after="80"/>
      </w:pPr>
      <w:r>
        <w:rPr>
          <w:i/>
          <w:sz w:val="20"/>
        </w:rPr>
        <w:t>EN: Two-component plant defenses are better than one</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61">
        <w:r>
          <w:rPr>
            <w:color w:val="1155CC"/>
            <w:u w:val="single"/>
          </w:rPr>
          <w:t>10.1073/pnas.2613743123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[87] </w:t>
      </w:r>
      <w:hyperlink r:id="rId462">
        <w:r>
          <w:rPr>
            <w:color w:val="1155CC"/>
            <w:u w:val="single"/>
          </w:rPr>
          <w:t>跨王国的一个目标：对保守铜泵的化学抑制</w:t>
        </w:r>
      </w:hyperlink>
    </w:p>
    <w:p>
      <w:pPr>
        <w:spacing w:before="0" w:after="80"/>
      </w:pPr>
      <w:r>
        <w:rPr>
          <w:i/>
          <w:sz w:val="20"/>
        </w:rPr>
        <w:t>EN: One target across kingdoms: Chemical inhibition of conserved copper pumps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63">
        <w:r>
          <w:rPr>
            <w:color w:val="1155CC"/>
            <w:u w:val="single"/>
          </w:rPr>
          <w:t>10.1073/pnas.2614646123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 </w:t>
      </w:r>
      <w:hyperlink r:id="rId464">
        <w:r>
          <w:rPr>
            <w:color w:val="1155CC"/>
            <w:u w:val="single"/>
          </w:rPr>
          <w:t>Salomon 等人的《美国 COVID-19 趋势和影响调查》的更正：持续实时测量 COVID-19 症状、风险、保护行为、检测和疫苗接种</w:t>
        </w:r>
      </w:hyperlink>
    </w:p>
    <w:p>
      <w:pPr>
        <w:spacing w:before="0" w:after="80"/>
      </w:pPr>
      <w:r>
        <w:rPr>
          <w:i/>
          <w:sz w:val="20"/>
        </w:rPr>
        <w:t>EN: Correction for Salomon et al., The US COVID-19 Trends and Impact Survey: Continuous real-time measurement of COVID-19 symptoms, risks, protective behaviors, testing, and vaccination</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65">
        <w:r>
          <w:rPr>
            <w:color w:val="1155CC"/>
            <w:u w:val="single"/>
          </w:rPr>
          <w:t>10.1073/pnas.2617330123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[89] </w:t>
      </w:r>
      <w:hyperlink r:id="rId466">
        <w:r>
          <w:rPr>
            <w:color w:val="1155CC"/>
            <w:u w:val="single"/>
          </w:rPr>
          <w:t>更正 McDonald 等人的问题：辅助指标能否改善 COVID-19 预测和热点预测？</w:t>
        </w:r>
      </w:hyperlink>
    </w:p>
    <w:p>
      <w:pPr>
        <w:spacing w:before="0" w:after="80"/>
      </w:pPr>
      <w:r>
        <w:rPr>
          <w:i/>
          <w:sz w:val="20"/>
        </w:rPr>
        <w:t>EN: Correction for McDonald et al., Can auxiliary indicators improve COVID-19 forecasting and hotspot prediction?</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67">
        <w:r>
          <w:rPr>
            <w:color w:val="1155CC"/>
            <w:u w:val="single"/>
          </w:rPr>
          <w:t>10.1073/pnas.2617334123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 </w:t>
      </w:r>
      <w:hyperlink r:id="rId468">
        <w:r>
          <w:rPr>
            <w:color w:val="1155CC"/>
            <w:u w:val="single"/>
          </w:rPr>
          <w:t>迷幻药破坏人类和小鼠默认模式网络中的分层皮质传播</w:t>
        </w:r>
      </w:hyperlink>
    </w:p>
    <w:p>
      <w:pPr>
        <w:spacing w:before="0" w:after="80"/>
      </w:pPr>
      <w:r>
        <w:rPr>
          <w:i/>
          <w:sz w:val="20"/>
        </w:rPr>
        <w:t>EN: Psychedelics disrupt hierarchical cortical propagations in the default mode network of humans and mice</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69">
        <w:r>
          <w:rPr>
            <w:color w:val="1155CC"/>
            <w:u w:val="single"/>
          </w:rPr>
          <w:t>10.1073/pnas.2522000123</w:t>
        </w:r>
      </w:hyperlink>
    </w:p>
    <w:p>
      <w:pPr>
        <w:spacing w:before="0" w:after="120"/>
      </w:pPr>
      <w:r>
        <w:rPr>
          <w:b/>
        </w:rPr>
        <w:t xml:space="preserve">Notes: </w:t>
      </w:r>
      <w:r>
        <w:t>abstract_source=crossref</w:t>
      </w:r>
    </w:p>
    <w:p>
      <w:pPr>
        <w:spacing w:before="0" w:after="80" w:lineRule="auto" w:line="276"/>
      </w:pPr>
      <w:r>
        <w:rPr>
          <w:b/>
        </w:rPr>
        <w:t xml:space="preserve">摘要（ZH）: </w:t>
      </w:r>
      <w:r>
        <w:t>迷幻药物有望成为主流治疗方法，但我们缺乏对它们如何重塑大脑活动的回路层面的解释。新的证据表明，多种迷幻化合物调节大脑默认模式网络（DMN）的活动，通常被解释为增加或减少自下而上的分层处理。然而，大多数成像研究对活动进行量化，就好像它是静止的一样，与定义分层处理的活动的上升或下降运动保持不可知。在这里，我们采用光流分析来跟踪四个独立数据集（人类和小鼠；亚甲二氧基甲基苯丙胺、裸盖菇素和麦角酰胺；九个药物与对照对比）中 DMN 活动的帧到帧轨迹。在功能磁共振和钙成像中，所有迷幻药都会减弱 DMN 内的信号流强度和自下而上的方向性。传播衰减并非归因于数据质量或先前记录的迷幻药的影响，而是与自我报告的结果独特相关。这种自下而上的皮质传播的可复制和可推广的衰减从根本上阐明了致幻剂对宏观层次处理的影响。</w:t>
      </w:r>
    </w:p>
    <w:p>
      <w:pPr>
        <w:spacing w:before="0" w:after="200" w:lineRule="auto" w:line="276"/>
      </w:pPr>
      <w:r>
        <w:rPr>
          <w:b/>
        </w:rPr>
        <w:t xml:space="preserve">Abstract (EN): </w:t>
      </w:r>
      <w:r>
        <w:t>Psychedelic drugs are poised to become mainstream treatments, yet we lack a circuit-level account of how they reshape brain activity. Emerging evidence suggests that multiple psychedelic compounds modulate activity in the brain’s default mode network (DMN), often interpreted as either increased or decreased bottom–up hierarchical processing. Most imaging studies, however, quantify activity as if it were stationary, remaining agnostic to the ascending or descending movements of activity that defines hierarchical processing. Here, we adapt optical flow analyses to track frame-to-frame trajectories of DMN activity across four independent datasets (humans and mice; methylenedioxymethamphetamine, psilocybin, and lysergic acid diethylamide; nine drug-vs.-control contrasts). In functional magnetic resonance and calcium imaging, all psychedelics attenuate signal flow magnitude and bottom–up directionality within the DMN. Propagation attenuation is not attributable to data quality or previously documented effects of psychedelics and is uniquely associated with self-reported outcomes. This replicable and generalizable attenuation of bottom–up cortical propagations provides fundamental clarification of the effects of psychedelics on macroscale hierarchical processing.</w:t>
      </w:r>
    </w:p>
    <w:p>
      <w:pPr>
        <w:spacing w:before="120" w:after="120"/>
      </w:pPr>
      <w:r>
        <w:rPr>
          <w:sz w:val="18"/>
        </w:rPr>
        <w:t>——————————————————————————————————————————————————————————————————————</w:t>
      </w:r>
    </w:p>
    <w:p>
      <w:pPr>
        <w:spacing w:before="160" w:after="40" w:line="240" w:lineRule="auto"/>
      </w:pPr>
      <w:r>
        <w:rPr>
          <w:b/>
        </w:rPr>
        <w:t xml:space="preserve">[91] </w:t>
      </w:r>
      <w:hyperlink r:id="rId470">
        <w:r>
          <w:rPr>
            <w:color w:val="1155CC"/>
            <w:u w:val="single"/>
          </w:rPr>
          <w:t>回复肖和今田：无需选择合作伙伴，跨群体边界的亲社会性也是可能的</w:t>
        </w:r>
      </w:hyperlink>
    </w:p>
    <w:p>
      <w:pPr>
        <w:spacing w:before="0" w:after="80"/>
      </w:pPr>
      <w:r>
        <w:rPr>
          <w:i/>
          <w:sz w:val="20"/>
        </w:rPr>
        <w:t>EN: Reply to Xiao and Imada: Prosociality across group boundaries is possible without partner choice</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71">
        <w:r>
          <w:rPr>
            <w:color w:val="1155CC"/>
            <w:u w:val="single"/>
          </w:rPr>
          <w:t>10.1073/pnas.2613719123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 </w:t>
      </w:r>
      <w:hyperlink r:id="rId472">
        <w:r>
          <w:rPr>
            <w:color w:val="1155CC"/>
            <w:u w:val="single"/>
          </w:rPr>
          <w:t>周细胞氯钳机制控制脑血流的毛细血管控制</w:t>
        </w:r>
      </w:hyperlink>
    </w:p>
    <w:p>
      <w:pPr>
        <w:spacing w:before="0" w:after="80"/>
      </w:pPr>
      <w:r>
        <w:rPr>
          <w:i/>
          <w:sz w:val="20"/>
        </w:rPr>
        <w:t>EN: A pericyte chloride clamp mechanism governs capillary control of cerebral blood flow</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73">
        <w:r>
          <w:rPr>
            <w:color w:val="1155CC"/>
            <w:u w:val="single"/>
          </w:rPr>
          <w:t>10.1073/pnas.2523612123</w:t>
        </w:r>
      </w:hyperlink>
    </w:p>
    <w:p>
      <w:pPr>
        <w:spacing w:before="0" w:after="120"/>
      </w:pPr>
      <w:r>
        <w:rPr>
          <w:b/>
        </w:rPr>
        <w:t xml:space="preserve">Notes: </w:t>
      </w:r>
      <w:r>
        <w:t>abstract_source=crossref</w:t>
      </w:r>
    </w:p>
    <w:p>
      <w:pPr>
        <w:spacing w:before="0" w:after="80" w:lineRule="auto" w:line="276"/>
      </w:pPr>
      <w:r>
        <w:rPr>
          <w:b/>
        </w:rPr>
        <w:t xml:space="preserve">摘要（ZH）: </w:t>
      </w:r>
      <w:r>
        <w:t>细链周细胞覆盖大脑毛细血管网络的最深处，其精细突起与邻近的内皮细胞（EC）密切相关。最近的研究表明，细链周细胞通过产生超极化信号来促进整个大脑脉管系统的电信号传导，这些信号可以长距离传输，以放松毛细血管床近端分支周围的远程鞘周细胞和小动脉周围的平滑肌细胞（SMC），从而引起血流量增加。重置细链周细胞中的超极化事件必须涉及携带去极化电流的离子通道的参与，但介导这种电导的通道尚不清楚。在这里，我们揭示了小鼠皮质的细链周细胞表达功能性 TMEM16A 钙（Ca</w:t>
      </w:r>
      <w:r>
        <w:t xml:space="preserve"> </w:t>
      </w:r>
      <w:r>
        <w:t>2+</w:t>
      </w:r>
      <w:r>
        <w:t xml:space="preserve"> </w:t>
      </w:r>
      <w:r>
        <w:t>)-活化氯化物 (Cl</w:t>
      </w:r>
      <w:r>
        <w:t xml:space="preserve"> </w:t>
      </w:r>
      <w:r>
        <w:t>-</w:t>
      </w:r>
      <w:r>
        <w:t>）通道（CaCC）编码</w:t>
      </w:r>
      <w:r>
        <w:t xml:space="preserve"> </w:t>
      </w:r>
      <w:r>
        <w:t>阳极1</w:t>
      </w:r>
      <w:r>
        <w:t xml:space="preserve"> </w:t>
      </w:r>
      <w:r>
        <w:t>基因，我们证明这些是由内质网 (ER) Ca 控制的</w:t>
      </w:r>
      <w:r>
        <w:t xml:space="preserve"> </w:t>
      </w:r>
      <w:r>
        <w:t>2+</w:t>
      </w:r>
      <w:r>
        <w:t xml:space="preserve"> </w:t>
      </w:r>
      <w:r>
        <w:t>通过兰尼碱受体 (RyRs) 和肌醇-1,4,5-三磷酸 (IP</w:t>
      </w:r>
      <w:r>
        <w:rPr>
          <w:vertAlign w:val="subscript"/>
        </w:rPr>
        <w:t>3</w:t>
      </w:r>
      <w:r>
        <w:t>) 受体 (IP</w:t>
      </w:r>
      <w:r>
        <w:rPr>
          <w:vertAlign w:val="subscript"/>
        </w:rPr>
        <w:t>3</w:t>
      </w:r>
      <w:r>
        <w:t>卢比）和钙</w:t>
      </w:r>
      <w:r>
        <w:t xml:space="preserve"> </w:t>
      </w:r>
      <w:r>
        <w:t>2+</w:t>
      </w:r>
      <w:r>
        <w:t xml:space="preserve"> </w:t>
      </w:r>
      <w:r>
        <w:t>通过质膜 L 型和 T 型电压依赖性 Ca 进入</w:t>
      </w:r>
      <w:r>
        <w:t xml:space="preserve"> </w:t>
      </w:r>
      <w:r>
        <w:t>2+</w:t>
      </w:r>
      <w:r>
        <w:t xml:space="preserve"> </w:t>
      </w:r>
      <w:r>
        <w:t>通道 (VDCC)。我们表明，细链周细胞 CaCC 的活性在连接中起着关键作用</w:t>
      </w:r>
    </w:p>
    <w:p>
      <w:pPr>
        <w:spacing w:before="0" w:after="200" w:lineRule="auto" w:line="276"/>
      </w:pPr>
      <w:r>
        <w:rPr>
          <w:b/>
        </w:rPr>
        <w:t xml:space="preserve">Abstract (EN): </w:t>
      </w:r>
      <w:r>
        <w:t>Thin-strand pericytes cover the deepest reaches of the brain’s capillary network, and their fine processes are intimately associated with adjacent endothelial cells (ECs). Recent work has revealed that thin-strand pericytes contribute to electrical signaling throughout the brain’s vasculature by generating hyperpolarizing signals that can be transmitted over long distances to relax remote ensheathing pericytes around proximal branches of the capillary bed and smooth muscle cells (SMCs) around arterioles, thereby eliciting blood flow increases. Resetting hyperpolarizing events in thin-strand pericytes must involve the engagement of ion channels that carry depolarizing currents, but the channels that mediate such conductances are unknown. Here, we reveal that thin-strand pericytes of the mouse cortex express functional TMEM16A calcium (Ca</w:t>
      </w:r>
      <w:r>
        <w:t xml:space="preserve"> </w:t>
      </w:r>
      <w:r>
        <w:t>2+</w:t>
      </w:r>
      <w:r>
        <w:t xml:space="preserve"> </w:t>
      </w:r>
      <w:r>
        <w:t>)-activated chloride (Cl</w:t>
      </w:r>
      <w:r>
        <w:t xml:space="preserve"> </w:t>
      </w:r>
      <w:r>
        <w:t>−</w:t>
      </w:r>
      <w:r>
        <w:t>) channels (CaCCs) encoded by the</w:t>
      </w:r>
      <w:r>
        <w:t xml:space="preserve"> </w:t>
      </w:r>
      <w:r>
        <w:t>Ano1</w:t>
      </w:r>
      <w:r>
        <w:t xml:space="preserve"> </w:t>
      </w:r>
      <w:r>
        <w:t>gene, and we demonstrate that these are controlled by endoplasmic reticulum (ER) Ca</w:t>
      </w:r>
      <w:r>
        <w:t xml:space="preserve"> </w:t>
      </w:r>
      <w:r>
        <w:t>2+</w:t>
      </w:r>
      <w:r>
        <w:t xml:space="preserve"> </w:t>
      </w:r>
      <w:r>
        <w:t>release through ryanodine receptors (RyRs) and inositol-1,4,5-trisphosphate (IP</w:t>
      </w:r>
      <w:r>
        <w:rPr>
          <w:vertAlign w:val="subscript"/>
        </w:rPr>
        <w:t>3</w:t>
      </w:r>
      <w:r>
        <w:t>) receptors (IP</w:t>
      </w:r>
      <w:r>
        <w:rPr>
          <w:vertAlign w:val="subscript"/>
        </w:rPr>
        <w:t>3</w:t>
      </w:r>
      <w:r>
        <w:t>Rs), and Ca</w:t>
      </w:r>
      <w:r>
        <w:t xml:space="preserve"> </w:t>
      </w:r>
      <w:r>
        <w:t>2+</w:t>
      </w:r>
      <w:r>
        <w:t xml:space="preserve"> </w:t>
      </w:r>
      <w:r>
        <w:t>entry via plasmalemmal L- and T-type voltage-dependent Ca</w:t>
      </w:r>
      <w:r>
        <w:t xml:space="preserve"> </w:t>
      </w:r>
      <w:r>
        <w:t>2+</w:t>
      </w:r>
      <w:r>
        <w:t xml:space="preserve"> </w:t>
      </w:r>
      <w:r>
        <w:t>channels (VDCCs). We show that the activity of thin-strand pericyte CaCCs plays a key role in tethering membrane potential close to E</w:t>
      </w:r>
      <w:r>
        <w:t xml:space="preserve"> </w:t>
      </w:r>
      <w:r>
        <w:t>Cl</w:t>
      </w:r>
      <w:r>
        <w:t xml:space="preserve"> </w:t>
      </w:r>
      <w:r>
        <w:t>to regulate upstream arteriole diameter in vivo. We term this mechanism the pericyte “Cl</w:t>
      </w:r>
      <w:r>
        <w:t xml:space="preserve"> </w:t>
      </w:r>
      <w:r>
        <w:t>−</w:t>
      </w:r>
      <w:r>
        <w:t>clamp,” and we show that this functions to oppose hyperpolarizing electrical signaling and dilation under basal conditions and conversely opposes constriction under depolarizing conditions. We suggest that the operation of this VDCC-ER-CaCC unit is thus essential for optimal management of energy substrate delivery to local neurons.</w:t>
      </w:r>
    </w:p>
    <w:p>
      <w:pPr>
        <w:spacing w:before="120" w:after="120"/>
      </w:pPr>
      <w:r>
        <w:rPr>
          <w:sz w:val="18"/>
        </w:rPr>
        <w:t>——————————————————————————————————————————————————————————————————————</w:t>
      </w:r>
    </w:p>
    <w:p>
      <w:pPr>
        <w:spacing w:before="160" w:after="40" w:line="240" w:lineRule="auto"/>
      </w:pPr>
      <w:r>
        <w:rPr>
          <w:b/>
        </w:rPr>
        <w:t xml:space="preserve">[93] </w:t>
      </w:r>
      <w:hyperlink r:id="rId474">
        <w:r>
          <w:rPr>
            <w:color w:val="1155CC"/>
            <w:u w:val="single"/>
          </w:rPr>
          <w:t>α-突触核蛋白原纤维诱导线粒体衍生囊泡出芽</w:t>
        </w:r>
      </w:hyperlink>
    </w:p>
    <w:p>
      <w:pPr>
        <w:spacing w:before="0" w:after="80"/>
      </w:pPr>
      <w:r>
        <w:rPr>
          <w:i/>
          <w:sz w:val="20"/>
        </w:rPr>
        <w:t>EN: Alpha-synuclein fibrils induce budding of mitochondrial-derived vesicles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75">
        <w:r>
          <w:rPr>
            <w:color w:val="1155CC"/>
            <w:u w:val="single"/>
          </w:rPr>
          <w:t>10.1073/pnas.2604082123</w:t>
        </w:r>
      </w:hyperlink>
    </w:p>
    <w:p>
      <w:pPr>
        <w:spacing w:before="0" w:after="120"/>
      </w:pPr>
      <w:r>
        <w:rPr>
          <w:b/>
        </w:rPr>
        <w:t xml:space="preserve">Notes: </w:t>
      </w:r>
      <w:r>
        <w:t>abstract_source=crossref</w:t>
      </w:r>
    </w:p>
    <w:p>
      <w:pPr>
        <w:spacing w:before="0" w:after="80" w:lineRule="auto" w:line="276"/>
      </w:pPr>
      <w:r>
        <w:rPr>
          <w:b/>
        </w:rPr>
        <w:t xml:space="preserve">摘要（ZH）: </w:t>
      </w:r>
      <w:r>
        <w:t>α-突触核蛋白 (α-syn) 聚集是突触核蛋白病的标志，突触核蛋白病是一类神经退行性疾病，例如帕金森病 (PD)。一些证据表明线粒体参与了疾病病理学。尽管进行了大量研究，α-syn 聚集与线粒体毒性机制之间的联系仍未完全了解。使用高分辨率电子显微镜成像，我们检查了暴露于 α-syn 原纤维的 SH-SY5Y 细胞与关注线粒体的对照细胞。我们发现，暴露于 α-syn 原纤维后，线粒体嵴结构出现缺陷，线粒体增强了线粒体衍生囊泡 (MDV) 的出芽。 MDV 的形成反映了一种进化上保守的机制，让人想起细菌外膜囊泡的生物发生。通过质谱法进行的结构蛋白质组学分析通过识别调节嵴结构、MDV 形成和运输的多种蛋白质的变化证实了这种显微镜观察。我们的结果表明，α-syn 可能促进 MDV 的产生，并支持 α-syn 和线粒体之间的重要联系，这对于未来的机制研究非常重要。我们检测到的过程可能对诊断和潜在的治疗干预有意义。</w:t>
      </w:r>
    </w:p>
    <w:p>
      <w:pPr>
        <w:spacing w:before="0" w:after="200" w:lineRule="auto" w:line="276"/>
      </w:pPr>
      <w:r>
        <w:rPr>
          <w:b/>
        </w:rPr>
        <w:t xml:space="preserve">Abstract (EN): </w:t>
      </w:r>
      <w:r>
        <w:t>α-synuclein (α-syn) aggregation is a hallmark of synucleinopathies, a class of neurodegenerative disorders such as Parkinson’s disease (PD). Several lines of evidence indicate the involvement of mitochondria in the disease pathology. Despite extensive study, the link between α-syn aggregation and mechanisms of mitochondrial toxicity remains not fully understood. Using high-resolution imaging with electron microscopy, we examined SH-SY5Y cells exposed to α-syn fibrils vs control cells with a focus on mitochondria. We found that upon exposure to α-syn fibrils, mitochondria cristae structure gets defects, and mitochondria enhance the budding of mitochondrial-derived vesicles (MDVs). MDV formation reflects an evolutionarily conserved mechanism reminiscent of bacterial outer membrane vesicle biogenesis. Structural proteomics analysis by mass spectrometry corroborates this microscopy observation by identifying changes in multiple proteins that regulate cristae structure, MDV formation, and trafficking. Our results suggest that α-syn may promote MDV generation, and support an important link between α-syn and mitochondria which will be important for future mechanistic studies. The processes we detected could be of interest for diagnostics and potential therapeutic interventions.</w:t>
      </w:r>
    </w:p>
    <w:p>
      <w:pPr>
        <w:spacing w:before="120" w:after="120"/>
      </w:pPr>
      <w:r>
        <w:rPr>
          <w:sz w:val="18"/>
        </w:rPr>
        <w:t>——————————————————————————————————————————————————————————————————————</w:t>
      </w:r>
    </w:p>
    <w:p>
      <w:pPr>
        <w:spacing w:before="160" w:after="40" w:line="240" w:lineRule="auto"/>
      </w:pPr>
      <w:r>
        <w:rPr>
          <w:b/>
        </w:rPr>
        <w:t xml:space="preserve">[94] </w:t>
      </w:r>
      <w:hyperlink r:id="rId476">
        <w:r>
          <w:rPr>
            <w:color w:val="1155CC"/>
            <w:u w:val="single"/>
          </w:rPr>
          <w:t>长距离信号环路促进大豆结瘤和生产力</w:t>
        </w:r>
      </w:hyperlink>
    </w:p>
    <w:p>
      <w:pPr>
        <w:spacing w:before="0" w:after="80"/>
      </w:pPr>
      <w:r>
        <w:rPr>
          <w:i/>
          <w:sz w:val="20"/>
        </w:rPr>
        <w:t>EN: A long-distance signaling loop promotes soybean nodulation and productivity</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77">
        <w:r>
          <w:rPr>
            <w:color w:val="1155CC"/>
            <w:u w:val="single"/>
          </w:rPr>
          <w:t>10.1073/pnas.2609325123</w:t>
        </w:r>
      </w:hyperlink>
    </w:p>
    <w:p>
      <w:pPr>
        <w:spacing w:before="0" w:after="120"/>
      </w:pPr>
      <w:r>
        <w:rPr>
          <w:b/>
        </w:rPr>
        <w:t xml:space="preserve">Notes: </w:t>
      </w:r>
      <w:r>
        <w:t>abstract_source=crossref</w:t>
      </w:r>
    </w:p>
    <w:p>
      <w:pPr>
        <w:spacing w:before="0" w:after="80" w:lineRule="auto" w:line="276"/>
      </w:pPr>
      <w:r>
        <w:rPr>
          <w:b/>
        </w:rPr>
        <w:t xml:space="preserve">摘要（ZH）: </w:t>
      </w:r>
      <w:r>
        <w:t>当土壤细菌根瘤菌感染根毛时，豆科植物结瘤就会开始，并受到宿主衍生机制的严格调控，这些机制限制根瘤数量，以平衡共生固氮的益处与植物的生长和代谢需求。然而，植物如何主动促进结瘤的启动以平衡这些限制机制并维持最佳的结瘤水平仍然很大程度上未知。在这里，我们报告了大豆（</w:t>
      </w:r>
      <w:r>
        <w:t xml:space="preserve"> </w:t>
      </w:r>
      <w:r>
        <w:t>大豆</w:t>
      </w:r>
      <w:r>
        <w:t xml:space="preserve"> </w:t>
      </w:r>
      <w:r>
        <w:t>）促进根瘤菌感染。我们发现，用根瘤菌接种大豆根会抑制芽中 microRNA miR4416-5p 的生物合成，这是一种从芽转运到根的移动 microRNA。由此导致根中 miR4416-5p 水平的降低增强了植物凝集素基因的表达</w:t>
      </w:r>
      <w:r>
        <w:t xml:space="preserve"> </w:t>
      </w:r>
      <w:r>
        <w:t>凝集素3</w:t>
      </w:r>
      <w:r>
        <w:t xml:space="preserve"> </w:t>
      </w:r>
      <w:r>
        <w:t>（</w:t>
      </w:r>
      <w:r>
        <w:t xml:space="preserve"> </w:t>
      </w:r>
      <w:r>
        <w:t>GmLe3</w:t>
      </w:r>
      <w:r>
        <w:t xml:space="preserve"> </w:t>
      </w:r>
      <w:r>
        <w:t>），促进根瘤菌感染，从而增强根瘤形成并提高低氮条件下的植物生产力。我们进一步证明，芽中 miR4416-5p 生物发生的抑制是由根源性 C 端编码肽 7 (GmCEP7) 触发的，从而建立了长距离 GmCEP7-miR4416-5p-</w:t>
      </w:r>
      <w:r>
        <w:t>GmLe3</w:t>
      </w:r>
      <w:r>
        <w:t xml:space="preserve"> </w:t>
      </w:r>
      <w:r>
        <w:t>调节环路对于理想的共生协同作用和植物生产力至关重要。比较基因组分析表明，模型豆类中不存在这种 miR4416-5p 介导的调节模块</w:t>
      </w:r>
      <w:r>
        <w:t xml:space="preserve"> </w:t>
      </w:r>
      <w:r>
        <w:t>蒺藜苜蓿</w:t>
      </w:r>
    </w:p>
    <w:p>
      <w:pPr>
        <w:spacing w:before="0" w:after="200" w:lineRule="auto" w:line="276"/>
      </w:pPr>
      <w:r>
        <w:rPr>
          <w:b/>
        </w:rPr>
        <w:t xml:space="preserve">Abstract (EN): </w:t>
      </w:r>
      <w:r>
        <w:t>Legume nodulation is initiated when soil bacteria rhizobia infect root hairs and is tightly regulated by host-derived mechanisms that restrict nodule numbers to balance the benefits of symbiotic nitrogen fixation with the plant’s growth and metabolic demands. However, how plants actively promote the initiation of nodulation to counterbalance these restrictive mechanisms and maintain an optimal level of nodulation remains largely unknown. Here, we report a systemic regulatory mechanism through which soybean (</w:t>
      </w:r>
      <w:r>
        <w:t xml:space="preserve"> </w:t>
      </w:r>
      <w:r>
        <w:t>Glycine max</w:t>
      </w:r>
      <w:r>
        <w:t xml:space="preserve"> </w:t>
      </w:r>
      <w:r>
        <w:t>) promotes rhizobial infection. We show that inoculation of soybean roots with rhizobia suppresses the biogenesis of microRNA miR4416-5p in shoots, a mobile microRNA that is transported from shoots to roots. The resulting reduction of miR4416-5p levels in roots enhances the expression of a vegetative lectin gene</w:t>
      </w:r>
      <w:r>
        <w:t xml:space="preserve"> </w:t>
      </w:r>
      <w:r>
        <w:t>Lectin 3</w:t>
      </w:r>
      <w:r>
        <w:t xml:space="preserve"> </w:t>
      </w:r>
      <w:r>
        <w:t>(</w:t>
      </w:r>
      <w:r>
        <w:t xml:space="preserve"> </w:t>
      </w:r>
      <w:r>
        <w:t>GmLe3</w:t>
      </w:r>
      <w:r>
        <w:t xml:space="preserve"> </w:t>
      </w:r>
      <w:r>
        <w:t>), which promotes rhizobial infection, thereby enhancing nodule formation and improving plant productivity under low nitrogen conditions. We further demonstrate that suppression of miR4416-5p biogenesis in shoots is triggered by the root-derived C-TERMINALLY ENCODED PEPTIDE 7 (GmCEP7), establishing a long-distance GmCEP7-miR4416-5p-</w:t>
      </w:r>
      <w:r>
        <w:t>GmLe3</w:t>
      </w:r>
      <w:r>
        <w:t xml:space="preserve"> </w:t>
      </w:r>
      <w:r>
        <w:t>regulatory loop that is critical for desirable symbiotic synergy and plant productivity. Comparative genomic analysis reveals that this miR4416-5p-mediated regulatory module is absent in the model legumes</w:t>
      </w:r>
      <w:r>
        <w:t xml:space="preserve"> </w:t>
      </w:r>
      <w:r>
        <w:t>Medicago truncatula</w:t>
      </w:r>
      <w:r>
        <w:t xml:space="preserve"> </w:t>
      </w:r>
      <w:r>
        <w:t>and</w:t>
      </w:r>
      <w:r>
        <w:t xml:space="preserve"> </w:t>
      </w:r>
      <w:r>
        <w:t>Lotus japonicus</w:t>
      </w:r>
      <w:r>
        <w:t xml:space="preserve"> </w:t>
      </w:r>
      <w:r>
        <w:t>but appears to be conserved in economically important legume crops common bean (</w:t>
      </w:r>
      <w:r>
        <w:t xml:space="preserve"> </w:t>
      </w:r>
      <w:r>
        <w:t>Phaseolus vulgaris</w:t>
      </w:r>
      <w:r>
        <w:t xml:space="preserve"> </w:t>
      </w:r>
      <w:r>
        <w:t>) and pigeonpea (</w:t>
      </w:r>
      <w:r>
        <w:t xml:space="preserve"> </w:t>
      </w:r>
      <w:r>
        <w:t>Cajanus cajan</w:t>
      </w:r>
      <w:r>
        <w:t xml:space="preserve"> </w:t>
      </w:r>
      <w:r>
        <w:t>), suggesting an evolutionary innovation in nodulation control. These findings uncover a systemic mechanism that promotes rhizobial infection and highlight an evolutionary innovation in regulation of nodulation with potential implications for improving legume crop productivity under nitrogen-limited conditions.</w:t>
      </w:r>
    </w:p>
    <w:p>
      <w:pPr>
        <w:spacing w:before="120" w:after="120"/>
      </w:pPr>
      <w:r>
        <w:rPr>
          <w:sz w:val="18"/>
        </w:rPr>
        <w:t>——————————————————————————————————————————————————————————————————————</w:t>
      </w:r>
    </w:p>
    <w:p>
      <w:pPr>
        <w:spacing w:before="160" w:after="40" w:line="240" w:lineRule="auto"/>
      </w:pPr>
      <w:r>
        <w:rPr>
          <w:b/>
        </w:rPr>
        <w:t xml:space="preserve">[95] </w:t>
      </w:r>
      <w:hyperlink r:id="rId478">
        <w:r>
          <w:rPr>
            <w:color w:val="1155CC"/>
            <w:u w:val="single"/>
          </w:rPr>
          <w:t>内群体和外群体亲社会性的共现需要跨群体的合作伙伴选择</w:t>
        </w:r>
      </w:hyperlink>
    </w:p>
    <w:p>
      <w:pPr>
        <w:spacing w:before="0" w:after="80"/>
      </w:pPr>
      <w:r>
        <w:rPr>
          <w:i/>
          <w:sz w:val="20"/>
        </w:rPr>
        <w:t>EN: The co-occurrence of ingroup and outgroup prosociality requires cross-group partner choice</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79">
        <w:r>
          <w:rPr>
            <w:color w:val="1155CC"/>
            <w:u w:val="single"/>
          </w:rPr>
          <w:t>10.1073/pnas.2606967123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 </w:t>
      </w:r>
      <w:hyperlink r:id="rId480">
        <w:r>
          <w:rPr>
            <w:color w:val="1155CC"/>
            <w:u w:val="single"/>
          </w:rPr>
          <w:t>自噬体-线粒体接触的失调导致 tau 蛋白病中的自噬功能障碍和神经退行性变</w:t>
        </w:r>
      </w:hyperlink>
    </w:p>
    <w:p>
      <w:pPr>
        <w:spacing w:before="0" w:after="80"/>
      </w:pPr>
      <w:r>
        <w:rPr>
          <w:i/>
          <w:sz w:val="20"/>
        </w:rPr>
        <w:t>EN: Dysregulation of autophagosome–mitochondria contacts contributes to autophagy dysfunction and neurodegeneration in tauopathy</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81">
        <w:r>
          <w:rPr>
            <w:color w:val="1155CC"/>
            <w:u w:val="single"/>
          </w:rPr>
          <w:t>10.1073/pnas.2520331123</w:t>
        </w:r>
      </w:hyperlink>
    </w:p>
    <w:p>
      <w:pPr>
        <w:spacing w:before="0" w:after="120"/>
      </w:pPr>
      <w:r>
        <w:rPr>
          <w:b/>
        </w:rPr>
        <w:t xml:space="preserve">Notes: </w:t>
      </w:r>
      <w:r>
        <w:t>abstract_source=crossref</w:t>
      </w:r>
    </w:p>
    <w:p>
      <w:pPr>
        <w:spacing w:before="0" w:after="80" w:lineRule="auto" w:line="276"/>
      </w:pPr>
      <w:r>
        <w:rPr>
          <w:b/>
        </w:rPr>
        <w:t xml:space="preserve">摘要（ZH）: </w:t>
      </w:r>
      <w:r>
        <w:t>线粒体（Mito）通过膜接触与其他细胞器进行广泛的交流。多种神经退行性疾病都表明线粒体与细胞器相互作用受到干扰，但其潜在机制仍知之甚少。在这里，我们报告了一类线粒体-细胞器通讯：自噬体/自噬液泡 (AV)-Mito 接触，它在 tau 蛋白病神经元中表现出过度束缚，从而阻碍 AV 逆行运输。这种缺陷归因于接触释放因子 TBC1D15 的加速更新，这是由线粒体生物能缺陷诱导的腺苷单磷酸激活蛋白激酶 (AMPK) 的过度活跃引发的。增加 TBC1D15 水平或抑制 AMPK 活性可使 AV-Mito 接触释放正常化并恢复 AV 的逆行运输，从而增加自噬货物清除并减少 tau 病轴突中的 tau 负担。此外，TBC1D15 的过度表达可增强自噬清除并减弱 tau 蛋白病理学，从而减轻 tau 蛋白病小鼠的神经变性和认知功能障碍。总而言之，我们的研究提供了 tau 蛋白病相关自噬失败中 AV-Mito 接触失调的机制见解，为开发对抗 tau 蛋白病疾病的潜在疗法奠定了基础。</w:t>
      </w:r>
    </w:p>
    <w:p>
      <w:pPr>
        <w:spacing w:before="0" w:after="200" w:lineRule="auto" w:line="276"/>
      </w:pPr>
      <w:r>
        <w:rPr>
          <w:b/>
        </w:rPr>
        <w:t xml:space="preserve">Abstract (EN): </w:t>
      </w:r>
      <w:r>
        <w:t>Mitochondria (Mito) engage in extensive communication with other organelles through membrane contacts. Perturbed mitochondria–organelle interactions are indicated in a variety of neurodegenerative diseases, but the underlying mechanisms remain poorly understood. Here, we report a class of mitochondria–organelle communication: autophagosome/autophagic vacuole (AV)–Mito contact, which exhibits hypertethering in tauopathy neurons, consequently hampering AV retrograde transport. Such defects are attributed to accelerated turnover of the contact release factor TBC1D15, triggered by mitochondrial bioenergetic deficit-induced hyperactivity of the adenosine monophosphate-activated protein kinase (AMPK). Increasing TBC1D15 levels or repressing AMPK activity normalizes AV-Mito contact release and restores retrograde transport of AVs, thereby increasing autophagic cargo clearance and reducing tau burden in tauopathy axons. Furthermore, overexpression of TBC1D15 enhances autophagic clearance and attenuates tau pathology, alleviating neurodegeneration and cognitive dysfunction in tauopathy mice. Taken together, our study provides mechanistic insights into AV-Mito contact dysregulation in tauopathy-related autophagy failure, laying the groundwork for the development of potential therapeutics to combat tauopathy diseases.</w:t>
      </w:r>
    </w:p>
    <w:p>
      <w:pPr>
        <w:spacing w:before="120" w:after="120"/>
      </w:pPr>
      <w:r>
        <w:rPr>
          <w:sz w:val="18"/>
        </w:rPr>
        <w:t>——————————————————————————————————————————————————————————————————————</w:t>
      </w:r>
    </w:p>
    <w:p>
      <w:pPr>
        <w:spacing w:before="160" w:after="40" w:line="240" w:lineRule="auto"/>
      </w:pPr>
      <w:r>
        <w:rPr>
          <w:b/>
        </w:rPr>
        <w:t xml:space="preserve">[97] </w:t>
      </w:r>
      <w:hyperlink r:id="rId482">
        <w:r>
          <w:rPr>
            <w:color w:val="1155CC"/>
            <w:u w:val="single"/>
          </w:rPr>
          <w:t>城市脉搏：将城市化过程诊断为尖峰、周期性和异步的</w:t>
        </w:r>
      </w:hyperlink>
    </w:p>
    <w:p>
      <w:pPr>
        <w:spacing w:before="0" w:after="80"/>
      </w:pPr>
      <w:r>
        <w:rPr>
          <w:i/>
          <w:sz w:val="20"/>
        </w:rPr>
        <w:t>EN: The Urban Pulse: Diagnosing the urbanization process as spiky, cyclical, and asynchronous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83">
        <w:r>
          <w:rPr>
            <w:color w:val="1155CC"/>
            <w:u w:val="single"/>
          </w:rPr>
          <w:t>10.1073/pnas.2537770123</w:t>
        </w:r>
      </w:hyperlink>
    </w:p>
    <w:p>
      <w:pPr>
        <w:spacing w:before="0" w:after="120"/>
      </w:pPr>
      <w:r>
        <w:rPr>
          <w:b/>
        </w:rPr>
        <w:t xml:space="preserve">Notes: </w:t>
      </w:r>
      <w:r>
        <w:t>abstract_source=crossref</w:t>
      </w:r>
    </w:p>
    <w:p>
      <w:pPr>
        <w:spacing w:before="0" w:after="80" w:lineRule="auto" w:line="276"/>
      </w:pPr>
      <w:r>
        <w:rPr>
          <w:b/>
        </w:rPr>
        <w:t xml:space="preserve">摘要（ZH）: </w:t>
      </w:r>
      <w:r>
        <w:t>许多城市指标主要关注静态结果，未能捕捉城市化的动态本质。在这里，我们引入城市脉搏的概念，将城市化描述为持续时空变化的过程。利用密集的时间序列遥感数据，我们对代表不同发展水平、经济和地理位置的六个城市实施了城市脉动：西雅图、深圳、拉各斯、孟买、迪拜和墨西哥城。然后，我们使用“城市脉搏”来评估 COVID-19 对这六个城市的影响。结果通过实证证实了三个主要见解。首先，城市化本质上是尖峰的，其特点是偏离基线趋势的偶发事件。其次，城市化是周期性的，反映了扩张、稳定或衰退阶段的转变，并且不会以可预测的频率发生，例如季节性模式。三是城镇化进程不同步，次城市发展不协调。 Urban Pulse COVID-19 分析显示，虽然一些城市的城市化进程尚未恢复到大流行前的模式，但其他城市在大流行后的模式出现了重大转变。这些发现表明，选择一个街区或次城市区域作为观察单位可能对整个城市影响不大。通过捕捉这些空间和时间节奏，城市脉搏框架提供了对过程动态的全面理解，使研究人员能够更有效地将过程与结果联系起来。这种方法允许识别</w:t>
      </w:r>
    </w:p>
    <w:p>
      <w:pPr>
        <w:spacing w:before="0" w:after="200" w:lineRule="auto" w:line="276"/>
      </w:pPr>
      <w:r>
        <w:rPr>
          <w:b/>
        </w:rPr>
        <w:t xml:space="preserve">Abstract (EN): </w:t>
      </w:r>
      <w:r>
        <w:t>Many urban indicators predominantly focus on static outcomes, failing to capture the dynamic nature of urbanization. Here, we introduce the concept of the Urban Pulse to characterize urbanization as a process of continual spatiotemporal change. Using dense time series remote sensing data, we operationalize the Urban Pulse for six cities that represent diverse development levels, economies, and geographies: Seattle, Shenzhen, Lagos, Mumbai, Dubai, and Mexico City. We then use the Urban Pulse to assess how COVID-19 affected each of the six cities. The results empirically substantiate three major insights. First, urbanization is inherently spiky, characterized by episodic events that deviate from baseline trends. Second, urbanization is cyclical, reflecting transitions through stages of expansion, stabilization, or decline, and does not occur with predictable frequency, such as seasonal patterns. Third, urbanization is asynchronous, with subcity areas exhibiting uncoordinated development patterns. The Urban Pulse COVID-19 analysis shows that while urbanization processes for some cities have not returned to prepandemic patterns, other cities exhibit a significant shift in patterns postpandemic. These findings suggest that the selection of a neighborhood or subcity area as an observation unit may have little bearing on a city as a whole. By capturing these spatial and temporal rhythms, the Urban Pulse framework provides a comprehensive understanding of process dynamics, enabling researchers to link processes to outcomes more effectively. This approach allows for the recognition of early warning signals at subcity scales and may facilitate targeted interventions at the neighborhood level, where they are most impactful.</w:t>
      </w:r>
    </w:p>
    <w:p>
      <w:pPr>
        <w:spacing w:before="120" w:after="120"/>
      </w:pPr>
      <w:r>
        <w:rPr>
          <w:sz w:val="18"/>
        </w:rPr>
        <w:t>——————————————————————————————————————————————————————————————————————</w:t>
      </w:r>
    </w:p>
    <w:p>
      <w:pPr>
        <w:spacing w:before="160" w:after="40" w:line="240" w:lineRule="auto"/>
      </w:pPr>
      <w:r>
        <w:rPr>
          <w:b/>
        </w:rPr>
        <w:t xml:space="preserve">[98] </w:t>
      </w:r>
      <w:hyperlink r:id="rId484">
        <w:r>
          <w:rPr>
            <w:color w:val="1155CC"/>
            <w:u w:val="single"/>
          </w:rPr>
          <w:t>PDE6α和PDE6β亚基在视杆细胞-光感受器完整性中的功能不对称性和重要结构作用</w:t>
        </w:r>
      </w:hyperlink>
    </w:p>
    <w:p>
      <w:pPr>
        <w:spacing w:before="0" w:after="80"/>
      </w:pPr>
      <w:r>
        <w:rPr>
          <w:i/>
          <w:sz w:val="20"/>
        </w:rPr>
        <w:t>EN: Functional asymmetry and essential structural roles of PDE6α and PDE6β subunits in rod–photoreceptor integrity</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85">
        <w:r>
          <w:rPr>
            <w:color w:val="1155CC"/>
            <w:u w:val="single"/>
          </w:rPr>
          <w:t>10.1073/pnas.2604088123</w:t>
        </w:r>
      </w:hyperlink>
    </w:p>
    <w:p>
      <w:pPr>
        <w:spacing w:before="0" w:after="120"/>
      </w:pPr>
      <w:r>
        <w:rPr>
          <w:b/>
        </w:rPr>
        <w:t xml:space="preserve">Notes: </w:t>
      </w:r>
      <w:r>
        <w:t>abstract_source=crossref</w:t>
      </w:r>
    </w:p>
    <w:p>
      <w:pPr>
        <w:spacing w:before="0" w:after="80" w:lineRule="auto" w:line="276"/>
      </w:pPr>
      <w:r>
        <w:rPr>
          <w:b/>
        </w:rPr>
        <w:t xml:space="preserve">摘要（ZH）: </w:t>
      </w:r>
      <w:r>
        <w:t>四聚体杆状磷酸二酯酶-6 (PDE6) 由 α/β 异二聚体催化核心和两个抑制性 γ 亚基组成，可严格调节杆状光感受器中的环 GMP (cGMP) 水平。杆-PDE6 催化核心是异二聚体，而锥异构体是 α'/α' 同二聚体。这种结构差异表明每个视杆亚基具有独特的作用。由于缺乏异源表达系统，我们生成了四种转基因小鼠模型来检查 N 末端马尾 (Pt) 基序和杆 PDE6 各个催化亚基的催化结构域在体内的功能贡献。我们生成了两个 N 端缺失（PDE6αΔ2-48AA 和 PDE6βΔ2-46AA）；以及两个活性位点突变（PDE6αH599A 和 PDE6βH597A），旨在选择性地消除催化活性。杂合小鼠的天然质谱分析表明仅产生野生型酶。虽然所有品系中的纯合突变都会导致光感受器完全变性，但对杂合品系的分析表明，β亚基突变对蛋白质稳定性、酶活性和视觉功能的影响要大得多。这些发现证实，两个活性亚基对于视杆细胞的完整性至关重要，但 PDE6αβ 异二聚体内存在显着的功能不对称性。我们的结果表明，PDE6β 亚基在维持 PDE6 酶的结构和功能库中发挥着更主导的作用。</w:t>
      </w:r>
    </w:p>
    <w:p>
      <w:pPr>
        <w:spacing w:before="0" w:after="200" w:lineRule="auto" w:line="276"/>
      </w:pPr>
      <w:r>
        <w:rPr>
          <w:b/>
        </w:rPr>
        <w:t xml:space="preserve">Abstract (EN): </w:t>
      </w:r>
      <w:r>
        <w:t>Tetrameric rod phosphodiesterase-6 (PDE6), comprised of an α/β heterodimeric catalytic core and two inhibitory γ subunits, critically regulates cyclic GMP (cGMP) levels in rod photoreceptors. While the rod-PDE6 catalytic core is a heterodimer, the cone isoform is an α′/α′ homodimer. This structural difference suggests a unique role for each rod subunit. Due to the lack of heterologous expression systems, we generated four transgenic mouse models to examine the functional contributions of the N-terminal pony-tail (Pt)-motifs and of the catalytic domains of the individual catalytic subunits of rod PDE6 in vivo. We generated two N-terminal deletions (PDE6αΔ2-48AA and PDE6βΔ2-46AA); and two active-site mutations (PDE6αH599A and PDE6βH597A) designed to selectively abolish catalytic activity. Native mass spectrometric analysis of heterozygous mice revealed that only wild-type enzyme was produced. While homozygous mutations in all lines caused complete photoreceptor degeneration, analysis of heterozygous lines revealed a disproportionately greater impact of β-subunit mutations on protein stability, enzymatic activity, and visual function. These findings establish that both active subunits are essential for rod integrity, but a significant functional asymmetry exists within the PDE6αβ heterodimer. Our results demonstrate that the PDE6β subunit plays a more dominant role in maintaining the structural and functional pool of PDE6 enzyme.</w:t>
      </w:r>
    </w:p>
    <w:p>
      <w:pPr>
        <w:spacing w:before="120" w:after="120"/>
      </w:pPr>
      <w:r>
        <w:rPr>
          <w:sz w:val="18"/>
        </w:rPr>
        <w:t>——————————————————————————————————————————————————————————————————————</w:t>
      </w:r>
    </w:p>
    <w:p>
      <w:pPr>
        <w:spacing w:before="160" w:after="40" w:line="240" w:lineRule="auto"/>
      </w:pPr>
      <w:r>
        <w:rPr>
          <w:b/>
        </w:rPr>
        <w:t xml:space="preserve">[99] </w:t>
      </w:r>
      <w:hyperlink r:id="rId486">
        <w:r>
          <w:rPr>
            <w:color w:val="1155CC"/>
            <w:u w:val="single"/>
          </w:rPr>
          <w:t>回复 Wang 等人：将微生物代谢物和肠道上皮反应与微生物组定向治疗食品联系起来</w:t>
        </w:r>
      </w:hyperlink>
    </w:p>
    <w:p>
      <w:pPr>
        <w:spacing w:before="0" w:after="80"/>
      </w:pPr>
      <w:r>
        <w:rPr>
          <w:i/>
          <w:sz w:val="20"/>
        </w:rPr>
        <w:t>EN: Reply to Wang et al.: Linking microbial metabolites and gut epithelial responses to microbiome-directed therapeutic foods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87">
        <w:r>
          <w:rPr>
            <w:color w:val="1155CC"/>
            <w:u w:val="single"/>
          </w:rPr>
          <w:t>10.1073/pnas.2613406123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[100] </w:t>
      </w:r>
      <w:hyperlink r:id="rId488">
        <w:r>
          <w:rPr>
            <w:color w:val="1155CC"/>
            <w:u w:val="single"/>
          </w:rPr>
          <w:t>通过微生物组修复调节肠道上皮屏障和簇/杯状细胞反应：机遇和未来方向</w:t>
        </w:r>
      </w:hyperlink>
    </w:p>
    <w:p>
      <w:pPr>
        <w:spacing w:before="0" w:after="80"/>
      </w:pPr>
      <w:r>
        <w:rPr>
          <w:i/>
          <w:sz w:val="20"/>
        </w:rPr>
        <w:t>EN: Regulation of gut epithelial barrier and tuft/goblet cell responses by microbiome repair: Opportunities and future directions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89">
        <w:r>
          <w:rPr>
            <w:color w:val="1155CC"/>
            <w:u w:val="single"/>
          </w:rPr>
          <w:t>10.1073/pnas.2535289123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[101] </w:t>
      </w:r>
      <w:hyperlink r:id="rId490">
        <w:r>
          <w:rPr>
            <w:color w:val="1155CC"/>
            <w:u w:val="single"/>
          </w:rPr>
          <w:t>靶向 cGAS-STING 通路可减轻敲入小鼠模型中亨廷顿病的发病机制</w:t>
        </w:r>
      </w:hyperlink>
    </w:p>
    <w:p>
      <w:pPr>
        <w:spacing w:before="0" w:after="80"/>
      </w:pPr>
      <w:r>
        <w:rPr>
          <w:i/>
          <w:sz w:val="20"/>
        </w:rPr>
        <w:t>EN: Targeting the cGAS–STING pathway mitigates Huntington disease pathogenesis in a knock-in mouse model</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91">
        <w:r>
          <w:rPr>
            <w:color w:val="1155CC"/>
            <w:u w:val="single"/>
          </w:rPr>
          <w:t>10.1073/pnas.2535879123</w:t>
        </w:r>
      </w:hyperlink>
    </w:p>
    <w:p>
      <w:pPr>
        <w:spacing w:before="0" w:after="120"/>
      </w:pPr>
      <w:r>
        <w:rPr>
          <w:b/>
        </w:rPr>
        <w:t xml:space="preserve">Notes: </w:t>
      </w:r>
      <w:r>
        <w:t>abstract_source=crossref</w:t>
      </w:r>
    </w:p>
    <w:p>
      <w:pPr>
        <w:spacing w:before="0" w:after="80" w:lineRule="auto" w:line="276"/>
      </w:pPr>
      <w:r>
        <w:rPr>
          <w:b/>
        </w:rPr>
        <w:t xml:space="preserve">摘要（ZH）: </w:t>
      </w:r>
      <w:r>
        <w:t>环 GMP-AMP 合酶 (cGAS) 及其下游效应子、干扰素基因刺激子 (STING) 形成关键的胞质 DNA 传感通路，驱动先天免疫激活和促炎信号传导。我们之前表明，cGAS 在亨廷顿病 (HD) 细胞模型中上调，调节自噬和炎症；然而，其体内作用仍不清楚。在这里，我们对 Q175DN 敲入 HD 小鼠进行基因消除 cGAS，并进行 2 至 14 月龄的纵向行为评估。 cGAS 缺失显着改善了 HD 相关的运动缺陷，包括旋转性能和平衡木行走协调性，并减轻了进行性体重减轻。组织学分析显示侧脑室扩大减少，纹状体星形胶质细胞增生和小胶质细胞增生减少。虽然在野生型同窝小鼠中观察到的影响很小，但缺乏 cGAS 的 HD 大脑的转录组分析显示，参与发育和细胞间通讯的基因下调，以及与离子转运和突触功能相关的基因上调。脂质组学分析进一步证明免疫调节脂质水平增加，特别是 12-HETE 和 12-HEPE，表明向保护性脂质谱的转变。重要的是，使用 H-151 对 STING 进行药理学抑制可改善 Q175DN 小鼠的年龄依赖性运动表现、减少纹状体萎缩并减弱神经胶质细胞活化。总的来说，这些发现将 cGAS-STING 通路确定为 HD 进展的关键驱动因素，并支持其抑制作为一种有前途的治疗方法</w:t>
      </w:r>
    </w:p>
    <w:p>
      <w:pPr>
        <w:spacing w:before="0" w:after="200" w:lineRule="auto" w:line="276"/>
      </w:pPr>
      <w:r>
        <w:rPr>
          <w:b/>
        </w:rPr>
        <w:t xml:space="preserve">Abstract (EN): </w:t>
      </w:r>
      <w:r>
        <w:t>Cyclic GMP–AMP synthase (cGAS) and its downstream effector, stimulator of interferon genes (STING), form a key cytosolic DNA-sensing pathway that drives innate immune activation and proinflammatory signaling. We previously showed that cGAS is upregulated in Huntington disease (HD) cellular models, where it regulates autophagy and inflammation; however, its in vivo role remained unclear. Here, we genetically ablated cGAS in Q175DN knock-in HD mice and performed longitudinal behavioral assessments from 2 to 14 mo of age. cGAS deletion significantly improved HD-associated motor deficits, including rotarod performance and beam-walk coordination, and mitigated progressive body-weight loss. Histological analyses revealed reduced lateral ventricle enlargement and decreased striatal astrogliosis and microgliosis. While minimal effects were observed in wild-type littermates, transcriptomic profiling of HD brains lacking cGAS showed downregulation of genes involved in development and cell–cell communication, along with upregulation of genes linked to ion transport and synaptic function. Lipidomic analysis further demonstrated increased levels of immunoregulatory lipids, particularly 12-HETE and 12-HEPE, indicating a shift toward a protective lipid profile. Importantly, pharmacological inhibition of STING using H-151 improved age-dependent motor performance, reduced striatal atrophy, and attenuated glial cell activation in Q175DN mice. Collectively, these findings identify the cGAS–STING pathway as a critical driver of HD progression and support its inhibition as a promising therapeutic strategy.</w:t>
      </w:r>
    </w:p>
    <w:p>
      <w:pPr>
        <w:spacing w:before="120" w:after="120"/>
      </w:pPr>
      <w:r>
        <w:rPr>
          <w:sz w:val="18"/>
        </w:rPr>
        <w:t>——————————————————————————————————————————————————————————————————————</w:t>
      </w:r>
    </w:p>
    <w:p>
      <w:pPr>
        <w:spacing w:before="160" w:after="40" w:line="240" w:lineRule="auto"/>
      </w:pPr>
      <w:r>
        <w:rPr>
          <w:b/>
        </w:rPr>
        <w:t xml:space="preserve">[102] </w:t>
      </w:r>
      <w:hyperlink r:id="rId492">
        <w:r>
          <w:rPr>
            <w:color w:val="1155CC"/>
            <w:u w:val="single"/>
          </w:rPr>
          <w:t>海星 Protoreaster nodosus 多孔方解石骨架中的生物矿化光导结构</w:t>
        </w:r>
      </w:hyperlink>
    </w:p>
    <w:p>
      <w:pPr>
        <w:spacing w:before="0" w:after="80"/>
      </w:pPr>
      <w:r>
        <w:rPr>
          <w:i/>
          <w:sz w:val="20"/>
        </w:rPr>
        <w:t>EN: A biomineralized light-guiding structure in the porous calcitic skeleton of the sea star Protoreaster nodosus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93">
        <w:r>
          <w:rPr>
            <w:color w:val="1155CC"/>
            <w:u w:val="single"/>
          </w:rPr>
          <w:t>10.1073/pnas.2533437123</w:t>
        </w:r>
      </w:hyperlink>
    </w:p>
    <w:p>
      <w:pPr>
        <w:spacing w:before="0" w:after="120"/>
      </w:pPr>
      <w:r>
        <w:rPr>
          <w:b/>
        </w:rPr>
        <w:t xml:space="preserve">Notes: </w:t>
      </w:r>
      <w:r>
        <w:t>abstract_source=crossref</w:t>
      </w:r>
    </w:p>
    <w:p>
      <w:pPr>
        <w:spacing w:before="0" w:after="80" w:lineRule="auto" w:line="276"/>
      </w:pPr>
      <w:r>
        <w:rPr>
          <w:b/>
        </w:rPr>
        <w:t xml:space="preserve">摘要（ZH）: </w:t>
      </w:r>
      <w:r>
        <w:t>生物体产生的生物矿化结构因其卓越的机械性能而被广泛认可，但其潜在的光学作用相对较少被探索。在这里，我们证明了在海星的基于方解石小骨的骨骼中</w:t>
      </w:r>
      <w:r>
        <w:t xml:space="preserve"> </w:t>
      </w:r>
      <w:r>
        <w:t>结节原虫</w:t>
      </w:r>
      <w:r>
        <w:t xml:space="preserve"> </w:t>
      </w:r>
      <w:r>
        <w:t>，其中每个小骨代表一个离散的骨骼元素，一个特殊的小骨（称为终端板）包含径向排列的光导结构 (LGS) 阵列。这些 LGS 表现出细长的圆锥状几何形状（长度约 250 μm），并嵌入多孔立体结构中，多孔立体结构是棘皮动物的特征性网状结构，类似于开孔细胞固体，由含镁单晶方解石组成。光学实验表明，与其他骨架元件不同，端子板可以通过 LGS 阵列将光传输并聚焦到内部空腔中。使用光线追踪和有限差分时域模拟进行的组合光学分析表明，每个 LGS 传输</w:t>
      </w:r>
      <w:r>
        <w:t xml:space="preserve"> </w:t>
      </w:r>
      <w:r>
        <w:t>加州</w:t>
      </w:r>
      <w:r>
        <w:t xml:space="preserve"> </w:t>
      </w:r>
      <w:r>
        <w:t>。法向入射时入射光的 70%，并在其出射表面处集中至 2.8 倍。此外，当在端子板内共同充当 LGS 阵列时，LGS 会在宽广的视场（约 120°）内捕获光线，从而产生比单个 LGS 感知的入射强度高六到八倍的集成透射强度。尽管这种光学能力的生物学功能仍不确定，但这种天然的多孔性</w:t>
      </w:r>
    </w:p>
    <w:p>
      <w:pPr>
        <w:spacing w:before="0" w:after="200" w:lineRule="auto" w:line="276"/>
      </w:pPr>
      <w:r>
        <w:rPr>
          <w:b/>
        </w:rPr>
        <w:t xml:space="preserve">Abstract (EN): </w:t>
      </w:r>
      <w:r>
        <w:t>Biomineralized structures produced by living organisms are widely recognized for their exceptional mechanical performance, yet their potential optical roles are relatively less explored. Here, we demonstrate that within the calcitic ossicle-based skeleton of the sea star</w:t>
      </w:r>
      <w:r>
        <w:t xml:space="preserve"> </w:t>
      </w:r>
      <w:r>
        <w:t>Protoreaster nodosus</w:t>
      </w:r>
      <w:r>
        <w:t xml:space="preserve"> </w:t>
      </w:r>
      <w:r>
        <w:t>, where each ossicle represents a discrete skeletal element, one specialized ossicle, known as the terminal plate, contains a radially arranged array of light-guiding structures (LGSs). These LGSs exhibit an elongated, cone-like geometry (~250 μm in length) and are embedded within the porous stereom, a characteristic meshwork architecture of echinoderms analogous to open-cell cellular solids and composed of magnesium-containing single-crystalline calcite. Optical experiments demonstrate that, unlike other skeletal elements, the terminal plate can transmit and focus light into an internal cavity via the LGS array. Combined optical analyses using ray-tracing and finite-difference time-domain simulations reveal that each LGS transmits</w:t>
      </w:r>
      <w:r>
        <w:t xml:space="preserve"> </w:t>
      </w:r>
      <w:r>
        <w:t>ca</w:t>
      </w:r>
      <w:r>
        <w:t xml:space="preserve"> </w:t>
      </w:r>
      <w:r>
        <w:t>. 70% of incident light at normal incidence and concentrates it up to 2.8-fold at its exiting surface. Furthermore, when acting collectively as the LGS array within the terminal plate, the LGSs capture light over a broad field of view (~120°), resulting in an integrated transmitted intensity that is sixfold to eightfold greater than the incoming intensity perceived by a single LGS. Although the biological function of this optical capability remains uncertain, this natural porous structure demonstrates that cellular solids can integrate efficient light-guiding behavior while enhancing mechanical properties (i.e., threefold increase in stiffness compared with random stereom), offering design insights for lightweight, multifunctional structures.</w:t>
      </w:r>
    </w:p>
    <w:p>
      <w:pPr>
        <w:spacing w:before="120" w:after="120"/>
      </w:pPr>
      <w:r>
        <w:rPr>
          <w:sz w:val="18"/>
        </w:rPr>
        <w:t>——————————————————————————————————————————————————————————————————————</w:t>
      </w:r>
    </w:p>
    <w:p>
      <w:pPr>
        <w:spacing w:before="160" w:after="40" w:line="240" w:lineRule="auto"/>
      </w:pPr>
      <w:r>
        <w:rPr>
          <w:b/>
        </w:rPr>
        <w:t xml:space="preserve">[103] </w:t>
      </w:r>
      <w:hyperlink r:id="rId494">
        <w:r>
          <w:rPr>
            <w:color w:val="1155CC"/>
            <w:u w:val="single"/>
          </w:rPr>
          <w:t>1/4 类 SARS-CoV-2 中和抗体的 mRNA 递送可在致死小鼠攻击模型中抵御多种 sarbecovirus</w:t>
        </w:r>
      </w:hyperlink>
    </w:p>
    <w:p>
      <w:pPr>
        <w:spacing w:before="0" w:after="80"/>
      </w:pPr>
      <w:r>
        <w:rPr>
          <w:i/>
          <w:sz w:val="20"/>
        </w:rPr>
        <w:t>EN: mRNA delivery of a class 1/4 SARS-CoV-2 neutralizing antibody protects against diverse sarbecoviruses in a lethal mouse challenge model</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95">
        <w:r>
          <w:rPr>
            <w:color w:val="1155CC"/>
            <w:u w:val="single"/>
          </w:rPr>
          <w:t>10.1073/pnas.2536870123</w:t>
        </w:r>
      </w:hyperlink>
    </w:p>
    <w:p>
      <w:pPr>
        <w:spacing w:before="0" w:after="120"/>
      </w:pPr>
      <w:r>
        <w:rPr>
          <w:b/>
        </w:rPr>
        <w:t xml:space="preserve">Notes: </w:t>
      </w:r>
      <w:r>
        <w:t>abstract_source=crossref</w:t>
      </w:r>
    </w:p>
    <w:p>
      <w:pPr>
        <w:spacing w:before="0" w:after="80" w:lineRule="auto" w:line="276"/>
      </w:pPr>
      <w:r>
        <w:rPr>
          <w:b/>
        </w:rPr>
        <w:t xml:space="preserve">摘要（ZH）: </w:t>
      </w:r>
      <w:r>
        <w:t>严重急性呼吸综合征冠状病毒 2 (SARS-CoV-2) 的顽固抗原漂移，以及未来人畜共患沙贝克病毒溢出的威胁，促使人们寻找广泛中和抗体 (bNAb)，为合理的治疗和疫苗设计提供信息。在这里，我们从一名在大流行最初几个月感染并接种疫苗的 SARS-CoV-2 患者中连续取样，分离并鉴定了 20 个受体结合域 (RBD) 导向的 bNAb 谱系。其中 13 个靶向高度保守、隐蔽的 1/4 类或 4 类 RBD 表位，并具有利用 IGHD3-22 基因片段的长（18 至 26 个氨基酸）重链互补决定区 3 环。 5 种 bNAb 有效中和了包含 SARS-CoV-2 变体直至最近出现的 XBB.1.5 和 JN.1 毒株以及来自其他进化枝的多种 sarbecovirus 的组中的所有 18 种病毒。分别与 RBD 和 Spike 三聚体复合的 Ab401 和 Ab568 bNAb 的结构分析揭示了与其他 1/4 类 bNAb 共同的识别特征。 Ab401 作为重组蛋白的预防性施用可提供强大的保护，以抵御 SARS-CoV-2_WA1 或具有人畜共患潜力的相关蝙蝠 sarbecovirus 的感染挑战。当 Ab401 的重链和轻链以脂质纳米颗粒封装的 mRNA 形式递送时，实现了类似水平的保护。这些数据扩大了用于临床开发的 SARS-CoV-2 bNAb 库，并确定基于 mRNA 的抗体递送是大流行防范和保护的一个有前途的平台</w:t>
      </w:r>
    </w:p>
    <w:p>
      <w:pPr>
        <w:spacing w:before="0" w:after="200" w:lineRule="auto" w:line="276"/>
      </w:pPr>
      <w:r>
        <w:rPr>
          <w:b/>
        </w:rPr>
        <w:t xml:space="preserve">Abstract (EN): </w:t>
      </w:r>
      <w:r>
        <w:t>The unyielding antigenic drift of severe acute respiratory syndrome coronavirus 2 (SARS-CoV-2), as well as the threat of future zoonotic sarbecovirus spillovers, has prompted the search for broadly neutralizing antibodies (bNAbs) to inform rational therapeutic and vaccine design. Here, we isolated and characterized 20 receptor binding domain (RBD)-directed bNAb lineages from a serially sampled SARS-CoV-2 patient who was infected and vaccinated during the early months of the pandemic. Thirteen of these targeted the highly conserved, cryptic class 1/4 or class 4 RBD epitopes and had long (18 to 26 amino acid) heavy chain complementarity determining region 3 loops that utilized the IGHD3-22 gene segment. Five bNAbs potently neutralized all 18 viruses in a panel containing SARS-CoV-2 variants up to the recently emerged XBB.1.5 and JN.1 strains as well as diverse sarbecoviruses from other clades. Structural analyses of the Ab401 and Ab568 bNAbs complexed with RBD and Spike trimer, respectively, revealed recognition features in common with other class 1/4 bNAbs. Prophylactic administration of Ab401 as a recombinant protein afforded robust protection against infectious challenge with either SARS-CoV-2_WA1 or a related bat sarbecovirus with zoonotic potential. A similar level of protection was achieved when the heavy and light chains of Ab401 were delivered as lipid nanoparticle-encapsulated mRNAs. These data expand the arsenal of SARS-CoV-2 bNAbs for clinical development and identify mRNA-based antibody delivery as a promising platform for both pandemic preparedness and protection of immunocompromised patients against emerging sarbecovirus variants.</w:t>
      </w:r>
    </w:p>
    <w:p>
      <w:pPr>
        <w:spacing w:before="120" w:after="120"/>
      </w:pPr>
      <w:r>
        <w:rPr>
          <w:sz w:val="18"/>
        </w:rPr>
        <w:t>——————————————————————————————————————————————————————————————————————</w:t>
      </w:r>
    </w:p>
    <w:p>
      <w:pPr>
        <w:spacing w:before="160" w:after="40" w:line="240" w:lineRule="auto"/>
      </w:pPr>
      <w:r>
        <w:rPr>
          <w:b/>
        </w:rPr>
        <w:t xml:space="preserve">[104] </w:t>
      </w:r>
      <w:hyperlink r:id="rId496">
        <w:r>
          <w:rPr>
            <w:color w:val="1155CC"/>
            <w:u w:val="single"/>
          </w:rPr>
          <w:t>剖析氢键能量学来回答这个古老的问题：“氢键对酶催化有多大贡献？”</w:t>
        </w:r>
      </w:hyperlink>
    </w:p>
    <w:p>
      <w:pPr>
        <w:spacing w:before="0" w:after="80"/>
      </w:pPr>
      <w:r>
        <w:rPr>
          <w:i/>
          <w:sz w:val="20"/>
        </w:rPr>
        <w:t>EN: Dissecting hydrogen bond energetics to answer the age-old question: “How much do hydrogen bonds contribute to enzymatic catalysis?”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97">
        <w:r>
          <w:rPr>
            <w:color w:val="1155CC"/>
            <w:u w:val="single"/>
          </w:rPr>
          <w:t>10.1073/pnas.2534793123</w:t>
        </w:r>
      </w:hyperlink>
    </w:p>
    <w:p>
      <w:pPr>
        <w:spacing w:before="0" w:after="120"/>
      </w:pPr>
      <w:r>
        <w:rPr>
          <w:b/>
        </w:rPr>
        <w:t xml:space="preserve">Notes: </w:t>
      </w:r>
      <w:r>
        <w:t>abstract_source=crossref</w:t>
      </w:r>
    </w:p>
    <w:p>
      <w:pPr>
        <w:spacing w:before="0" w:after="80" w:lineRule="auto" w:line="276"/>
      </w:pPr>
      <w:r>
        <w:rPr>
          <w:b/>
        </w:rPr>
        <w:t xml:space="preserve">摘要（ZH）: </w:t>
      </w:r>
      <w:r>
        <w:t>酶是生命的基础，提供维持生物过程所需的快速反应和特异性。虽然我们已经克服了理解酶的第一个主要挑战——确定其反应机制，但量化每种催化相互作用和分子机制的贡献的第二个主要挑战仍然很大程度上没有得到满足。特别是，氢键在酶活性位点中普遍存在，但它们对酶催化的定量贡献仍然是一个尚未解决的基本问题。我们首先描述了阻碍传统方法氢键催化贡献分配的局限性。通过使用线性自由能关系 (LFER) 来评估特别适合的酶酮类固醇异构酶 (KSI) 的活性位点氢键能量，可以克服这些限制。多个 LFER 提供了一致的图像，表明 KSI 的活性位点氢键供体、酪氨酸和质子化天冬氨酸侧链有助于催化，因为它们本质上是比水分子（类似非酶反应中的供体）更强的氢键供体。这些 LFER 还提供了反对模型的证据，这些模型调用了相对于水溶液而言增强氢键能量的不同酶环境。相反，LFER 表明活性位点周围的蛋白质和溶剂环境中的多个偶极子可容纳过渡态电荷积累，并提供与质子溶剂中观察到的氢键能量类似的氢键能量。定量模型</w:t>
      </w:r>
    </w:p>
    <w:p>
      <w:pPr>
        <w:spacing w:before="0" w:after="200" w:lineRule="auto" w:line="276"/>
      </w:pPr>
      <w:r>
        <w:rPr>
          <w:b/>
        </w:rPr>
        <w:t xml:space="preserve">Abstract (EN): </w:t>
      </w:r>
      <w:r>
        <w:t>Enzymes are fundamental to life, providing the rapid reactions and specificity needed to sustain biological processes. While we have overcome the first major challenge in understanding enzymes—identifying their reaction mechanisms—the second major challenge of quantifying the contributions of each catalytic interaction and molecular mechanism remains largely unmet. In particular, hydrogen bonds are ubiquitous in enzyme active sites, yet their quantitative contributions to enzyme catalysis have remained a fundamental unresolved question. We first describe the limitations that prevent the assignment of hydrogen bond catalytic contributions from traditional approaches. These limitations are overcome by using linear free energy relationships (LFERs) to evaluate active site hydrogen bond energetics in a particularly amenable enzyme, ketosteroid isomerase (KSI). Multiple LFERs provide a consistent picture, suggesting that KSI’s active site hydrogen bond donors, tyrosine and protonated aspartic acid side chains, contribute to catalysis because they are inherently stronger hydrogen bond donors than water molecules, the donors in the analogous nonenzymatic reaction. These LFERs also provide evidence against models that invoke distinct enzyme environments that enhance hydrogen bond energetics, relative to aqueous solution. Instead, the LFERs suggest multiple dipoles in the protein and solvent environment surrounding the active site accommodate transition state charge accumulation and provide hydrogen bond energetics similar to what is observed in protic solvents. The quantitative models from this and prior studies allow us to quantitatively estimate the catalytic contributions changes from hydrogen bonds. This model, applied to additional enzymes, will test its generality and help identify additional mechanisms that enzymes may use to enhance catalysis.</w:t>
      </w:r>
    </w:p>
    <w:p>
      <w:pPr>
        <w:spacing w:before="120" w:after="120"/>
      </w:pPr>
      <w:r>
        <w:rPr>
          <w:sz w:val="18"/>
        </w:rPr>
        <w:t>——————————————————————————————————————————————————————————————————————</w:t>
      </w:r>
    </w:p>
    <w:p>
      <w:pPr>
        <w:spacing w:before="160" w:after="40" w:line="240" w:lineRule="auto"/>
      </w:pPr>
      <w:r>
        <w:rPr>
          <w:b/>
        </w:rPr>
        <w:t xml:space="preserve">[105] </w:t>
      </w:r>
      <w:hyperlink r:id="rId498">
        <w:r>
          <w:rPr>
            <w:color w:val="1155CC"/>
            <w:u w:val="single"/>
          </w:rPr>
          <w:t>塑造双层石墨烯空腔中的混沌</w:t>
        </w:r>
      </w:hyperlink>
    </w:p>
    <w:p>
      <w:pPr>
        <w:spacing w:before="0" w:after="80"/>
      </w:pPr>
      <w:r>
        <w:rPr>
          <w:i/>
          <w:sz w:val="20"/>
        </w:rPr>
        <w:t>EN: Shaping chaos in bilayer graphene cavities</w:t>
      </w:r>
    </w:p>
    <w:p>
      <w:pPr>
        <w:spacing w:before="0" w:after="120"/>
      </w:pPr>
      <w:r>
        <w:rPr>
          <w:b/>
        </w:rPr>
        <w:t xml:space="preserve">Source: </w:t>
      </w:r>
      <w:r>
        <w:t>Proceedings of the National Academy of Sciences: Keyword search for query</w:t>
      </w:r>
      <w:r>
        <w:t xml:space="preserve">    </w:t>
      </w:r>
      <w:r>
        <w:rPr>
          <w:b/>
        </w:rPr>
        <w:t xml:space="preserve">Pub date: </w:t>
      </w:r>
      <w:r>
        <w:t>2026-06-08 07:00:00+00:00</w:t>
      </w:r>
      <w:r>
        <w:t xml:space="preserve">    </w:t>
      </w:r>
      <w:r>
        <w:rPr>
          <w:b/>
        </w:rPr>
        <w:t xml:space="preserve">DOI: </w:t>
      </w:r>
      <w:hyperlink r:id="rId499">
        <w:r>
          <w:rPr>
            <w:color w:val="1155CC"/>
            <w:u w:val="single"/>
          </w:rPr>
          <w:t>10.1073/pnas.2538081123</w:t>
        </w:r>
      </w:hyperlink>
    </w:p>
    <w:p>
      <w:pPr>
        <w:spacing w:before="0" w:after="120"/>
      </w:pPr>
      <w:r>
        <w:rPr>
          <w:b/>
        </w:rPr>
        <w:t xml:space="preserve">Notes: </w:t>
      </w:r>
      <w:r>
        <w:t>abstract_source=crossref</w:t>
      </w:r>
    </w:p>
    <w:p>
      <w:pPr>
        <w:spacing w:before="0" w:after="80" w:lineRule="auto" w:line="276"/>
      </w:pPr>
      <w:r>
        <w:rPr>
          <w:b/>
        </w:rPr>
        <w:t xml:space="preserve">摘要（ZH）: </w:t>
      </w:r>
      <w:r>
        <w:t>电子被限制在有限石墨烯薄片内的双层石墨烯空腔不仅为未来的纳米电子器件提供了一个诱人的平台，因为其能隙可调，而且还为研究由于费米表面的三角翘曲而产生的混沌的量子性质提供了一个诱人的平台。在这里，我们证明相对于底层晶格结构旋转腔边界会驱动从近可积动力学到混沌状态的量子跃迁，观察到特征值统计和特征态分布的伴随交叉。作为完整量子处理的补充，我们通过采用半经典射线动力学来检查这种混沌开始的经典主干。我们的结果将双层石墨烯腔定位为研究和工程基于石墨烯的器件中的量子混沌行为的有前景的场所。</w:t>
      </w:r>
    </w:p>
    <w:p>
      <w:pPr>
        <w:spacing w:before="0" w:after="200" w:lineRule="auto" w:line="276"/>
      </w:pPr>
      <w:r>
        <w:rPr>
          <w:b/>
        </w:rPr>
        <w:t xml:space="preserve">Abstract (EN): </w:t>
      </w:r>
      <w:r>
        <w:t>Bilayer graphene cavities where electrons are confined within finite graphene flakes provide an alluring platform not only for the future nanoelectronic devices owing to the tunable energy gap but also for investigating the quantum nature of chaos due to the trigonal warping of their Fermi surface. Here we demonstrate that rotating the cavity boundary relative to the underlying lattice structure drives a quantum transition from nearly integrable dynamics to chaotic regime, observed as a concomitant crossover of eigenvalue statistics and eigenstate profiles. Complementing the full quantum treatment, we examine the classical backbone of this onset of chaos by employing semiclassical ray dynamics. Our results position bilayer graphene cavities as a promising venue for investigating and engineering quantum-chaotic behavior in graphene-based devices.</w:t>
      </w:r>
    </w:p>
    <w:p>
      <w:pPr>
        <w:spacing w:before="120" w:after="120"/>
      </w:pPr>
      <w:r>
        <w:rPr>
          <w:sz w:val="18"/>
        </w:rPr>
        <w:t>——————————————————————————————————————————————————————————————————————</w:t>
      </w:r>
    </w:p>
    <w:p>
      <w:pPr>
        <w:spacing w:before="160" w:after="40" w:line="240" w:lineRule="auto"/>
      </w:pPr>
      <w:r>
        <w:rPr>
          <w:b/>
        </w:rPr>
        <w:t xml:space="preserve">[106] </w:t>
      </w:r>
      <w:hyperlink r:id="rId500">
        <w:r>
          <w:rPr>
            <w:color w:val="1155CC"/>
            <w:u w:val="single"/>
          </w:rPr>
          <w:t>锚定在 NiOx 上的自组装单分子层的羟基界面工程可实现高效稳定的钙钛矿太阳能电池</w:t>
        </w:r>
      </w:hyperlink>
    </w:p>
    <w:p>
      <w:pPr>
        <w:spacing w:before="0" w:after="80"/>
      </w:pPr>
      <w:r>
        <w:rPr>
          <w:i/>
          <w:sz w:val="20"/>
        </w:rPr>
        <w:t>EN: Hydroxyl Interfacial Engineering for Self‐Assemble Monolayers Anchoring on NiOx Enables Efficient and Stable Perovskite Solar Cells</w:t>
      </w:r>
    </w:p>
    <w:p>
      <w:pPr>
        <w:spacing w:before="0" w:after="120"/>
      </w:pPr>
      <w:r>
        <w:rPr>
          <w:b/>
        </w:rPr>
        <w:t xml:space="preserve">Source: </w:t>
      </w:r>
      <w:r>
        <w:t>Wiley: Advanced Materials: Table of Contents</w:t>
      </w:r>
      <w:r>
        <w:t xml:space="preserve">    </w:t>
      </w:r>
      <w:r>
        <w:rPr>
          <w:b/>
        </w:rPr>
        <w:t xml:space="preserve">Pub date: </w:t>
      </w:r>
      <w:r>
        <w:t>2026-06-08 07:00:01+00:00</w:t>
      </w:r>
      <w:r>
        <w:t xml:space="preserve">    </w:t>
      </w:r>
      <w:r>
        <w:rPr>
          <w:b/>
        </w:rPr>
        <w:t xml:space="preserve">DOI: </w:t>
      </w:r>
      <w:hyperlink r:id="rId501">
        <w:r>
          <w:rPr>
            <w:color w:val="1155CC"/>
            <w:u w:val="single"/>
          </w:rPr>
          <w:t>10.1002/adma.73656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倒置钙钛矿太阳能电池（PSC）的性能受到自组装单层（SAM）覆盖不足和粘附力弱引起的界面损失的严重限制。在此，我们报告了通过混合羟基化 V 的 SAM 调节策略</w:t>
      </w:r>
      <w:r>
        <w:rPr>
          <w:vertAlign w:val="subscript"/>
        </w:rPr>
        <w:t>2</w:t>
      </w:r>
      <w:r>
        <w:t>CT</w:t>
      </w:r>
      <w:r>
        <w:t xml:space="preserve"> </w:t>
      </w:r>
      <w:r>
        <w:t>x</w:t>
      </w:r>
      <w:r>
        <w:t xml:space="preserve"> </w:t>
      </w:r>
      <w:r>
        <w:t>MXene（V</w:t>
      </w:r>
      <w:r>
        <w:rPr>
          <w:vertAlign w:val="subscript"/>
        </w:rPr>
        <w:t>2</w:t>
      </w:r>
      <w:r>
        <w:t>C-OH）与氧化镍（NiO</w:t>
      </w:r>
      <w:r>
        <w:t xml:space="preserve"> </w:t>
      </w:r>
      <w:r>
        <w:t>x</w:t>
      </w:r>
      <w:r>
        <w:t xml:space="preserve"> </w:t>
      </w:r>
      <w:r>
        <w:t>），可以为SAM锚定提供丰富的羟基位点，从而形成均匀致密的SAM层。第一性原理计算进一步揭示了 SAM 与 V 上羟基之间的结合能</w:t>
      </w:r>
      <w:r>
        <w:rPr>
          <w:vertAlign w:val="subscript"/>
        </w:rPr>
        <w:t>2</w:t>
      </w:r>
      <w:r>
        <w:t>C-OH 比原始 NiO 更强</w:t>
      </w:r>
      <w:r>
        <w:t xml:space="preserve"> </w:t>
      </w:r>
      <w:r>
        <w:t>x</w:t>
      </w:r>
      <w:r>
        <w:t xml:space="preserve"> </w:t>
      </w:r>
      <w:r>
        <w:t>，解释了混合基板上 SAM 的热稳定性增强。同时，高度有序且紧密堆积的 SAM 层促进钙钛矿晶粒的垂直生长和 [001] 择优取向。因此，引入V</w:t>
      </w:r>
      <w:r>
        <w:rPr>
          <w:vertAlign w:val="subscript"/>
        </w:rPr>
        <w:t>2</w:t>
      </w:r>
      <w:r>
        <w:t>C-OH实现了NiO的自上而下调制</w:t>
      </w:r>
      <w:r>
        <w:t xml:space="preserve"> </w:t>
      </w:r>
      <w:r>
        <w:t>x</w:t>
      </w:r>
      <w:r>
        <w:t xml:space="preserve"> </w:t>
      </w:r>
      <w:r>
        <w:t>、SAM 和钙钛矿层，改善其形态和界面特性。由此产生的 PSC 在 0.0524 cm 的尺寸下实现了 26.6% 的冠军功率转换效率（经认证为 26.2%）</w:t>
      </w:r>
      <w:r>
        <w:rPr>
          <w:vertAlign w:val="subscript"/>
        </w:rPr>
        <w:t>2</w:t>
      </w:r>
      <w:r>
        <w:t>设备，1 厘米为 24.7%</w:t>
      </w:r>
      <w:r>
        <w:rPr>
          <w:vertAlign w:val="subscript"/>
        </w:rPr>
        <w:t>2</w:t>
      </w:r>
      <w:r>
        <w:t>设备，以及出色的长期运行</w:t>
      </w:r>
    </w:p>
    <w:p>
      <w:pPr>
        <w:spacing w:before="0" w:after="200" w:lineRule="auto" w:line="276"/>
      </w:pPr>
      <w:r>
        <w:rPr>
          <w:b/>
        </w:rPr>
        <w:t xml:space="preserve">Abstract (EN): </w:t>
      </w:r>
      <w:r>
        <w:t>The performance of inverted perovskite solar cells (PSCs) is critically constrained by interfacial losses arising from the insufficient coverage and weak adhesion of self‐assembled monolayers (SAM). Herein, we report a SAM regulation strategy by mixing hydroxylated V</w:t>
      </w:r>
      <w:r>
        <w:rPr>
          <w:vertAlign w:val="subscript"/>
        </w:rPr>
        <w:t>2</w:t>
      </w:r>
      <w:r>
        <w:t>CT</w:t>
      </w:r>
      <w:r>
        <w:t xml:space="preserve"> </w:t>
      </w:r>
      <w:r>
        <w:t>x</w:t>
      </w:r>
      <w:r>
        <w:t xml:space="preserve"> </w:t>
      </w:r>
      <w:r>
        <w:t>MXene (V</w:t>
      </w:r>
      <w:r>
        <w:rPr>
          <w:vertAlign w:val="subscript"/>
        </w:rPr>
        <w:t>2</w:t>
      </w:r>
      <w:r>
        <w:t>C‐OH) with nickel oxide (NiO</w:t>
      </w:r>
      <w:r>
        <w:t xml:space="preserve"> </w:t>
      </w:r>
      <w:r>
        <w:t>x</w:t>
      </w:r>
      <w:r>
        <w:t xml:space="preserve"> </w:t>
      </w:r>
      <w:r>
        <w:t>), which can provide abundant hydroxyl sites for SAM anchoring, thereby forming a uniform and dense SAM layer. First‐principles calculations further reveal that the binding energy between SAM and hydroxyl groups on V</w:t>
      </w:r>
      <w:r>
        <w:rPr>
          <w:vertAlign w:val="subscript"/>
        </w:rPr>
        <w:t>2</w:t>
      </w:r>
      <w:r>
        <w:t>C‐OH is stronger than that on pristine NiO</w:t>
      </w:r>
      <w:r>
        <w:t xml:space="preserve"> </w:t>
      </w:r>
      <w:r>
        <w:t>x</w:t>
      </w:r>
      <w:r>
        <w:t xml:space="preserve"> </w:t>
      </w:r>
      <w:r>
        <w:t>, explaining the enhanced thermal stability of SAM on the hybrid substrate. Meanwhile, the highly ordered and tightly packed SAM layer promotes vertical growth and [001]‐preferred orientation of perovskite grains. Therefore, the introduction of V</w:t>
      </w:r>
      <w:r>
        <w:rPr>
          <w:vertAlign w:val="subscript"/>
        </w:rPr>
        <w:t>2</w:t>
      </w:r>
      <w:r>
        <w:t>C‐OH enables a top‐down modulation of the NiO</w:t>
      </w:r>
      <w:r>
        <w:t xml:space="preserve"> </w:t>
      </w:r>
      <w:r>
        <w:t>x</w:t>
      </w:r>
      <w:r>
        <w:t xml:space="preserve"> </w:t>
      </w:r>
      <w:r>
        <w:t>, SAM, and perovskite layers, improving their morphology and interfacial properties. The resulting PSCs achieve a champion power conversion efficiency of 26.6% (certified at 26.2%) for a 0.0524 cm</w:t>
      </w:r>
      <w:r>
        <w:rPr>
          <w:vertAlign w:val="subscript"/>
        </w:rPr>
        <w:t>2</w:t>
      </w:r>
      <w:r>
        <w:t>device and 24.7% for a 1 cm</w:t>
      </w:r>
      <w:r>
        <w:rPr>
          <w:vertAlign w:val="subscript"/>
        </w:rPr>
        <w:t>2</w:t>
      </w:r>
      <w:r>
        <w:t>device, along with outstanding long‐term operational stability.</w:t>
      </w:r>
    </w:p>
    <w:p>
      <w:pPr>
        <w:spacing w:before="120" w:after="120"/>
      </w:pPr>
      <w:r>
        <w:rPr>
          <w:sz w:val="18"/>
        </w:rPr>
        <w:t>——————————————————————————————————————————————————————————————————————</w:t>
      </w:r>
    </w:p>
    <w:p>
      <w:pPr>
        <w:spacing w:before="160" w:after="40" w:line="240" w:lineRule="auto"/>
      </w:pPr>
      <w:r>
        <w:rPr>
          <w:b/>
        </w:rPr>
        <w:t xml:space="preserve">[107] </w:t>
      </w:r>
      <w:hyperlink r:id="rId502">
        <w:r>
          <w:rPr>
            <w:color w:val="1155CC"/>
            <w:u w:val="single"/>
          </w:rPr>
          <w:t>用于动态电磁调节的异质结构柔性薄膜中电化学介导的界面电荷极化</w:t>
        </w:r>
      </w:hyperlink>
    </w:p>
    <w:p>
      <w:pPr>
        <w:spacing w:before="0" w:after="80"/>
      </w:pPr>
      <w:r>
        <w:rPr>
          <w:i/>
          <w:sz w:val="20"/>
        </w:rPr>
        <w:t>EN: Electrochemically Mediated Interfacial Charge Polarization in Heterostructured Flexible Films for Dynamic Electromagnetism Regulation</w:t>
      </w:r>
    </w:p>
    <w:p>
      <w:pPr>
        <w:spacing w:before="0" w:after="120"/>
      </w:pPr>
      <w:r>
        <w:rPr>
          <w:b/>
        </w:rPr>
        <w:t xml:space="preserve">Source: </w:t>
      </w:r>
      <w:r>
        <w:t>Wiley: Advanced Materials: Table of Contents</w:t>
      </w:r>
      <w:r>
        <w:t xml:space="preserve">    </w:t>
      </w:r>
      <w:r>
        <w:rPr>
          <w:b/>
        </w:rPr>
        <w:t xml:space="preserve">Pub date: </w:t>
      </w:r>
      <w:r>
        <w:t>2026-06-08 07:02:23+00:00</w:t>
      </w:r>
      <w:r>
        <w:t xml:space="preserve">    </w:t>
      </w:r>
      <w:r>
        <w:rPr>
          <w:b/>
        </w:rPr>
        <w:t xml:space="preserve">DOI: </w:t>
      </w:r>
      <w:hyperlink r:id="rId503">
        <w:r>
          <w:rPr>
            <w:color w:val="1155CC"/>
            <w:u w:val="single"/>
          </w:rPr>
          <w:t>10.1002/adma.202523231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可调谐电磁波 (EMW) 响应和动态调节在雷达和卫星通信等领域（从辐射防护到信号兼容性）发挥着至关重要的作用。然而，由于其以电导率为主的单一响应机制，当前电磁材料的调制能力和薄膜发展在有效动态电磁环境中的集成发展受到限制。与之前报道的电导率主导机制不同，这项工作提出了一种基于 H 的设计策略</w:t>
      </w:r>
      <w:r>
        <w:t xml:space="preserve"> </w:t>
      </w:r>
      <w:r>
        <w:t>+</w:t>
      </w:r>
      <w:r>
        <w:t xml:space="preserve"> </w:t>
      </w:r>
      <w:r>
        <w:t>超薄乙炔黑/H诱导电子界面协同调控</w:t>
      </w:r>
      <w:r>
        <w:t xml:space="preserve"> </w:t>
      </w:r>
      <w:r>
        <w:t>x</w:t>
      </w:r>
      <w:r>
        <w:t xml:space="preserve"> </w:t>
      </w:r>
      <w:r>
        <w:t>沃</w:t>
      </w:r>
      <w:r>
        <w:rPr>
          <w:vertAlign w:val="subscript"/>
        </w:rPr>
        <w:t>3</w:t>
      </w:r>
      <w:r>
        <w:t>（AB/H</w:t>
      </w:r>
      <w:r>
        <w:t xml:space="preserve"> </w:t>
      </w:r>
      <w:r>
        <w:t>x</w:t>
      </w:r>
      <w:r>
        <w:t xml:space="preserve"> </w:t>
      </w:r>
      <w:r>
        <w:t>沃</w:t>
      </w:r>
      <w:r>
        <w:rPr>
          <w:vertAlign w:val="subscript"/>
        </w:rPr>
        <w:t>3</w:t>
      </w:r>
      <w:r>
        <w:t>）用于实时电磁波调制的异质结构薄膜器件。具体来说，H的可控变换</w:t>
      </w:r>
      <w:r>
        <w:t xml:space="preserve"> </w:t>
      </w:r>
      <w:r>
        <w:t>x</w:t>
      </w:r>
      <w:r>
        <w:t xml:space="preserve"> </w:t>
      </w:r>
      <w:r>
        <w:t>沃</w:t>
      </w:r>
      <w:r>
        <w:rPr>
          <w:vertAlign w:val="subscript"/>
        </w:rPr>
        <w:t>3</w:t>
      </w:r>
      <w:r>
        <w:t>从最初的单斜相到四方相，最后到由 H 驱动的立方相</w:t>
      </w:r>
      <w:r>
        <w:t xml:space="preserve"> </w:t>
      </w:r>
      <w:r>
        <w:t>+</w:t>
      </w:r>
      <w:r>
        <w:t xml:space="preserve"> </w:t>
      </w:r>
      <w:r>
        <w:t>插入触发W的价态演化</w:t>
      </w:r>
      <w:r>
        <w:t xml:space="preserve"> </w:t>
      </w:r>
      <w:r>
        <w:t>6+</w:t>
      </w:r>
      <w:r>
        <w:t xml:space="preserve"> </w:t>
      </w:r>
      <w:r>
        <w:t>至 W</w:t>
      </w:r>
      <w:r>
        <w:t xml:space="preserve"> </w:t>
      </w:r>
      <w:r>
        <w:t>4+</w:t>
      </w:r>
      <w:r>
        <w:t xml:space="preserve"> </w:t>
      </w:r>
      <w:r>
        <w:t>和减少</w:t>
      </w:r>
    </w:p>
    <w:p>
      <w:pPr>
        <w:spacing w:before="0" w:after="200" w:lineRule="auto" w:line="276"/>
      </w:pPr>
      <w:r>
        <w:rPr>
          <w:b/>
        </w:rPr>
        <w:t xml:space="preserve">Abstract (EN): </w:t>
      </w:r>
      <w:r>
        <w:t>Tunable electromagnetic waves (EMWs) response and dynamic regulation play a critical role in fields such as radar and satellite communication, ranging from radiation protection to signal compatibility. However, the modulation capability and thin‐film development of current electromagnetic materials are limited in the integration development in an effective dynamic electromagnetic environment, owing to their conductivity‐dominated single response mechanism. Unlike the previously reported conductivity‐dominant mechanism, this work proposes a design strategy based on H</w:t>
      </w:r>
      <w:r>
        <w:t xml:space="preserve"> </w:t>
      </w:r>
      <w:r>
        <w:t>+</w:t>
      </w:r>
      <w:r>
        <w:t xml:space="preserve"> </w:t>
      </w:r>
      <w:r>
        <w:t>‐induced electron‐interface cooperative regulation by constructing an ultrathin acetylene black/H</w:t>
      </w:r>
      <w:r>
        <w:t xml:space="preserve"> </w:t>
      </w:r>
      <w:r>
        <w:t>x</w:t>
      </w:r>
      <w:r>
        <w:t xml:space="preserve"> </w:t>
      </w:r>
      <w:r>
        <w:t>WO</w:t>
      </w:r>
      <w:r>
        <w:rPr>
          <w:vertAlign w:val="subscript"/>
        </w:rPr>
        <w:t>3</w:t>
      </w:r>
      <w:r>
        <w:t>(AB/H</w:t>
      </w:r>
      <w:r>
        <w:t xml:space="preserve"> </w:t>
      </w:r>
      <w:r>
        <w:t>x</w:t>
      </w:r>
      <w:r>
        <w:t xml:space="preserve"> </w:t>
      </w:r>
      <w:r>
        <w:t>WO</w:t>
      </w:r>
      <w:r>
        <w:rPr>
          <w:vertAlign w:val="subscript"/>
        </w:rPr>
        <w:t>3</w:t>
      </w:r>
      <w:r>
        <w:t>) heterostructure film device for real‐time electromagnetic wave modulation. Specifically, the controllable transformation of H</w:t>
      </w:r>
      <w:r>
        <w:t xml:space="preserve"> </w:t>
      </w:r>
      <w:r>
        <w:t>x</w:t>
      </w:r>
      <w:r>
        <w:t xml:space="preserve"> </w:t>
      </w:r>
      <w:r>
        <w:t>WO</w:t>
      </w:r>
      <w:r>
        <w:rPr>
          <w:vertAlign w:val="subscript"/>
        </w:rPr>
        <w:t>3</w:t>
      </w:r>
      <w:r>
        <w:t>from the initial monoclinic phase to the tetragonal phase and eventually to the cubic phase driven by H</w:t>
      </w:r>
      <w:r>
        <w:t xml:space="preserve"> </w:t>
      </w:r>
      <w:r>
        <w:t>+</w:t>
      </w:r>
      <w:r>
        <w:t xml:space="preserve"> </w:t>
      </w:r>
      <w:r>
        <w:t>insertion triggers the valence state evolution from W</w:t>
      </w:r>
      <w:r>
        <w:t xml:space="preserve"> </w:t>
      </w:r>
      <w:r>
        <w:t>6+</w:t>
      </w:r>
      <w:r>
        <w:t xml:space="preserve"> </w:t>
      </w:r>
      <w:r>
        <w:t>to W</w:t>
      </w:r>
      <w:r>
        <w:t xml:space="preserve"> </w:t>
      </w:r>
      <w:r>
        <w:t>4+</w:t>
      </w:r>
      <w:r>
        <w:t xml:space="preserve"> </w:t>
      </w:r>
      <w:r>
        <w:t>and the reduction of the work function, which significantly enhances the</w:t>
      </w:r>
      <w:r>
        <w:t xml:space="preserve"> </w:t>
      </w:r>
      <w:r>
        <w:t>n</w:t>
      </w:r>
      <w:r>
        <w:t xml:space="preserve"> </w:t>
      </w:r>
      <w:r>
        <w:t>‐type doping effect and promoting the increase in free electron density, thereby achieving tunable EMWs reflective shielding efficiency (SE</w:t>
      </w:r>
      <w:r>
        <w:t xml:space="preserve"> </w:t>
      </w:r>
      <w:r>
        <w:t>R</w:t>
      </w:r>
      <w:r>
        <w:t xml:space="preserve"> </w:t>
      </w:r>
      <w:r>
        <w:t>: 3.7 to 6.0 dB). Meanwhile, the introduction of AB leads to the reconstruction of the energy band structure during the protonation of WO</w:t>
      </w:r>
      <w:r>
        <w:rPr>
          <w:vertAlign w:val="subscript"/>
        </w:rPr>
        <w:t>3</w:t>
      </w:r>
      <w:r>
        <w:t>, inducing strong polarization domains and a mass of dipoles at the AB/H</w:t>
      </w:r>
      <w:r>
        <w:t xml:space="preserve"> </w:t>
      </w:r>
      <w:r>
        <w:t>x</w:t>
      </w:r>
      <w:r>
        <w:t xml:space="preserve"> </w:t>
      </w:r>
      <w:r>
        <w:t>WO</w:t>
      </w:r>
      <w:r>
        <w:rPr>
          <w:vertAlign w:val="subscript"/>
        </w:rPr>
        <w:t>3</w:t>
      </w:r>
      <w:r>
        <w:t>heterointerface, which significantly enhances the polarization loss capacity and thereby promotes significant modulation in EMWs absorption shielding efficiency (SE</w:t>
      </w:r>
      <w:r>
        <w:t xml:space="preserve"> </w:t>
      </w:r>
      <w:r>
        <w:t>A</w:t>
      </w:r>
      <w:r>
        <w:t xml:space="preserve"> </w:t>
      </w:r>
      <w:r>
        <w:t>: 9.9 to 18.0 dB). Based on the above electron density and interface polarization synergistic enhancement mechanism, the AB/H</w:t>
      </w:r>
      <w:r>
        <w:t xml:space="preserve"> </w:t>
      </w:r>
      <w:r>
        <w:t>x</w:t>
      </w:r>
      <w:r>
        <w:t xml:space="preserve"> </w:t>
      </w:r>
      <w:r>
        <w:t>WO</w:t>
      </w:r>
      <w:r>
        <w:rPr>
          <w:vertAlign w:val="subscript"/>
        </w:rPr>
        <w:t>3</w:t>
      </w:r>
      <w:r>
        <w:t>electrode with a thickness of only 80.16 µm achieves significant modulation of the total shielding efficiency from 13.6 to 24.0 dB in X‐band and obtains an exceptionally large thickness‐normalized specific shielding efficiency (ΔSSE</w:t>
      </w:r>
      <w:r>
        <w:t xml:space="preserve"> </w:t>
      </w:r>
      <w:r>
        <w:t>T</w:t>
      </w:r>
      <w:r>
        <w:t xml:space="preserve"> </w:t>
      </w:r>
      <w:r>
        <w:t>) of 130 dB mm</w:t>
      </w:r>
      <w:r>
        <w:t xml:space="preserve"> </w:t>
      </w:r>
      <w:r>
        <w:t>−1</w:t>
      </w:r>
      <w:r>
        <w:t xml:space="preserve"> </w:t>
      </w:r>
      <w:r>
        <w:t>, significantly outperforming previous reports. These findings underscore the great potential of this lightweight, ultrathin device for integrated electronics and adaptive electromagnetic environment applications.</w:t>
      </w:r>
    </w:p>
    <w:p>
      <w:pPr>
        <w:spacing w:before="120" w:after="120"/>
      </w:pPr>
      <w:r>
        <w:rPr>
          <w:sz w:val="18"/>
        </w:rPr>
        <w:t>——————————————————————————————————————————————————————————————————————</w:t>
      </w:r>
    </w:p>
    <w:p>
      <w:pPr>
        <w:spacing w:before="160" w:after="40" w:line="240" w:lineRule="auto"/>
      </w:pPr>
      <w:r>
        <w:rPr>
          <w:b/>
        </w:rPr>
        <w:t xml:space="preserve">[108] </w:t>
      </w:r>
      <w:hyperlink r:id="rId504">
        <w:r>
          <w:rPr>
            <w:color w:val="1155CC"/>
            <w:u w:val="single"/>
          </w:rPr>
          <w:t>用于三模态自适应视觉的双异质结嵌入式电介质有机晶体管</w:t>
        </w:r>
      </w:hyperlink>
    </w:p>
    <w:p>
      <w:pPr>
        <w:spacing w:before="0" w:after="80"/>
      </w:pPr>
      <w:r>
        <w:rPr>
          <w:i/>
          <w:sz w:val="20"/>
        </w:rPr>
        <w:t>EN: Organic Transistor with Dual‐Heterojunctions Embedded Dielectric for Trimodal Self‐Adaptation Vision</w:t>
      </w:r>
    </w:p>
    <w:p>
      <w:pPr>
        <w:spacing w:before="0" w:after="120"/>
      </w:pPr>
      <w:r>
        <w:rPr>
          <w:b/>
        </w:rPr>
        <w:t xml:space="preserve">Source: </w:t>
      </w:r>
      <w:r>
        <w:t>Wiley: Advanced Materials: Table of Contents</w:t>
      </w:r>
      <w:r>
        <w:t xml:space="preserve">    </w:t>
      </w:r>
      <w:r>
        <w:rPr>
          <w:b/>
        </w:rPr>
        <w:t xml:space="preserve">Pub date: </w:t>
      </w:r>
      <w:r>
        <w:t>2026-06-08 07:05:59+00:00</w:t>
      </w:r>
      <w:r>
        <w:t xml:space="preserve">    </w:t>
      </w:r>
      <w:r>
        <w:rPr>
          <w:b/>
        </w:rPr>
        <w:t xml:space="preserve">DOI: </w:t>
      </w:r>
      <w:hyperlink r:id="rId505">
        <w:r>
          <w:rPr>
            <w:color w:val="1155CC"/>
            <w:u w:val="single"/>
          </w:rPr>
          <w:t>10.1002/adma.73642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仿生视觉适应对于机器视觉在宽亮度范围内维持强大的感知至关重要。然而，大多数现有的自适应光电器件依赖于外部偏置电压和入射光强度的联合调节。在这里，我们通过在栅极电介质内集成两个体异质结来提出一种三峰有机主动适应晶体管（TM-OAAT）。这种架构可以实现光电容增强和界面电荷捕获抑制的协同调制。因此，该器件无需外部栅极偏置调制即可在暗视觉、中间视觉和明视觉模式之间自动切换，覆盖从月光到阳光的宽亮度范围（10</w:t>
      </w:r>
      <w:r>
        <w:t xml:space="preserve"> </w:t>
      </w:r>
      <w:r>
        <w:t>−2</w:t>
      </w:r>
      <w:r>
        <w:t xml:space="preserve"> </w:t>
      </w:r>
      <w:r>
        <w:t>–10</w:t>
      </w:r>
      <w:r>
        <w:rPr>
          <w:vertAlign w:val="subscript"/>
        </w:rPr>
        <w:t>6</w:t>
      </w:r>
      <w:r>
        <w:t>CD米</w:t>
      </w:r>
      <w:r>
        <w:t xml:space="preserve"> </w:t>
      </w:r>
      <w:r>
        <w:t>−2</w:t>
      </w:r>
      <w:r>
        <w:t xml:space="preserve"> </w:t>
      </w:r>
      <w:r>
        <w:t>）。成像实验和仿真表明，该设备在三种适应模式下都能有效恢复图像特征，识别准确率超过97%。通过仅通过照明实现三模态自适应，这种紧凑的设备为低功耗、宽动态范围的生物启发神经形态视觉提供了一个平台。</w:t>
      </w:r>
    </w:p>
    <w:p>
      <w:pPr>
        <w:spacing w:before="0" w:after="200" w:lineRule="auto" w:line="276"/>
      </w:pPr>
      <w:r>
        <w:rPr>
          <w:b/>
        </w:rPr>
        <w:t xml:space="preserve">Abstract (EN): </w:t>
      </w:r>
      <w:r>
        <w:t>Biomimetic visual adaptation is crucial for machine vision to sustain robust perception over a wide luminance range. However, most existing adaptive optoelectronic devices rely on the joint regulation of external bias voltage and incident light intensity. Here, we present a trimodal organic active adaptation transistor (TM‐OAAT) by integrating two bulk heterojunctions within the gate dielectric. This architecture enables synergistic modulation of photocapacitance enhancement and interfacial charge‐trapping suppression. As a result, the device autonomously switches between scotopic, mesopic, and photopic vision modes without external gate bias modulation, covering a wide luminance range from moonlight to sunlight (10</w:t>
      </w:r>
      <w:r>
        <w:t xml:space="preserve"> </w:t>
      </w:r>
      <w:r>
        <w:t>−2</w:t>
      </w:r>
      <w:r>
        <w:t xml:space="preserve"> </w:t>
      </w:r>
      <w:r>
        <w:t>–10</w:t>
      </w:r>
      <w:r>
        <w:rPr>
          <w:vertAlign w:val="subscript"/>
        </w:rPr>
        <w:t>6</w:t>
      </w:r>
      <w:r>
        <w:t>cd m</w:t>
      </w:r>
      <w:r>
        <w:t xml:space="preserve"> </w:t>
      </w:r>
      <w:r>
        <w:t>−2</w:t>
      </w:r>
      <w:r>
        <w:t xml:space="preserve"> </w:t>
      </w:r>
      <w:r>
        <w:t>). Imaging experiments and simulations demonstrate that the device effectively restores image features across all three adaptation modes, achieving recognition accuracy exceeding 97%. By achieving trimodal self‐adaptation through illumination alone, this compact device provides a platform for low‐power, wide‐dynamic‐range bio‐inspired neuromorphic vision.</w:t>
      </w:r>
    </w:p>
    <w:p>
      <w:pPr>
        <w:spacing w:before="120" w:after="120"/>
      </w:pPr>
      <w:r>
        <w:rPr>
          <w:sz w:val="18"/>
        </w:rPr>
        <w:t>——————————————————————————————————————————————————————————————————————</w:t>
      </w:r>
    </w:p>
    <w:p>
      <w:pPr>
        <w:spacing w:before="160" w:after="40" w:line="240" w:lineRule="auto"/>
      </w:pPr>
      <w:r>
        <w:rPr>
          <w:b/>
        </w:rPr>
        <w:t xml:space="preserve">[109] </w:t>
      </w:r>
      <w:hyperlink r:id="rId506">
        <w:r>
          <w:rPr>
            <w:color w:val="1155CC"/>
            <w:u w:val="single"/>
          </w:rPr>
          <w:t>紧急引力中的洛伦兹破缺及其宇宙学后果</w:t>
        </w:r>
      </w:hyperlink>
    </w:p>
    <w:p>
      <w:pPr>
        <w:spacing w:before="0" w:after="80"/>
      </w:pPr>
      <w:r>
        <w:rPr>
          <w:i/>
          <w:sz w:val="20"/>
        </w:rPr>
        <w:t>EN: Lorentz Violation in Emergent Gravity and Its Cosmological Consequences</w:t>
      </w:r>
    </w:p>
    <w:p>
      <w:pPr>
        <w:spacing w:before="0" w:after="120"/>
      </w:pPr>
      <w:r>
        <w:rPr>
          <w:b/>
        </w:rPr>
        <w:t xml:space="preserve">Source: </w:t>
      </w:r>
      <w:r>
        <w:t>Recent Articles in Phys. Rev. Lett.</w:t>
      </w:r>
      <w:r>
        <w:t xml:space="preserve">    </w:t>
      </w:r>
      <w:r>
        <w:rPr>
          <w:b/>
        </w:rPr>
        <w:t xml:space="preserve">Pub date: </w:t>
      </w:r>
      <w:r>
        <w:t>2026-06-08 10:00:00+00:00</w:t>
      </w:r>
      <w:r>
        <w:t xml:space="preserve">    </w:t>
      </w:r>
      <w:r>
        <w:rPr>
          <w:b/>
        </w:rPr>
        <w:t xml:space="preserve">DOI: </w:t>
      </w:r>
      <w:hyperlink r:id="rId507">
        <w:r>
          <w:rPr>
            <w:color w:val="1155CC"/>
            <w:u w:val="single"/>
          </w:rPr>
          <w:t>10.1103/tvmx-qk3k</w:t>
        </w:r>
      </w:hyperlink>
    </w:p>
    <w:p>
      <w:pPr>
        <w:spacing w:before="0" w:after="120"/>
      </w:pPr>
      <w:r>
        <w:rPr>
          <w:b/>
        </w:rPr>
        <w:t xml:space="preserve">Notes: </w:t>
      </w:r>
      <w:r>
        <w:t>abstract_source=rss_description</w:t>
      </w:r>
    </w:p>
    <w:p>
      <w:pPr>
        <w:spacing w:before="0" w:after="80" w:lineRule="auto" w:line="276"/>
      </w:pPr>
      <w:r>
        <w:rPr>
          <w:b/>
        </w:rPr>
        <w:t xml:space="preserve">摘要（ZH）: </w:t>
      </w:r>
      <w:r>
        <w:t>作者：Raymond Isichei 和 João Magueijo 我们表明，广义相对论和其他几何理论可以被视为简并的奥托循环，在紧急重力下只有热交换腿。包括产生功的腿会产生受控的局部洛伦兹不变性和能量动量守恒的违反，从而产生后期c……[物理。莱特牧师。 136, 231501] 2026 年 6 月 8 日星期一发布</w:t>
      </w:r>
    </w:p>
    <w:p>
      <w:pPr>
        <w:spacing w:before="0" w:after="200" w:lineRule="auto" w:line="276"/>
      </w:pPr>
      <w:r>
        <w:rPr>
          <w:b/>
        </w:rPr>
        <w:t xml:space="preserve">Abstract (EN): </w:t>
      </w:r>
      <w:r>
        <w:t>Author(s): Raymond Isichei and João MagueijoWe show that general relativity and other geometrical theories can be viewed as a degenerate Otto cycle with only heat-exchange legs in emergent gravity. Including work-producing legs yields controlled violations of local Lorentz invariance and energy-momentum conservation, which produce late-time c…[Phys. Rev. Lett. 136, 231501] Published Mon Jun 08, 2026</w:t>
      </w:r>
    </w:p>
    <w:p>
      <w:pPr>
        <w:spacing w:before="120" w:after="120"/>
      </w:pPr>
      <w:r>
        <w:rPr>
          <w:sz w:val="18"/>
        </w:rPr>
        <w:t>——————————————————————————————————————————————————————————————————————</w:t>
      </w:r>
    </w:p>
    <w:p>
      <w:pPr>
        <w:spacing w:before="160" w:after="40" w:line="240" w:lineRule="auto"/>
      </w:pPr>
      <w:r>
        <w:rPr>
          <w:b/>
        </w:rPr>
        <w:t xml:space="preserve">[110] </w:t>
      </w:r>
      <w:hyperlink r:id="rId508">
        <w:r>
          <w:rPr>
            <w:color w:val="1155CC"/>
            <w:u w:val="single"/>
          </w:rPr>
          <w:t>具有宽带频率可调性的纳米级相干声子</w:t>
        </w:r>
      </w:hyperlink>
    </w:p>
    <w:p>
      <w:pPr>
        <w:spacing w:before="0" w:after="80"/>
      </w:pPr>
      <w:r>
        <w:rPr>
          <w:i/>
          <w:sz w:val="20"/>
        </w:rPr>
        <w:t>EN: Nanoscale Coherent Phonons with Broadband Frequency Tunability</w:t>
      </w:r>
    </w:p>
    <w:p>
      <w:pPr>
        <w:spacing w:before="0" w:after="120"/>
      </w:pPr>
      <w:r>
        <w:rPr>
          <w:b/>
        </w:rPr>
        <w:t xml:space="preserve">Source: </w:t>
      </w:r>
      <w:r>
        <w:t>Recent Articles in Phys. Rev. Lett.</w:t>
      </w:r>
      <w:r>
        <w:t xml:space="preserve">    </w:t>
      </w:r>
      <w:r>
        <w:rPr>
          <w:b/>
        </w:rPr>
        <w:t xml:space="preserve">Pub date: </w:t>
      </w:r>
      <w:r>
        <w:t>2026-06-08 10:00:00+00:00</w:t>
      </w:r>
      <w:r>
        <w:t xml:space="preserve">    </w:t>
      </w:r>
      <w:r>
        <w:rPr>
          <w:b/>
        </w:rPr>
        <w:t xml:space="preserve">DOI: </w:t>
      </w:r>
      <w:hyperlink r:id="rId509">
        <w:r>
          <w:rPr>
            <w:color w:val="1155CC"/>
            <w:u w:val="single"/>
          </w:rPr>
          <w:t>10.1103/hdd2-t4m4</w:t>
        </w:r>
      </w:hyperlink>
    </w:p>
    <w:p>
      <w:pPr>
        <w:spacing w:before="0" w:after="120"/>
      </w:pPr>
      <w:r>
        <w:rPr>
          <w:b/>
        </w:rPr>
        <w:t xml:space="preserve">Notes: </w:t>
      </w:r>
      <w:r>
        <w:t>abstract_source=rss_description</w:t>
      </w:r>
    </w:p>
    <w:p>
      <w:pPr>
        <w:spacing w:before="0" w:after="80" w:lineRule="auto" w:line="276"/>
      </w:pPr>
      <w:r>
        <w:rPr>
          <w:b/>
        </w:rPr>
        <w:t xml:space="preserve">摘要（ZH）: </w:t>
      </w:r>
      <w:r>
        <w:t>Author(s): Zhengpu Zhao (赵正朴), Da Wu (吴达), Chuwei Zhang (张楚惟), Duanyun Cao (曹端云), Haotian Zheng (郑浩天), Yuqing Huang (黄玉清), Qin Wang (王钦), En-Ge Wang (王恩哥), Chaoyu Guo (郭钞宇), and Ying Jiang (江颖)Broadband-tunable coherent phonon tips probe functional materials at nanoscale to investigate a variety of optical, electronic, thermodynamic, and mechanical properties.[Phys. Rev. Lett. 136, 236201] Published Mon Jun 08, 2026</w:t>
      </w:r>
    </w:p>
    <w:p>
      <w:pPr>
        <w:spacing w:before="0" w:after="200" w:lineRule="auto" w:line="276"/>
      </w:pPr>
      <w:r>
        <w:rPr>
          <w:b/>
        </w:rPr>
        <w:t xml:space="preserve">Abstract (EN): </w:t>
      </w:r>
      <w:r>
        <w:t>Author(s): Zhengpu Zhao (赵正朴), Da Wu (吴达), Chuwei Zhang (张楚惟), Duanyun Cao (曹端云), Haotian Zheng (郑浩天), Yuqing Huang (黄玉清), Qin Wang (王钦), En-Ge Wang (王恩哥), Chaoyu Guo (郭钞宇), and Ying Jiang (江颖)Broadband-tunable coherent phonon tips probe functional materials at nanoscale to investigate a variety of optical, electronic, thermodynamic, and mechanical properties.[Phys. Rev. Lett. 136, 236201] Published Mon Jun 08, 2026</w:t>
      </w:r>
    </w:p>
    <w:p>
      <w:pPr>
        <w:spacing w:before="120" w:after="120"/>
      </w:pPr>
      <w:r>
        <w:rPr>
          <w:sz w:val="18"/>
        </w:rPr>
        <w:t>——————————————————————————————————————————————————————————————————————</w:t>
      </w:r>
    </w:p>
    <w:p>
      <w:pPr>
        <w:spacing w:before="160" w:after="40" w:line="240" w:lineRule="auto"/>
      </w:pPr>
      <w:r>
        <w:rPr>
          <w:b/>
        </w:rPr>
        <w:t xml:space="preserve">[111] </w:t>
      </w:r>
      <w:hyperlink r:id="rId510">
        <w:r>
          <w:rPr>
            <w:color w:val="1155CC"/>
            <w:u w:val="single"/>
          </w:rPr>
          <w:t>用于核质量预测的量子贝叶斯概率算法</w:t>
        </w:r>
      </w:hyperlink>
    </w:p>
    <w:p>
      <w:pPr>
        <w:spacing w:before="0" w:after="80"/>
      </w:pPr>
      <w:r>
        <w:rPr>
          <w:i/>
          <w:sz w:val="20"/>
        </w:rPr>
        <w:t>EN: Quantum-inspired Bayesian probability algorithm for nuclear mass predictions</w:t>
      </w:r>
    </w:p>
    <w:p>
      <w:pPr>
        <w:spacing w:before="0" w:after="120"/>
      </w:pPr>
      <w:r>
        <w:rPr>
          <w:b/>
        </w:rPr>
        <w:t xml:space="preserve">Source: </w:t>
      </w:r>
      <w:r>
        <w:t>Recent Articles in Phys. Rev. C</w:t>
      </w:r>
      <w:r>
        <w:t xml:space="preserve">    </w:t>
      </w:r>
      <w:r>
        <w:rPr>
          <w:b/>
        </w:rPr>
        <w:t xml:space="preserve">Pub date: </w:t>
      </w:r>
      <w:r>
        <w:t>2026-06-08 10:00:00+00:00</w:t>
      </w:r>
      <w:r>
        <w:t xml:space="preserve">    </w:t>
      </w:r>
      <w:r>
        <w:rPr>
          <w:b/>
        </w:rPr>
        <w:t xml:space="preserve">DOI: </w:t>
      </w:r>
      <w:hyperlink r:id="rId511">
        <w:r>
          <w:rPr>
            <w:color w:val="1155CC"/>
            <w:u w:val="single"/>
          </w:rPr>
          <w:t>10.1103/ysj2-1g7q</w:t>
        </w:r>
      </w:hyperlink>
    </w:p>
    <w:p>
      <w:pPr>
        <w:spacing w:before="0" w:after="120"/>
      </w:pPr>
      <w:r>
        <w:rPr>
          <w:b/>
        </w:rPr>
        <w:t xml:space="preserve">Notes: </w:t>
      </w:r>
      <w:r>
        <w:t>abstract_source=rss_description</w:t>
      </w:r>
    </w:p>
    <w:p>
      <w:pPr>
        <w:spacing w:before="0" w:after="80" w:lineRule="auto" w:line="276"/>
      </w:pPr>
      <w:r>
        <w:rPr>
          <w:b/>
        </w:rPr>
        <w:t xml:space="preserve">摘要（ZH）: </w:t>
      </w:r>
      <w:r>
        <w:t>作者：Kaizhong Tan、Jian Liu 和 Chuan Wang 在这项研究中，提出了一种受量子动力学启发的新型量子贝叶斯概率 (QIBP) 算法，以改进理论模型对核质量的预测。在 QIBP 框架内，理论质量值和实验质量值之间的残差被映射为波……[Phys。 Rev. C 113, 064309] 于 2026 年 6 月 8 日星期一发布</w:t>
      </w:r>
    </w:p>
    <w:p>
      <w:pPr>
        <w:spacing w:before="0" w:after="200" w:lineRule="auto" w:line="276"/>
      </w:pPr>
      <w:r>
        <w:rPr>
          <w:b/>
        </w:rPr>
        <w:t xml:space="preserve">Abstract (EN): </w:t>
      </w:r>
      <w:r>
        <w:t>Author(s): Kaizhong Tan, Jian Liu, and Chuan WangIn this study, a novel quantum-inspired Bayesian probability (QIBP) algorithm, informed by quantum dynamics, is proposed to improve the predictions of nuclear mass from theoretical models. Within the QIBP framework, residuals between the theoretical and experimental mass values are mapped into wave …[Phys. Rev. C 113, 064309] Published Mon Jun 08, 2026</w:t>
      </w:r>
    </w:p>
    <w:p>
      <w:pPr>
        <w:spacing w:before="120" w:after="120"/>
      </w:pPr>
      <w:r>
        <w:rPr>
          <w:sz w:val="18"/>
        </w:rPr>
        <w:t>——————————————————————————————————————————————————————————————————————</w:t>
      </w:r>
    </w:p>
    <w:p>
      <w:pPr>
        <w:spacing w:before="160" w:after="40" w:line="240" w:lineRule="auto"/>
      </w:pPr>
      <w:r>
        <w:rPr>
          <w:b/>
        </w:rPr>
        <w:t xml:space="preserve">[112] </w:t>
      </w:r>
      <w:hyperlink r:id="rId512">
        <w:r>
          <w:rPr>
            <w:color w:val="1155CC"/>
            <w:u w:val="single"/>
          </w:rPr>
          <w:t>一维 Floquet 系统中五个不同定位阶段的观察</w:t>
        </w:r>
      </w:hyperlink>
    </w:p>
    <w:p>
      <w:pPr>
        <w:spacing w:before="0" w:after="80"/>
      </w:pPr>
      <w:r>
        <w:rPr>
          <w:i/>
          <w:sz w:val="20"/>
        </w:rPr>
        <w:t>EN: Observation of Five Distinct Localization Phases in a 1D Floquet System</w:t>
      </w:r>
    </w:p>
    <w:p>
      <w:pPr>
        <w:spacing w:before="0" w:after="120"/>
      </w:pPr>
      <w:r>
        <w:rPr>
          <w:b/>
        </w:rPr>
        <w:t xml:space="preserve">Source: </w:t>
      </w:r>
      <w:r>
        <w:t>Recent Articles in Phys. Rev. Lett.</w:t>
      </w:r>
      <w:r>
        <w:t xml:space="preserve">    </w:t>
      </w:r>
      <w:r>
        <w:rPr>
          <w:b/>
        </w:rPr>
        <w:t xml:space="preserve">Pub date: </w:t>
      </w:r>
      <w:r>
        <w:t>2026-06-08 10:00:00+00:00</w:t>
      </w:r>
      <w:r>
        <w:t xml:space="preserve">    </w:t>
      </w:r>
      <w:r>
        <w:rPr>
          <w:b/>
        </w:rPr>
        <w:t xml:space="preserve">DOI: </w:t>
      </w:r>
      <w:hyperlink r:id="rId513">
        <w:r>
          <w:rPr>
            <w:color w:val="1155CC"/>
            <w:u w:val="single"/>
          </w:rPr>
          <w:t>10.1103/6msd-mdw4</w:t>
        </w:r>
      </w:hyperlink>
    </w:p>
    <w:p>
      <w:pPr>
        <w:spacing w:before="0" w:after="120"/>
      </w:pPr>
      <w:r>
        <w:rPr>
          <w:b/>
        </w:rPr>
        <w:t xml:space="preserve">Notes: </w:t>
      </w:r>
      <w:r>
        <w:t>abstract_source=rss_description</w:t>
      </w:r>
    </w:p>
    <w:p>
      <w:pPr>
        <w:spacing w:before="0" w:after="80" w:lineRule="auto" w:line="276"/>
      </w:pPr>
      <w:r>
        <w:rPr>
          <w:b/>
        </w:rPr>
        <w:t xml:space="preserve">摘要（ZH）: </w:t>
      </w:r>
      <w:r>
        <w:t>作者：秦耀、杨朝、朱建坤、吴伟涛、段志新、赵如芳、郭宇翔、吴继洲、杨胜军、王玉成和范景云 扩展态、局域态和临界态构成了安德森局域化的三个基本态本征态。虽然涉及扩展态和局域态的相被广泛研究，但关键相的实验实现，特别是那些临界态与其他相共存的......[物理。莱特牧师。 136, 230401] 2026 年 6 月 8 日星期一发布</w:t>
      </w:r>
    </w:p>
    <w:p>
      <w:pPr>
        <w:spacing w:before="0" w:after="200" w:lineRule="auto" w:line="276"/>
      </w:pPr>
      <w:r>
        <w:rPr>
          <w:b/>
        </w:rPr>
        <w:t xml:space="preserve">Abstract (EN): </w:t>
      </w:r>
      <w:r>
        <w:t>Author(s): Yao Qin, Chao Yang, Jiankun Zhu, Weitao Wu, Zhixin Duan, Rufang Zhao, Yuxiang Guo, Jizhou Wu, Sheng-Jun Yang, Yucheng Wang, and Jingyun FanExtended, localized, and critical states form the three elementary classes of eigenstates underlying Anderson localization. While phases involving extended and localized states are widely studied, experimental realization of critical phases, particularly those where critical states coexist with othe…[Phys. Rev. Lett. 136, 230401] Published Mon Jun 08, 2026</w:t>
      </w:r>
    </w:p>
    <w:p>
      <w:pPr>
        <w:spacing w:before="120" w:after="120"/>
      </w:pPr>
      <w:r>
        <w:rPr>
          <w:sz w:val="18"/>
        </w:rPr>
        <w:t>——————————————————————————————————————————————————————————————————————</w:t>
      </w:r>
    </w:p>
    <w:p>
      <w:pPr>
        <w:spacing w:before="160" w:after="40" w:line="240" w:lineRule="auto"/>
      </w:pPr>
      <w:r>
        <w:rPr>
          <w:b/>
        </w:rPr>
        <w:t xml:space="preserve">[113] </w:t>
      </w:r>
      <w:hyperlink r:id="rId514">
        <w:r>
          <w:rPr>
            <w:color w:val="1155CC"/>
            <w:u w:val="single"/>
          </w:rPr>
          <w:t>利用反常磁邻近效应控制亚皮秒相干自旋和谷动力学</w:t>
        </w:r>
      </w:hyperlink>
    </w:p>
    <w:p>
      <w:pPr>
        <w:spacing w:before="0" w:after="80"/>
      </w:pPr>
      <w:r>
        <w:rPr>
          <w:i/>
          <w:sz w:val="20"/>
        </w:rPr>
        <w:t>EN: Controlling the Subpicosecond Coherent Spin and Valley Dynamics with Anomalous Magnetic Proximity Effect</w:t>
      </w:r>
    </w:p>
    <w:p>
      <w:pPr>
        <w:spacing w:before="0" w:after="120"/>
      </w:pPr>
      <w:r>
        <w:rPr>
          <w:b/>
        </w:rPr>
        <w:t xml:space="preserve">Source: </w:t>
      </w:r>
      <w:r>
        <w:t>Recent Articles in Phys. Rev. Lett.</w:t>
      </w:r>
      <w:r>
        <w:t xml:space="preserve">    </w:t>
      </w:r>
      <w:r>
        <w:rPr>
          <w:b/>
        </w:rPr>
        <w:t xml:space="preserve">Pub date: </w:t>
      </w:r>
      <w:r>
        <w:t>2026-06-08 10:00:00+00:00</w:t>
      </w:r>
      <w:r>
        <w:t xml:space="preserve">    </w:t>
      </w:r>
      <w:r>
        <w:rPr>
          <w:b/>
        </w:rPr>
        <w:t xml:space="preserve">DOI: </w:t>
      </w:r>
      <w:hyperlink r:id="rId515">
        <w:r>
          <w:rPr>
            <w:color w:val="1155CC"/>
            <w:u w:val="single"/>
          </w:rPr>
          <w:t>10.1103/86pk-g8d6</w:t>
        </w:r>
      </w:hyperlink>
    </w:p>
    <w:p>
      <w:pPr>
        <w:spacing w:before="0" w:after="120"/>
      </w:pPr>
      <w:r>
        <w:rPr>
          <w:b/>
        </w:rPr>
        <w:t xml:space="preserve">Notes: </w:t>
      </w:r>
      <w:r>
        <w:t>abstract_source=rss_description</w:t>
      </w:r>
    </w:p>
    <w:p>
      <w:pPr>
        <w:spacing w:before="0" w:after="80" w:lineRule="auto" w:line="276"/>
      </w:pPr>
      <w:r>
        <w:rPr>
          <w:b/>
        </w:rPr>
        <w:t xml:space="preserve">摘要（ZH）: </w:t>
      </w:r>
      <w:r>
        <w:t>作者：Qian Hu、Yong Tan、Qirui Cui、Yuqing Huang、Wenkai Zhu、Xiaomin Zhu、Yujing Wang、Yue Wang、Xuan Qi、Jing Zhang、Zhongming Wei、Jingbi You、Yang Ji、Lixia Zhao、Qihua Xiong 和 Kaiyou Wang 自旋谷电子学探索了高效、高速信息存储和处理的自旋和谷自由度。将自旋谷电子器件推进量子操作的一个关键挑战在于实现对自旋和谷动力学的相干控制……[物理。莱特牧师。 136, 236701] 2026 年 6 月 8 日星期一发布</w:t>
      </w:r>
    </w:p>
    <w:p>
      <w:pPr>
        <w:spacing w:before="0" w:after="200" w:lineRule="auto" w:line="276"/>
      </w:pPr>
      <w:r>
        <w:rPr>
          <w:b/>
        </w:rPr>
        <w:t xml:space="preserve">Abstract (EN): </w:t>
      </w:r>
      <w:r>
        <w:t>Author(s): Qian Hu, Yong Tan, Qirui Cui, Yuqing Huang, Wenkai Zhu, Xiaomin Zhang, Yujing Wang, Yue Wang, Xuan Qian, Jing Zhang, Zhongming Wei, Jingbi You, Yang Ji, Lixia Zhao, Qihua Xiong, and Kaiyou WangSpin-and-valley-tronics explores the spin and valley degree of freedom for power-efficient and high-speed information storage and processing. A critical challenge in advancing spin-and-valley-tronic devices toward quantum operation lies in achieving coherent control over the spin and valley dynamics…[Phys. Rev. Lett. 136, 236701] Published Mon Jun 08, 2026</w:t>
      </w:r>
    </w:p>
    <w:p>
      <w:pPr>
        <w:spacing w:before="120" w:after="120"/>
      </w:pPr>
      <w:r>
        <w:rPr>
          <w:sz w:val="18"/>
        </w:rPr>
        <w:t>——————————————————————————————————————————————————————————————————————</w:t>
      </w:r>
    </w:p>
    <w:p>
      <w:pPr>
        <w:spacing w:before="160" w:after="40" w:line="240" w:lineRule="auto"/>
      </w:pPr>
      <w:r>
        <w:rPr>
          <w:b/>
        </w:rPr>
        <w:t xml:space="preserve">[114] </w:t>
      </w:r>
      <w:hyperlink r:id="rId516">
        <w:r>
          <w:rPr>
            <w:color w:val="1155CC"/>
            <w:u w:val="single"/>
          </w:rPr>
          <w:t>具有晶体缺陷的 Kitaev 蜂窝模型的手性自旋液体不稳定性</w:t>
        </w:r>
      </w:hyperlink>
    </w:p>
    <w:p>
      <w:pPr>
        <w:spacing w:before="0" w:after="80"/>
      </w:pPr>
      <w:r>
        <w:rPr>
          <w:i/>
          <w:sz w:val="20"/>
        </w:rPr>
        <w:t>EN: Chiral Spin Liquid Instability of the Kitaev Honeycomb Model with Crystallographic Defects</w:t>
      </w:r>
    </w:p>
    <w:p>
      <w:pPr>
        <w:spacing w:before="0" w:after="120"/>
      </w:pPr>
      <w:r>
        <w:rPr>
          <w:b/>
        </w:rPr>
        <w:t xml:space="preserve">Source: </w:t>
      </w:r>
      <w:r>
        <w:t>Recent Articles in Phys. Rev. Lett.</w:t>
      </w:r>
      <w:r>
        <w:t xml:space="preserve">    </w:t>
      </w:r>
      <w:r>
        <w:rPr>
          <w:b/>
        </w:rPr>
        <w:t xml:space="preserve">Pub date: </w:t>
      </w:r>
      <w:r>
        <w:t>2026-06-08 10:00:00+00:00</w:t>
      </w:r>
      <w:r>
        <w:t xml:space="preserve">    </w:t>
      </w:r>
      <w:r>
        <w:rPr>
          <w:b/>
        </w:rPr>
        <w:t xml:space="preserve">DOI: </w:t>
      </w:r>
      <w:hyperlink r:id="rId517">
        <w:r>
          <w:rPr>
            <w:color w:val="1155CC"/>
            <w:u w:val="single"/>
          </w:rPr>
          <w:t>10.1103/8w9t-cqzd</w:t>
        </w:r>
      </w:hyperlink>
    </w:p>
    <w:p>
      <w:pPr>
        <w:spacing w:before="0" w:after="120"/>
      </w:pPr>
      <w:r>
        <w:rPr>
          <w:b/>
        </w:rPr>
        <w:t xml:space="preserve">Notes: </w:t>
      </w:r>
      <w:r>
        <w:t>abstract_source=rss_description</w:t>
      </w:r>
    </w:p>
    <w:p>
      <w:pPr>
        <w:spacing w:before="0" w:after="80" w:lineRule="auto" w:line="276"/>
      </w:pPr>
      <w:r>
        <w:rPr>
          <w:b/>
        </w:rPr>
        <w:t xml:space="preserve">摘要（ZH）: </w:t>
      </w:r>
      <w:r>
        <w:t>作者：Arnab Seth、Fay Borhani 和 Itamar Kimchi 我们研究了存在 Stone-Wales 型局部晶格缺陷和奇数面斑块的情况下的自旋 $1/2$ Kitaev 蜂窝状无间隙自旋液体。虽然干净的 Kitaev 模型没有有限温度相变，但我们发现引入有限缺陷密度 ${n}_{d}≈{10}^{−4}–{10}^{−2}$ p…[Phys.莱特牧师。 136, 236704] 2026 年 6 月 8 日星期一发布</w:t>
      </w:r>
    </w:p>
    <w:p>
      <w:pPr>
        <w:spacing w:before="0" w:after="200" w:lineRule="auto" w:line="276"/>
      </w:pPr>
      <w:r>
        <w:rPr>
          <w:b/>
        </w:rPr>
        <w:t xml:space="preserve">Abstract (EN): </w:t>
      </w:r>
      <w:r>
        <w:t>Author(s): Arnab Seth, Fay Borhani, and Itamar KimchiWe study the spin-$1/2$ Kitaev honeycomb gapless spin liquid in the presence of Stone-Wales-type local lattice defects with odd-sided plaquettes. While the clean Kitaev model has no finite-temperature phase transitions, we find that introducing a finite defect density ${n}_{d}≈{10}^{−4}–{10}^{−2}$ p…[Phys. Rev. Lett. 136, 236704] Published Mon Jun 08, 2026</w:t>
      </w:r>
    </w:p>
    <w:p>
      <w:pPr>
        <w:spacing w:before="120" w:after="120"/>
      </w:pPr>
      <w:r>
        <w:rPr>
          <w:sz w:val="18"/>
        </w:rPr>
        <w:t>——————————————————————————————————————————————————————————————————————</w:t>
      </w:r>
    </w:p>
    <w:p>
      <w:pPr>
        <w:spacing w:before="160" w:after="40" w:line="240" w:lineRule="auto"/>
      </w:pPr>
      <w:r>
        <w:rPr>
          <w:b/>
        </w:rPr>
        <w:t xml:space="preserve">[115] </w:t>
      </w:r>
      <w:hyperlink r:id="rId518">
        <w:r>
          <w:rPr>
            <w:color w:val="1155CC"/>
            <w:u w:val="single"/>
          </w:rPr>
          <w:t>在 $^{88}\mathrm{Sr}$ 上进行弹性 $α$ 散射实验，以约束 $α$ 诱导的反应截面，以进行弱 $r$ 过程研究</w:t>
        </w:r>
      </w:hyperlink>
    </w:p>
    <w:p>
      <w:pPr>
        <w:spacing w:before="0" w:after="80"/>
      </w:pPr>
      <w:r>
        <w:rPr>
          <w:i/>
          <w:sz w:val="20"/>
        </w:rPr>
        <w:t>EN: Elastic $α$-scattering experiments on $^{88}\mathrm{Sr}$ to constrain the $α$-induced reaction cross sections for weak-$r$-process studies</w:t>
      </w:r>
    </w:p>
    <w:p>
      <w:pPr>
        <w:spacing w:before="0" w:after="120"/>
      </w:pPr>
      <w:r>
        <w:rPr>
          <w:b/>
        </w:rPr>
        <w:t xml:space="preserve">Source: </w:t>
      </w:r>
      <w:r>
        <w:t>Recent Articles in Phys. Rev. C</w:t>
      </w:r>
      <w:r>
        <w:t xml:space="preserve">    </w:t>
      </w:r>
      <w:r>
        <w:rPr>
          <w:b/>
        </w:rPr>
        <w:t xml:space="preserve">Pub date: </w:t>
      </w:r>
      <w:r>
        <w:t>2026-06-08 10:00:00+00:00</w:t>
      </w:r>
      <w:r>
        <w:t xml:space="preserve">    </w:t>
      </w:r>
      <w:r>
        <w:rPr>
          <w:b/>
        </w:rPr>
        <w:t xml:space="preserve">DOI: </w:t>
      </w:r>
      <w:hyperlink r:id="rId519">
        <w:r>
          <w:rPr>
            <w:color w:val="1155CC"/>
            <w:u w:val="single"/>
          </w:rPr>
          <w:t>10.1103/7q3r-h51x</w:t>
        </w:r>
      </w:hyperlink>
    </w:p>
    <w:p>
      <w:pPr>
        <w:spacing w:before="0" w:after="120"/>
      </w:pPr>
      <w:r>
        <w:rPr>
          <w:b/>
        </w:rPr>
        <w:t xml:space="preserve">Notes: </w:t>
      </w:r>
      <w:r>
        <w:t>abstract_source=rss_description</w:t>
      </w:r>
    </w:p>
    <w:p>
      <w:pPr>
        <w:spacing w:before="0" w:after="80" w:lineRule="auto" w:line="276"/>
      </w:pPr>
      <w:r>
        <w:rPr>
          <w:b/>
        </w:rPr>
        <w:t xml:space="preserve">摘要（ZH）: </w:t>
      </w:r>
      <w:r>
        <w:t>作者：Z. Kóródi、G. G. Kiss、P. Mohr、T. N. Szegedi、C. Marshall、R. Nunes、L. Csedreki、Gy。 Gyürky，Z. Halász，T. Szücs，S. R. Kovács，Zs。马蒂尤斯，A. Tóth、G. L. Guardo、M. La Cognata、A. Tumino、A. Di Pietro、A. Nurmukhanbetova、L. Balliet 和 C. Fougères 背景：Fe 和 Ag 之间的低质量富中子同位素预计将在大质量恒星坍缩后发出的中微子驱动风中合成。这种核合成场景的建模，称为弱$r$-过程或$α$-过程，需要大型核反应网络计算……[Phys.修订版 C 113，L062801] 于 2026 年 6 月 8 日星期一发布</w:t>
      </w:r>
    </w:p>
    <w:p>
      <w:pPr>
        <w:spacing w:before="0" w:after="200" w:lineRule="auto" w:line="276"/>
      </w:pPr>
      <w:r>
        <w:rPr>
          <w:b/>
        </w:rPr>
        <w:t xml:space="preserve">Abstract (EN): </w:t>
      </w:r>
      <w:r>
        <w:t>Author(s): Z. Kóródi, G. G. Kiss, P. Mohr, T. N. Szegedi, C. Marshall, R. Nunes, L. Csedreki, Gy. Gyürky, Z. Halász, T. Szücs, S. R. Kovács, Zs. Mátyus, Á. Tóth, G. L. Guardo, M. La Cognata, A. Tumino, A. Di Pietro, A. Nurmukhanbetova, L. Balliet, and C. FougèresBackground: Low-mass neutron-rich isotopes between Fe and Ag are predicted to be synthesized in neutrino-driven winds emitted after the collapse of a massive star. The modeling of this nucleosynthesis scenario, called weak $r$-process or $α$-process, requires large nuclear reaction network calculati…[Phys. Rev. C 113, L062801] Published Mon Jun 08, 2026</w:t>
      </w:r>
    </w:p>
    <w:p>
      <w:pPr>
        <w:spacing w:before="120" w:after="120"/>
      </w:pPr>
      <w:r>
        <w:rPr>
          <w:sz w:val="18"/>
        </w:rPr>
        <w:t>——————————————————————————————————————————————————————————————————————</w:t>
      </w:r>
    </w:p>
    <w:p>
      <w:pPr>
        <w:spacing w:before="160" w:after="40" w:line="240" w:lineRule="auto"/>
      </w:pPr>
      <w:r>
        <w:rPr>
          <w:b/>
        </w:rPr>
        <w:t xml:space="preserve">[116] </w:t>
      </w:r>
      <w:hyperlink r:id="rId520">
        <w:r>
          <w:rPr>
            <w:color w:val="1155CC"/>
            <w:u w:val="single"/>
          </w:rPr>
          <w:t>直接敲除、耗散反应和碎片中填充的 $^{29}\mathrm{S}$ 的束内 $γ$ 射线光谱</w:t>
        </w:r>
      </w:hyperlink>
    </w:p>
    <w:p>
      <w:pPr>
        <w:spacing w:before="0" w:after="80"/>
      </w:pPr>
      <w:r>
        <w:rPr>
          <w:i/>
          <w:sz w:val="20"/>
        </w:rPr>
        <w:t>EN: In-beam $γ$-ray spectroscopy of $^{29}\mathrm{S}$ populated in direct knockout, dissipative reactions, and fragmentation</w:t>
      </w:r>
    </w:p>
    <w:p>
      <w:pPr>
        <w:spacing w:before="0" w:after="120"/>
      </w:pPr>
      <w:r>
        <w:rPr>
          <w:b/>
        </w:rPr>
        <w:t xml:space="preserve">Source: </w:t>
      </w:r>
      <w:r>
        <w:t>Recent Articles in Phys. Rev. C</w:t>
      </w:r>
      <w:r>
        <w:t xml:space="preserve">    </w:t>
      </w:r>
      <w:r>
        <w:rPr>
          <w:b/>
        </w:rPr>
        <w:t xml:space="preserve">Pub date: </w:t>
      </w:r>
      <w:r>
        <w:t>2026-06-08 10:00:00+00:00</w:t>
      </w:r>
      <w:r>
        <w:t xml:space="preserve">    </w:t>
      </w:r>
      <w:r>
        <w:rPr>
          <w:b/>
        </w:rPr>
        <w:t xml:space="preserve">DOI: </w:t>
      </w:r>
      <w:hyperlink r:id="rId521">
        <w:r>
          <w:rPr>
            <w:color w:val="1155CC"/>
            <w:u w:val="single"/>
          </w:rPr>
          <w:t>10.1103/6ls3-4bss</w:t>
        </w:r>
      </w:hyperlink>
    </w:p>
    <w:p>
      <w:pPr>
        <w:spacing w:before="0" w:after="120"/>
      </w:pPr>
      <w:r>
        <w:rPr>
          <w:b/>
        </w:rPr>
        <w:t xml:space="preserve">Notes: </w:t>
      </w:r>
      <w:r>
        <w:t>abstract_source=rss_description</w:t>
      </w:r>
    </w:p>
    <w:p>
      <w:pPr>
        <w:spacing w:before="0" w:after="80" w:lineRule="auto" w:line="276"/>
      </w:pPr>
      <w:r>
        <w:rPr>
          <w:b/>
        </w:rPr>
        <w:t xml:space="preserve">摘要（ZH）: </w:t>
      </w:r>
      <w:r>
        <w:t>作者：I. Dickenson、B. Longfellow、T. Beck、A. Gade、D. Weisshaar、B. A. Brown、D. Bazin、K. W. Brown、R. J. Charity、P. J. Farris、S. A. Gillespie、A. M. Hill、J. Li、W. Reviol 和 D. Rhodes 缺中子核中的激发态$^{29}\mathrm{S}$ 填充在一个中子敲除和多个核子去除反应中，并使用束内 $γ$ 射线光谱进行研究。使用分段锗阵列 SeGA 和……[物理]建立了新的激发态和 $γ$ 射线跃迁。 Rev. C 113, 064308] 于 2026 年 6 月 8 日星期一发布</w:t>
      </w:r>
    </w:p>
    <w:p>
      <w:pPr>
        <w:spacing w:before="0" w:after="200" w:lineRule="auto" w:line="276"/>
      </w:pPr>
      <w:r>
        <w:rPr>
          <w:b/>
        </w:rPr>
        <w:t xml:space="preserve">Abstract (EN): </w:t>
      </w:r>
      <w:r>
        <w:t>Author(s): I. Dickenson, B. Longfellow, T. Beck, A. Gade, D. Weisshaar, B. A. Brown, D. Bazin, K. W. Brown, R. J. Charity, P. J. Farris, S. A. Gillespie, A. M. Hill, J. Li, W. Reviol, and D. RhodesExcited states in the neutron-deficient nucleus $^{29}\mathrm{S}$ were populated in one-neutron knockout and several-nucleon removal reactions and studied using in-beam $γ$-ray spectroscopy. New excited states and $γ$-ray transitions were established using the Segmented Germanium Array SeGA and the …[Phys. Rev. C 113, 064308] Published Mon Jun 08, 2026</w:t>
      </w:r>
    </w:p>
    <w:p>
      <w:pPr>
        <w:spacing w:before="120" w:after="120"/>
      </w:pPr>
      <w:r>
        <w:rPr>
          <w:sz w:val="18"/>
        </w:rPr>
        <w:t>——————————————————————————————————————————————————————————————————————</w:t>
      </w:r>
    </w:p>
    <w:p>
      <w:pPr>
        <w:spacing w:before="160" w:after="40" w:line="240" w:lineRule="auto"/>
      </w:pPr>
      <w:r>
        <w:rPr>
          <w:b/>
        </w:rPr>
        <w:t xml:space="preserve">[117] </w:t>
      </w:r>
      <w:hyperlink r:id="rId522">
        <w:r>
          <w:rPr>
            <w:color w:val="1155CC"/>
            <w:u w:val="single"/>
          </w:rPr>
          <w:t>相对论动力学理论中矩流形的黎曼几何和流体动力学方法</w:t>
        </w:r>
      </w:hyperlink>
    </w:p>
    <w:p>
      <w:pPr>
        <w:spacing w:before="0" w:after="80"/>
      </w:pPr>
      <w:r>
        <w:rPr>
          <w:i/>
          <w:sz w:val="20"/>
        </w:rPr>
        <w:t>EN: Riemannian geometry of the moment manifold in relativistic kinetic theory and the approach to hydrodynamics</w:t>
      </w:r>
    </w:p>
    <w:p>
      <w:pPr>
        <w:spacing w:before="0" w:after="120"/>
      </w:pPr>
      <w:r>
        <w:rPr>
          <w:b/>
        </w:rPr>
        <w:t xml:space="preserve">Source: </w:t>
      </w:r>
      <w:r>
        <w:t>Recent Articles in Phys. Rev. C</w:t>
      </w:r>
      <w:r>
        <w:t xml:space="preserve">    </w:t>
      </w:r>
      <w:r>
        <w:rPr>
          <w:b/>
        </w:rPr>
        <w:t xml:space="preserve">Pub date: </w:t>
      </w:r>
      <w:r>
        <w:t>2026-06-08 10:00:00+00:00</w:t>
      </w:r>
      <w:r>
        <w:t xml:space="preserve">    </w:t>
      </w:r>
      <w:r>
        <w:rPr>
          <w:b/>
        </w:rPr>
        <w:t xml:space="preserve">DOI: </w:t>
      </w:r>
      <w:hyperlink r:id="rId523">
        <w:r>
          <w:rPr>
            <w:color w:val="1155CC"/>
            <w:u w:val="single"/>
          </w:rPr>
          <w:t>10.1103/by8d-d9z2</w:t>
        </w:r>
      </w:hyperlink>
    </w:p>
    <w:p>
      <w:pPr>
        <w:spacing w:before="0" w:after="120"/>
      </w:pPr>
      <w:r>
        <w:rPr>
          <w:b/>
        </w:rPr>
        <w:t xml:space="preserve">Notes: </w:t>
      </w:r>
      <w:r>
        <w:t>abstract_source=rss_description</w:t>
      </w:r>
    </w:p>
    <w:p>
      <w:pPr>
        <w:spacing w:before="0" w:after="80" w:lineRule="auto" w:line="276"/>
      </w:pPr>
      <w:r>
        <w:rPr>
          <w:b/>
        </w:rPr>
        <w:t xml:space="preserve">摘要（ZH）: </w:t>
      </w:r>
      <w:r>
        <w:t>作者：Craig S. Wright夸克-胶子等离子体中的动力学到流体动力学的交叉通常是通过尺度比来诊断的，例如克努森数和逆雷诺数，这些尺度比在分布空间上不是度量的。我为 Denicol-Niemi-Molnär-Rischke (DNMR) 14 矩流形配备了 Fisher-Rao m…[Phys. Rev. C 113, 064903] 于 2026 年 6 月 8 日星期一发布</w:t>
      </w:r>
    </w:p>
    <w:p>
      <w:pPr>
        <w:spacing w:before="0" w:after="200" w:lineRule="auto" w:line="276"/>
      </w:pPr>
      <w:r>
        <w:rPr>
          <w:b/>
        </w:rPr>
        <w:t xml:space="preserve">Abstract (EN): </w:t>
      </w:r>
      <w:r>
        <w:t>Author(s): Craig S. WrightThe kinetic-to-hydrodynamic crossover in the quark-gluon plasma is conventionally diagnosed by scale ratios such as the Knudsen and inverse Reynolds numbers, which are not metrical on the space of distributions. I equip the Denicol–Niemi–Molnär–Rischke (DNMR) 14-moment manifold with the Fisher-Rao m…[Phys. Rev. C 113, 064903] Published Mon Jun 08, 2026</w:t>
      </w:r>
    </w:p>
    <w:p>
      <w:pPr>
        <w:spacing w:before="120" w:after="120"/>
      </w:pPr>
      <w:r>
        <w:rPr>
          <w:sz w:val="18"/>
        </w:rPr>
        <w:t>——————————————————————————————————————————————————————————————————————</w:t>
      </w:r>
    </w:p>
    <w:p>
      <w:pPr>
        <w:spacing w:before="160" w:after="40" w:line="240" w:lineRule="auto"/>
      </w:pPr>
      <w:r>
        <w:rPr>
          <w:b/>
        </w:rPr>
        <w:t xml:space="preserve">[118] </w:t>
      </w:r>
      <w:hyperlink r:id="rId524">
        <w:r>
          <w:rPr>
            <w:color w:val="1155CC"/>
            <w:u w:val="single"/>
          </w:rPr>
          <w:t>神经网络支持实时等离子体成像，用于超快激光逆向设计制造微/纳米结构</w:t>
        </w:r>
      </w:hyperlink>
    </w:p>
    <w:p>
      <w:pPr>
        <w:spacing w:before="0" w:after="80"/>
      </w:pPr>
      <w:r>
        <w:rPr>
          <w:i/>
          <w:sz w:val="20"/>
        </w:rPr>
        <w:t>EN: Neural Network Enabled Real‐Time Plasma Imaging for Inverse Designed Fabrication of Micro/Nano Structures with Ultrafast Laser</w:t>
      </w:r>
    </w:p>
    <w:p>
      <w:pPr>
        <w:spacing w:before="0" w:after="120"/>
      </w:pPr>
      <w:r>
        <w:rPr>
          <w:b/>
        </w:rPr>
        <w:t xml:space="preserve">Source: </w:t>
      </w:r>
      <w:r>
        <w:t>Wiley: Advanced Materials: Table of Contents</w:t>
      </w:r>
      <w:r>
        <w:t xml:space="preserve">    </w:t>
      </w:r>
      <w:r>
        <w:rPr>
          <w:b/>
        </w:rPr>
        <w:t xml:space="preserve">Pub date: </w:t>
      </w:r>
      <w:r>
        <w:t>2026-06-08 12:11:13+00:00</w:t>
      </w:r>
      <w:r>
        <w:t xml:space="preserve">    </w:t>
      </w:r>
      <w:r>
        <w:rPr>
          <w:b/>
        </w:rPr>
        <w:t xml:space="preserve">DOI: </w:t>
      </w:r>
      <w:hyperlink r:id="rId525">
        <w:r>
          <w:rPr>
            <w:color w:val="1155CC"/>
            <w:u w:val="single"/>
          </w:rPr>
          <w:t>10.1002/adma.73601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时监控对于超快激光高精度微纳米结构制造的质量控制至关重要。激光诱导的等离子体羽流会阻挡样品表面，从而阻止加工过程中微/纳米结构的直接成像。这项工作提出了一种基于神经网络的实时等离子体成像策略和逆向设计微/纳米制造方法。神经网络包含用于实时成像的条件生成对抗网络（cGAN）和用于逆向设计制造的多层感知器（MLP）。基于咖啡环特征结构的制作，cGAN 从等离子体强度分布中生成高保真特征结构图像，实时成像延迟为 1691 毫秒。为了验证实时成像策略，在不同材料上进行了双脉冲处理和顺序单脉冲处理实验。 MLP 模型建立了激光参数和特征结构尺寸之间的非线性关系，用于逆向设计制造。正向预测和逆向设计结果均取得了决定系数（R</w:t>
      </w:r>
      <w:r>
        <w:rPr>
          <w:vertAlign w:val="subscript"/>
        </w:rPr>
        <w:t>2</w:t>
      </w:r>
      <w:r>
        <w:t>）为0.97，实际制造结果与目标值一致。这项工作提供了一种用于实时过程监控的神经网络策略，推动了智能激光制造的发展。</w:t>
      </w:r>
    </w:p>
    <w:p>
      <w:pPr>
        <w:spacing w:before="0" w:after="200" w:lineRule="auto" w:line="276"/>
      </w:pPr>
      <w:r>
        <w:rPr>
          <w:b/>
        </w:rPr>
        <w:t xml:space="preserve">Abstract (EN): </w:t>
      </w:r>
      <w:r>
        <w:t>Real‐time monitoring is essential for quality control in highprecision micro/nano structure fabrication with ultrafast laser. The laser‐induced plasma plume blocks the sample surface, preventing direct imaging of micro/nano structures during processing. This work proposes a neural networkenabled real‐time plasma imaging strategy and inverse design micro/nano fabrication method. The neural networks contain a conditional generative adversarial network (cGAN) for real‐time imaging and a multilayer perceptron (MLP) for inverse‐designed fabrication. Based on the fabrication of coffee‐ring feature structures, the cGAN generates high‐fidelity feature structure images from plasma intensity profiles, with a real‐time imaging latency of 1691 milliseconds. To validate the real‐time imaging strategy, dual‐pulse processing and sequential single‐pulse processing experiments are conducted across different materials. The MLP model establishes nonlinear relationships between laser parameters and feature structure size for inverse‐designed fabrication. Both forward prediction and inverse design results achieved a coefficient of determination (R</w:t>
      </w:r>
      <w:r>
        <w:rPr>
          <w:vertAlign w:val="subscript"/>
        </w:rPr>
        <w:t>2</w:t>
      </w:r>
      <w:r>
        <w:t>) of 0.97, and the actual fabrication results align with the target values. This work provides a neural networkenabled strategy for real‐time process monitoring, advancing the development of intelligent laser fabrication.</w:t>
      </w:r>
    </w:p>
    <w:p>
      <w:pPr>
        <w:spacing w:before="120" w:after="120"/>
      </w:pPr>
      <w:r>
        <w:rPr>
          <w:sz w:val="18"/>
        </w:rPr>
        <w:t>——————————————————————————————————————————————————————————————————————</w:t>
      </w:r>
    </w:p>
    <w:p>
      <w:pPr>
        <w:spacing w:before="160" w:after="40" w:line="240" w:lineRule="auto"/>
      </w:pPr>
      <w:r>
        <w:rPr>
          <w:b/>
        </w:rPr>
        <w:t xml:space="preserve">[119] </w:t>
      </w:r>
      <w:hyperlink r:id="rId526">
        <w:r>
          <w:rPr>
            <w:color w:val="1155CC"/>
            <w:u w:val="single"/>
          </w:rPr>
          <w:t>超材料天线增强了眼睛和枕叶脑的 MRI（Adv. Mater. 32/2026）</w:t>
        </w:r>
      </w:hyperlink>
    </w:p>
    <w:p>
      <w:pPr>
        <w:spacing w:before="0" w:after="80"/>
      </w:pPr>
      <w:r>
        <w:rPr>
          <w:i/>
          <w:sz w:val="20"/>
        </w:rPr>
        <w:t>EN: Metamaterial Antennas Enhance MRI of the Eye and Occipital Brain (Adv. Mater. 32/2026)</w:t>
      </w:r>
    </w:p>
    <w:p>
      <w:pPr>
        <w:spacing w:before="0" w:after="120"/>
      </w:pPr>
      <w:r>
        <w:rPr>
          <w:b/>
        </w:rPr>
        <w:t xml:space="preserve">Source: </w:t>
      </w:r>
      <w:r>
        <w:t>Wiley: Advanced Materials: Table of Contents</w:t>
      </w:r>
      <w:r>
        <w:t xml:space="preserve">    </w:t>
      </w:r>
      <w:r>
        <w:rPr>
          <w:b/>
        </w:rPr>
        <w:t xml:space="preserve">Pub date: </w:t>
      </w:r>
      <w:r>
        <w:t>2026-06-08 12:34:24+00:00</w:t>
      </w:r>
      <w:r>
        <w:t xml:space="preserve">    </w:t>
      </w:r>
      <w:r>
        <w:rPr>
          <w:b/>
        </w:rPr>
        <w:t xml:space="preserve">DOI: </w:t>
      </w:r>
      <w:hyperlink r:id="rId527">
        <w:r>
          <w:rPr>
            <w:color w:val="1155CC"/>
            <w:u w:val="single"/>
          </w:rPr>
          <w:t>10.1002/adma.73484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[120] </w:t>
      </w:r>
      <w:hyperlink r:id="rId528">
        <w:r>
          <w:rPr>
            <w:color w:val="1155CC"/>
            <w:u w:val="single"/>
          </w:rPr>
          <w:t>类风湿关节炎的高效靶向线粒体转移和 AUTAC4 增强双重更新策略（Adv. Mater. 32/2026）</w:t>
        </w:r>
      </w:hyperlink>
    </w:p>
    <w:p>
      <w:pPr>
        <w:spacing w:before="0" w:after="80"/>
      </w:pPr>
      <w:r>
        <w:rPr>
          <w:i/>
          <w:sz w:val="20"/>
        </w:rPr>
        <w:t>EN: High‐Efficiency Targeted Mitochondrial Transfer and AUTAC4‐Enhanced Dual Renewal Strategy for Rheumatoid Arthritis (Adv. Mater. 32/2026)</w:t>
      </w:r>
    </w:p>
    <w:p>
      <w:pPr>
        <w:spacing w:before="0" w:after="120"/>
      </w:pPr>
      <w:r>
        <w:rPr>
          <w:b/>
        </w:rPr>
        <w:t xml:space="preserve">Source: </w:t>
      </w:r>
      <w:r>
        <w:t>Wiley: Advanced Materials: Table of Contents</w:t>
      </w:r>
      <w:r>
        <w:t xml:space="preserve">    </w:t>
      </w:r>
      <w:r>
        <w:rPr>
          <w:b/>
        </w:rPr>
        <w:t xml:space="preserve">Pub date: </w:t>
      </w:r>
      <w:r>
        <w:t>2026-06-08 12:34:24+00:00</w:t>
      </w:r>
      <w:r>
        <w:t xml:space="preserve">    </w:t>
      </w:r>
      <w:r>
        <w:rPr>
          <w:b/>
        </w:rPr>
        <w:t xml:space="preserve">DOI: </w:t>
      </w:r>
      <w:hyperlink r:id="rId529">
        <w:r>
          <w:rPr>
            <w:color w:val="1155CC"/>
            <w:u w:val="single"/>
          </w:rPr>
          <w:t>10.1002/adma.73488</w:t>
        </w:r>
      </w:hyperlink>
    </w:p>
    <w:p>
      <w:pPr>
        <w:spacing w:before="0" w:after="120"/>
      </w:pPr>
      <w:r>
        <w:rPr>
          <w:b/>
        </w:rPr>
        <w:t xml:space="preserve">Notes: </w:t>
      </w:r>
      <w:r>
        <w:t>abstract_source=openalex</w:t>
      </w:r>
    </w:p>
    <w:p>
      <w:pPr>
        <w:spacing w:before="0" w:after="80" w:lineRule="auto" w:line="276"/>
      </w:pPr>
      <w:r>
        <w:rPr>
          <w:b/>
        </w:rPr>
        <w:t xml:space="preserve">摘要（ZH）: </w:t>
      </w:r>
      <w:r>
        <w:t>类风湿关节炎的双重更新策略 受中国哲学的启发，本封面阐述了类风湿关节炎的双重线粒体更新疗法 (DAMRT)。像荷叶一样，叶酸修饰的巨噬细胞膜精确封装健康的线粒体和 AUTAC4。这种仿生系统针对发炎的关节，提供新鲜的线粒体，同时降解功能失调的线粒体，以有效恢复细胞代谢稳态。更多详细信息，请参阅 Ke Xu、Yan Hu、Long Bai、Jiacan Su 及其同事的研究文章 (DOI: 10.1002/adma.202514070)。</w:t>
      </w:r>
    </w:p>
    <w:p>
      <w:pPr>
        <w:spacing w:before="0" w:after="200" w:lineRule="auto" w:line="276"/>
      </w:pPr>
      <w:r>
        <w:rPr>
          <w:b/>
        </w:rPr>
        <w:t xml:space="preserve">Abstract (EN): </w:t>
      </w:r>
      <w:r>
        <w:t>Dual Renewal Strategy for Rheumatoid Arthritis Inspired by Chinese philosophy, this cover illustrates a dual-action mitochondrial renewal therapy (DAMRT) for rheumatoid arthritis. Like a lotus leaf, a folate-modified macrophage membrane precisely encapsulates healthy mitochondria and AUTAC4. This biomimetic system targets inflamed joints, delivering fresh mitochondria while degrading dysfunctional ones to effectively restore cellular metabolic homeostasis. More details can be found in the Research Article by Ke Xu, Yan Hu, Long Bai, Jiacan Su, and co-workers (DOI: 10.1002/adma.202514070).</w:t>
      </w:r>
    </w:p>
    <w:p>
      <w:pPr>
        <w:spacing w:before="120" w:after="120"/>
      </w:pPr>
      <w:r>
        <w:rPr>
          <w:sz w:val="18"/>
        </w:rPr>
        <w:t>——————————————————————————————————————————————————————————————————————</w:t>
      </w:r>
    </w:p>
    <w:p>
      <w:pPr>
        <w:spacing w:before="160" w:after="40" w:line="240" w:lineRule="auto"/>
      </w:pPr>
      <w:r>
        <w:rPr>
          <w:b/>
        </w:rPr>
        <w:t xml:space="preserve">[121] </w:t>
      </w:r>
      <w:hyperlink r:id="rId530">
        <w:r>
          <w:rPr>
            <w:color w:val="1155CC"/>
            <w:u w:val="single"/>
          </w:rPr>
          <w:t>硫族化锌半导体纳米晶体：从合成到光电应用</w:t>
        </w:r>
      </w:hyperlink>
    </w:p>
    <w:p>
      <w:pPr>
        <w:spacing w:before="0" w:after="80"/>
      </w:pPr>
      <w:r>
        <w:rPr>
          <w:i/>
          <w:sz w:val="20"/>
        </w:rPr>
        <w:t>EN: Zinc chalcogenide semiconductor nanocrystals: from synthesis to optoelectronic applications</w:t>
      </w:r>
    </w:p>
    <w:p>
      <w:pPr>
        <w:spacing w:before="0" w:after="120"/>
      </w:pPr>
      <w:r>
        <w:rPr>
          <w:b/>
        </w:rPr>
        <w:t xml:space="preserve">Source: </w:t>
      </w:r>
      <w:r>
        <w:t>RSC - Chem. Soc. Rev. latest articles</w:t>
      </w:r>
      <w:r>
        <w:t xml:space="preserve">    </w:t>
      </w:r>
      <w:r>
        <w:rPr>
          <w:b/>
        </w:rPr>
        <w:t xml:space="preserve">Pub date: </w:t>
      </w:r>
      <w:r>
        <w:t>2026-06-08 23:00:00+00:00</w:t>
      </w:r>
    </w:p>
    <w:p>
      <w:pPr>
        <w:spacing w:before="0" w:after="120"/>
      </w:pPr>
      <w:r>
        <w:rPr>
          <w:b/>
        </w:rPr>
        <w:t xml:space="preserve">Notes: </w:t>
      </w:r>
      <w:r>
        <w:t>abstract_source=rsc_html</w:t>
      </w:r>
    </w:p>
    <w:p>
      <w:pPr>
        <w:spacing w:before="0" w:after="80" w:lineRule="auto" w:line="276"/>
      </w:pPr>
      <w:r>
        <w:rPr>
          <w:b/>
        </w:rPr>
        <w:t xml:space="preserve">摘要（ZH）: </w:t>
      </w:r>
      <w:r>
        <w:t>环保型锌硫族化物半导体纳米晶体（NC）——包括ZnS、ZnSe、ZnTe及其合金，涵盖零维量子点、一维纳米线或纳米棒以及二维纳米片——由于其不含重金属、优异的光学性能以及从紫光到红光的宽带隙可调能力，是用于先进照明和显示器的有前途的材料。最近，锌硫族化物半导体NCs取得了重大进展，包括NCs的受控合成以及在发光二极管（LED）和其他光电应用中的应用。本文对环保型锌硫系半导体NC的受控合成和器件应用进行了系统综述，为这一快速发展领域的新人提供了指导，有助于引导其未来发展。首先，本文介绍了锌硫族化物半导体纳米晶的成核和生长机制以及最新进展。重点关注不同维度NC的增长模型和驱动力。然后，讨论了NC在形状、尺寸和表面化学调控方面的受控合成，以及LED应用中的器件结构设计和电荷转移优化，同时还解决了光学性能和稳定性等剩余挑战，并从NC和LED的角度提出了有前景的解决方案。最后，进一步讨论了其他关键的光电应用，例如光电探测器和光催化。</w:t>
      </w:r>
    </w:p>
    <w:p>
      <w:pPr>
        <w:spacing w:before="0" w:after="200" w:lineRule="auto" w:line="276"/>
      </w:pPr>
      <w:r>
        <w:rPr>
          <w:b/>
        </w:rPr>
        <w:t xml:space="preserve">Abstract (EN): </w:t>
      </w:r>
      <w:r>
        <w:t>Eco-friendly Zn chalcogenide semiconductor nanocrystals (NCs)—including ZnS, ZnSe, ZnTe, and their alloys, which span zero-dimensional quantum dots, one-dimensional nanowires or nanorods, and two-dimensional nanoplatelets—are promising materials for advanced lighting and displays due to their heavy metal-free nature, excellent optical performance, and the wide bandgap tunability-enabled capability of light emitting from violet to red. Recently, significant progress has been made in Zn chalcogenide semiconductor NCs, encompassing the controlled synthesis of NCs and the applications in light emitting diodes (LEDs) and other optoelectronic applications. Herein, a systematic review of the controlled synthesis and device applications of eco-friendly Zn chalcogenide semiconductor NCs is provided for newcomers in this rapidly growing field, which helps steer its future development. First, this review introduces the nucleation and growth mechanisms of Zn chalcogenide semiconductor NCs, along with recent advancements. The focus is on growth models and the driving forces for NCs with different dimensions. Then, it discusses the controlled synthesis of NCs in terms of regulating shape, size, and surface chemistry, and the device structure design and charge transfer optimization for the application in LEDs, while also addressing the remaining challenges, such as optical performance and stability, along with promising solutions from the perspective of NCs and LEDs. Finally, other key optoelectronic applications such as photodetectors and photocatalysis are further discussed.</w:t>
      </w:r>
    </w:p>
    <w:p>
      <w:pPr>
        <w:spacing w:before="120" w:after="120"/>
      </w:pPr>
      <w:r>
        <w:rPr>
          <w:sz w:val="18"/>
        </w:rPr>
        <w:t>——————————————————————————————————————————————————————————————————————</w:t>
      </w:r>
    </w:p>
    <w:p>
      <w:pPr>
        <w:spacing w:before="160" w:after="40" w:line="240" w:lineRule="auto"/>
      </w:pPr>
      <w:r>
        <w:rPr>
          <w:b/>
        </w:rPr>
        <w:t xml:space="preserve">[122] </w:t>
      </w:r>
      <w:hyperlink r:id="rId531">
        <w:r>
          <w:rPr>
            <w:color w:val="1155CC"/>
            <w:u w:val="single"/>
          </w:rPr>
          <w:t>《自然》民意调查显示，科学家们对人工智能 FOMO 的看法很糟糕</w:t>
        </w:r>
      </w:hyperlink>
    </w:p>
    <w:p>
      <w:pPr>
        <w:spacing w:before="0" w:after="80"/>
      </w:pPr>
      <w:r>
        <w:rPr>
          <w:i/>
          <w:sz w:val="20"/>
        </w:rPr>
        <w:t>EN: Scientists have a bad case of AI FOMO, Nature poll reveals</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32">
        <w:r>
          <w:rPr>
            <w:color w:val="1155CC"/>
            <w:u w:val="single"/>
          </w:rPr>
          <w:t>10.1038/d41586-026-01690-7</w:t>
        </w:r>
      </w:hyperlink>
    </w:p>
    <w:p>
      <w:pPr>
        <w:spacing w:before="0" w:after="120"/>
      </w:pPr>
      <w:r>
        <w:rPr>
          <w:b/>
        </w:rPr>
        <w:t xml:space="preserve">Notes: </w:t>
      </w:r>
      <w:r>
        <w:t>abstract_source=nature_html</w:t>
      </w:r>
    </w:p>
    <w:p>
      <w:pPr>
        <w:spacing w:before="0" w:after="80" w:lineRule="auto" w:line="276"/>
      </w:pPr>
      <w:r>
        <w:rPr>
          <w:b/>
        </w:rPr>
        <w:t xml:space="preserve">摘要（ZH）: </w:t>
      </w:r>
      <w:r>
        <w:t>几乎一半的受访科学家表示，他们对人工智能普遍持负面态度，但他们认为某些工具比其他工具更好。几乎一半的受访科学家表示，他们对人工智能普遍持负面态度，但他们认为某些工具比其他工具更好。</w:t>
      </w:r>
    </w:p>
    <w:p>
      <w:pPr>
        <w:spacing w:before="0" w:after="200" w:lineRule="auto" w:line="276"/>
      </w:pPr>
      <w:r>
        <w:rPr>
          <w:b/>
        </w:rPr>
        <w:t xml:space="preserve">Abstract (EN): </w:t>
      </w:r>
      <w:r>
        <w:t>Almost half of the scientists who responded said that they feel broadly negative towards artificial intelligence, but they think that some tools are better than others. Almost half of the scientists who responded said that they feel broadly negative towards artificial intelligence, but they think that some tools are better than others.</w:t>
      </w:r>
    </w:p>
    <w:p>
      <w:pPr>
        <w:spacing w:before="120" w:after="120"/>
      </w:pPr>
      <w:r>
        <w:rPr>
          <w:sz w:val="18"/>
        </w:rPr>
        <w:t>——————————————————————————————————————————————————————————————————————</w:t>
      </w:r>
    </w:p>
    <w:p>
      <w:pPr>
        <w:spacing w:before="160" w:after="40" w:line="240" w:lineRule="auto"/>
      </w:pPr>
      <w:r>
        <w:rPr>
          <w:b/>
        </w:rPr>
        <w:t xml:space="preserve">[123] </w:t>
      </w:r>
      <w:hyperlink r:id="rId533">
        <w:r>
          <w:rPr>
            <w:color w:val="1155CC"/>
            <w:u w:val="single"/>
          </w:rPr>
          <w:t>每日简报：细胞“延缓衰老”试验治疗第一人称</w:t>
        </w:r>
      </w:hyperlink>
    </w:p>
    <w:p>
      <w:pPr>
        <w:spacing w:before="0" w:after="80"/>
      </w:pPr>
      <w:r>
        <w:rPr>
          <w:i/>
          <w:sz w:val="20"/>
        </w:rPr>
        <w:t>EN: Daily briefing: Trial to ‘de-age’ cells treats first person</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34">
        <w:r>
          <w:rPr>
            <w:color w:val="1155CC"/>
            <w:u w:val="single"/>
          </w:rPr>
          <w:t>10.1038/d41586-026-01861-6</w:t>
        </w:r>
      </w:hyperlink>
    </w:p>
    <w:p>
      <w:pPr>
        <w:spacing w:before="0" w:after="120"/>
      </w:pPr>
      <w:r>
        <w:rPr>
          <w:b/>
        </w:rPr>
        <w:t xml:space="preserve">Notes: </w:t>
      </w:r>
      <w:r>
        <w:t>abstract_source=nature_html</w:t>
      </w:r>
    </w:p>
    <w:p>
      <w:pPr>
        <w:spacing w:before="0" w:after="80" w:lineRule="auto" w:line="276"/>
      </w:pPr>
      <w:r>
        <w:rPr>
          <w:b/>
        </w:rPr>
        <w:t xml:space="preserve">摘要（ZH）: </w:t>
      </w:r>
      <w:r>
        <w:t>该基因治疗试验旨在通过使视神经细胞恢复活力来治疗青光眼。另外，还有事物如何结冰的奥秘以及鼓励人们走出去到阳光下。该基因治疗试验旨在通过使视神经细胞恢复活力来治疗青光眼。另外，还有事物如何结冰的奥秘以及鼓励人们走出去到阳光下。</w:t>
      </w:r>
    </w:p>
    <w:p>
      <w:pPr>
        <w:spacing w:before="0" w:after="200" w:lineRule="auto" w:line="276"/>
      </w:pPr>
      <w:r>
        <w:rPr>
          <w:b/>
        </w:rPr>
        <w:t xml:space="preserve">Abstract (EN): </w:t>
      </w:r>
      <w:r>
        <w:t>The gene-therapy trial aims to treat glaucoma by rejuvenating cells in the optic nerve. Plus, the mystery of how things freeze and encouragement to go out into the sunlight. The gene-therapy trial aims to treat glaucoma by rejuvenating cells in the optic nerve. Plus, the mystery of how things freeze and encouragement to go out into the sunlight.</w:t>
      </w:r>
    </w:p>
    <w:p>
      <w:pPr>
        <w:spacing w:before="120" w:after="120"/>
      </w:pPr>
      <w:r>
        <w:rPr>
          <w:sz w:val="18"/>
        </w:rPr>
        <w:t>——————————————————————————————————————————————————————————————————————</w:t>
      </w:r>
    </w:p>
    <w:p>
      <w:pPr>
        <w:spacing w:before="160" w:after="40" w:line="240" w:lineRule="auto"/>
      </w:pPr>
      <w:r>
        <w:rPr>
          <w:b/>
        </w:rPr>
        <w:t xml:space="preserve">[124] </w:t>
      </w:r>
      <w:hyperlink r:id="rId535">
        <w:r>
          <w:rPr>
            <w:color w:val="1155CC"/>
            <w:u w:val="single"/>
          </w:rPr>
          <w:t>批判性分析研究论文的七个步骤</w:t>
        </w:r>
      </w:hyperlink>
    </w:p>
    <w:p>
      <w:pPr>
        <w:spacing w:before="0" w:after="80"/>
      </w:pPr>
      <w:r>
        <w:rPr>
          <w:i/>
          <w:sz w:val="20"/>
        </w:rPr>
        <w:t>EN: Seven steps for critically analysing research papers</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36">
        <w:r>
          <w:rPr>
            <w:color w:val="1155CC"/>
            <w:u w:val="single"/>
          </w:rPr>
          <w:t>10.1038/d41586-026-01209-0</w:t>
        </w:r>
      </w:hyperlink>
    </w:p>
    <w:p>
      <w:pPr>
        <w:spacing w:before="0" w:after="120"/>
      </w:pPr>
      <w:r>
        <w:rPr>
          <w:b/>
        </w:rPr>
        <w:t xml:space="preserve">Notes: </w:t>
      </w:r>
      <w:r>
        <w:t>abstract_source=nature_html</w:t>
      </w:r>
    </w:p>
    <w:p>
      <w:pPr>
        <w:spacing w:before="0" w:after="80" w:lineRule="auto" w:line="276"/>
      </w:pPr>
      <w:r>
        <w:rPr>
          <w:b/>
        </w:rPr>
        <w:t xml:space="preserve">摘要（ZH）: </w:t>
      </w:r>
      <w:r>
        <w:t>雅克·康威尔说，通过在阅读时坚持明确的策略，我可以从文献中获得更多。雅克·康威尔说，通过在阅读时坚持明确的策略，我可以从文献中获得更多。</w:t>
      </w:r>
    </w:p>
    <w:p>
      <w:pPr>
        <w:spacing w:before="0" w:after="200" w:lineRule="auto" w:line="276"/>
      </w:pPr>
      <w:r>
        <w:rPr>
          <w:b/>
        </w:rPr>
        <w:t xml:space="preserve">Abstract (EN): </w:t>
      </w:r>
      <w:r>
        <w:t>By sticking to a clear strategy when reading, I get much more out of the literature, says Jacques Cornwell. By sticking to a clear strategy when reading, I get much more out of the literature, says Jacques Cornwell.</w:t>
      </w:r>
    </w:p>
    <w:p>
      <w:pPr>
        <w:spacing w:before="120" w:after="120"/>
      </w:pPr>
      <w:r>
        <w:rPr>
          <w:sz w:val="18"/>
        </w:rPr>
        <w:t>——————————————————————————————————————————————————————————————————————</w:t>
      </w:r>
    </w:p>
    <w:p>
      <w:pPr>
        <w:spacing w:before="160" w:after="40" w:line="240" w:lineRule="auto"/>
      </w:pPr>
      <w:r>
        <w:rPr>
          <w:b/>
        </w:rPr>
        <w:t xml:space="preserve">[125] </w:t>
      </w:r>
      <w:hyperlink r:id="rId537">
        <w:r>
          <w:rPr>
            <w:color w:val="1155CC"/>
            <w:u w:val="single"/>
          </w:rPr>
          <w:t>我的海外工作机会被取消了。这是我如何反弹的</w:t>
        </w:r>
      </w:hyperlink>
    </w:p>
    <w:p>
      <w:pPr>
        <w:spacing w:before="0" w:after="80"/>
      </w:pPr>
      <w:r>
        <w:rPr>
          <w:i/>
          <w:sz w:val="20"/>
        </w:rPr>
        <w:t>EN: My overseas job offer was rescinded. Here’s how I bounced back</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38">
        <w:r>
          <w:rPr>
            <w:color w:val="1155CC"/>
            <w:u w:val="single"/>
          </w:rPr>
          <w:t>10.1038/d41586-026-01234-z</w:t>
        </w:r>
      </w:hyperlink>
    </w:p>
    <w:p>
      <w:pPr>
        <w:spacing w:before="0" w:after="120"/>
      </w:pPr>
      <w:r>
        <w:rPr>
          <w:b/>
        </w:rPr>
        <w:t xml:space="preserve">Notes: </w:t>
      </w:r>
      <w:r>
        <w:t>abstract_source=nature_html</w:t>
      </w:r>
    </w:p>
    <w:p>
      <w:pPr>
        <w:spacing w:before="0" w:after="80" w:lineRule="auto" w:line="276"/>
      </w:pPr>
      <w:r>
        <w:rPr>
          <w:b/>
        </w:rPr>
        <w:t xml:space="preserve">摘要（ZH）: </w:t>
      </w:r>
      <w:r>
        <w:t>在职业生涯中期移居海外的机会落空后，安德鲁·基斯雷蒂斯 (Andrew Kythreotis) 重新评估了他的个人和职业优先事项。在职业生涯中期移居海外的机会落空后，安德鲁·基斯雷蒂斯 (Andrew Kythreotis) 重新评估了他的个人和职业优先事项。</w:t>
      </w:r>
    </w:p>
    <w:p>
      <w:pPr>
        <w:spacing w:before="0" w:after="200" w:lineRule="auto" w:line="276"/>
      </w:pPr>
      <w:r>
        <w:rPr>
          <w:b/>
        </w:rPr>
        <w:t xml:space="preserve">Abstract (EN): </w:t>
      </w:r>
      <w:r>
        <w:t>Andrew Kythreotis re-evaluated his personal and professional priorities after a mid-career opportunity to move abroad fell through. Andrew Kythreotis re-evaluated his personal and professional priorities after a mid-career opportunity to move abroad fell through.</w:t>
      </w:r>
    </w:p>
    <w:p>
      <w:pPr>
        <w:spacing w:before="120" w:after="120"/>
      </w:pPr>
      <w:r>
        <w:rPr>
          <w:sz w:val="18"/>
        </w:rPr>
        <w:t>——————————————————————————————————————————————————————————————————————</w:t>
      </w:r>
    </w:p>
    <w:p>
      <w:pPr>
        <w:spacing w:before="160" w:after="40" w:line="240" w:lineRule="auto"/>
      </w:pPr>
      <w:r>
        <w:rPr>
          <w:b/>
        </w:rPr>
        <w:t xml:space="preserve">[126] </w:t>
      </w:r>
      <w:hyperlink r:id="rId539">
        <w:r>
          <w:rPr>
            <w:color w:val="1155CC"/>
            <w:u w:val="single"/>
          </w:rPr>
          <w:t>良好的回收从国内开始，造福世界</w:t>
        </w:r>
      </w:hyperlink>
    </w:p>
    <w:p>
      <w:pPr>
        <w:spacing w:before="0" w:after="80"/>
      </w:pPr>
      <w:r>
        <w:rPr>
          <w:i/>
          <w:sz w:val="20"/>
        </w:rPr>
        <w:t>EN: Good recycling starts at home — and benefits the world</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40">
        <w:r>
          <w:rPr>
            <w:color w:val="1155CC"/>
            <w:u w:val="single"/>
          </w:rPr>
          <w:t>10.1038/d41586-026-01823-y</w:t>
        </w:r>
      </w:hyperlink>
    </w:p>
    <w:p>
      <w:pPr>
        <w:spacing w:before="0" w:after="120"/>
      </w:pPr>
      <w:r>
        <w:rPr>
          <w:b/>
        </w:rPr>
        <w:t xml:space="preserve">Notes: </w:t>
      </w:r>
      <w:r>
        <w:t>abstract_source=nature_html</w:t>
      </w:r>
    </w:p>
    <w:p>
      <w:pPr>
        <w:spacing w:before="0" w:after="80" w:lineRule="auto" w:line="276"/>
      </w:pPr>
      <w:r>
        <w:rPr>
          <w:b/>
        </w:rPr>
        <w:t xml:space="preserve">摘要（ZH）: </w:t>
      </w:r>
      <w:r>
        <w:t>新研究支持家庭垃圾分类的价值。但政策还必须仔细考虑消费者行为，以最大限度地提高收集材料的质量。新研究支持家庭垃圾分类的价值。但政策还必须仔细考虑消费者行为，以最大限度地提高收集材料的质量。</w:t>
      </w:r>
    </w:p>
    <w:p>
      <w:pPr>
        <w:spacing w:before="0" w:after="200" w:lineRule="auto" w:line="276"/>
      </w:pPr>
      <w:r>
        <w:rPr>
          <w:b/>
        </w:rPr>
        <w:t xml:space="preserve">Abstract (EN): </w:t>
      </w:r>
      <w:r>
        <w:t>New research supports the value of household-level waste separation. But policies must also carefully consider consumer behaviours to maximize the quality of material collected. New research supports the value of household-level waste separation. But policies must also carefully consider consumer behaviours to maximize the quality of material collected.</w:t>
      </w:r>
    </w:p>
    <w:p>
      <w:pPr>
        <w:spacing w:before="120" w:after="120"/>
      </w:pPr>
      <w:r>
        <w:rPr>
          <w:sz w:val="18"/>
        </w:rPr>
        <w:t>——————————————————————————————————————————————————————————————————————</w:t>
      </w:r>
    </w:p>
    <w:p>
      <w:pPr>
        <w:spacing w:before="160" w:after="40" w:line="240" w:lineRule="auto"/>
      </w:pPr>
      <w:r>
        <w:rPr>
          <w:b/>
        </w:rPr>
        <w:t xml:space="preserve">[127] </w:t>
      </w:r>
      <w:hyperlink r:id="rId541">
        <w:r>
          <w:rPr>
            <w:color w:val="1155CC"/>
            <w:u w:val="single"/>
          </w:rPr>
          <w:t>20 年代的结核病疫苗在糖尿病试验中显示出希望</w:t>
        </w:r>
      </w:hyperlink>
    </w:p>
    <w:p>
      <w:pPr>
        <w:spacing w:before="0" w:after="80"/>
      </w:pPr>
      <w:r>
        <w:rPr>
          <w:i/>
          <w:sz w:val="20"/>
        </w:rPr>
        <w:t>EN: TB vaccine from the 1920s shows promise in diabetes trial</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42">
        <w:r>
          <w:rPr>
            <w:color w:val="1155CC"/>
            <w:u w:val="single"/>
          </w:rPr>
          <w:t>10.1038/d41586-026-01825-w</w:t>
        </w:r>
      </w:hyperlink>
    </w:p>
    <w:p>
      <w:pPr>
        <w:spacing w:before="0" w:after="120"/>
      </w:pPr>
      <w:r>
        <w:rPr>
          <w:b/>
        </w:rPr>
        <w:t xml:space="preserve">Notes: </w:t>
      </w:r>
      <w:r>
        <w:t>abstract_source=nature_html</w:t>
      </w:r>
    </w:p>
    <w:p>
      <w:pPr>
        <w:spacing w:before="0" w:after="80" w:lineRule="auto" w:line="276"/>
      </w:pPr>
      <w:r>
        <w:rPr>
          <w:b/>
        </w:rPr>
        <w:t xml:space="preserve">摘要（ZH）: </w:t>
      </w:r>
      <w:r>
        <w:t>这种注射减少了 1 型糖尿病和另一种自身免疫性疾病患者的胰岛素使用量。这种注射减少了 1 型糖尿病和另一种自身免疫性疾病患者的胰岛素使用量。</w:t>
      </w:r>
    </w:p>
    <w:p>
      <w:pPr>
        <w:spacing w:before="0" w:after="200" w:lineRule="auto" w:line="276"/>
      </w:pPr>
      <w:r>
        <w:rPr>
          <w:b/>
        </w:rPr>
        <w:t xml:space="preserve">Abstract (EN): </w:t>
      </w:r>
      <w:r>
        <w:t>The shot reduced insulin use for people with type 1 diabetes and another autoimmune condition. The shot reduced insulin use for people with type 1 diabetes and another autoimmune condition.</w:t>
      </w:r>
    </w:p>
    <w:p>
      <w:pPr>
        <w:spacing w:before="120" w:after="120"/>
      </w:pPr>
      <w:r>
        <w:rPr>
          <w:sz w:val="18"/>
        </w:rPr>
        <w:t>——————————————————————————————————————————————————————————————————————</w:t>
      </w:r>
    </w:p>
    <w:p>
      <w:pPr>
        <w:spacing w:before="160" w:after="40" w:line="240" w:lineRule="auto"/>
      </w:pPr>
      <w:r>
        <w:rPr>
          <w:b/>
        </w:rPr>
        <w:t xml:space="preserve">[128] </w:t>
      </w:r>
      <w:hyperlink r:id="rId543">
        <w:r>
          <w:rPr>
            <w:color w:val="1155CC"/>
            <w:u w:val="single"/>
          </w:rPr>
          <w:t>开始新的一天的最佳方式是什么？科学支持在阳光下裸侧翻</w:t>
        </w:r>
      </w:hyperlink>
    </w:p>
    <w:p>
      <w:pPr>
        <w:spacing w:before="0" w:after="80"/>
      </w:pPr>
      <w:r>
        <w:rPr>
          <w:i/>
          <w:sz w:val="20"/>
        </w:rPr>
        <w:t>EN: The best way to start your day? The science backs naked cartwheels in the sun</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44">
        <w:r>
          <w:rPr>
            <w:color w:val="1155CC"/>
            <w:u w:val="single"/>
          </w:rPr>
          <w:t>10.1038/d41586-026-01822-z</w:t>
        </w:r>
      </w:hyperlink>
    </w:p>
    <w:p>
      <w:pPr>
        <w:spacing w:before="0" w:after="120"/>
      </w:pPr>
      <w:r>
        <w:rPr>
          <w:b/>
        </w:rPr>
        <w:t xml:space="preserve">Notes: </w:t>
      </w:r>
      <w:r>
        <w:t>abstract_source=nature_html</w:t>
      </w:r>
    </w:p>
    <w:p>
      <w:pPr>
        <w:spacing w:before="0" w:after="80" w:lineRule="auto" w:line="276"/>
      </w:pPr>
      <w:r>
        <w:rPr>
          <w:b/>
        </w:rPr>
        <w:t xml:space="preserve">摘要（ZH）: </w:t>
      </w:r>
      <w:r>
        <w:t>一本令人眼花缭乱的书解释了我们的身体对阳光的依赖，从睡眠到皮肤和骨骼健康。一本令人眼花缭乱的书解释了我们的身体对阳光的依赖，从睡眠到皮肤和骨骼健康。</w:t>
      </w:r>
    </w:p>
    <w:p>
      <w:pPr>
        <w:spacing w:before="0" w:after="200" w:lineRule="auto" w:line="276"/>
      </w:pPr>
      <w:r>
        <w:rPr>
          <w:b/>
        </w:rPr>
        <w:t xml:space="preserve">Abstract (EN): </w:t>
      </w:r>
      <w:r>
        <w:t>A dazzling book explains our bodies’ dependence on sunlight for everything from sleep to skin and bone health. A dazzling book explains our bodies’ dependence on sunlight for everything from sleep to skin and bone health.</w:t>
      </w:r>
    </w:p>
    <w:p>
      <w:pPr>
        <w:spacing w:before="120" w:after="120"/>
      </w:pPr>
      <w:r>
        <w:rPr>
          <w:sz w:val="18"/>
        </w:rPr>
        <w:t>——————————————————————————————————————————————————————————————————————</w:t>
      </w:r>
    </w:p>
    <w:p>
      <w:pPr>
        <w:spacing w:before="160" w:after="40" w:line="240" w:lineRule="auto"/>
      </w:pPr>
      <w:r>
        <w:rPr>
          <w:b/>
        </w:rPr>
        <w:t xml:space="preserve">[129] </w:t>
      </w:r>
      <w:hyperlink r:id="rId545">
        <w:r>
          <w:rPr>
            <w:color w:val="1155CC"/>
            <w:u w:val="single"/>
          </w:rPr>
          <w:t>世界首创：在人体中试验使细胞再次年轻的疗法</w:t>
        </w:r>
      </w:hyperlink>
    </w:p>
    <w:p>
      <w:pPr>
        <w:spacing w:before="0" w:after="80"/>
      </w:pPr>
      <w:r>
        <w:rPr>
          <w:i/>
          <w:sz w:val="20"/>
        </w:rPr>
        <w:t>EN: World-first: therapy to make cells young again trialled in a person</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46">
        <w:r>
          <w:rPr>
            <w:color w:val="1155CC"/>
            <w:u w:val="single"/>
          </w:rPr>
          <w:t>10.1038/d41586-026-01836-7</w:t>
        </w:r>
      </w:hyperlink>
    </w:p>
    <w:p>
      <w:pPr>
        <w:spacing w:before="0" w:after="120"/>
      </w:pPr>
      <w:r>
        <w:rPr>
          <w:b/>
        </w:rPr>
        <w:t xml:space="preserve">Notes: </w:t>
      </w:r>
      <w:r>
        <w:t>abstract_source=nature_html</w:t>
      </w:r>
    </w:p>
    <w:p>
      <w:pPr>
        <w:spacing w:before="0" w:after="80" w:lineRule="auto" w:line="276"/>
      </w:pPr>
      <w:r>
        <w:rPr>
          <w:b/>
        </w:rPr>
        <w:t xml:space="preserve">摘要（ZH）: </w:t>
      </w:r>
      <w:r>
        <w:t>一项具有里程碑意义的临床试验的参与者接受了细胞重编程治疗，旨在使眼睛受损的细胞恢复活力。一项具有里程碑意义的临床试验的参与者接受了细胞重编程治疗，旨在使眼睛受损的细胞恢复活力。</w:t>
      </w:r>
    </w:p>
    <w:p>
      <w:pPr>
        <w:spacing w:before="0" w:after="200" w:lineRule="auto" w:line="276"/>
      </w:pPr>
      <w:r>
        <w:rPr>
          <w:b/>
        </w:rPr>
        <w:t xml:space="preserve">Abstract (EN): </w:t>
      </w:r>
      <w:r>
        <w:t>A participant in a landmark clinical trial has been given a cellular-reprogramming treatment that aims to rejuvenate damaged cells in the eye. A participant in a landmark clinical trial has been given a cellular-reprogramming treatment that aims to rejuvenate damaged cells in the eye.</w:t>
      </w:r>
    </w:p>
    <w:p>
      <w:pPr>
        <w:spacing w:before="120" w:after="120"/>
      </w:pPr>
      <w:r>
        <w:rPr>
          <w:sz w:val="18"/>
        </w:rPr>
        <w:t>——————————————————————————————————————————————————————————————————————</w:t>
      </w:r>
    </w:p>
    <w:p>
      <w:pPr>
        <w:spacing w:before="160" w:after="40" w:line="240" w:lineRule="auto"/>
      </w:pPr>
      <w:r>
        <w:rPr>
          <w:b/>
        </w:rPr>
        <w:t xml:space="preserve">[130] </w:t>
      </w:r>
      <w:hyperlink r:id="rId547">
        <w:r>
          <w:rPr>
            <w:color w:val="1155CC"/>
            <w:u w:val="single"/>
          </w:rPr>
          <w:t>DexAnyTwist：通过混合操纵系统识别学习一般灵巧扭转</w:t>
        </w:r>
      </w:hyperlink>
    </w:p>
    <w:p>
      <w:pPr>
        <w:spacing w:before="0" w:after="80"/>
      </w:pPr>
      <w:r>
        <w:rPr>
          <w:i/>
          <w:sz w:val="20"/>
        </w:rPr>
        <w:t>EN: DexAnyTwist: Learning General Dexterous Twisting with Hybrid Manipulation System Identification</w:t>
      </w:r>
    </w:p>
    <w:p>
      <w:pPr>
        <w:spacing w:before="0" w:after="120"/>
      </w:pPr>
      <w:r>
        <w:rPr>
          <w:b/>
        </w:rPr>
        <w:t xml:space="preserve">Source: </w:t>
      </w:r>
      <w:r>
        <w:t>National Science Review Advance Access</w:t>
      </w:r>
      <w:r>
        <w:t xml:space="preserve">    </w:t>
      </w:r>
      <w:r>
        <w:rPr>
          <w:b/>
        </w:rPr>
        <w:t xml:space="preserve">Pub date: </w:t>
      </w:r>
      <w:r>
        <w:t>2026-06-09 00:00:00+00:00</w:t>
      </w:r>
      <w:r>
        <w:t xml:space="preserve">    </w:t>
      </w:r>
      <w:r>
        <w:rPr>
          <w:b/>
        </w:rPr>
        <w:t xml:space="preserve">DOI: </w:t>
      </w:r>
      <w:hyperlink r:id="rId548">
        <w:r>
          <w:rPr>
            <w:color w:val="1155CC"/>
            <w:u w:val="single"/>
          </w:rPr>
          <w:t>10.1093/nsr/nwag351</w:t>
        </w:r>
      </w:hyperlink>
    </w:p>
    <w:p>
      <w:pPr>
        <w:spacing w:before="0" w:after="120"/>
      </w:pPr>
      <w:r>
        <w:rPr>
          <w:b/>
        </w:rPr>
        <w:t xml:space="preserve">Notes: </w:t>
      </w:r>
      <w:r>
        <w:t>abstract_source=rss_oup</w:t>
      </w:r>
    </w:p>
    <w:p>
      <w:pPr>
        <w:spacing w:before="0" w:after="80" w:lineRule="auto" w:line="276"/>
      </w:pPr>
      <w:r>
        <w:rPr>
          <w:b/>
        </w:rPr>
        <w:t xml:space="preserve">摘要（ZH）: </w:t>
      </w:r>
      <w:r>
        <w:t>开发通用的灵巧操作，特别是复杂的扭转任务，仍然是一个长期存在的挑战。对包含广泛几何和物理属性的海量数据集进行大规模训练是一条有前途的道路。然而，异构数据集中固有的混合动态空间会产生优化冲突，其中标准学习范式无法跨不同的物理定律合成一致的控制策略。本文提出了 DexAnyTwist，这是一个框架，它将一般的扭转任务重新表述为混合动力系统中的识别和控制问题。 DexAnyTwist 采用迭代策略逐步将混合操作任务划分为动态一致的子系统。该方法利用前向分区来隔离基于专家性能的数据模式，并利用后向细化来优化专门的策略。然后，学习的门控机制动态地组合这些专家，有效地减轻不同动态模式之间的干扰。除了在我们的大规模数据集上实现最先进的性能之外，我们的框架还自发地演化出与人类扭曲一致的操作原语，并展示了对新颖的现实世界几何图形的卓越的零样本泛化。这项研究不仅解决了一类复杂的扭转任务，而且还为机器人获得通用的、丰富的接触操作技能建立了一条可扩展的途径。</w:t>
      </w:r>
    </w:p>
    <w:p>
      <w:pPr>
        <w:spacing w:before="0" w:after="200" w:lineRule="auto" w:line="276"/>
      </w:pPr>
      <w:r>
        <w:rPr>
          <w:b/>
        </w:rPr>
        <w:t xml:space="preserve">Abstract (EN): </w:t>
      </w:r>
      <w:r>
        <w:t>Developing general-purpose dexterous manipulation, particularly for intricate twisting tasks, remains a long-standing challenge. Large-scale training on massive datasets encompassing a vast spectrum of geometric and physical properties is a promising path. Yet, the hybrid dynamical space inherent in heterogeneous datasets creates optimization conflicts, where standard learning paradigms fail to synthesize a cohesive control strategy across disparate physical laws. This paper presents DexAnyTwist, a framework that reformulates the general twisting task as a problem of identification and control within a hybrid dynamical system. DexAnyTwist employs an iterative strategy to progressively partition the hybrid manipulation task into dynamically consistent subsystems. This approach utilizes forward partitioning to isolate data modes based on expert performance and backward refinement to optimize specialized policies. A learned gating mechanism then dynamically composes these experts, effectively mitigating interference between distinct dynamic modes. Beyond achieving state-of-the-art performance on our large-scale dataset, our framework spontaneously evolves manipulation primitives consistent with human twisting, and demonstrates superior zero-shot generalization to novel real-world geometries. This study not only solves a complex class of twisting tasks but also establishes a scalable pathway for robots to acquire general-purpose contact-rich manipulation skills.</w:t>
      </w:r>
    </w:p>
    <w:p>
      <w:pPr>
        <w:spacing w:before="120" w:after="120"/>
      </w:pPr>
      <w:r>
        <w:rPr>
          <w:sz w:val="18"/>
        </w:rPr>
        <w:t>——————————————————————————————————————————————————————————————————————</w:t>
      </w:r>
    </w:p>
    <w:p>
      <w:pPr>
        <w:spacing w:before="160" w:after="40" w:line="240" w:lineRule="auto"/>
      </w:pPr>
      <w:r>
        <w:rPr>
          <w:b/>
        </w:rPr>
        <w:t xml:space="preserve">[131] </w:t>
      </w:r>
      <w:hyperlink r:id="rId549">
        <w:r>
          <w:rPr>
            <w:color w:val="1155CC"/>
            <w:u w:val="single"/>
          </w:rPr>
          <w:t>双极有机混合导体中的面对面结晶可实现均匀光调制人工神经元</w:t>
        </w:r>
      </w:hyperlink>
    </w:p>
    <w:p>
      <w:pPr>
        <w:spacing w:before="0" w:after="80"/>
      </w:pPr>
      <w:r>
        <w:rPr>
          <w:i/>
          <w:sz w:val="20"/>
        </w:rPr>
        <w:t>EN: Face-on crystallization in ambipolar organic mixed conductors enables homogeneous light-modulated artificial neurons</w:t>
      </w:r>
    </w:p>
    <w:p>
      <w:pPr>
        <w:spacing w:before="0" w:after="120"/>
      </w:pPr>
      <w:r>
        <w:rPr>
          <w:b/>
        </w:rPr>
        <w:t xml:space="preserve">Source: </w:t>
      </w:r>
      <w:r>
        <w:t>National Science Review Advance Access</w:t>
      </w:r>
      <w:r>
        <w:t xml:space="preserve">    </w:t>
      </w:r>
      <w:r>
        <w:rPr>
          <w:b/>
        </w:rPr>
        <w:t xml:space="preserve">Pub date: </w:t>
      </w:r>
      <w:r>
        <w:t>2026-06-09 00:00:00+00:00</w:t>
      </w:r>
      <w:r>
        <w:t xml:space="preserve">    </w:t>
      </w:r>
      <w:r>
        <w:rPr>
          <w:b/>
        </w:rPr>
        <w:t xml:space="preserve">DOI: </w:t>
      </w:r>
      <w:hyperlink r:id="rId550">
        <w:r>
          <w:rPr>
            <w:color w:val="1155CC"/>
            <w:u w:val="single"/>
          </w:rPr>
          <w:t>10.1093/nsr/nwag341</w:t>
        </w:r>
      </w:hyperlink>
    </w:p>
    <w:p>
      <w:pPr>
        <w:spacing w:before="0" w:after="120"/>
      </w:pPr>
      <w:r>
        <w:rPr>
          <w:b/>
        </w:rPr>
        <w:t xml:space="preserve">Notes: </w:t>
      </w:r>
      <w:r>
        <w:t>abstract_source=rss_oup</w:t>
      </w:r>
    </w:p>
    <w:p>
      <w:pPr>
        <w:spacing w:before="0" w:after="80" w:lineRule="auto" w:line="276"/>
      </w:pPr>
      <w:r>
        <w:rPr>
          <w:b/>
        </w:rPr>
        <w:t xml:space="preserve">摘要（ZH）: </w:t>
      </w:r>
      <w:r>
        <w:t>光调制人工神经元对于临床视神经修复和仿生机器人至关重要。光敏双极有机混合离子电子导体 (OMIEC) 可实现均匀集成的人工神经元，不会出现电压/电阻失配或数模转换等问题。然而，它们的发展受到离子和电子传输之间的权衡的限制，从而导致低品质因数 (μC*) 值和 P/N 模式不平衡。在这里，通过精确的分子量定制，我们开发了一种双极性 OMIEC，其面向取向比高达 85.5%，主链结晶度提高了四倍。这种方法同时增强了垂直离子传输和电子传输，从而实现电子迁移率和体积电容的协同优化。优化后的材料可实现 423.3 ± 17.3 F cm⁻1 V⁻1 s⁻1（N 型）和 359.8 ± 42.6 F cm⁻1 V⁻1 s⁻1（P 型）的高 μC* 值。利用这种 OMIEC，我们构建了一种同质人工神经元，其激发/抑制行为可以受到光和化学环境的双重调节，为生物神经修复和仿生机器视觉系统中的高性能 OMIEC 铺平了新的道路。</w:t>
      </w:r>
    </w:p>
    <w:p>
      <w:pPr>
        <w:spacing w:before="0" w:after="200" w:lineRule="auto" w:line="276"/>
      </w:pPr>
      <w:r>
        <w:rPr>
          <w:b/>
        </w:rPr>
        <w:t xml:space="preserve">Abstract (EN): </w:t>
      </w:r>
      <w:r>
        <w:t>Light-modulated artificial neurons are vital for clinical optic nerve repair and bionic robotics. Light-sensitive ambipolar organic mixed ionic-electronic conductors (OMIECs) allow for homogeneously integrated artificial neurons, free from issues such as voltage/resistance mismatch or digital-to-analog conversion. However, their development is constrained by a trade-off between ion and electron transport, which results in low figure-of-merit (μC*) values and P/N-mode imbalance. Here, through precise molecular weight tailoring, we develop an ambipolar OMIEC with a high face-on orientation ratio of 85.5% and a fourfold enhancement in backbone crystallinity. This approach simultaneously enhances vertical ionic transport and electron transport, enabling the synergetic optimization of electronic mobility and volumetric capacitance. The optimized material achieves high μC* values of 423.3 ± 17.3 F cm⁻¹ V⁻¹ s⁻¹ (N-type) and 359.8 ± 42.6 F cm⁻¹ V⁻¹ s⁻¹ (P-type). Using this OMIEC, we construct a homogeneous artificial neuron whose excitation/inhibition behaviors can be dually modulated by light and chemical environment, paving new paths for high-performance OMIECs in biological neural prosthetics and bionic machine vision systems.</w:t>
      </w:r>
    </w:p>
    <w:p>
      <w:pPr>
        <w:spacing w:before="120" w:after="120"/>
      </w:pPr>
      <w:r>
        <w:rPr>
          <w:sz w:val="18"/>
        </w:rPr>
        <w:t>——————————————————————————————————————————————————————————————————————</w:t>
      </w:r>
    </w:p>
    <w:p>
      <w:pPr>
        <w:spacing w:before="160" w:after="40" w:line="240" w:lineRule="auto"/>
      </w:pPr>
      <w:r>
        <w:rPr>
          <w:b/>
        </w:rPr>
        <w:t xml:space="preserve">[132] </w:t>
      </w:r>
      <w:hyperlink r:id="rId551">
        <w:r>
          <w:rPr>
            <w:color w:val="1155CC"/>
            <w:u w:val="single"/>
          </w:rPr>
          <w:t>不要竞争，要合作：为什么集体资助申请是未来</w:t>
        </w:r>
      </w:hyperlink>
    </w:p>
    <w:p>
      <w:pPr>
        <w:spacing w:before="0" w:after="80"/>
      </w:pPr>
      <w:r>
        <w:rPr>
          <w:i/>
          <w:sz w:val="20"/>
        </w:rPr>
        <w:t>EN: Don’t compete, collaborate: why collective funding applications are the future</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52">
        <w:r>
          <w:rPr>
            <w:color w:val="1155CC"/>
            <w:u w:val="single"/>
          </w:rPr>
          <w:t>10.1038/d41586-026-01815-y</w:t>
        </w:r>
      </w:hyperlink>
    </w:p>
    <w:p>
      <w:pPr>
        <w:spacing w:before="0" w:after="120"/>
      </w:pPr>
      <w:r>
        <w:rPr>
          <w:b/>
        </w:rPr>
        <w:t xml:space="preserve">Notes: </w:t>
      </w:r>
      <w:r>
        <w:t>abstract_source=nature_html</w:t>
      </w:r>
    </w:p>
    <w:p>
      <w:pPr>
        <w:spacing w:before="0" w:after="80" w:lineRule="auto" w:line="276"/>
      </w:pPr>
      <w:r>
        <w:rPr>
          <w:b/>
        </w:rPr>
        <w:t xml:space="preserve">摘要（ZH）: </w:t>
      </w:r>
      <w:r>
        <w:t>具有不同专业知识的科学家一起撰写资助可以发现知识差距并推动进步——但系统必须改变以激励他们。具有不同专业知识的科学家一起撰写资助可以发现知识差距并推动进步——但系统必须改变以激励他们。</w:t>
      </w:r>
    </w:p>
    <w:p>
      <w:pPr>
        <w:spacing w:before="0" w:after="200" w:lineRule="auto" w:line="276"/>
      </w:pPr>
      <w:r>
        <w:rPr>
          <w:b/>
        </w:rPr>
        <w:t xml:space="preserve">Abstract (EN): </w:t>
      </w:r>
      <w:r>
        <w:t>Scientists with disparate expertise writing grants together can identify knowledge gaps and drive progress — but systems must change to incentivize them. Scientists with disparate expertise writing grants together can identify knowledge gaps and drive progress — but systems must change to incentivize them.</w:t>
      </w:r>
    </w:p>
    <w:p>
      <w:pPr>
        <w:spacing w:before="120" w:after="120"/>
      </w:pPr>
      <w:r>
        <w:rPr>
          <w:sz w:val="18"/>
        </w:rPr>
        <w:t>——————————————————————————————————————————————————————————————————————</w:t>
      </w:r>
    </w:p>
    <w:p>
      <w:pPr>
        <w:spacing w:before="160" w:after="40" w:line="240" w:lineRule="auto"/>
      </w:pPr>
      <w:r>
        <w:rPr>
          <w:b/>
        </w:rPr>
        <w:t xml:space="preserve">[133] </w:t>
      </w:r>
      <w:hyperlink r:id="rId553">
        <w:r>
          <w:rPr>
            <w:color w:val="1155CC"/>
            <w:u w:val="single"/>
          </w:rPr>
          <w:t>我们来谈谈生物医学研究套件</w:t>
        </w:r>
      </w:hyperlink>
    </w:p>
    <w:p>
      <w:pPr>
        <w:spacing w:before="0" w:after="80"/>
      </w:pPr>
      <w:r>
        <w:rPr>
          <w:i/>
          <w:sz w:val="20"/>
        </w:rPr>
        <w:t>EN: Let’s talk about biomedical research kits</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54">
        <w:r>
          <w:rPr>
            <w:color w:val="1155CC"/>
            <w:u w:val="single"/>
          </w:rPr>
          <w:t>10.1038/d41586-026-00799-z</w:t>
        </w:r>
      </w:hyperlink>
    </w:p>
    <w:p>
      <w:pPr>
        <w:spacing w:before="0" w:after="120"/>
      </w:pPr>
      <w:r>
        <w:rPr>
          <w:b/>
        </w:rPr>
        <w:t xml:space="preserve">Notes: </w:t>
      </w:r>
      <w:r>
        <w:t>abstract_source=nature_html</w:t>
      </w:r>
    </w:p>
    <w:p>
      <w:pPr>
        <w:spacing w:before="0" w:after="80" w:lineRule="auto" w:line="276"/>
      </w:pPr>
      <w:r>
        <w:rPr>
          <w:b/>
        </w:rPr>
        <w:t xml:space="preserve">摘要（ZH）: </w:t>
      </w:r>
      <w:r>
        <w:t>尽管实验检测试剂盒在很多方面无疑都有帮助，但它却有破坏科学基础的风险。我们怎样才能正确呢？尽管实验检测试剂盒在很多方面无疑都有帮助，但它却有破坏科学基础的风险。我们怎样才能正确呢？</w:t>
      </w:r>
    </w:p>
    <w:p>
      <w:pPr>
        <w:spacing w:before="0" w:after="200" w:lineRule="auto" w:line="276"/>
      </w:pPr>
      <w:r>
        <w:rPr>
          <w:b/>
        </w:rPr>
        <w:t xml:space="preserve">Abstract (EN): </w:t>
      </w:r>
      <w:r>
        <w:t>Although undoubtably helpful in many ways, experimental assay kits risk undermining the fundamentals of science. How can we course correct? Although undoubtably helpful in many ways, experimental assay kits risk undermining the fundamentals of science. How can we course correct?</w:t>
      </w:r>
    </w:p>
    <w:p>
      <w:pPr>
        <w:spacing w:before="120" w:after="120"/>
      </w:pPr>
      <w:r>
        <w:rPr>
          <w:sz w:val="18"/>
        </w:rPr>
        <w:t>——————————————————————————————————————————————————————————————————————</w:t>
      </w:r>
    </w:p>
    <w:p>
      <w:pPr>
        <w:spacing w:before="160" w:after="40" w:line="240" w:lineRule="auto"/>
      </w:pPr>
      <w:r>
        <w:rPr>
          <w:b/>
        </w:rPr>
        <w:t xml:space="preserve">[134] </w:t>
      </w:r>
      <w:hyperlink r:id="rId555">
        <w:r>
          <w:rPr>
            <w:color w:val="1155CC"/>
            <w:u w:val="single"/>
          </w:rPr>
          <w:t>人们正在转向人工智能聊天机器人来填补健康信息的空白</w:t>
        </w:r>
      </w:hyperlink>
    </w:p>
    <w:p>
      <w:pPr>
        <w:spacing w:before="0" w:after="80"/>
      </w:pPr>
      <w:r>
        <w:rPr>
          <w:i/>
          <w:sz w:val="20"/>
        </w:rPr>
        <w:t>EN: People are turning to AI chatbots to plug gaps in health information</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56">
        <w:r>
          <w:rPr>
            <w:color w:val="1155CC"/>
            <w:u w:val="single"/>
          </w:rPr>
          <w:t>10.1038/d41586-026-01737-9</w:t>
        </w:r>
      </w:hyperlink>
    </w:p>
    <w:p>
      <w:pPr>
        <w:spacing w:before="0" w:after="120"/>
      </w:pPr>
      <w:r>
        <w:rPr>
          <w:b/>
        </w:rPr>
        <w:t xml:space="preserve">Notes: </w:t>
      </w:r>
      <w:r>
        <w:t>abstract_source=nature_html</w:t>
      </w:r>
    </w:p>
    <w:p>
      <w:pPr>
        <w:spacing w:before="0" w:after="80" w:lineRule="auto" w:line="276"/>
      </w:pPr>
      <w:r>
        <w:rPr>
          <w:b/>
        </w:rPr>
        <w:t xml:space="preserve">摘要（ZH）: </w:t>
      </w:r>
      <w:r>
        <w:t>对人工智能支持的聊天机器人进行的与健康相关的查询的系统评估突显了医疗保健提供的不足和人工智能公司的责任。对人工智能支持的聊天机器人进行的与健康相关的查询的系统评估突显了医疗保健提供的不足和人工智能公司的责任。</w:t>
      </w:r>
    </w:p>
    <w:p>
      <w:pPr>
        <w:spacing w:before="0" w:after="200" w:lineRule="auto" w:line="276"/>
      </w:pPr>
      <w:r>
        <w:rPr>
          <w:b/>
        </w:rPr>
        <w:t xml:space="preserve">Abstract (EN): </w:t>
      </w:r>
      <w:r>
        <w:t>A systematic assessment of health-related queries to a chatbot powered by artificial intelligence highlights shortfalls in health-care provision and the responsibilities of AI companies. A systematic assessment of health-related queries to a chatbot powered by artificial intelligence highlights shortfalls in health-care provision and the responsibilities of AI companies.</w:t>
      </w:r>
    </w:p>
    <w:p>
      <w:pPr>
        <w:spacing w:before="120" w:after="120"/>
      </w:pPr>
      <w:r>
        <w:rPr>
          <w:sz w:val="18"/>
        </w:rPr>
        <w:t>——————————————————————————————————————————————————————————————————————</w:t>
      </w:r>
    </w:p>
    <w:p>
      <w:pPr>
        <w:spacing w:before="160" w:after="40" w:line="240" w:lineRule="auto"/>
      </w:pPr>
      <w:r>
        <w:rPr>
          <w:b/>
        </w:rPr>
        <w:t xml:space="preserve">[135] </w:t>
      </w:r>
      <w:hyperlink r:id="rId557">
        <w:r>
          <w:rPr>
            <w:color w:val="1155CC"/>
            <w:u w:val="single"/>
          </w:rPr>
          <w:t>古代地松鼠以“更新世僵尸”的尸体为食</w:t>
        </w:r>
      </w:hyperlink>
    </w:p>
    <w:p>
      <w:pPr>
        <w:spacing w:before="0" w:after="80"/>
      </w:pPr>
      <w:r>
        <w:rPr>
          <w:i/>
          <w:sz w:val="20"/>
        </w:rPr>
        <w:t>EN: Ancient ground squirrels feasted on carcasses like ‘zombies of the Pleistocene’</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58">
        <w:r>
          <w:rPr>
            <w:color w:val="1155CC"/>
            <w:u w:val="single"/>
          </w:rPr>
          <w:t>10.1038/d41586-026-01840-x</w:t>
        </w:r>
      </w:hyperlink>
    </w:p>
    <w:p>
      <w:pPr>
        <w:spacing w:before="0" w:after="120"/>
      </w:pPr>
      <w:r>
        <w:rPr>
          <w:b/>
        </w:rPr>
        <w:t xml:space="preserve">Notes: </w:t>
      </w:r>
      <w:r>
        <w:t>abstract_source=nature_html</w:t>
      </w:r>
    </w:p>
    <w:p>
      <w:pPr>
        <w:spacing w:before="0" w:after="80" w:lineRule="auto" w:line="276"/>
      </w:pPr>
      <w:r>
        <w:rPr>
          <w:b/>
        </w:rPr>
        <w:t xml:space="preserve">摘要（ZH）: </w:t>
      </w:r>
      <w:r>
        <w:t>粪便化石中含有猛犸象、野牛和大型猫科动物的遗骸，其中包括一些迄今为止重建的最古老的 DNA。粪便化石中含有猛犸象、野牛和大型猫科动物的遗骸，其中包括一些迄今为止重建的最古老的 DNA。</w:t>
      </w:r>
    </w:p>
    <w:p>
      <w:pPr>
        <w:spacing w:before="0" w:after="200" w:lineRule="auto" w:line="276"/>
      </w:pPr>
      <w:r>
        <w:rPr>
          <w:b/>
        </w:rPr>
        <w:t xml:space="preserve">Abstract (EN): </w:t>
      </w:r>
      <w:r>
        <w:t>Fossilized poo harbours remains from mammoths, bison and big cats, including some of the oldest DNA ever reconstructed. Fossilized poo harbours remains from mammoths, bison and big cats, including some of the oldest DNA ever reconstructed.</w:t>
      </w:r>
    </w:p>
    <w:p>
      <w:pPr>
        <w:spacing w:before="120" w:after="120"/>
      </w:pPr>
      <w:r>
        <w:rPr>
          <w:sz w:val="18"/>
        </w:rPr>
        <w:t>——————————————————————————————————————————————————————————————————————</w:t>
      </w:r>
    </w:p>
    <w:p>
      <w:pPr>
        <w:spacing w:before="160" w:after="40" w:line="240" w:lineRule="auto"/>
      </w:pPr>
      <w:r>
        <w:rPr>
          <w:b/>
        </w:rPr>
        <w:t xml:space="preserve">[136] </w:t>
      </w:r>
      <w:hyperlink r:id="rId559">
        <w:r>
          <w:rPr>
            <w:color w:val="1155CC"/>
            <w:u w:val="single"/>
          </w:rPr>
          <w:t>海洋“冷斑”是令人不安的气候趋势的证据</w:t>
        </w:r>
      </w:hyperlink>
    </w:p>
    <w:p>
      <w:pPr>
        <w:spacing w:before="0" w:after="80"/>
      </w:pPr>
      <w:r>
        <w:rPr>
          <w:i/>
          <w:sz w:val="20"/>
        </w:rPr>
        <w:t>EN: Ocean ‘cold blob’ is evidence for a troubling climate trend</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60">
        <w:r>
          <w:rPr>
            <w:color w:val="1155CC"/>
            <w:u w:val="single"/>
          </w:rPr>
          <w:t>10.1038/d41586-026-01826-9</w:t>
        </w:r>
      </w:hyperlink>
    </w:p>
    <w:p>
      <w:pPr>
        <w:spacing w:before="0" w:after="120"/>
      </w:pPr>
      <w:r>
        <w:rPr>
          <w:b/>
        </w:rPr>
        <w:t xml:space="preserve">Notes: </w:t>
      </w:r>
      <w:r>
        <w:t>abstract_source=nature_html</w:t>
      </w:r>
    </w:p>
    <w:p>
      <w:pPr>
        <w:spacing w:before="0" w:after="80" w:lineRule="auto" w:line="276"/>
      </w:pPr>
      <w:r>
        <w:rPr>
          <w:b/>
        </w:rPr>
        <w:t xml:space="preserve">摘要（ZH）: </w:t>
      </w:r>
      <w:r>
        <w:t>主要洋流系统的减弱导致大西洋部分地区的气温下降。主要洋流系统的减弱导致大西洋部分地区的气温下降。</w:t>
      </w:r>
    </w:p>
    <w:p>
      <w:pPr>
        <w:spacing w:before="0" w:after="200" w:lineRule="auto" w:line="276"/>
      </w:pPr>
      <w:r>
        <w:rPr>
          <w:b/>
        </w:rPr>
        <w:t xml:space="preserve">Abstract (EN): </w:t>
      </w:r>
      <w:r>
        <w:t>Weakening of a major ocean-current system is causing temperatures to drop in a patch of the Atlantic Ocean. Weakening of a major ocean-current system is causing temperatures to drop in a patch of the Atlantic Ocean.</w:t>
      </w:r>
    </w:p>
    <w:p>
      <w:pPr>
        <w:spacing w:before="120" w:after="120"/>
      </w:pPr>
      <w:r>
        <w:rPr>
          <w:sz w:val="18"/>
        </w:rPr>
        <w:t>——————————————————————————————————————————————————————————————————————</w:t>
      </w:r>
    </w:p>
    <w:p>
      <w:pPr>
        <w:spacing w:before="160" w:after="40" w:line="240" w:lineRule="auto"/>
      </w:pPr>
      <w:r>
        <w:rPr>
          <w:b/>
        </w:rPr>
        <w:t xml:space="preserve">[137] </w:t>
      </w:r>
      <w:hyperlink r:id="rId561">
        <w:r>
          <w:rPr>
            <w:color w:val="1155CC"/>
            <w:u w:val="single"/>
          </w:rPr>
          <w:t>自进化3D砂打印实验平台</w:t>
        </w:r>
      </w:hyperlink>
    </w:p>
    <w:p>
      <w:pPr>
        <w:spacing w:before="0" w:after="80"/>
      </w:pPr>
      <w:r>
        <w:rPr>
          <w:i/>
          <w:sz w:val="20"/>
        </w:rPr>
        <w:t>EN: Self-evolving experimental platform for 3D sand printing</w:t>
      </w:r>
    </w:p>
    <w:p>
      <w:pPr>
        <w:spacing w:before="0" w:after="120"/>
      </w:pPr>
      <w:r>
        <w:rPr>
          <w:b/>
        </w:rPr>
        <w:t xml:space="preserve">Source: </w:t>
      </w:r>
      <w:r>
        <w:t>National Science Review Advance Access</w:t>
      </w:r>
      <w:r>
        <w:t xml:space="preserve">    </w:t>
      </w:r>
      <w:r>
        <w:rPr>
          <w:b/>
        </w:rPr>
        <w:t xml:space="preserve">Pub date: </w:t>
      </w:r>
      <w:r>
        <w:t>2026-06-09 00:00:00+00:00</w:t>
      </w:r>
      <w:r>
        <w:t xml:space="preserve">    </w:t>
      </w:r>
      <w:r>
        <w:rPr>
          <w:b/>
        </w:rPr>
        <w:t xml:space="preserve">DOI: </w:t>
      </w:r>
      <w:hyperlink r:id="rId562">
        <w:r>
          <w:rPr>
            <w:color w:val="1155CC"/>
            <w:u w:val="single"/>
          </w:rPr>
          <w:t>10.1093/nsr/nwag352</w:t>
        </w:r>
      </w:hyperlink>
    </w:p>
    <w:p>
      <w:pPr>
        <w:spacing w:before="0" w:after="120"/>
      </w:pPr>
      <w:r>
        <w:rPr>
          <w:b/>
        </w:rPr>
        <w:t xml:space="preserve">Notes: </w:t>
      </w:r>
      <w:r>
        <w:t>abstract_source=rss_oup</w:t>
      </w:r>
    </w:p>
    <w:p>
      <w:pPr>
        <w:spacing w:before="0" w:after="80" w:lineRule="auto" w:line="276"/>
      </w:pPr>
      <w:r>
        <w:rPr>
          <w:b/>
        </w:rPr>
        <w:t xml:space="preserve">摘要（ZH）: </w:t>
      </w:r>
      <w:r>
        <w:t>3D 砂打印彻底改变了铸模制造，同时面临着因变量组合和目标冲突而产生的非线性高维优化挑战。在这里，我们开发了Ex3DSP，一个自我进化的实验平台，将机器人“能做”的能力与人工智能“能思考”的认知相结合，建立“边思考边做”的自我进化实验范式。为了解决 3 目标、3 变量高维优化问题，我们的 Ex3DSP 发现了 Pareto 前沿，实验工作量减少了 1148 倍。该平台提供了两种具有可解释性的解决方案类型（目标最优和平衡），并揭示了潜在机制（变量-目标相互作用和砂型断裂行为）。此外，这些解决方案还可用于指导实际铸造参数选择，使铸件的物理化学和机械性能提高高达 385%。这项工作展示了 3D 砂打印的自我进化实验范例，提供了智能增材制造路线图和工业化前筛选潜力。</w:t>
      </w:r>
    </w:p>
    <w:p>
      <w:pPr>
        <w:spacing w:before="0" w:after="200" w:lineRule="auto" w:line="276"/>
      </w:pPr>
      <w:r>
        <w:rPr>
          <w:b/>
        </w:rPr>
        <w:t xml:space="preserve">Abstract (EN): </w:t>
      </w:r>
      <w:r>
        <w:t>3D sand printing revolutionizes casting mold fabrication while confronting nonlinear high-dimensional optimization challenges stemming from variable combinations and objective conflicts. Here, we develop Ex3DSP, a self-evolving experimental platform combining robotic ‘can-do’ capabilities with artificial intelligence ‘can-think’ cognition to establish a ‘do-while-thinking’ self-evolving experimentation paradigm. Addressing a 3-objective, 3-variable high-dimensional optimization problem, our Ex3DSP discovers the Pareto front with a 1148-fold reduction in experimental workload. The platform provides two solution types (objective-optimal and balanced) with interpretability and reveals underlying mechanisms (variable-objective interaction and sand mold fracture behavior). Moreover, these solutions are applied to guide real-world casting parameter selection, yielding castings with up to 385% improved physicochemical and mechanical performances. This work demonstrates a self-evolving experimentation paradigm for 3D sand printing, offering both an intelligent additive manufacturing roadmap and pre-industrial screening potential.</w:t>
      </w:r>
    </w:p>
    <w:p>
      <w:pPr>
        <w:spacing w:before="120" w:after="120"/>
      </w:pPr>
      <w:r>
        <w:rPr>
          <w:sz w:val="18"/>
        </w:rPr>
        <w:t>——————————————————————————————————————————————————————————————————————</w:t>
      </w:r>
    </w:p>
    <w:p>
      <w:pPr>
        <w:spacing w:before="160" w:after="40" w:line="240" w:lineRule="auto"/>
      </w:pPr>
      <w:r>
        <w:rPr>
          <w:b/>
        </w:rPr>
        <w:t xml:space="preserve">[138] </w:t>
      </w:r>
      <w:hyperlink r:id="rId563">
        <w:r>
          <w:rPr>
            <w:color w:val="1155CC"/>
            <w:u w:val="single"/>
          </w:rPr>
          <w:t>确定抗生素耐药性的驱动因素：One Health 干预措施的数学模型重点关注传播和环境途径</w:t>
        </w:r>
      </w:hyperlink>
    </w:p>
    <w:p>
      <w:pPr>
        <w:spacing w:before="0" w:after="80"/>
      </w:pPr>
      <w:r>
        <w:rPr>
          <w:i/>
          <w:sz w:val="20"/>
        </w:rPr>
        <w:t>EN: Identifying drivers of antibiotic resistance: Mathematical model of One Health interventions spotlights transmission and environmental pathways</w:t>
      </w:r>
    </w:p>
    <w:p>
      <w:pPr>
        <w:spacing w:before="0" w:after="120"/>
      </w:pPr>
      <w:r>
        <w:rPr>
          <w:b/>
        </w:rPr>
        <w:t xml:space="preserve">Source: </w:t>
      </w:r>
      <w:r>
        <w:t>One Earth</w:t>
      </w:r>
      <w:r>
        <w:t xml:space="preserve">    </w:t>
      </w:r>
      <w:r>
        <w:rPr>
          <w:b/>
        </w:rPr>
        <w:t xml:space="preserve">Pub date: </w:t>
      </w:r>
      <w:r>
        <w:t>2026-06-09 00:00:00+00:00</w:t>
      </w:r>
      <w:r>
        <w:t xml:space="preserve">    </w:t>
      </w:r>
      <w:r>
        <w:rPr>
          <w:b/>
        </w:rPr>
        <w:t xml:space="preserve">DOI: </w:t>
      </w:r>
      <w:hyperlink r:id="rId564">
        <w:r>
          <w:rPr>
            <w:color w:val="1155CC"/>
            <w:u w:val="single"/>
          </w:rPr>
          <w:t>10.1016/j.oneear.2026.101718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[139] </w:t>
      </w:r>
      <w:hyperlink r:id="rId565">
        <w:r>
          <w:rPr>
            <w:color w:val="1155CC"/>
            <w:u w:val="single"/>
          </w:rPr>
          <w:t>民兵、博科圣地、土匪活动和基础设施爆发：对尼日利亚能源系统的影响</w:t>
        </w:r>
      </w:hyperlink>
    </w:p>
    <w:p>
      <w:pPr>
        <w:spacing w:before="0" w:after="80"/>
      </w:pPr>
      <w:r>
        <w:rPr>
          <w:i/>
          <w:sz w:val="20"/>
        </w:rPr>
        <w:t>EN: Militia, Boko Haram, banditry, and infrastructure bursts: Impacts on Nigerian energy systems</w:t>
      </w:r>
    </w:p>
    <w:p>
      <w:pPr>
        <w:spacing w:before="0" w:after="120"/>
      </w:pPr>
      <w:r>
        <w:rPr>
          <w:b/>
        </w:rPr>
        <w:t xml:space="preserve">Source: </w:t>
      </w:r>
      <w:r>
        <w:t>ScienceDirect Publication: Energy Policy</w:t>
      </w:r>
      <w:r>
        <w:t xml:space="preserve">    </w:t>
      </w:r>
      <w:r>
        <w:rPr>
          <w:b/>
        </w:rPr>
        <w:t xml:space="preserve">Pub date: </w:t>
      </w:r>
      <w:r>
        <w:t>2026-06-09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[140] </w:t>
      </w:r>
      <w:hyperlink r:id="rId566">
        <w:r>
          <w:rPr>
            <w:color w:val="1155CC"/>
            <w:u w:val="single"/>
          </w:rPr>
          <w:t>作者更正：准对称双组分蛋白质笼的从头设计</w:t>
        </w:r>
      </w:hyperlink>
    </w:p>
    <w:p>
      <w:pPr>
        <w:spacing w:before="0" w:after="80"/>
      </w:pPr>
      <w:r>
        <w:rPr>
          <w:i/>
          <w:sz w:val="20"/>
        </w:rPr>
        <w:t>EN: Author Correction: De novo design of quasisymmetric two-component protein cages</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67">
        <w:r>
          <w:rPr>
            <w:color w:val="1155CC"/>
            <w:u w:val="single"/>
          </w:rPr>
          <w:t>10.1038/s41586-026-10763-6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[141] </w:t>
      </w:r>
      <w:hyperlink r:id="rId568">
        <w:r>
          <w:rPr>
            <w:color w:val="1155CC"/>
            <w:u w:val="single"/>
          </w:rPr>
          <w:t>作者更正：携带 PTC 的 mRNA 通过 Upf3a 和 COMPASS 组件引发遗传补偿反应</w:t>
        </w:r>
      </w:hyperlink>
    </w:p>
    <w:p>
      <w:pPr>
        <w:spacing w:before="0" w:after="80"/>
      </w:pPr>
      <w:r>
        <w:rPr>
          <w:i/>
          <w:sz w:val="20"/>
        </w:rPr>
        <w:t>EN: Author Correction: PTC-bearing mRNA elicits a genetic compensation response via Upf3a and COMPASS components</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69">
        <w:r>
          <w:rPr>
            <w:color w:val="1155CC"/>
            <w:u w:val="single"/>
          </w:rPr>
          <w:t>10.1038/s41586-026-10769-0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[142] </w:t>
      </w:r>
      <w:hyperlink r:id="rId570">
        <w:r>
          <w:rPr>
            <w:color w:val="1155CC"/>
            <w:u w:val="single"/>
          </w:rPr>
          <w:t>通过信号折叠进行精确高效的计算</w:t>
        </w:r>
      </w:hyperlink>
    </w:p>
    <w:p>
      <w:pPr>
        <w:spacing w:before="0" w:after="80"/>
      </w:pPr>
      <w:r>
        <w:rPr>
          <w:i/>
          <w:sz w:val="20"/>
        </w:rPr>
        <w:t>EN: Precise and efficient computing via signal folding</w:t>
      </w:r>
    </w:p>
    <w:p>
      <w:pPr>
        <w:spacing w:before="0" w:after="120"/>
      </w:pPr>
      <w:r>
        <w:rPr>
          <w:b/>
        </w:rPr>
        <w:t xml:space="preserve">Source: </w:t>
      </w:r>
      <w:r>
        <w:t>Nature Electronics</w:t>
      </w:r>
      <w:r>
        <w:t xml:space="preserve">    </w:t>
      </w:r>
      <w:r>
        <w:rPr>
          <w:b/>
        </w:rPr>
        <w:t xml:space="preserve">Pub date: </w:t>
      </w:r>
      <w:r>
        <w:t>2026-06-09 00:00:00+00:00</w:t>
      </w:r>
      <w:r>
        <w:t xml:space="preserve">    </w:t>
      </w:r>
      <w:r>
        <w:rPr>
          <w:b/>
        </w:rPr>
        <w:t xml:space="preserve">DOI: </w:t>
      </w:r>
      <w:hyperlink r:id="rId571">
        <w:r>
          <w:rPr>
            <w:color w:val="1155CC"/>
            <w:u w:val="single"/>
          </w:rPr>
          <w:t>10.1038/s41928-026-01646-9</w:t>
        </w:r>
      </w:hyperlink>
    </w:p>
    <w:p>
      <w:pPr>
        <w:spacing w:before="0" w:after="120"/>
      </w:pPr>
      <w:r>
        <w:rPr>
          <w:b/>
        </w:rPr>
        <w:t xml:space="preserve">Notes: </w:t>
      </w:r>
      <w:r>
        <w:t>abstract_source=nature_html</w:t>
      </w:r>
    </w:p>
    <w:p>
      <w:pPr>
        <w:spacing w:before="0" w:after="80" w:lineRule="auto" w:line="276"/>
      </w:pPr>
      <w:r>
        <w:rPr>
          <w:b/>
        </w:rPr>
        <w:t xml:space="preserve">摘要（ZH）: </w:t>
      </w:r>
      <w:r>
        <w:t>一种可应用于单晶体管单电阻二硫化钼阵列的硬件内信号折叠方案，可以同时实现高重量精度和能源效率。</w:t>
      </w:r>
    </w:p>
    <w:p>
      <w:pPr>
        <w:spacing w:before="0" w:after="200" w:lineRule="auto" w:line="276"/>
      </w:pPr>
      <w:r>
        <w:rPr>
          <w:b/>
        </w:rPr>
        <w:t xml:space="preserve">Abstract (EN): </w:t>
      </w:r>
      <w:r>
        <w:t>An in-hardware signal-folding scheme, which can be applied to one-transistor–one-resistor molybdenum disulfide arrays, can simultaneously achieve high weight precision and energy efficiency.</w:t>
      </w:r>
    </w:p>
    <w:p>
      <w:pPr>
        <w:spacing w:before="120" w:after="120"/>
      </w:pPr>
      <w:r>
        <w:rPr>
          <w:sz w:val="18"/>
        </w:rPr>
        <w:t>——————————————————————————————————————————————————————————————————————</w:t>
      </w:r>
    </w:p>
    <w:p>
      <w:pPr>
        <w:spacing w:before="160" w:after="40" w:line="240" w:lineRule="auto"/>
      </w:pPr>
      <w:r>
        <w:rPr>
          <w:b/>
        </w:rPr>
        <w:t xml:space="preserve">[143] </w:t>
      </w:r>
      <w:hyperlink r:id="rId572">
        <w:r>
          <w:rPr>
            <w:color w:val="1155CC"/>
            <w:u w:val="single"/>
          </w:rPr>
          <w:t>单细胞亲戚将聚合多细胞性与动物起源联系起来</w:t>
        </w:r>
      </w:hyperlink>
    </w:p>
    <w:p>
      <w:pPr>
        <w:spacing w:before="0" w:after="80"/>
      </w:pPr>
      <w:r>
        <w:rPr>
          <w:i/>
          <w:sz w:val="20"/>
        </w:rPr>
        <w:t>EN: A unicellular relative links aggregative multicellularity to animal origins</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73">
        <w:r>
          <w:rPr>
            <w:color w:val="1155CC"/>
            <w:u w:val="single"/>
          </w:rPr>
          <w:t>10.1038/s41586-026-10748-5</w:t>
        </w:r>
      </w:hyperlink>
    </w:p>
    <w:p>
      <w:pPr>
        <w:spacing w:before="0" w:after="120"/>
      </w:pPr>
      <w:r>
        <w:rPr>
          <w:b/>
        </w:rPr>
        <w:t xml:space="preserve">Notes: </w:t>
      </w:r>
      <w:r>
        <w:t>abstract_source=nature_html</w:t>
      </w:r>
    </w:p>
    <w:p>
      <w:pPr>
        <w:spacing w:before="0" w:after="80" w:lineRule="auto" w:line="276"/>
      </w:pPr>
      <w:r>
        <w:rPr>
          <w:b/>
        </w:rPr>
        <w:t xml:space="preserve">摘要（ZH）: </w:t>
      </w:r>
      <w:r>
        <w:t>动物如何从单细胞祖先进化出复杂的多细胞性仍然没有答案。动物的单细胞近亲通过克隆分裂、多核母细胞的形成或聚集表现出简单的多细胞性。 1 因此，动物多细胞性可能是从这些行为中的一种（或组合）进化而来的。聚集通常被认为是复杂多细胞性的一种手段。 2 然而，聚集发生在许多现存的动物细胞中，并且最近在动物的三种单细胞近亲（领鞭毛虫 Salpingoeca Rosetta 和 Choanoeca flexa，以及 filasterean Capsaspora owczarzaki）中也有描述。 3-5 目前尚不清楚这些物种的聚集是衍生的还是祖先的，其与动物起源的相关性仍然未知。为了填补这一空白，我们研究了动物的另一种近亲单细胞是否可以发生聚集。我们发现海洋自由生活的细菌食性 filasterean Ministryia vibrans 6 形成具有可重复动力学的均质聚集体，具有长期稳定性，并且改善的摄食和交配可能是这种聚集的进化驱动因素。值得注意的是，我们发现许多涉及细胞粘附、信号传导和转录调控的动物多细胞基因的同源物在聚集过程中被部署，这表明它们可能在被纳入动物多细胞发育之前已在动物的单细胞祖先中用于聚集。因此，我们的结果意味着聚合多细胞性是</w:t>
      </w:r>
    </w:p>
    <w:p>
      <w:pPr>
        <w:spacing w:before="0" w:after="200" w:lineRule="auto" w:line="276"/>
      </w:pPr>
      <w:r>
        <w:rPr>
          <w:b/>
        </w:rPr>
        <w:t xml:space="preserve">Abstract (EN): </w:t>
      </w:r>
      <w:r>
        <w:t>How animals evolved complex multicellularity from their unicellular ancestors remains unanswered. Unicellular relatives of animals exhibit simple multicellularity through clonal division, formation of multinucleate coenocytes, or aggregation. 1 Therefore, animal multicellularity may have evolved from one (or a combination) of these behaviours. Aggregation has classically been dismissed as a means to complex multicellularity. 2 However, aggregation occurs in many extant animal cells and has also been recently described in three close unicellular relatives of animals (the choanoflagellates Salpingoeca rosetta and Choanoeca flexa, and the filasterean Capsaspora owczarzaki). 3-5 It is unclear whether aggregation in these species is derived or ancestral, and its relevance for animal origins remains unknown. To fill this gap, we investigated whether an additional close unicellular relative of animals can undergo aggregation. We discovered that the marine free-living bacterivorous filasterean Ministeria vibrans 6 forms homogeneous aggregates with reproducible kinetics that have long-term stability, and that improved feeding and mating may be evolutionary drivers of this aggregation. Notably, we found that homologs of many animal multicellularity genes involved in cell adhesion, signalling, and transcriptional regulation were deployed during the aggregation process, indicating that they may have been used for aggregation in the unicellular ancestors of animals before being co-opted into animal multicellular development. Thus, our results imply that aggregative multicellularity was key to the development of the multicellular animal genetic toolkit.</w:t>
      </w:r>
    </w:p>
    <w:p>
      <w:pPr>
        <w:spacing w:before="120" w:after="120"/>
      </w:pPr>
      <w:r>
        <w:rPr>
          <w:sz w:val="18"/>
        </w:rPr>
        <w:t>——————————————————————————————————————————————————————————————————————</w:t>
      </w:r>
    </w:p>
    <w:p>
      <w:pPr>
        <w:spacing w:before="160" w:after="40" w:line="240" w:lineRule="auto"/>
      </w:pPr>
      <w:r>
        <w:rPr>
          <w:b/>
        </w:rPr>
        <w:t xml:space="preserve">[144] </w:t>
      </w:r>
      <w:hyperlink r:id="rId574">
        <w:r>
          <w:rPr>
            <w:color w:val="1155CC"/>
            <w:u w:val="single"/>
          </w:rPr>
          <w:t>人工智能技术必须服务于人类认知发展，而不是相反</w:t>
        </w:r>
      </w:hyperlink>
    </w:p>
    <w:p>
      <w:pPr>
        <w:spacing w:before="0" w:after="80"/>
      </w:pPr>
      <w:r>
        <w:rPr>
          <w:i/>
          <w:sz w:val="20"/>
        </w:rPr>
        <w:t>EN: AI technology must serve human cognitive development, not the other way around</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75">
        <w:r>
          <w:rPr>
            <w:color w:val="1155CC"/>
            <w:u w:val="single"/>
          </w:rPr>
          <w:t>10.1038/d41586-026-01848-3</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[145] </w:t>
      </w:r>
      <w:hyperlink r:id="rId576">
        <w:r>
          <w:rPr>
            <w:color w:val="1155CC"/>
            <w:u w:val="single"/>
          </w:rPr>
          <w:t>新石器时代项链珠的宝库</w:t>
        </w:r>
      </w:hyperlink>
    </w:p>
    <w:p>
      <w:pPr>
        <w:spacing w:before="0" w:after="80"/>
      </w:pPr>
      <w:r>
        <w:rPr>
          <w:i/>
          <w:sz w:val="20"/>
        </w:rPr>
        <w:t>EN: A treasure trove of Neolithic necklace beads</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77">
        <w:r>
          <w:rPr>
            <w:color w:val="1155CC"/>
            <w:u w:val="single"/>
          </w:rPr>
          <w:t>10.1038/d41586-026-01810-3</w:t>
        </w:r>
      </w:hyperlink>
    </w:p>
    <w:p>
      <w:pPr>
        <w:spacing w:before="0" w:after="120"/>
      </w:pPr>
      <w:r>
        <w:rPr>
          <w:b/>
        </w:rPr>
        <w:t xml:space="preserve">Notes: </w:t>
      </w:r>
      <w:r>
        <w:t>abstract_source=nature_html</w:t>
      </w:r>
    </w:p>
    <w:p>
      <w:pPr>
        <w:spacing w:before="0" w:after="80" w:lineRule="auto" w:line="276"/>
      </w:pPr>
      <w:r>
        <w:rPr>
          <w:b/>
        </w:rPr>
        <w:t xml:space="preserve">摘要（ZH）: </w:t>
      </w:r>
      <w:r>
        <w:t>来自意大利的考古发现，以及拥有自己生命的机器，在我们每周深入《自然》档案中。大自然过去的片段。</w:t>
      </w:r>
    </w:p>
    <w:p>
      <w:pPr>
        <w:spacing w:before="0" w:after="200" w:lineRule="auto" w:line="276"/>
      </w:pPr>
      <w:r>
        <w:rPr>
          <w:b/>
        </w:rPr>
        <w:t xml:space="preserve">Abstract (EN): </w:t>
      </w:r>
      <w:r>
        <w:t>Archaeological findings from Italy, and machines with a life of their own, in our weekly dip into Nature’s archive. Snippets from Nature’s past.</w:t>
      </w:r>
    </w:p>
    <w:p>
      <w:pPr>
        <w:spacing w:before="120" w:after="120"/>
      </w:pPr>
      <w:r>
        <w:rPr>
          <w:sz w:val="18"/>
        </w:rPr>
        <w:t>——————————————————————————————————————————————————————————————————————</w:t>
      </w:r>
    </w:p>
    <w:p>
      <w:pPr>
        <w:spacing w:before="160" w:after="40" w:line="240" w:lineRule="auto"/>
      </w:pPr>
      <w:r>
        <w:rPr>
          <w:b/>
        </w:rPr>
        <w:t xml:space="preserve">[146] </w:t>
      </w:r>
      <w:hyperlink r:id="rId578">
        <w:r>
          <w:rPr>
            <w:color w:val="1155CC"/>
            <w:u w:val="single"/>
          </w:rPr>
          <w:t>作者更正：针对伽马疱疹病毒 gB 的广泛保护性抗体</w:t>
        </w:r>
      </w:hyperlink>
    </w:p>
    <w:p>
      <w:pPr>
        <w:spacing w:before="0" w:after="80"/>
      </w:pPr>
      <w:r>
        <w:rPr>
          <w:i/>
          <w:sz w:val="20"/>
        </w:rPr>
        <w:t>EN: Author Correction: A broadly protective antibody targeting gammaherpesvirus gB</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79">
        <w:r>
          <w:rPr>
            <w:color w:val="1155CC"/>
            <w:u w:val="single"/>
          </w:rPr>
          <w:t>10.1038/s41586-026-10745-8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[147] </w:t>
      </w:r>
      <w:hyperlink r:id="rId580">
        <w:r>
          <w:rPr>
            <w:color w:val="1155CC"/>
            <w:u w:val="single"/>
          </w:rPr>
          <w:t>科学必须被视为对大多数人而不是少数人来说可行的职业</w:t>
        </w:r>
      </w:hyperlink>
    </w:p>
    <w:p>
      <w:pPr>
        <w:spacing w:before="0" w:after="80"/>
      </w:pPr>
      <w:r>
        <w:rPr>
          <w:i/>
          <w:sz w:val="20"/>
        </w:rPr>
        <w:t>EN: Science must be seen as a viable profession for the many, not the few</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81">
        <w:r>
          <w:rPr>
            <w:color w:val="1155CC"/>
            <w:u w:val="single"/>
          </w:rPr>
          <w:t>10.1038/d41586-026-01849-2</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[148] </w:t>
      </w:r>
      <w:hyperlink r:id="rId582">
        <w:r>
          <w:rPr>
            <w:color w:val="1155CC"/>
            <w:u w:val="single"/>
          </w:rPr>
          <w:t>预防癌症需要的不仅仅是一系列致癌物</w:t>
        </w:r>
      </w:hyperlink>
    </w:p>
    <w:p>
      <w:pPr>
        <w:spacing w:before="0" w:after="80"/>
      </w:pPr>
      <w:r>
        <w:rPr>
          <w:i/>
          <w:sz w:val="20"/>
        </w:rPr>
        <w:t>EN: Preventing cancer requires more than a list of carcinogens</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83">
        <w:r>
          <w:rPr>
            <w:color w:val="1155CC"/>
            <w:u w:val="single"/>
          </w:rPr>
          <w:t>10.1038/d41586-026-01847-4</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[149] </w:t>
      </w:r>
      <w:hyperlink r:id="rId584">
        <w:r>
          <w:rPr>
            <w:color w:val="1155CC"/>
            <w:u w:val="single"/>
          </w:rPr>
          <w:t>冰是如何形成的还是个谜——现在科学家正在破解这个谜团</w:t>
        </w:r>
      </w:hyperlink>
    </w:p>
    <w:p>
      <w:pPr>
        <w:spacing w:before="0" w:after="80"/>
      </w:pPr>
      <w:r>
        <w:rPr>
          <w:i/>
          <w:sz w:val="20"/>
        </w:rPr>
        <w:t>EN: How ice forms is a mystery — now scientists are cracking the case</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85">
        <w:r>
          <w:rPr>
            <w:color w:val="1155CC"/>
            <w:u w:val="single"/>
          </w:rPr>
          <w:t>10.1038/d41586-026-01817-w</w:t>
        </w:r>
      </w:hyperlink>
    </w:p>
    <w:p>
      <w:pPr>
        <w:spacing w:before="0" w:after="120"/>
      </w:pPr>
      <w:r>
        <w:rPr>
          <w:b/>
        </w:rPr>
        <w:t xml:space="preserve">Notes: </w:t>
      </w:r>
      <w:r>
        <w:t>abstract_source=nature_html</w:t>
      </w:r>
    </w:p>
    <w:p>
      <w:pPr>
        <w:spacing w:before="0" w:after="80" w:lineRule="auto" w:line="276"/>
      </w:pPr>
      <w:r>
        <w:rPr>
          <w:b/>
        </w:rPr>
        <w:t xml:space="preserve">摘要（ZH）: </w:t>
      </w:r>
      <w:r>
        <w:t>与实验数据相比，关于冰晶如何在冷却液体中生长的理论非常不准确，但研究已经开始阐明冻结的最早时刻。与实验数据相比，关于冰晶如何在冷却液体中生长的理论非常不准确，但研究已经开始阐明冻结的最早时刻。</w:t>
      </w:r>
    </w:p>
    <w:p>
      <w:pPr>
        <w:spacing w:before="0" w:after="200" w:lineRule="auto" w:line="276"/>
      </w:pPr>
      <w:r>
        <w:rPr>
          <w:b/>
        </w:rPr>
        <w:t xml:space="preserve">Abstract (EN): </w:t>
      </w:r>
      <w:r>
        <w:t>Theories about how ice crystals grow in cooling liquids are wildly inaccurate when compared with experimental data, but studies are starting to illuminate the earliest moments in freezing. Theories about how ice crystals grow in cooling liquids are wildly inaccurate when compared with experimental data, but studies are starting to illuminate the earliest moments in freezing.</w:t>
      </w:r>
    </w:p>
    <w:p>
      <w:pPr>
        <w:spacing w:before="120" w:after="120"/>
      </w:pPr>
      <w:r>
        <w:rPr>
          <w:sz w:val="18"/>
        </w:rPr>
        <w:t>——————————————————————————————————————————————————————————————————————</w:t>
      </w:r>
    </w:p>
    <w:p>
      <w:pPr>
        <w:spacing w:before="160" w:after="40" w:line="240" w:lineRule="auto"/>
      </w:pPr>
      <w:r>
        <w:rPr>
          <w:b/>
        </w:rPr>
        <w:t xml:space="preserve">[150] </w:t>
      </w:r>
      <w:hyperlink r:id="rId586">
        <w:r>
          <w:rPr>
            <w:color w:val="1155CC"/>
            <w:u w:val="single"/>
          </w:rPr>
          <w:t>尽管传输特征存在冲突，但二维 β-TeO2 作为本征绝缘体</w:t>
        </w:r>
      </w:hyperlink>
    </w:p>
    <w:p>
      <w:pPr>
        <w:spacing w:before="0" w:after="80"/>
      </w:pPr>
      <w:r>
        <w:rPr>
          <w:i/>
          <w:sz w:val="20"/>
        </w:rPr>
        <w:t>EN: Two-dimensional β-TeO2 as an intrinsic insulator despite conflicting transport signatures</w:t>
      </w:r>
    </w:p>
    <w:p>
      <w:pPr>
        <w:spacing w:before="0" w:after="120"/>
      </w:pPr>
      <w:r>
        <w:rPr>
          <w:b/>
        </w:rPr>
        <w:t xml:space="preserve">Source: </w:t>
      </w:r>
      <w:r>
        <w:t>Nature Electronics</w:t>
      </w:r>
      <w:r>
        <w:t xml:space="preserve">    </w:t>
      </w:r>
      <w:r>
        <w:rPr>
          <w:b/>
        </w:rPr>
        <w:t xml:space="preserve">Pub date: </w:t>
      </w:r>
      <w:r>
        <w:t>2026-06-09 00:00:00+00:00</w:t>
      </w:r>
      <w:r>
        <w:t xml:space="preserve">    </w:t>
      </w:r>
      <w:r>
        <w:rPr>
          <w:b/>
        </w:rPr>
        <w:t xml:space="preserve">DOI: </w:t>
      </w:r>
      <w:hyperlink r:id="rId587">
        <w:r>
          <w:rPr>
            <w:color w:val="1155CC"/>
            <w:u w:val="single"/>
          </w:rPr>
          <w:t>10.1038/s41928-026-01658-5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[151] </w:t>
      </w:r>
      <w:hyperlink r:id="rId588">
        <w:r>
          <w:rPr>
            <w:color w:val="1155CC"/>
            <w:u w:val="single"/>
          </w:rPr>
          <w:t>回复：尽管传输特征存在冲突，但二维 β-TeO2 作为本征绝缘体</w:t>
        </w:r>
      </w:hyperlink>
    </w:p>
    <w:p>
      <w:pPr>
        <w:spacing w:before="0" w:after="80"/>
      </w:pPr>
      <w:r>
        <w:rPr>
          <w:i/>
          <w:sz w:val="20"/>
        </w:rPr>
        <w:t>EN: Reply to: Two-dimensional β-TeO2 as an intrinsic insulator despite conflicting transport signatures</w:t>
      </w:r>
    </w:p>
    <w:p>
      <w:pPr>
        <w:spacing w:before="0" w:after="120"/>
      </w:pPr>
      <w:r>
        <w:rPr>
          <w:b/>
        </w:rPr>
        <w:t xml:space="preserve">Source: </w:t>
      </w:r>
      <w:r>
        <w:t>Nature Electronics</w:t>
      </w:r>
      <w:r>
        <w:t xml:space="preserve">    </w:t>
      </w:r>
      <w:r>
        <w:rPr>
          <w:b/>
        </w:rPr>
        <w:t xml:space="preserve">Pub date: </w:t>
      </w:r>
      <w:r>
        <w:t>2026-06-09 00:00:00+00:00</w:t>
      </w:r>
      <w:r>
        <w:t xml:space="preserve">    </w:t>
      </w:r>
      <w:r>
        <w:rPr>
          <w:b/>
        </w:rPr>
        <w:t xml:space="preserve">DOI: </w:t>
      </w:r>
      <w:hyperlink r:id="rId589">
        <w:r>
          <w:rPr>
            <w:color w:val="1155CC"/>
            <w:u w:val="single"/>
          </w:rPr>
          <w:t>10.1038/s41928-026-01659-4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[152] </w:t>
      </w:r>
      <w:hyperlink r:id="rId590">
        <w:r>
          <w:rPr>
            <w:color w:val="1155CC"/>
            <w:u w:val="single"/>
          </w:rPr>
          <w:t>埃博拉医院纵火袭击是对地区发展的呼声</w:t>
        </w:r>
      </w:hyperlink>
    </w:p>
    <w:p>
      <w:pPr>
        <w:spacing w:before="0" w:after="80"/>
      </w:pPr>
      <w:r>
        <w:rPr>
          <w:i/>
          <w:sz w:val="20"/>
        </w:rPr>
        <w:t>EN: Arson attacks at Ebola hospitals are a cry for regional development</w:t>
      </w:r>
    </w:p>
    <w:p>
      <w:pPr>
        <w:spacing w:before="0" w:after="120"/>
      </w:pPr>
      <w:r>
        <w:rPr>
          <w:b/>
        </w:rPr>
        <w:t xml:space="preserve">Source: </w:t>
      </w:r>
      <w:r>
        <w:t>Nature</w:t>
      </w:r>
      <w:r>
        <w:t xml:space="preserve">    </w:t>
      </w:r>
      <w:r>
        <w:rPr>
          <w:b/>
        </w:rPr>
        <w:t xml:space="preserve">Pub date: </w:t>
      </w:r>
      <w:r>
        <w:t>2026-06-09 00:00:00+00:00</w:t>
      </w:r>
      <w:r>
        <w:t xml:space="preserve">    </w:t>
      </w:r>
      <w:r>
        <w:rPr>
          <w:b/>
        </w:rPr>
        <w:t xml:space="preserve">DOI: </w:t>
      </w:r>
      <w:hyperlink r:id="rId591">
        <w:r>
          <w:rPr>
            <w:color w:val="1155CC"/>
            <w:u w:val="single"/>
          </w:rPr>
          <w:t>10.1038/d41586-026-01846-5</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[153] </w:t>
      </w:r>
      <w:hyperlink r:id="rId592">
        <w:r>
          <w:rPr>
            <w:color w:val="1155CC"/>
            <w:u w:val="single"/>
          </w:rPr>
          <w:t>用于阿尔茨海默病中 β-分泌酶 (BACE1) 活性“开启”成像的 19F MRI/NIR-FL 纳米探针</w:t>
        </w:r>
      </w:hyperlink>
    </w:p>
    <w:p>
      <w:pPr>
        <w:spacing w:before="0" w:after="80"/>
      </w:pPr>
      <w:r>
        <w:rPr>
          <w:i/>
          <w:sz w:val="20"/>
        </w:rPr>
        <w:t>EN: A 19F MRI/NIR‐FL Nanoprobe for “Turn‐On” Imaging of β‐Secretase (BACE1) Activity in Alzheimer's Disease</w:t>
      </w:r>
    </w:p>
    <w:p>
      <w:pPr>
        <w:spacing w:before="0" w:after="120"/>
      </w:pPr>
      <w:r>
        <w:rPr>
          <w:b/>
        </w:rPr>
        <w:t xml:space="preserve">Source: </w:t>
      </w:r>
      <w:r>
        <w:t>Wiley: Angewandte Chemie International Edition: Table of Contents</w:t>
      </w:r>
      <w:r>
        <w:t xml:space="preserve">    </w:t>
      </w:r>
      <w:r>
        <w:rPr>
          <w:b/>
        </w:rPr>
        <w:t xml:space="preserve">Pub date: </w:t>
      </w:r>
      <w:r>
        <w:t>2026-06-09 00:54:36+00:00</w:t>
      </w:r>
      <w:r>
        <w:t xml:space="preserve">    </w:t>
      </w:r>
      <w:r>
        <w:rPr>
          <w:b/>
        </w:rPr>
        <w:t xml:space="preserve">DOI: </w:t>
      </w:r>
      <w:hyperlink r:id="rId593">
        <w:r>
          <w:rPr>
            <w:color w:val="1155CC"/>
            <w:u w:val="single"/>
          </w:rPr>
          <w:t>10.1002/anie.1325073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阿尔茨海默病（AD）是最常见的进行性神经退行性疾病，治疗方法很少；因此，早期发现它非常重要。 β-分泌酶（BACE1）是公认的早期AD生物标志物，但其基于体内成像的诊断方法却很少报道。在此，我们报告了一种 BACE1 可拆卸纳米探针，</w:t>
      </w:r>
      <w:r>
        <w:t xml:space="preserve"> </w:t>
      </w:r>
      <w:r>
        <w:rPr>
          <w:vertAlign w:val="subscript"/>
        </w:rPr>
        <w:t>19</w:t>
      </w:r>
      <w:r>
        <w:t>F-Cy5.5-NP</w:t>
      </w:r>
      <w:r>
        <w:t xml:space="preserve"> </w:t>
      </w:r>
      <w:r>
        <w:t>对于“开启”</w:t>
      </w:r>
      <w:r>
        <w:rPr>
          <w:vertAlign w:val="subscript"/>
        </w:rPr>
        <w:t>19</w:t>
      </w:r>
      <w:r>
        <w:t>F 磁共振/近红外荧光（</w:t>
      </w:r>
      <w:r>
        <w:rPr>
          <w:vertAlign w:val="subscript"/>
        </w:rPr>
        <w:t>19</w:t>
      </w:r>
      <w:r>
        <w:t>F MR/NIR-FL) AD 体内酶活性成像。 “开启”</w:t>
      </w:r>
      <w:r>
        <w:rPr>
          <w:vertAlign w:val="subscript"/>
        </w:rPr>
        <w:t>19</w:t>
      </w:r>
      <w:r>
        <w:t>F MRI 信号用于以高特异性对 BACE1 活性进行成像，而“Turn-On”NIR-FL 信号用于以高空间分辨率双重检查酶活性。具体来说，</w:t>
      </w:r>
      <w:r>
        <w:t xml:space="preserve"> </w:t>
      </w:r>
      <w:r>
        <w:rPr>
          <w:vertAlign w:val="subscript"/>
        </w:rPr>
        <w:t>19</w:t>
      </w:r>
      <w:r>
        <w:t>F-Cy5.5-NP，</w:t>
      </w:r>
      <w:r>
        <w:t xml:space="preserve"> </w:t>
      </w:r>
      <w:r>
        <w:t>带着无声的</w:t>
      </w:r>
      <w:r>
        <w:rPr>
          <w:vertAlign w:val="subscript"/>
        </w:rPr>
        <w:t>19</w:t>
      </w:r>
      <w:r>
        <w:t>F MR/NIR-FL 信号是从前体 Cys(StBu)-Glu-Val-Asn-Leu-Asp-Ala-Glu-Phe(CF</w:t>
      </w:r>
      <w:r>
        <w:rPr>
          <w:vertAlign w:val="subscript"/>
        </w:rPr>
        <w:t>3</w:t>
      </w:r>
      <w:r>
        <w:t>)-Lys(Cy5.5)-CBT (</w:t>
      </w:r>
      <w:r>
        <w:t xml:space="preserve"> </w:t>
      </w:r>
      <w:r>
        <w:rPr>
          <w:vertAlign w:val="subscript"/>
        </w:rPr>
        <w:t>19</w:t>
      </w:r>
      <w:r>
        <w:t>F-Cy5.5</w:t>
      </w:r>
      <w:r>
        <w:t xml:space="preserve"> </w:t>
      </w:r>
      <w:r>
        <w:t>）通过 CBT-Cys 点击反应。 BACE1 裂解后，纳米探针分解，导致 6.8 ± 1.3 倍和 9.5 ± 0.3 倍增加</w:t>
      </w:r>
    </w:p>
    <w:p>
      <w:pPr>
        <w:spacing w:before="0" w:after="200" w:lineRule="auto" w:line="276"/>
      </w:pPr>
      <w:r>
        <w:rPr>
          <w:b/>
        </w:rPr>
        <w:t xml:space="preserve">Abstract (EN): </w:t>
      </w:r>
      <w:r>
        <w:t>Alzheimer's disease (AD) is the most common progressive neurodegenerative disorder with very few therapeutic methods; thus, its early detection is urgently important. β‐secretase (BACE1) is a well‐recognized biomarker of early‐stage AD, but its in vivo imaging‐based diagnostic method is rarely reported. Herein, we report a BACE1‐disassemblable nanoprobe,</w:t>
      </w:r>
      <w:r>
        <w:t xml:space="preserve"> </w:t>
      </w:r>
      <w:r>
        <w:rPr>
          <w:vertAlign w:val="subscript"/>
        </w:rPr>
        <w:t>19</w:t>
      </w:r>
      <w:r>
        <w:t>F‐Cy5.5‐NP</w:t>
      </w:r>
      <w:r>
        <w:t xml:space="preserve"> </w:t>
      </w:r>
      <w:r>
        <w:t>for “Turn‐On”</w:t>
      </w:r>
      <w:r>
        <w:rPr>
          <w:vertAlign w:val="subscript"/>
        </w:rPr>
        <w:t>19</w:t>
      </w:r>
      <w:r>
        <w:t>F magnetic resonance/near‐infrared fluorescence (</w:t>
      </w:r>
      <w:r>
        <w:rPr>
          <w:vertAlign w:val="subscript"/>
        </w:rPr>
        <w:t>19</w:t>
      </w:r>
      <w:r>
        <w:t>F MR/NIR‐FL) imaging of the enzyme activity in AD in vivo. The “Turn‐On”</w:t>
      </w:r>
      <w:r>
        <w:rPr>
          <w:vertAlign w:val="subscript"/>
        </w:rPr>
        <w:t>19</w:t>
      </w:r>
      <w:r>
        <w:t>F MRI signals are employed for imaging BACE1 activity with high specificity, while the “Turn‐On” NIR‐FL signals are used for double checking the enzyme activity with high spatial resolution. Specifically,</w:t>
      </w:r>
      <w:r>
        <w:t xml:space="preserve"> </w:t>
      </w:r>
      <w:r>
        <w:rPr>
          <w:vertAlign w:val="subscript"/>
        </w:rPr>
        <w:t>19</w:t>
      </w:r>
      <w:r>
        <w:t>F‐Cy5.5‐NP,</w:t>
      </w:r>
      <w:r>
        <w:t xml:space="preserve"> </w:t>
      </w:r>
      <w:r>
        <w:t>with a silent</w:t>
      </w:r>
      <w:r>
        <w:rPr>
          <w:vertAlign w:val="subscript"/>
        </w:rPr>
        <w:t>19</w:t>
      </w:r>
      <w:r>
        <w:t>F MR/NIR‐FL signal is obtained from the precursor Cys(StBu)‐Glu‐Val‐Asn‐Leu‐Asp‐Ala‐Glu‐Phe(CF</w:t>
      </w:r>
      <w:r>
        <w:rPr>
          <w:vertAlign w:val="subscript"/>
        </w:rPr>
        <w:t>3</w:t>
      </w:r>
      <w:r>
        <w:t>)‐Lys(Cy5.5)‐CBT (</w:t>
      </w:r>
      <w:r>
        <w:t xml:space="preserve"> </w:t>
      </w:r>
      <w:r>
        <w:rPr>
          <w:vertAlign w:val="subscript"/>
        </w:rPr>
        <w:t>19</w:t>
      </w:r>
      <w:r>
        <w:t>F‐Cy5.5</w:t>
      </w:r>
      <w:r>
        <w:t xml:space="preserve"> </w:t>
      </w:r>
      <w:r>
        <w:t>) through a CBT‐Cys click reaction. Upon BACE1 cleavage, the nanoprobe disassembles, resulting in 6.8 ± 1.3‐fold and 9.5 ± 0.3‐fold increases of</w:t>
      </w:r>
      <w:r>
        <w:rPr>
          <w:vertAlign w:val="subscript"/>
        </w:rPr>
        <w:t>1</w:t>
      </w:r>
      <w:r>
        <w:rPr>
          <w:vertAlign w:val="subscript"/>
        </w:rPr>
        <w:t>9</w:t>
      </w:r>
      <w:r>
        <w:t>F NMR and NIR‐FL signals in vitro, respectively. Moreover,</w:t>
      </w:r>
      <w:r>
        <w:t xml:space="preserve"> </w:t>
      </w:r>
      <w:r>
        <w:rPr>
          <w:vertAlign w:val="subscript"/>
        </w:rPr>
        <w:t>19</w:t>
      </w:r>
      <w:r>
        <w:t>F‐Cy5.5‐NP</w:t>
      </w:r>
      <w:r>
        <w:t xml:space="preserve"> </w:t>
      </w:r>
      <w:r>
        <w:t>renders 4.6 ± 0.9‐fold/1.5 ± 0.1‐fold higher</w:t>
      </w:r>
      <w:r>
        <w:rPr>
          <w:vertAlign w:val="subscript"/>
        </w:rPr>
        <w:t>19</w:t>
      </w:r>
      <w:r>
        <w:t>F MRI/NIR‐FL signal in Aβ</w:t>
      </w:r>
      <w:r>
        <w:t xml:space="preserve"> </w:t>
      </w:r>
      <w:r>
        <w:t>25–35</w:t>
      </w:r>
      <w:r>
        <w:t xml:space="preserve"> </w:t>
      </w:r>
      <w:r>
        <w:t>‐treated PC12 cells than that in normal PC12 cells. In vivo experimental results show that this nanoprobe enables the precise imaging of BACE1 activity in AD zebrafish models. We anticipate that</w:t>
      </w:r>
      <w:r>
        <w:t xml:space="preserve"> </w:t>
      </w:r>
      <w:r>
        <w:rPr>
          <w:vertAlign w:val="subscript"/>
        </w:rPr>
        <w:t>19</w:t>
      </w:r>
      <w:r>
        <w:t>F‐Cy5.5‐NP</w:t>
      </w:r>
      <w:r>
        <w:t xml:space="preserve"> </w:t>
      </w:r>
      <w:r>
        <w:t>could be applied for the early diagnosis of AD in clinics in the future.</w:t>
      </w:r>
    </w:p>
    <w:p>
      <w:pPr>
        <w:spacing w:before="120" w:after="120"/>
      </w:pPr>
      <w:r>
        <w:rPr>
          <w:sz w:val="18"/>
        </w:rPr>
        <w:t>——————————————————————————————————————————————————————————————————————</w:t>
      </w:r>
    </w:p>
    <w:p>
      <w:pPr>
        <w:spacing w:before="160" w:after="40" w:line="240" w:lineRule="auto"/>
      </w:pPr>
      <w:r>
        <w:rPr>
          <w:b/>
        </w:rPr>
        <w:t xml:space="preserve">[154] </w:t>
      </w:r>
      <w:hyperlink r:id="rId594">
        <w:r>
          <w:rPr>
            <w:color w:val="1155CC"/>
            <w:u w:val="single"/>
          </w:rPr>
          <w:t>正电化学势可增强 3-硝基苯乙烯热催化氢化的化学选择性和活性</w:t>
        </w:r>
      </w:hyperlink>
    </w:p>
    <w:p>
      <w:pPr>
        <w:spacing w:before="0" w:after="80"/>
      </w:pPr>
      <w:r>
        <w:rPr>
          <w:i/>
          <w:sz w:val="20"/>
        </w:rPr>
        <w:t>EN: Positive Electrochemical Potentials Induce Enhanced Chemoselectivity and Activity in the Thermocatalytic Hydrogenation of 3‐Nitrostyrene</w:t>
      </w:r>
    </w:p>
    <w:p>
      <w:pPr>
        <w:spacing w:before="0" w:after="120"/>
      </w:pPr>
      <w:r>
        <w:rPr>
          <w:b/>
        </w:rPr>
        <w:t xml:space="preserve">Source: </w:t>
      </w:r>
      <w:r>
        <w:t>Wiley: Angewandte Chemie International Edition: Table of Contents</w:t>
      </w:r>
      <w:r>
        <w:t xml:space="preserve">    </w:t>
      </w:r>
      <w:r>
        <w:rPr>
          <w:b/>
        </w:rPr>
        <w:t xml:space="preserve">Pub date: </w:t>
      </w:r>
      <w:r>
        <w:t>2026-06-09 00:56:40+00:00</w:t>
      </w:r>
      <w:r>
        <w:t xml:space="preserve">    </w:t>
      </w:r>
      <w:r>
        <w:rPr>
          <w:b/>
        </w:rPr>
        <w:t xml:space="preserve">DOI: </w:t>
      </w:r>
      <w:hyperlink r:id="rId595">
        <w:r>
          <w:rPr>
            <w:color w:val="1155CC"/>
            <w:u w:val="single"/>
          </w:rPr>
          <w:t>10.1002/anie.5569475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的电化学促进正在成为一种无需复杂的催化剂修饰即可外部控制化学反应的强大方法，但迄今为止，这主要用于具有单个反应基团的底物。在这里，我们证明这种方法可以在具有多个官能团的底物的催化转化中诱导完全的化学选择性。具体来说，我们表明，在 3-硝基苯乙烯热催化氢化 (TCH) 过程中应用正电化学势仅产生一种单一产物 1-乙基-3-硝基苯，产率提高了六倍，而在开路电压下获得了复杂的产物混合物。这些效应是正极极化和通过同时发生的氢氧化反应 (HOR) 使本体溶液酸化的综合效应造成的。表面增强红外吸收光谱和动力学实验表明，正极化优化了反应物的表面浓度以及3-硝基苯乙烯和氢化产物的吸附性能。使用额外的反应物和催化剂进行的验证意味着我们的发现可能比最初的 3-硝基苯乙烯氢化系统具有更广泛的相关性。总的来说，我们的工作提供了关于电极极化对热氢化反应影响的基本见解，并为利用电化学促进来控制化学选择性和活性开辟了新的机会。</w:t>
      </w:r>
    </w:p>
    <w:p>
      <w:pPr>
        <w:spacing w:before="0" w:after="200" w:lineRule="auto" w:line="276"/>
      </w:pPr>
      <w:r>
        <w:rPr>
          <w:b/>
        </w:rPr>
        <w:t xml:space="preserve">Abstract (EN): </w:t>
      </w:r>
      <w:r>
        <w:t>Electrochemical promotion of catalysis is emerging as a powerful approach to control chemical reactions externally without complex catalyst modification, but this has mostly been used for substrates with a single reactive group so far. Herein, we demonstrate that this approach can induce full chemoselectivity in catalytic transformations of substrates with multiple functional groups. Specifically, we show that application of a positive electrochemical potential during the thermocatalytic hydrogenation (TCH) of 3‐nitrostyrene exclusively delivered one single product, 1‐ethyl‐3‐nitrobenzene, with six‐fold enhanced yield, while a complex product mixture was obtained at open circuit voltage. These effects resulted from the combined effects of a positive electrode polarization and acidification of the bulk solution through a concurrent hydrogen oxidation reaction (HOR). Surface‐enhanced infrared absorption spectroscopy and kinetic experiments showed that the positive polarization optimized the surface concentrations of reactants and the adsorption properties of 3‐nitrostyrene and hydrogenation products. Validation with additional reactants and catalyst implies a possible broader relevance of our findings beyond the initial system of 3‐nitrostyrene hydrogenation. Overall, our work provides fundamental insight into the effects of electrode polarization on thermal hydrogenation reactions and opens new opportunities to use electrochemical promotion to control chemoselectivity and activity.</w:t>
      </w:r>
    </w:p>
    <w:p>
      <w:pPr>
        <w:spacing w:before="120" w:after="120"/>
      </w:pPr>
      <w:r>
        <w:rPr>
          <w:sz w:val="18"/>
        </w:rPr>
        <w:t>——————————————————————————————————————————————————————————————————————</w:t>
      </w:r>
    </w:p>
    <w:p>
      <w:pPr>
        <w:spacing w:before="160" w:after="40" w:line="240" w:lineRule="auto"/>
      </w:pPr>
      <w:r>
        <w:rPr>
          <w:b/>
        </w:rPr>
        <w:t xml:space="preserve">[155] </w:t>
      </w:r>
      <w:hyperlink r:id="rId596">
        <w:r>
          <w:rPr>
            <w:color w:val="1155CC"/>
            <w:u w:val="single"/>
          </w:rPr>
          <w:t>通过纳米限制中的超分子聚合重定向激发态质子转移</w:t>
        </w:r>
      </w:hyperlink>
    </w:p>
    <w:p>
      <w:pPr>
        <w:spacing w:before="0" w:after="80"/>
      </w:pPr>
      <w:r>
        <w:rPr>
          <w:i/>
          <w:sz w:val="20"/>
        </w:rPr>
        <w:t>EN: Redirecting Excited‐State Proton Transfer Through Supramolecular Polymerization in Nanoconfinement</w:t>
      </w:r>
    </w:p>
    <w:p>
      <w:pPr>
        <w:spacing w:before="0" w:after="120"/>
      </w:pPr>
      <w:r>
        <w:rPr>
          <w:b/>
        </w:rPr>
        <w:t xml:space="preserve">Source: </w:t>
      </w:r>
      <w:r>
        <w:t>Wiley: Angewandte Chemie International Edition: Table of Contents</w:t>
      </w:r>
      <w:r>
        <w:t xml:space="preserve">    </w:t>
      </w:r>
      <w:r>
        <w:rPr>
          <w:b/>
        </w:rPr>
        <w:t xml:space="preserve">Pub date: </w:t>
      </w:r>
      <w:r>
        <w:t>2026-06-09 00:57:26+00:00</w:t>
      </w:r>
      <w:r>
        <w:t xml:space="preserve">    </w:t>
      </w:r>
      <w:r>
        <w:rPr>
          <w:b/>
        </w:rPr>
        <w:t xml:space="preserve">DOI: </w:t>
      </w:r>
      <w:hyperlink r:id="rId597">
        <w:r>
          <w:rPr>
            <w:color w:val="1155CC"/>
            <w:u w:val="single"/>
          </w:rPr>
          <w:t>10.1002/anie.7594145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超分子组装体中光酸的光致发光为生物学相关限制内的质子转移（PT）过程提供了重要的见解。在这项工作中，我们提出了一种激活环糊精纳米管疏水腔内分子间激发态 PT 的策略。使用专门设计的两性发射器实现激活，该两性发射器在光激发状态下经历 pKa 反转。尽管存在这种光物理行为，但由于化合物中质子供体和受体位点之间的空间分离，分子内 PT 不会发生。然而，在 γ-环糊精存在的情况下，光酸组装成客体对，从而实现相邻分子之间的预组织 PT。限制对光稳定性、发射寿命和量子产率的影响表明从激发态质子解离到分子间激发态 PT 的机械转变。组装机制和溶剂同位素效应的光谱研究进一步支持了模板效应（让人想起酶促激活）在促进激发态 PT 中的作用。</w:t>
      </w:r>
    </w:p>
    <w:p>
      <w:pPr>
        <w:spacing w:before="0" w:after="200" w:lineRule="auto" w:line="276"/>
      </w:pPr>
      <w:r>
        <w:rPr>
          <w:b/>
        </w:rPr>
        <w:t xml:space="preserve">Abstract (EN): </w:t>
      </w:r>
      <w:r>
        <w:t>The photoluminescence of photoacids in supramolecular assemblies provides crucial insights into proton transfer (PT) processes within biologically relevant confinement. In this work, we present a strategy to activate intermolecular excited‐state PT within the hydrophobic cavities of cyclodextrin‐based nanotubes. Activation is achieved using a specifically designed amphoteric emitter which undergoes a pKa inversion in the photoexcited state. Despite this photophysical behavior, intramolecular PT does not occur due to the spatial separation between the proton donor and acceptor sites in the compound. However, in the presence of γ‐cyclodextrin, the photoacid assembles into guest pairs, enabling pre‐organized PT between neighboring molecules. The effects of confinement on photostability, emission lifetime, and quantum yield indicate a mechanistic shift from excited‐state protolytic dissociation to intermolecular excited‐state PT. Spectroscopic investigation of the assembly mechanism and solvent isotope effect further supports the role of a template effect, reminiscent of enzymatic activation, in facilitating PT in the excited state.</w:t>
      </w:r>
    </w:p>
    <w:p>
      <w:pPr>
        <w:spacing w:before="120" w:after="120"/>
      </w:pPr>
      <w:r>
        <w:rPr>
          <w:sz w:val="18"/>
        </w:rPr>
        <w:t>——————————————————————————————————————————————————————————————————————</w:t>
      </w:r>
    </w:p>
    <w:p>
      <w:pPr>
        <w:spacing w:before="160" w:after="40" w:line="240" w:lineRule="auto"/>
      </w:pPr>
      <w:r>
        <w:rPr>
          <w:b/>
        </w:rPr>
        <w:t xml:space="preserve">[156] </w:t>
      </w:r>
      <w:hyperlink r:id="rId598">
        <w:r>
          <w:rPr>
            <w:color w:val="1155CC"/>
            <w:u w:val="single"/>
          </w:rPr>
          <w:t>通过连接构象工程实现具有六核锆结的双链、缠绕、螺旋金属聚合物的单晶</w:t>
        </w:r>
      </w:hyperlink>
    </w:p>
    <w:p>
      <w:pPr>
        <w:spacing w:before="0" w:after="80"/>
      </w:pPr>
      <w:r>
        <w:rPr>
          <w:i/>
          <w:sz w:val="20"/>
        </w:rPr>
        <w:t>EN: Single Crystals of Double‐Stranded, Entwined, Helical Metallopolymers With Hexanuclear Zirconium Knots Achieved by Linker Conformation Engineering</w:t>
      </w:r>
    </w:p>
    <w:p>
      <w:pPr>
        <w:spacing w:before="0" w:after="120"/>
      </w:pPr>
      <w:r>
        <w:rPr>
          <w:b/>
        </w:rPr>
        <w:t xml:space="preserve">Source: </w:t>
      </w:r>
      <w:r>
        <w:t>Wiley: Angewandte Chemie International Edition: Table of Contents</w:t>
      </w:r>
      <w:r>
        <w:t xml:space="preserve">    </w:t>
      </w:r>
      <w:r>
        <w:rPr>
          <w:b/>
        </w:rPr>
        <w:t xml:space="preserve">Pub date: </w:t>
      </w:r>
      <w:r>
        <w:t>2026-06-09 00:59:24+00:00</w:t>
      </w:r>
      <w:r>
        <w:t xml:space="preserve">    </w:t>
      </w:r>
      <w:r>
        <w:rPr>
          <w:b/>
        </w:rPr>
        <w:t xml:space="preserve">DOI: </w:t>
      </w:r>
      <w:hyperlink r:id="rId599">
        <w:r>
          <w:rPr>
            <w:color w:val="1155CC"/>
            <w:u w:val="single"/>
          </w:rPr>
          <w:t>10.1002/anie.7176356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成一维（1D）螺旋聚合物是一类有趣的功能材料，几十年来一直在研究。尽管有大量关于单链螺旋聚合物的报道，但具有确定性原子坐标的双链、缠绕螺旋聚合物的合成仍然是一个重大挑战。在这里，通过明智的连接子构象工程，我们的目标是两种由坚固的六核 Zr 组成的双链螺旋金属聚合物单晶。</w:t>
      </w:r>
      <w:r>
        <w:rPr>
          <w:vertAlign w:val="subscript"/>
        </w:rPr>
        <w:t>6</w:t>
      </w:r>
      <w:r>
        <w:t>氧</w:t>
      </w:r>
      <w:r>
        <w:rPr>
          <w:vertAlign w:val="subscript"/>
        </w:rPr>
        <w:t>4</w:t>
      </w:r>
      <w:r>
        <w:t>（哦）</w:t>
      </w:r>
      <w:r>
        <w:rPr>
          <w:vertAlign w:val="subscript"/>
        </w:rPr>
        <w:t>4</w:t>
      </w:r>
      <w:r>
        <w:t>簇和固有的螺旋状甲烷或乙醇Tröger碱（TB）支架。外消旋 TB 连接体经历自发拆分和自恋自分选，形成螺旋金属聚合物聚集体的大单晶，可以通过使用对映体纯 TB 连接体使其呈纯手性。单晶X射线衍射表征表明，两条纯手性链通过Zr结合在一起</w:t>
      </w:r>
      <w:r>
        <w:rPr>
          <w:vertAlign w:val="subscript"/>
        </w:rPr>
        <w:t>6</w:t>
      </w:r>
      <w:r>
        <w:t>‐羧酸盐结，进一步排列</w:t>
      </w:r>
      <w:r>
        <w:rPr>
          <w:vertAlign w:val="subscript"/>
        </w:rPr>
        <w:t>6</w:t>
      </w:r>
      <w:r>
        <w:rPr>
          <w:vertAlign w:val="subscript"/>
        </w:rPr>
        <w:t>1</w:t>
      </w:r>
      <w:r>
        <w:t>螺杆轴产生一维六边形通道。所得化学稳定的金属聚合物聚集体被证明能够催化碱性溶液中原甲酸酯的正常酸性水解，具有优异的反应性和选择性，而纯手性版本被证明具有显着的手性荧光</w:t>
      </w:r>
    </w:p>
    <w:p>
      <w:pPr>
        <w:spacing w:before="0" w:after="200" w:lineRule="auto" w:line="276"/>
      </w:pPr>
      <w:r>
        <w:rPr>
          <w:b/>
        </w:rPr>
        <w:t xml:space="preserve">Abstract (EN): </w:t>
      </w:r>
      <w:r>
        <w:t>Synthetic one‐dimensional (1D) helical polymers are an intriguing class of functional materials that have been pursued for decades. Despite numerous reports of single‐stranded helical polymers, the synthesis of double‐stranded, entwined helical polymers with deterministic atomic coordinates remains a significant challenge. Herein, through judicious linker conformation engineering, we target two double‐stranded helical metallopolymer single crystals that consist of robust hexanuclear Zr</w:t>
      </w:r>
      <w:r>
        <w:rPr>
          <w:vertAlign w:val="subscript"/>
        </w:rPr>
        <w:t>6</w:t>
      </w:r>
      <w:r>
        <w:t>O</w:t>
      </w:r>
      <w:r>
        <w:rPr>
          <w:vertAlign w:val="subscript"/>
        </w:rPr>
        <w:t>4</w:t>
      </w:r>
      <w:r>
        <w:t>(OH)</w:t>
      </w:r>
      <w:r>
        <w:rPr>
          <w:vertAlign w:val="subscript"/>
        </w:rPr>
        <w:t>4</w:t>
      </w:r>
      <w:r>
        <w:t>clusters and inherently helical methano‐ or ethano‐Tröger base (TB) scaffolds. The racemic TB linkers undergo spontaneous resolution and narcissistic self‐sorting to from large single crystals of helical metallopolymer conglomerate, which can be rendered homochiral by employing enantiopure TB linkers. Characterization by single‐crystal X‐ray diffraction showed that, the two homochiral strands are bound together through Zr</w:t>
      </w:r>
      <w:r>
        <w:rPr>
          <w:vertAlign w:val="subscript"/>
        </w:rPr>
        <w:t>6</w:t>
      </w:r>
      <w:r>
        <w:t>‐carboxylate knots, which further arrange with respect to</w:t>
      </w:r>
      <w:r>
        <w:rPr>
          <w:vertAlign w:val="subscript"/>
        </w:rPr>
        <w:t>6</w:t>
      </w:r>
      <w:r>
        <w:rPr>
          <w:vertAlign w:val="subscript"/>
        </w:rPr>
        <w:t>1</w:t>
      </w:r>
      <w:r>
        <w:t>screw axis to engender 1D hexagonal channels. The resulting chemically stable metallopolymer conglomerates were demonstrated to be capable of catalyzing the normally acidic hydrolysis of orthoformates in basic solution with exceptional reactivity and selectivity, while the homochiral version was shown to be a remarkable chiral fluorescent sensor for amino alcohols. Our work, therefore provides an unparalleled example where linker conformation engineering serves as powerful tool for architecting sophisticated helical polymeric structures and achieving enzyme‐mimic catalysis and recognition.</w:t>
      </w:r>
    </w:p>
    <w:p>
      <w:pPr>
        <w:spacing w:before="120" w:after="120"/>
      </w:pPr>
      <w:r>
        <w:rPr>
          <w:sz w:val="18"/>
        </w:rPr>
        <w:t>——————————————————————————————————————————————————————————————————————</w:t>
      </w:r>
    </w:p>
    <w:p>
      <w:pPr>
        <w:spacing w:before="160" w:after="40" w:line="240" w:lineRule="auto"/>
      </w:pPr>
      <w:r>
        <w:rPr>
          <w:b/>
        </w:rPr>
        <w:t xml:space="preserve">[157] </w:t>
      </w:r>
      <w:hyperlink r:id="rId600">
        <w:r>
          <w:rPr>
            <w:color w:val="1155CC"/>
            <w:u w:val="single"/>
          </w:rPr>
          <w:t>具有超高 Fe(II) 的二甲双胍稳定的无定形氧化铁的自级联纳米酶，可在超低剂量下有效治疗肿瘤</w:t>
        </w:r>
      </w:hyperlink>
    </w:p>
    <w:p>
      <w:pPr>
        <w:spacing w:before="0" w:after="80"/>
      </w:pPr>
      <w:r>
        <w:rPr>
          <w:i/>
          <w:sz w:val="20"/>
        </w:rPr>
        <w:t>EN: A Self–Cascade Nanozyme of Metformin–Stabilized Amorphous Iron Oxide With Ultrahigh Fe(II) for Potent Tumor Therapy at Ultralow Dose</w:t>
      </w:r>
    </w:p>
    <w:p>
      <w:pPr>
        <w:spacing w:before="0" w:after="120"/>
      </w:pPr>
      <w:r>
        <w:rPr>
          <w:b/>
        </w:rPr>
        <w:t xml:space="preserve">Source: </w:t>
      </w:r>
      <w:r>
        <w:t>Wiley: Angewandte Chemie International Edition: Table of Contents</w:t>
      </w:r>
      <w:r>
        <w:t xml:space="preserve">    </w:t>
      </w:r>
      <w:r>
        <w:rPr>
          <w:b/>
        </w:rPr>
        <w:t xml:space="preserve">Pub date: </w:t>
      </w:r>
      <w:r>
        <w:t>2026-06-09 01:01:30+00:00</w:t>
      </w:r>
      <w:r>
        <w:t xml:space="preserve">    </w:t>
      </w:r>
      <w:r>
        <w:rPr>
          <w:b/>
        </w:rPr>
        <w:t xml:space="preserve">DOI: </w:t>
      </w:r>
      <w:hyperlink r:id="rId601">
        <w:r>
          <w:rPr>
            <w:color w:val="1155CC"/>
            <w:u w:val="single"/>
          </w:rPr>
          <w:t>10.1002/anie.7061041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氧化铁纳米酶在癌症催化治疗中的疗效受到内源性 H 不足的严重限制。</w:t>
      </w:r>
      <w:r>
        <w:rPr>
          <w:vertAlign w:val="subscript"/>
        </w:rPr>
        <w:t>2</w:t>
      </w:r>
      <w:r>
        <w:t>氧</w:t>
      </w:r>
      <w:r>
        <w:rPr>
          <w:vertAlign w:val="subscript"/>
        </w:rPr>
        <w:t>2</w:t>
      </w:r>
      <w:r>
        <w:t>。为了解决这个问题，构建一种集成氧化酶（OXD）和过氧化物酶（POD）活性的自级联纳米酶是非常理想的，但也具有挑战性，这主要是由于在纳米结构中稳定高含量的 Fe（II）很困难。在此，我们报道了介孔非晶氧化铁纳米球（aFeO</w:t>
      </w:r>
      <w:r>
        <w:t xml:space="preserve"> </w:t>
      </w:r>
      <w:r>
        <w:t>x</w:t>
      </w:r>
      <w:r>
        <w:t xml:space="preserve"> </w:t>
      </w:r>
      <w:r>
        <w:t>-N）通过使用强N-供体二甲双胍的限制协调策略，具有前所未有的高Fe（II）水平（66.59％）。这种独特的结构同时表现出强大的 OXD 样原位 H 活性</w:t>
      </w:r>
      <w:r>
        <w:rPr>
          <w:vertAlign w:val="subscript"/>
        </w:rPr>
        <w:t>2</w:t>
      </w:r>
      <w:r>
        <w:t>氧</w:t>
      </w:r>
      <w:r>
        <w:rPr>
          <w:vertAlign w:val="subscript"/>
        </w:rPr>
        <w:t>2</w:t>
      </w:r>
      <w:r>
        <w:t>通过2e生成</w:t>
      </w:r>
      <w:r>
        <w:t xml:space="preserve"> </w:t>
      </w:r>
      <w:r>
        <w:t>-</w:t>
      </w:r>
      <w:r>
        <w:t>氧还原途径和增强的POD 样活性以产生随后的•OH。体外研究验证了aFeO</w:t>
      </w:r>
      <w:r>
        <w:t xml:space="preserve"> </w:t>
      </w:r>
      <w:r>
        <w:t>x</w:t>
      </w:r>
      <w:r>
        <w:t xml:space="preserve"> </w:t>
      </w:r>
      <w:r>
        <w:t>－N－ss－SiO</w:t>
      </w:r>
      <w:r>
        <w:rPr>
          <w:vertAlign w:val="subscript"/>
        </w:rPr>
        <w:t>2</w:t>
      </w:r>
      <w:r>
        <w:t>（由 SiO2 封装</w:t>
      </w:r>
      <w:r>
        <w:rPr>
          <w:vertAlign w:val="subscript"/>
        </w:rPr>
        <w:t>2</w:t>
      </w:r>
      <w:r>
        <w:t>即使在缺氧条件下，含有用于 TME 反应的 ─S─S─ 键的外层也会引发铁死亡和显着的细胞死亡。值得注意的是，单次超低剂量（5 mg·kg</w:t>
      </w:r>
      <w:r>
        <w:t xml:space="preserve"> </w:t>
      </w:r>
      <w:r>
        <w:t>−1</w:t>
      </w:r>
      <w:r>
        <w:t xml:space="preserve"> </w:t>
      </w:r>
      <w:r>
        <w:t>）在小鼠模型中实现高达96.19%的肿瘤抑制率，demonstratin</w:t>
      </w:r>
    </w:p>
    <w:p>
      <w:pPr>
        <w:spacing w:before="0" w:after="200" w:lineRule="auto" w:line="276"/>
      </w:pPr>
      <w:r>
        <w:rPr>
          <w:b/>
        </w:rPr>
        <w:t xml:space="preserve">Abstract (EN): </w:t>
      </w:r>
      <w:r>
        <w:t>The therapeutic efficacy of iron oxide nanozymes in cancer catalytic therapy has been severely constrained by the insufficient endogenous H</w:t>
      </w:r>
      <w:r>
        <w:rPr>
          <w:vertAlign w:val="subscript"/>
        </w:rPr>
        <w:t>2</w:t>
      </w:r>
      <w:r>
        <w:t>O</w:t>
      </w:r>
      <w:r>
        <w:rPr>
          <w:vertAlign w:val="subscript"/>
        </w:rPr>
        <w:t>2</w:t>
      </w:r>
      <w:r>
        <w:t>. To address this, constructing a self–cascading nanozyme that integrates oxidase (OXD) and peroxidase (POD) activities is highly desirable yet challenging, primarily due to the difficulty in stabilizing high–content of Fe(II) within nanostructures. Herein, we report the first synthesis of mesoporous amorphous iron oxide nanospheres (aFeO</w:t>
      </w:r>
      <w:r>
        <w:t xml:space="preserve"> </w:t>
      </w:r>
      <w:r>
        <w:t>x</w:t>
      </w:r>
      <w:r>
        <w:t xml:space="preserve"> </w:t>
      </w:r>
      <w:r>
        <w:t>‑N) with unprecedented high Fe (II) level (66.59%) via the confinement coordination strategy using the strong N–donor metformin. This unique structure simultaneously exhibits robust OXD–like activity for in situ H</w:t>
      </w:r>
      <w:r>
        <w:rPr>
          <w:vertAlign w:val="subscript"/>
        </w:rPr>
        <w:t>2</w:t>
      </w:r>
      <w:r>
        <w:t>O</w:t>
      </w:r>
      <w:r>
        <w:rPr>
          <w:vertAlign w:val="subscript"/>
        </w:rPr>
        <w:t>2</w:t>
      </w:r>
      <w:r>
        <w:t>generation via a 2e</w:t>
      </w:r>
      <w:r>
        <w:t xml:space="preserve"> </w:t>
      </w:r>
      <w:r>
        <w:t>−</w:t>
      </w:r>
      <w:r>
        <w:t>oxygen reduction pathway and enhanced POD–like activity for consequent •OH production. In vitro studies verified the aFeO</w:t>
      </w:r>
      <w:r>
        <w:t xml:space="preserve"> </w:t>
      </w:r>
      <w:r>
        <w:t>x</w:t>
      </w:r>
      <w:r>
        <w:t xml:space="preserve"> </w:t>
      </w:r>
      <w:r>
        <w:t>‑N‑ss‑SiO</w:t>
      </w:r>
      <w:r>
        <w:rPr>
          <w:vertAlign w:val="subscript"/>
        </w:rPr>
        <w:t>2</w:t>
      </w:r>
      <w:r>
        <w:t>(encapsulated by SiO</w:t>
      </w:r>
      <w:r>
        <w:rPr>
          <w:vertAlign w:val="subscript"/>
        </w:rPr>
        <w:t>2</w:t>
      </w:r>
      <w:r>
        <w:t>outlayer containing ─S─S─ bonds for TME responsiveness) triggered ferroptosis and prominent cell death even under hypoxic conditions. Remarkably, a single ultralow dose (5 mg·kg</w:t>
      </w:r>
      <w:r>
        <w:t xml:space="preserve"> </w:t>
      </w:r>
      <w:r>
        <w:t>−1</w:t>
      </w:r>
      <w:r>
        <w:t xml:space="preserve"> </w:t>
      </w:r>
      <w:r>
        <w:t>) achieves a tumor inhibition rate of up to 96.19% in murine models, demonstrating exceptional therapeutic efficacy and biocompatibility. This work provides a novel and potent nanozyme platform for cascade catalytic tumor therapy.</w:t>
      </w:r>
    </w:p>
    <w:p>
      <w:pPr>
        <w:spacing w:before="120" w:after="120"/>
      </w:pPr>
      <w:r>
        <w:rPr>
          <w:sz w:val="18"/>
        </w:rPr>
        <w:t>——————————————————————————————————————————————————————————————————————</w:t>
      </w:r>
    </w:p>
    <w:p>
      <w:pPr>
        <w:spacing w:before="160" w:after="40" w:line="240" w:lineRule="auto"/>
      </w:pPr>
      <w:r>
        <w:rPr>
          <w:b/>
        </w:rPr>
        <w:t xml:space="preserve">[158] </w:t>
      </w:r>
      <w:hyperlink r:id="rId602">
        <w:r>
          <w:rPr>
            <w:color w:val="1155CC"/>
            <w:u w:val="single"/>
          </w:rPr>
          <w:t>层缠结三维共价有机框架中的亚胺键异构现象调节荧光传感</w:t>
        </w:r>
      </w:hyperlink>
    </w:p>
    <w:p>
      <w:pPr>
        <w:spacing w:before="0" w:after="80"/>
      </w:pPr>
      <w:r>
        <w:rPr>
          <w:i/>
          <w:sz w:val="20"/>
        </w:rPr>
        <w:t>EN: Imine Linkage Isomerism in Layer‐Entangled Three‐Dimensional Covalent Organic Frameworks Modulates Fluorescent Sensing</w:t>
      </w:r>
    </w:p>
    <w:p>
      <w:pPr>
        <w:spacing w:before="0" w:after="120"/>
      </w:pPr>
      <w:r>
        <w:rPr>
          <w:b/>
        </w:rPr>
        <w:t xml:space="preserve">Source: </w:t>
      </w:r>
      <w:r>
        <w:t>Wiley: Angewandte Chemie International Edition: Table of Contents</w:t>
      </w:r>
      <w:r>
        <w:t xml:space="preserve">    </w:t>
      </w:r>
      <w:r>
        <w:rPr>
          <w:b/>
        </w:rPr>
        <w:t xml:space="preserve">Pub date: </w:t>
      </w:r>
      <w:r>
        <w:t>2026-06-09 01:07:05+00:00</w:t>
      </w:r>
      <w:r>
        <w:t xml:space="preserve">    </w:t>
      </w:r>
      <w:r>
        <w:rPr>
          <w:b/>
        </w:rPr>
        <w:t xml:space="preserve">DOI: </w:t>
      </w:r>
      <w:hyperlink r:id="rId603">
        <w:r>
          <w:rPr>
            <w:color w:val="1155CC"/>
            <w:u w:val="single"/>
          </w:rPr>
          <w:t>10.1002/anie.1228418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由纠缠的二维层构建的三维共价有机框架（3D COF）代表了一种罕见但有趣的结构类别；然而，此类架构内连接结构变化的影响仍未得到探索。在此，我们研究了具有相反亚胺键方向的等网状层缠结的3D COF的键联异构对（3D-An-CN-COF和3D-An-NC-COF）。值得注意的是，尽管这两种框架具有几乎相同的组成、拓扑结构和孔隙率，但 C=N 键方向的细微差异导致它们的光电特性和荧光传感行为存在显着差异。特别是，3D-An-CN-COF 对水介质中的 2,4,6-三硝基苯酚 (TNP) 表现出比 3D-An-NC-COF 高出近一个数量级的灵敏度，猝灭常数为 3.27 × 10</w:t>
      </w:r>
      <w:r>
        <w:rPr>
          <w:vertAlign w:val="subscript"/>
        </w:rPr>
        <w:t>6</w:t>
      </w:r>
      <w:r>
        <w:t>中号</w:t>
      </w:r>
      <w:r>
        <w:t xml:space="preserve"> </w:t>
      </w:r>
      <w:r>
        <w:t>−1</w:t>
      </w:r>
      <w:r>
        <w:t xml:space="preserve"> </w:t>
      </w:r>
      <w:r>
        <w:t>检测限为 9.5 nmol L</w:t>
      </w:r>
      <w:r>
        <w:t xml:space="preserve"> </w:t>
      </w:r>
      <w:r>
        <w:t>−1</w:t>
      </w:r>
      <w:r>
        <w:t xml:space="preserve"> </w:t>
      </w:r>
      <w:r>
        <w:t>，使其成为迄今为止报道的最灵敏的基于 COF 的 TNP 荧光传感器之一。这些结果确立了亚胺键异构作为重新编程层缠结3D COF的光电特性和传感行为的有效结构参数，为高性能荧光传感材料的合理设计提供了新的见解。</w:t>
      </w:r>
    </w:p>
    <w:p>
      <w:pPr>
        <w:spacing w:before="0" w:after="200" w:lineRule="auto" w:line="276"/>
      </w:pPr>
      <w:r>
        <w:rPr>
          <w:b/>
        </w:rPr>
        <w:t xml:space="preserve">Abstract (EN): </w:t>
      </w:r>
      <w:r>
        <w:t>Three‐dimensional covalent organic frameworks (3D COFs) constructed from entangled two‐dimensional layers represent a rare yet intriguing structural class; however, the influence of variations in linkage structure within such architectures remains unexplored. Herein, we investigate a linkage‐isomeric pair of isoreticular layer‐entangled 3D COFs with opposite imine bond orientations (3D‐An‐CN‐COF and 3D‐An‐NC‐COF). Remarkably, although these two frameworks share nearly identical composition, topology, and porosity, the subtle difference in C═N bond orientation leads to pronounced differences in their optoelectronic properties and fluorescent sensing behaviors. In particular, 3D‐An‐CN‐COF exhibits nearly an order‐of‐magnitude higher sensitivity toward 2,4,6‐trinitrophenol (TNP) in aqueous media than 3D‐An‐NC‐COF, with a quenching constant of 3.27 × 10</w:t>
      </w:r>
      <w:r>
        <w:rPr>
          <w:vertAlign w:val="subscript"/>
        </w:rPr>
        <w:t>6</w:t>
      </w:r>
      <w:r>
        <w:t>M</w:t>
      </w:r>
      <w:r>
        <w:t xml:space="preserve"> </w:t>
      </w:r>
      <w:r>
        <w:t>−1</w:t>
      </w:r>
      <w:r>
        <w:t xml:space="preserve"> </w:t>
      </w:r>
      <w:r>
        <w:t>and a detection limit of 9.5 nmol L</w:t>
      </w:r>
      <w:r>
        <w:t xml:space="preserve"> </w:t>
      </w:r>
      <w:r>
        <w:t>−1</w:t>
      </w:r>
      <w:r>
        <w:t xml:space="preserve"> </w:t>
      </w:r>
      <w:r>
        <w:t>, placing it among the most sensitive COF‐based fluorescent sensors for TNP reported to date. These results establish imine linkage isomerism as an effective structural parameter for reprogramming the optoelectronic properties and sensing behavior of layer‐entangled 3D COFs, offering new insight into the rational design of high‐performance fluorescent sensing materials.</w:t>
      </w:r>
    </w:p>
    <w:p>
      <w:pPr>
        <w:spacing w:before="120" w:after="120"/>
      </w:pPr>
      <w:r>
        <w:rPr>
          <w:sz w:val="18"/>
        </w:rPr>
        <w:t>——————————————————————————————————————————————————————————————————————</w:t>
      </w:r>
    </w:p>
    <w:p>
      <w:pPr>
        <w:spacing w:before="160" w:after="40" w:line="240" w:lineRule="auto"/>
      </w:pPr>
      <w:r>
        <w:rPr>
          <w:b/>
        </w:rPr>
        <w:t xml:space="preserve">[159] </w:t>
      </w:r>
      <w:hyperlink r:id="rId604">
        <w:r>
          <w:rPr>
            <w:color w:val="1155CC"/>
            <w:u w:val="single"/>
          </w:rPr>
          <w:t>翻译后异天冬氨酸促进 β2-微球蛋白中淀粉样蛋白的形成</w:t>
        </w:r>
      </w:hyperlink>
    </w:p>
    <w:p>
      <w:pPr>
        <w:spacing w:before="0" w:after="80"/>
      </w:pPr>
      <w:r>
        <w:rPr>
          <w:i/>
          <w:sz w:val="20"/>
        </w:rPr>
        <w:t>EN: Post‐Translational Isoaspartate Promotes Amyloid Formation in β2‐Microglobulin</w:t>
      </w:r>
    </w:p>
    <w:p>
      <w:pPr>
        <w:spacing w:before="0" w:after="120"/>
      </w:pPr>
      <w:r>
        <w:rPr>
          <w:b/>
        </w:rPr>
        <w:t xml:space="preserve">Source: </w:t>
      </w:r>
      <w:r>
        <w:t>Wiley: Angewandte Chemie International Edition: Table of Contents</w:t>
      </w:r>
      <w:r>
        <w:t xml:space="preserve">    </w:t>
      </w:r>
      <w:r>
        <w:rPr>
          <w:b/>
        </w:rPr>
        <w:t xml:space="preserve">Pub date: </w:t>
      </w:r>
      <w:r>
        <w:t>2026-06-09 01:12:23+00:00</w:t>
      </w:r>
      <w:r>
        <w:t xml:space="preserve">    </w:t>
      </w:r>
      <w:r>
        <w:rPr>
          <w:b/>
        </w:rPr>
        <w:t xml:space="preserve">DOI: </w:t>
      </w:r>
      <w:hyperlink r:id="rId605">
        <w:r>
          <w:rPr>
            <w:color w:val="1155CC"/>
            <w:u w:val="single"/>
          </w:rPr>
          <w:t>10.1002/anie.7045464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β</w:t>
      </w:r>
      <w:r>
        <w:rPr>
          <w:vertAlign w:val="subscript"/>
        </w:rPr>
        <w:t>2</w:t>
      </w:r>
      <w:r>
        <w:t>‐微球蛋白 (β2m) 聚集是透析相关淀粉样变性 (DRA) 的核心，但其纤维形成背后的分子触发因素仍未完全确定。在提出的机制中，Asn 残基上的异天冬氨酸 (isoAsp) 形成已被提及，但由于合成难以接近而从未直接测试过。在这里，我们报告了在已知体内热点 Asn 处含有 isoAsp 的 β2m 变体的全化学合成</w:t>
      </w:r>
      <w:r>
        <w:t xml:space="preserve"> </w:t>
      </w:r>
      <w:r>
        <w:t>17 号</w:t>
      </w:r>
      <w:r>
        <w:t xml:space="preserve"> </w:t>
      </w:r>
      <w:r>
        <w:t>和阿森</w:t>
      </w:r>
      <w:r>
        <w:rPr>
          <w:vertAlign w:val="subscript"/>
        </w:rPr>
        <w:t>42</w:t>
      </w:r>
      <w:r>
        <w:t>，实现精确的结构和功能询问。值得注意的是，isoAsp</w:t>
      </w:r>
      <w:r>
        <w:t xml:space="preserve"> </w:t>
      </w:r>
      <w:r>
        <w:t>17 号</w:t>
      </w:r>
      <w:r>
        <w:t xml:space="preserve"> </w:t>
      </w:r>
      <w:r>
        <w:t>‐修饰的 β2m 表现出比致病性 ΔN6-β2m 变体更大的原纤维形成能力，这表明 isoAsp 的贡献之前被低估了</w:t>
      </w:r>
      <w:r>
        <w:t xml:space="preserve"> </w:t>
      </w:r>
      <w:r>
        <w:t>17 号</w:t>
      </w:r>
      <w:r>
        <w:t xml:space="preserve"> </w:t>
      </w:r>
      <w:r>
        <w:t>。光谱和 TEM 分析补充了结构表征，证明 isoAsp</w:t>
      </w:r>
      <w:r>
        <w:t xml:space="preserve"> </w:t>
      </w:r>
      <w:r>
        <w:t>17 号</w:t>
      </w:r>
      <w:r>
        <w:t xml:space="preserve"> </w:t>
      </w:r>
      <w:r>
        <w:t>促进原纤维形成。我们的研究结果提供了第一个直接的实验证据，证明自发的翻译后修饰可以启动 β2m 中的淀粉样蛋白生成，重新定义 DRA 的分子基础，并强调 isoAsp 作为病理蛋白聚集的一般驱动因素。</w:t>
      </w:r>
    </w:p>
    <w:p>
      <w:pPr>
        <w:spacing w:before="0" w:after="200" w:lineRule="auto" w:line="276"/>
      </w:pPr>
      <w:r>
        <w:rPr>
          <w:b/>
        </w:rPr>
        <w:t xml:space="preserve">Abstract (EN): </w:t>
      </w:r>
      <w:r>
        <w:t>β</w:t>
      </w:r>
      <w:r>
        <w:rPr>
          <w:vertAlign w:val="subscript"/>
        </w:rPr>
        <w:t>2</w:t>
      </w:r>
      <w:r>
        <w:t>‐Microglobulin (β2m) aggregation is central to dialysis‐related amyloidosis (DRA), yet the molecular triggers underlying its fibrillogenesis remain incompletely defined. Among proposed mechanisms, isoaspartate (isoAsp) formation at Asn residues has been implicated but never directly tested due to synthetic inaccessibility. Here, we report the total chemical synthesis of β2m variants containing isoAsp at known in vivo hotspots, Asn</w:t>
      </w:r>
      <w:r>
        <w:rPr>
          <w:vertAlign w:val="subscript"/>
        </w:rPr>
        <w:t>17</w:t>
      </w:r>
      <w:r>
        <w:t>and Asn</w:t>
      </w:r>
      <w:r>
        <w:rPr>
          <w:vertAlign w:val="subscript"/>
        </w:rPr>
        <w:t>42</w:t>
      </w:r>
      <w:r>
        <w:t>, enabling precise structural and functional interrogation. Remarkably, the isoAsp</w:t>
      </w:r>
      <w:r>
        <w:rPr>
          <w:vertAlign w:val="subscript"/>
        </w:rPr>
        <w:t>17</w:t>
      </w:r>
      <w:r>
        <w:t>‐modified β2m exhibited greater fibril formation capacity than the pathogenic ΔN6‐β2m variant, suggesting a previously underappreciated contribution of isoAsp</w:t>
      </w:r>
      <w:r>
        <w:rPr>
          <w:vertAlign w:val="subscript"/>
        </w:rPr>
        <w:t>17</w:t>
      </w:r>
      <w:r>
        <w:t>. Structural characterization was complemented by spectroscopic and TEM analyses, which demonstrated that isoAsp</w:t>
      </w:r>
      <w:r>
        <w:rPr>
          <w:vertAlign w:val="subscript"/>
        </w:rPr>
        <w:t>17</w:t>
      </w:r>
      <w:r>
        <w:t>promotes fibril formation. Our findings provide the first direct experimental evidence that a spontaneous post‐translational modification can initiate amyloidogenesis in β2m, redefining the molecular basis of DRA and highlighting isoAsp as a general driver of pathological protein aggregation.</w:t>
      </w:r>
    </w:p>
    <w:p>
      <w:pPr>
        <w:spacing w:before="120" w:after="120"/>
      </w:pPr>
      <w:r>
        <w:rPr>
          <w:sz w:val="18"/>
        </w:rPr>
        <w:t>——————————————————————————————————————————————————————————————————————</w:t>
      </w:r>
    </w:p>
    <w:p>
      <w:pPr>
        <w:spacing w:before="160" w:after="40" w:line="240" w:lineRule="auto"/>
      </w:pPr>
      <w:r>
        <w:rPr>
          <w:b/>
        </w:rPr>
        <w:t xml:space="preserve">[160] </w:t>
      </w:r>
      <w:hyperlink r:id="rId606">
        <w:r>
          <w:rPr>
            <w:color w:val="1155CC"/>
            <w:u w:val="single"/>
          </w:rPr>
          <w:t>吲哚并[2,3-c]咔唑桥联窄带MR-TADF发射体的精确多位点硼化工程</w:t>
        </w:r>
      </w:hyperlink>
    </w:p>
    <w:p>
      <w:pPr>
        <w:spacing w:before="0" w:after="80"/>
      </w:pPr>
      <w:r>
        <w:rPr>
          <w:i/>
          <w:sz w:val="20"/>
        </w:rPr>
        <w:t>EN: Precise Multi‐Site Borylation Engineering of Indolo[2,3‐c]Carbazole‐Bridged Narrowband MR‐TADF Emitters</w:t>
      </w:r>
    </w:p>
    <w:p>
      <w:pPr>
        <w:spacing w:before="0" w:after="120"/>
      </w:pPr>
      <w:r>
        <w:rPr>
          <w:b/>
        </w:rPr>
        <w:t xml:space="preserve">Source: </w:t>
      </w:r>
      <w:r>
        <w:t>Wiley: Angewandte Chemie International Edition: Table of Contents</w:t>
      </w:r>
      <w:r>
        <w:t xml:space="preserve">    </w:t>
      </w:r>
      <w:r>
        <w:rPr>
          <w:b/>
        </w:rPr>
        <w:t xml:space="preserve">Pub date: </w:t>
      </w:r>
      <w:r>
        <w:t>2026-06-09 01:15:11+00:00</w:t>
      </w:r>
      <w:r>
        <w:t xml:space="preserve">    </w:t>
      </w:r>
      <w:r>
        <w:rPr>
          <w:b/>
        </w:rPr>
        <w:t xml:space="preserve">DOI: </w:t>
      </w:r>
      <w:hyperlink r:id="rId607">
        <w:r>
          <w:rPr>
            <w:color w:val="1155CC"/>
            <w:u w:val="single"/>
          </w:rPr>
          <w:t>10.1002/anie.8856021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吲哚并咔唑桥双硼多共振热激活延迟荧光（MR-TADF）材料能够精确调制发射颜色，同时保留有机发光二极管（OLED）的超窄带特性。在此，我们首先将吲哚并[2,3-c]咔唑（23cIC）引入MR-TADF发射器的设计中，并开发了一种电子和空间控制的多位点硼化策略。该策略为 Tbu-exo 提供了电子上有利的外构型，其在 524 nm 处呈现窄带绿色发射，半峰全宽 (FWHM) 为 20 nm，同时为 Ad-tph-endo 产生空间位阻引导的内构型，在 566 nm 处呈现黄色发射，半峰全宽 (FWHM) 为 25 nm。值得注意的是，内构型产生了（</w:t>
      </w:r>
      <w:r>
        <w:t xml:space="preserve"> </w:t>
      </w:r>
      <w:r>
        <w:t>磷</w:t>
      </w:r>
      <w:r>
        <w:t xml:space="preserve"> </w:t>
      </w:r>
      <w:r>
        <w:t>/</w:t>
      </w:r>
      <w:r>
        <w:t>中号</w:t>
      </w:r>
      <w:r>
        <w:t xml:space="preserve"> </w:t>
      </w:r>
      <w:r>
        <w:t>)-Ad-tph-endo，表现出显着的手性发光特性。基于 Tbu-exo 和 Ad-tph-endo 的真空沉积 OLED 的发射峰分别为 530 nm（FWHM = 27 nm）和 568 nm（FWHM = 33 nm），两者的外量子效率（EQE）均超过 30%。此外，我们首次基于Tbu-exo制备了溶液加工的顶发射OLED，实现了CIE坐标为（0.21，0.75）的超窄纯绿光发射，接近BT.2020绿色标准，并创下了200.9 cd A的创纪录高电流效率</w:t>
      </w:r>
      <w:r>
        <w:t xml:space="preserve"> </w:t>
      </w:r>
      <w:r>
        <w:t>−1</w:t>
      </w:r>
      <w:r>
        <w:t xml:space="preserve"> </w:t>
      </w:r>
      <w:r>
        <w:t>。</w:t>
      </w:r>
    </w:p>
    <w:p>
      <w:pPr>
        <w:spacing w:before="0" w:after="200" w:lineRule="auto" w:line="276"/>
      </w:pPr>
      <w:r>
        <w:rPr>
          <w:b/>
        </w:rPr>
        <w:t xml:space="preserve">Abstract (EN): </w:t>
      </w:r>
      <w:r>
        <w:t>Indolocarbazole‐bridged double‐boron multi‐resonance thermally activated delayed fluorescence (MR‐TADF) materials enable precise modulation of emission colors while retaining ultra‐narrowband characteristics in organic light‐emitting diodes (OLEDs). Herein, we first introduce indolo[2,3‐c]carbazole (23cIC) into the design of MR‐TADF emitters and develop an electronically and sterically controlled multi‐site borylation strategy. This strategy affords the electronically favored exo‐configuration for Tbu‐exo, which exhibits narrowband green emission at 524 nm with a full‐width at half‐maximum (FWHM) of 20 nm, while yielding the steric hindrance‐guided endo‐configuration for Ad‐tph‐endo exhibiting by yellow emission at 566 nm with a FWHM of 25 nm. Notably, the endo‐configuration gives rise to (</w:t>
      </w:r>
      <w:r>
        <w:t xml:space="preserve"> </w:t>
      </w:r>
      <w:r>
        <w:t>P</w:t>
      </w:r>
      <w:r>
        <w:t xml:space="preserve"> </w:t>
      </w:r>
      <w:r>
        <w:t>/</w:t>
      </w:r>
      <w:r>
        <w:t>M</w:t>
      </w:r>
      <w:r>
        <w:t xml:space="preserve"> </w:t>
      </w:r>
      <w:r>
        <w:t>)‐Ad‐tph‐endo, which exhibits significant chiral luminescence properties. Vacuum‐deposited OLEDs based on Tbu‐exo and Ad‐tph‐endo exhibit emission peaks at 530 nm (FWHM = 27 nm) and 568 nm (FWHM = 33 nm), respectively, both achieving external quantum efficiencies (EQE) exceeding 30%. Furthermore, we fabricated solution‐processed top‐emitting OLEDs based on Tbu‐exo for the first time, which realize ultra‐narrow pure‐green emission with CIE coordinates of (0.21, 0.75)—closely approaching the BT.2020 green standard—and a record‐high current efficiency of 200.9 cd A</w:t>
      </w:r>
      <w:r>
        <w:t xml:space="preserve"> </w:t>
      </w:r>
      <w:r>
        <w:t>−1</w:t>
      </w:r>
      <w:r>
        <w:t xml:space="preserve"> </w:t>
      </w:r>
      <w:r>
        <w:t>.</w:t>
      </w:r>
    </w:p>
    <w:p>
      <w:pPr>
        <w:spacing w:before="120" w:after="120"/>
      </w:pPr>
      <w:r>
        <w:rPr>
          <w:sz w:val="18"/>
        </w:rPr>
        <w:t>——————————————————————————————————————————————————————————————————————</w:t>
      </w:r>
    </w:p>
    <w:p>
      <w:pPr>
        <w:spacing w:before="160" w:after="40" w:line="240" w:lineRule="auto"/>
      </w:pPr>
      <w:r>
        <w:rPr>
          <w:b/>
        </w:rPr>
        <w:t xml:space="preserve">[161] </w:t>
      </w:r>
      <w:hyperlink r:id="rId608">
        <w:r>
          <w:rPr>
            <w:color w:val="1155CC"/>
            <w:u w:val="single"/>
          </w:rPr>
          <w:t>明天的有机材料：人工智能的视野</w:t>
        </w:r>
      </w:hyperlink>
    </w:p>
    <w:p>
      <w:pPr>
        <w:spacing w:before="0" w:after="80"/>
      </w:pPr>
      <w:r>
        <w:rPr>
          <w:i/>
          <w:sz w:val="20"/>
        </w:rPr>
        <w:t>EN: Organic Materials of Tomorrow: Horizons of Artificial Intelligence</w:t>
      </w:r>
    </w:p>
    <w:p>
      <w:pPr>
        <w:spacing w:before="0" w:after="120"/>
      </w:pPr>
      <w:r>
        <w:rPr>
          <w:b/>
        </w:rPr>
        <w:t xml:space="preserve">Source: </w:t>
      </w:r>
      <w:r>
        <w:t>Wiley: Advanced Materials: Table of Contents</w:t>
      </w:r>
      <w:r>
        <w:t xml:space="preserve">    </w:t>
      </w:r>
      <w:r>
        <w:rPr>
          <w:b/>
        </w:rPr>
        <w:t xml:space="preserve">Pub date: </w:t>
      </w:r>
      <w:r>
        <w:t>2026-06-09 06:05:24+00:00</w:t>
      </w:r>
      <w:r>
        <w:t xml:space="preserve">    </w:t>
      </w:r>
      <w:r>
        <w:rPr>
          <w:b/>
        </w:rPr>
        <w:t xml:space="preserve">DOI: </w:t>
      </w:r>
      <w:hyperlink r:id="rId609">
        <w:r>
          <w:rPr>
            <w:color w:val="1155CC"/>
            <w:u w:val="single"/>
          </w:rPr>
          <w:t>10.1002/adma.202523667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人工智能 (AI) 正在通过实现化学空间的快速探索来改变有机材料的发现。这篇综述研究了机器学习技术，该技术通过将分子结构与特性联系起来的计算方法来加速有机半导体新型化合物的识别。关键方法包括图神经网络、生成方法、化学表示、学习框架、机器学习力场、主动学习、迁移学习和生成模型。这些方法解决了有机材料发现中的基本挑战，从性质预测和逆向设计到高通量筛选和分子生成。有机光伏主题的应用示例展示了在预测能级、形态、电荷传输、激子动力学和功率转换效率方面的实际影响。我们将人工智能视为一种工具，增强他们探索化学空间非常规区域的能力，而不是取代人类科学家。讨论了人工智能在化学中使用的优点、缺点和瓶颈，以及未来的研究方向，例如采用以人为中心的人工智能实践、构建面向材料科学的基准数据库和协议、将绿色化学约束集成到生成管道中，以及进一步探索端到端的计算机到技术验证工作流程，所有这些都是根据材料科学界的需求量身定制的。</w:t>
      </w:r>
    </w:p>
    <w:p>
      <w:pPr>
        <w:spacing w:before="0" w:after="200" w:lineRule="auto" w:line="276"/>
      </w:pPr>
      <w:r>
        <w:rPr>
          <w:b/>
        </w:rPr>
        <w:t xml:space="preserve">Abstract (EN): </w:t>
      </w:r>
      <w:r>
        <w:t>Artificial intelligence (AI) is transforming organic materials discovery by enabling the rapid exploration of chemical space. This review examines machine learning techniques being used to accelerate the identification of novel compounds for organic semiconductors through computational approaches linking molecular structure to properties. Key methodologies include graph neural networks, generative approaches, chemical representations, ‐learning frameworks, machine learning force fields, active learning, transfer learning, and generative models. These methods address fundamental challenges in organic materials discovery, from property prediction and inverse design to high‐throughput screening and molecular generation. An example of applications to the topic of organic photovoltaics demonstrates practical impact in predicting energy levels, morphology, charge transport, exciton dynamics, and power conversion efficiency. Rather than replacing human scientists, we envision AI as a tool that amplifies their capacity to explore unconventional regions of chemical space. Advantages, drawbacks and bottlenecks of AI use in chemistry are discussed together with future research directions, such as the adoption of human‐centered AI practices, the construction of materials‐science‐oriented benchmarking databases and protocols, the integration of green chemistry constraints into generative pipelines, and the further exploration of end‐to‐end in‐silico‐to‐technical validation workflows, all tailored to the needs of the materials science community.</w:t>
      </w:r>
    </w:p>
    <w:p>
      <w:pPr>
        <w:spacing w:before="120" w:after="120"/>
      </w:pPr>
      <w:r>
        <w:rPr>
          <w:sz w:val="18"/>
        </w:rPr>
        <w:t>——————————————————————————————————————————————————————————————————————</w:t>
      </w:r>
    </w:p>
    <w:p>
      <w:pPr>
        <w:spacing w:before="160" w:after="40" w:line="240" w:lineRule="auto"/>
      </w:pPr>
      <w:r>
        <w:rPr>
          <w:b/>
        </w:rPr>
        <w:t xml:space="preserve">[162] </w:t>
      </w:r>
      <w:hyperlink r:id="rId610">
        <w:r>
          <w:rPr>
            <w:color w:val="1155CC"/>
            <w:u w:val="single"/>
          </w:rPr>
          <w:t>用于选择性氧化催化的高能面取向介孔单晶金属氧化物</w:t>
        </w:r>
      </w:hyperlink>
    </w:p>
    <w:p>
      <w:pPr>
        <w:spacing w:before="0" w:after="80"/>
      </w:pPr>
      <w:r>
        <w:rPr>
          <w:i/>
          <w:sz w:val="20"/>
        </w:rPr>
        <w:t>EN: High‐Energy‐Facet‐Oriented Mesoporous Single‐Crystal Metal Oxides for Selective Oxidation Catalysis</w:t>
      </w:r>
    </w:p>
    <w:p>
      <w:pPr>
        <w:spacing w:before="0" w:after="120"/>
      </w:pPr>
      <w:r>
        <w:rPr>
          <w:b/>
        </w:rPr>
        <w:t xml:space="preserve">Source: </w:t>
      </w:r>
      <w:r>
        <w:t>Wiley: Advanced Materials: Table of Contents</w:t>
      </w:r>
      <w:r>
        <w:t xml:space="preserve">    </w:t>
      </w:r>
      <w:r>
        <w:rPr>
          <w:b/>
        </w:rPr>
        <w:t xml:space="preserve">Pub date: </w:t>
      </w:r>
      <w:r>
        <w:t>2026-06-09 06:07:42+00:00</w:t>
      </w:r>
      <w:r>
        <w:t xml:space="preserve">    </w:t>
      </w:r>
      <w:r>
        <w:rPr>
          <w:b/>
        </w:rPr>
        <w:t xml:space="preserve">DOI: </w:t>
      </w:r>
      <w:hyperlink r:id="rId611">
        <w:r>
          <w:rPr>
            <w:color w:val="1155CC"/>
            <w:u w:val="single"/>
          </w:rPr>
          <w:t>10.1002/adma.73641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介孔单晶金属氧化物对于多相催化非常有吸引力，因为它们结合了高表面可及性和长程晶格相干性；然而，由于结晶和孔形成之间的热力学不相容，它们的合成仍然具有根本性的挑战性。在这里，我们报告了一种无模板、能量驱动的面取向结晶策略，该策略能够形成具有可调孔结构和暴露的高能面的介孔单晶金属氧化物。聚乙烯吡咯烷酮同时充当孔隙保持剂和表面能调节剂，保持介孔性，同时选择性地稳定高能晶面以指导单晶生长。该方法适用于多种氧化物，包括Co</w:t>
      </w:r>
      <w:r>
        <w:rPr>
          <w:vertAlign w:val="subscript"/>
        </w:rPr>
        <w:t>3</w:t>
      </w:r>
      <w:r>
        <w:t>氧</w:t>
      </w:r>
      <w:r>
        <w:rPr>
          <w:vertAlign w:val="subscript"/>
        </w:rPr>
        <w:t>4</w:t>
      </w:r>
      <w:r>
        <w:t>、MgO、NiO 和混合金属体系。作为代表性例子，介孔单晶钴</w:t>
      </w:r>
      <w:r>
        <w:rPr>
          <w:vertAlign w:val="subscript"/>
        </w:rPr>
        <w:t>3</w:t>
      </w:r>
      <w:r>
        <w:t>氧</w:t>
      </w:r>
      <w:r>
        <w:rPr>
          <w:vertAlign w:val="subscript"/>
        </w:rPr>
        <w:t>4</w:t>
      </w:r>
      <w:r>
        <w:t>具有优先暴露的（111）晶面，在芳香烷烃的选择性氧化方面表现出优异的性能，在温和条件下实现高达99%的转化率和选择性。实验和理论分析表明，介孔性和活性面暴露之间的协同作用增强了反应物吸附、氧活化和反应动力学，为晶体学定义的多孔催化剂提供了通用设计原理。</w:t>
      </w:r>
    </w:p>
    <w:p>
      <w:pPr>
        <w:spacing w:before="0" w:after="200" w:lineRule="auto" w:line="276"/>
      </w:pPr>
      <w:r>
        <w:rPr>
          <w:b/>
        </w:rPr>
        <w:t xml:space="preserve">Abstract (EN): </w:t>
      </w:r>
      <w:r>
        <w:t>Mesoporous single‐crystal metal oxides are highly attractive for heterogeneous catalysis because they combine high surface accessibility with long‐range lattice coherence; however, their synthesis remains fundamentally challenging due to the thermodynamic incompatibility between crystallization and pore formation. Here we report a template‐free, energy‐driven facet‐oriented crystallization strategy that enables the formation of mesoporous single‐crystal metal oxides with tunable pore architectures and exposed high‐energy facets. Polyvinylpyrrolidone functions simultaneously as a pore maintainer and surface‐energy regulator, preserving mesoporosity while selectively stabilizing high‐energy facets to direct single‐crystal growth. The method is applicable to multiple oxides, including Co</w:t>
      </w:r>
      <w:r>
        <w:rPr>
          <w:vertAlign w:val="subscript"/>
        </w:rPr>
        <w:t>3</w:t>
      </w:r>
      <w:r>
        <w:t>O</w:t>
      </w:r>
      <w:r>
        <w:rPr>
          <w:vertAlign w:val="subscript"/>
        </w:rPr>
        <w:t>4</w:t>
      </w:r>
      <w:r>
        <w:t>, MgO, NiO, and mixed‐metal systems. As a representative example, mesoporous single‐crystal Co</w:t>
      </w:r>
      <w:r>
        <w:rPr>
          <w:vertAlign w:val="subscript"/>
        </w:rPr>
        <w:t>3</w:t>
      </w:r>
      <w:r>
        <w:t>O</w:t>
      </w:r>
      <w:r>
        <w:rPr>
          <w:vertAlign w:val="subscript"/>
        </w:rPr>
        <w:t>4</w:t>
      </w:r>
      <w:r>
        <w:t>with preferentially exposed (111) facets exhibits outstanding performance in the selective oxidation of aromatic alkanes, achieving up to 99% conversion and selectivity under mild conditions. Experimental and theoretical analyses suggest that the synergy between mesoporosity and active‐facet exposure enhances reactant adsorption, oxygen activation, and reaction kinetics, providing a general design principle for crystallographically defined porous catalysts.</w:t>
      </w:r>
    </w:p>
    <w:p>
      <w:pPr>
        <w:spacing w:before="120" w:after="120"/>
      </w:pPr>
      <w:r>
        <w:rPr>
          <w:sz w:val="18"/>
        </w:rPr>
        <w:t>——————————————————————————————————————————————————————————————————————</w:t>
      </w:r>
    </w:p>
    <w:p>
      <w:pPr>
        <w:spacing w:before="160" w:after="40" w:line="240" w:lineRule="auto"/>
      </w:pPr>
      <w:r>
        <w:rPr>
          <w:b/>
        </w:rPr>
        <w:t xml:space="preserve">[163] </w:t>
      </w:r>
      <w:hyperlink r:id="rId612">
        <w:r>
          <w:rPr>
            <w:color w:val="1155CC"/>
            <w:u w:val="single"/>
          </w:rPr>
          <w:t>使用液晶液滴阵列的全矢量场传感</w:t>
        </w:r>
      </w:hyperlink>
    </w:p>
    <w:p>
      <w:pPr>
        <w:spacing w:before="0" w:after="80"/>
      </w:pPr>
      <w:r>
        <w:rPr>
          <w:i/>
          <w:sz w:val="20"/>
        </w:rPr>
        <w:t>EN: Full Vectorial Field Sensing Using Liquid Crystal Droplet Arrays</w:t>
      </w:r>
    </w:p>
    <w:p>
      <w:pPr>
        <w:spacing w:before="0" w:after="120"/>
      </w:pPr>
      <w:r>
        <w:rPr>
          <w:b/>
        </w:rPr>
        <w:t xml:space="preserve">Source: </w:t>
      </w:r>
      <w:r>
        <w:t>Wiley: Advanced Materials: Table of Contents</w:t>
      </w:r>
      <w:r>
        <w:t xml:space="preserve">    </w:t>
      </w:r>
      <w:r>
        <w:rPr>
          <w:b/>
        </w:rPr>
        <w:t xml:space="preserve">Pub date: </w:t>
      </w:r>
      <w:r>
        <w:t>2026-06-09 07:00:00+00:00</w:t>
      </w:r>
      <w:r>
        <w:t xml:space="preserve">    </w:t>
      </w:r>
      <w:r>
        <w:rPr>
          <w:b/>
        </w:rPr>
        <w:t xml:space="preserve">DOI: </w:t>
      </w:r>
      <w:hyperlink r:id="rId613">
        <w:r>
          <w:rPr>
            <w:color w:val="1155CC"/>
            <w:u w:val="single"/>
          </w:rPr>
          <w:t>10.1002/adma.73661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确定光的振幅、相位和偏振分布对于光学计量、显微镜、天文学和光通信/计算技术等基础科学发现和应用至关重要。然而，大多数现代测量方法无法轻松检索这些参数，通常依赖于笨重且昂贵的硬件或缺乏单次传感的能力。在这里，我们介绍了一种基于喷墨印刷向列液晶液滴阵列的低成本、紧凑型全矢量场传感器，该传感器能够同时测量光的这些重要特性。利用液滴空间变化的双折射，通过波前偏振测量法测量偏振和强度，同时通过将每个液滴视为类似 Shack-Hartmann 的波前传感器配置中的单独微透镜来重建相位。为了演示系统的性能，我们表征了携带不同强度、相位和偏振信息的像差双波长光束，确认了两个光谱分量的光场分布的准确检索。</w:t>
      </w:r>
    </w:p>
    <w:p>
      <w:pPr>
        <w:spacing w:before="0" w:after="200" w:lineRule="auto" w:line="276"/>
      </w:pPr>
      <w:r>
        <w:rPr>
          <w:b/>
        </w:rPr>
        <w:t xml:space="preserve">Abstract (EN): </w:t>
      </w:r>
      <w:r>
        <w:t>Determining the amplitude, phase, and polarization profile of light is essential for both fundamental scientific discovery and applications spanning optical metrology, microscopy, astronomy, and optical communication/computing technologies. However, most modern measurement approaches are unable to retrieve such parameters readily, often relying on bulky and expensive hardware or lacking the capability for single‐shot sensing. Here, we introduce a low cost, compact, full vectorial field sensor based on an inkjet‐printed nematic liquid crystal droplet array that enables simultaneous measurement of these important characteristics of light. Polarization and intensity are measured via division‐of‐wavefront polarimetry, exploiting the droplets’ spatially varying birefringence, while the phase is reconstructed by treating each droplet as a separate microlens in a Shack‐Hartmann‐like wavefront sensor configuration. To demonstrate the system's performance, we characterize aberrated dual‐wavelength beams carrying distinct intensity, phase, and polarization information, confirming accurate retrieval of the optical field profiles for both spectral components.</w:t>
      </w:r>
    </w:p>
    <w:p>
      <w:pPr>
        <w:spacing w:before="120" w:after="120"/>
      </w:pPr>
      <w:r>
        <w:rPr>
          <w:sz w:val="18"/>
        </w:rPr>
        <w:t>——————————————————————————————————————————————————————————————————————</w:t>
      </w:r>
    </w:p>
    <w:p>
      <w:pPr>
        <w:spacing w:before="160" w:after="40" w:line="240" w:lineRule="auto"/>
      </w:pPr>
      <w:r>
        <w:rPr>
          <w:b/>
        </w:rPr>
        <w:t xml:space="preserve">[164] </w:t>
      </w:r>
      <w:hyperlink r:id="rId614">
        <w:r>
          <w:rPr>
            <w:color w:val="1155CC"/>
            <w:u w:val="single"/>
          </w:rPr>
          <w:t>聚合酶核酶通过焦磷酸介导的 RNA 修复提高复制保真度</w:t>
        </w:r>
      </w:hyperlink>
    </w:p>
    <w:p>
      <w:pPr>
        <w:spacing w:before="0" w:after="80"/>
      </w:pPr>
      <w:r>
        <w:rPr>
          <w:i/>
          <w:sz w:val="20"/>
        </w:rPr>
        <w:t>EN: A polymerase ribozyme increases copying fidelity through pyrophosphate-mediated RNA repair</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15">
        <w:r>
          <w:rPr>
            <w:color w:val="1155CC"/>
            <w:u w:val="single"/>
          </w:rPr>
          <w:t>10.1073/pnas.2606892123</w:t>
        </w:r>
      </w:hyperlink>
    </w:p>
    <w:p>
      <w:pPr>
        <w:spacing w:before="0" w:after="120"/>
      </w:pPr>
      <w:r>
        <w:rPr>
          <w:b/>
        </w:rPr>
        <w:t xml:space="preserve">Notes: </w:t>
      </w:r>
      <w:r>
        <w:t>abstract_source=crossref</w:t>
      </w:r>
    </w:p>
    <w:p>
      <w:pPr>
        <w:spacing w:before="0" w:after="80" w:lineRule="auto" w:line="276"/>
      </w:pPr>
      <w:r>
        <w:rPr>
          <w:b/>
        </w:rPr>
        <w:t xml:space="preserve">摘要（ZH）: </w:t>
      </w:r>
      <w:r>
        <w:t>在当代生物圈出现之前，第一个复制系统被认为已经经历了基于 RNA 的阶段。这样一个不断发展的世界很可能在复制过程中使用 RNA 聚合酶核酶转移了可遗传的信息。尽管人们为进化RNA聚合酶付出了巨大的努力，但许多变体都存在过早终止和保真度低的问题，导致全长或活性序列的产量低。较长序列的复制需要足够高的保真度，以便为可进化系统提供进化优势。在这里，我们展示了核酶介导的不匹配和受损 RNA 序列的修复。在焦磷酸浓度饱和的条件下，我们发现聚合酶核酶可以修复以错配终止的RNA序列，以产生三磷酸化核苷，例如我们直接检测的三磷酸腺苷。类似地，核酶可以去除具有不可延伸的2'-3'环状磷酸或不可延伸的错配的核苷酸。该修复步骤提高了 RNA 合成的整体保真度，并允许沿着扩展模板进行聚合。复制保真度的提高推动了开发自我复制聚合酶核酶的长期目标。</w:t>
      </w:r>
    </w:p>
    <w:p>
      <w:pPr>
        <w:spacing w:before="0" w:after="200" w:lineRule="auto" w:line="276"/>
      </w:pPr>
      <w:r>
        <w:rPr>
          <w:b/>
        </w:rPr>
        <w:t xml:space="preserve">Abstract (EN): </w:t>
      </w:r>
      <w:r>
        <w:t>Prior to the emergence of the contemporary biosphere, the first replicating systems are thought to have progressed through an RNA-based stage. Such an evolving world would likely have transferred heritable information during replication using RNA polymerase ribozymes. Though substantial effort has been put forth toward evolving RNA polymerases, many variants suffer from premature termination and low fidelity, resulting in low yields of full-length or active sequences. Replication of longer sequences requires a sufficiently high fidelity to lend an evolutionary advantage to an evolvable system. Here, we demonstrate ribozyme-mediated repair of mismatched and damaged RNA sequences. Under conditions of saturating pyrophosphate concentrations, we show that a polymerase ribozyme can repair RNA sequences terminated in a mismatch to generate a triphosphorylated nucleoside, such as adenosine triphosphate, which we detect directly. Similarly, the ribozyme can remove a nucleotide with a nonextendable 2′-3′ cyclic phosphate or a nonextendable mismatch. This repair step increases the overall fidelity of RNA synthesis and allows polymerization along an extended template. The increased copying fidelity advances the long-standing goal of developing a self-replicating polymerase ribozyme.</w:t>
      </w:r>
    </w:p>
    <w:p>
      <w:pPr>
        <w:spacing w:before="120" w:after="120"/>
      </w:pPr>
      <w:r>
        <w:rPr>
          <w:sz w:val="18"/>
        </w:rPr>
        <w:t>——————————————————————————————————————————————————————————————————————</w:t>
      </w:r>
    </w:p>
    <w:p>
      <w:pPr>
        <w:spacing w:before="160" w:after="40" w:line="240" w:lineRule="auto"/>
      </w:pPr>
      <w:r>
        <w:rPr>
          <w:b/>
        </w:rPr>
        <w:t xml:space="preserve">[165] </w:t>
      </w:r>
      <w:hyperlink r:id="rId616">
        <w:r>
          <w:rPr>
            <w:color w:val="1155CC"/>
            <w:u w:val="single"/>
          </w:rPr>
          <w:t>Void-X：用于预测蛋白质中原子堆积的生成空隙填充模型</w:t>
        </w:r>
      </w:hyperlink>
    </w:p>
    <w:p>
      <w:pPr>
        <w:spacing w:before="0" w:after="80"/>
      </w:pPr>
      <w:r>
        <w:rPr>
          <w:i/>
          <w:sz w:val="20"/>
        </w:rPr>
        <w:t>EN: Void-X: A generative void-filling model for predicting atomic packing in proteins</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17">
        <w:r>
          <w:rPr>
            <w:color w:val="1155CC"/>
            <w:u w:val="single"/>
          </w:rPr>
          <w:t>10.1073/pnas.2607035123</w:t>
        </w:r>
      </w:hyperlink>
    </w:p>
    <w:p>
      <w:pPr>
        <w:spacing w:before="0" w:after="120"/>
      </w:pPr>
      <w:r>
        <w:rPr>
          <w:b/>
        </w:rPr>
        <w:t xml:space="preserve">Notes: </w:t>
      </w:r>
      <w:r>
        <w:t>abstract_source=crossref</w:t>
      </w:r>
    </w:p>
    <w:p>
      <w:pPr>
        <w:spacing w:before="0" w:after="80" w:lineRule="auto" w:line="276"/>
      </w:pPr>
      <w:r>
        <w:rPr>
          <w:b/>
        </w:rPr>
        <w:t xml:space="preserve">摘要（ZH）: </w:t>
      </w:r>
      <w:r>
        <w:t>变压器和扩散模型等生成式人工智能算法极大地增强了蛋白质的从头设计能力，能够与另一种蛋白质上的指定结构位点特异性相互作用。这些设计方法大多数采用自上而下的方法，其中由人工智能模型生成整体蛋白质形状以包装给定的结构位点，然后进行序列设计以优化相互作用。尽管接受了数据库中有限的蛋白质复合物结构的培训，但自上而下的方法已经产生了令人鼓舞的结果。在这里，我们提出了一种自下而上的方法，该方法生成原子簇，以针对特定的结构区域进行最佳包装，从而为蛋白质-蛋白质相互作用的设计提供信息。为此，我们训练了一个名为 Void-X 的掩模离散扩散模型，该模型使用扩散变换器来学习原子级相互作用并填充蛋白质相互作用界面中的原子空隙。 Void-X 使用来自蛋白质数据库实验结构的 870 万个球形原子簇进行训练。在每个簇中，约 70% 的原子用作上下文（或提示），约 30% 的原子被屏蔽以用于信息恢复（或答案）。通过使用 1.72 亿个参数训练模型，Void-X 对于链内和链间球形集群的总体准确率分别达到 78.3% 和 68.2%。此外，我们发现信息熵是 Void-X 预测精度的可靠指标。这种性能水平允许在原子水平上从头生成分子相互作用，从而提供了一种替代方案</w:t>
      </w:r>
    </w:p>
    <w:p>
      <w:pPr>
        <w:spacing w:before="0" w:after="200" w:lineRule="auto" w:line="276"/>
      </w:pPr>
      <w:r>
        <w:rPr>
          <w:b/>
        </w:rPr>
        <w:t xml:space="preserve">Abstract (EN): </w:t>
      </w:r>
      <w:r>
        <w:t>Generative AI algorithms such as the transformer and diffusion models have greatly empowered de novo design of proteins capable of specifically interacting with designated structural sites on another protein. Most of these design methods employ a top–down approach, in which an overall protein shape is generated by an AI model to pack against a given structural site, followed by sequence design to optimize the interaction. Despite being trained on limited protein complex structures available in the database, the top–down approach has yielded encouraging results. Here, we propose a bottom–up approach that generates atom clusters for optimal packing against a specified structured region for informing the design of protein–protein interactions. To this end, we trained a masked discrete diffusion model, named Void-X, that uses the diffusion transformer to learn atomic-level interactions and fill atomic voids in protein interaction interfaces. Void-X was trained using 8.7 million spherical clusters of atoms from experimental structures in the Protein Data Bank. In each cluster, ~70% of the atoms are used as context (or prompt), and ~30% are masked for information recovery (or answer). By training the model with 172 million parameters, Void-X achieves an overall accuracy of 78.3% and 68.2% for intra- and interchain spherical clusters, respectively. Furthermore, we find that information entropy is a reliable indicator of the prediction accuracy for Void-X. This level of performance allows de novo generation of molecular interactions at the atomic level, offering an alternative approach of protein design complementary to the existing ones.</w:t>
      </w:r>
    </w:p>
    <w:p>
      <w:pPr>
        <w:spacing w:before="120" w:after="120"/>
      </w:pPr>
      <w:r>
        <w:rPr>
          <w:sz w:val="18"/>
        </w:rPr>
        <w:t>——————————————————————————————————————————————————————————————————————</w:t>
      </w:r>
    </w:p>
    <w:p>
      <w:pPr>
        <w:spacing w:before="160" w:after="40" w:line="240" w:lineRule="auto"/>
      </w:pPr>
      <w:r>
        <w:rPr>
          <w:b/>
        </w:rPr>
        <w:t xml:space="preserve">[166] </w:t>
      </w:r>
      <w:hyperlink r:id="rId618">
        <w:r>
          <w:rPr>
            <w:color w:val="1155CC"/>
            <w:u w:val="single"/>
          </w:rPr>
          <w:t>Cryo-EM 揭示了 PCDH15 的右手双螺旋二聚体结构</w:t>
        </w:r>
      </w:hyperlink>
    </w:p>
    <w:p>
      <w:pPr>
        <w:spacing w:before="0" w:after="80"/>
      </w:pPr>
      <w:r>
        <w:rPr>
          <w:i/>
          <w:sz w:val="20"/>
        </w:rPr>
        <w:t>EN: Cryo-EM reveals a right-handed double-helix dimer architecture of PCDH15</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19">
        <w:r>
          <w:rPr>
            <w:color w:val="1155CC"/>
            <w:u w:val="single"/>
          </w:rPr>
          <w:t>10.1073/pnas.2607573123</w:t>
        </w:r>
      </w:hyperlink>
    </w:p>
    <w:p>
      <w:pPr>
        <w:spacing w:before="0" w:after="120"/>
      </w:pPr>
      <w:r>
        <w:rPr>
          <w:b/>
        </w:rPr>
        <w:t xml:space="preserve">Notes: </w:t>
      </w:r>
      <w:r>
        <w:t>abstract_source=crossref</w:t>
      </w:r>
    </w:p>
    <w:p>
      <w:pPr>
        <w:spacing w:before="0" w:after="80" w:lineRule="auto" w:line="276"/>
      </w:pPr>
      <w:r>
        <w:rPr>
          <w:b/>
        </w:rPr>
        <w:t xml:space="preserve">摘要（ZH）: </w:t>
      </w:r>
      <w:r>
        <w:t>尖端连杆连接内耳中机械感觉毛细胞的静纤毛，并将力传递到机械转导 (MET) 通道。尖端链接由原钙粘蛋白 15 (PCDH15) 和钙粘蛋白 23 组成，它们组装成长度约为 150 nm 的细胞外丝。罕见的冷冻蚀刻电子显微镜（EM）图像表明尖端链接可能是体内的右手双螺旋，但缺乏直接的结构证据。使用冷冻电镜，我们确定了大部分胞外 PCDH15 结构域的结构。两个 PCDH15 分子形成平行的顺式二聚体，通过多个二聚化界面稳定，包括两条链交叉和两个平行接触，产生右手双螺旋。功能研究表明 PCDH15 二聚化结构域的突变会损害 MET。我们的结果为 PCDH15 如何形成右手双螺旋以实现机械传感奠定了分子基础。</w:t>
      </w:r>
    </w:p>
    <w:p>
      <w:pPr>
        <w:spacing w:before="0" w:after="200" w:lineRule="auto" w:line="276"/>
      </w:pPr>
      <w:r>
        <w:rPr>
          <w:b/>
        </w:rPr>
        <w:t xml:space="preserve">Abstract (EN): </w:t>
      </w:r>
      <w:r>
        <w:t>Tip links connect the stereocilia of mechanosensory hair cells in the inner ear and transmit force onto mechanotransduction (MET) channels. Tip links consist of protocadherin 15 (PCDH15) and cadherin 23, which assemble into an extracellular filament approximately 150 nm in length. Rare freeze-etched electron microscopy (EM) images have suggested that tip links could be right-handed double helices in vivo, but direct structural evidence has been lacking. Using cryo-EM we determined the structure of a large part of the extracellular PCDH15 domain. Two PCDH15 molecules form a parallel cis dimer stabilized by several dimerization interfaces, including two strand crossovers and two parallel contacts, yielding a right-handed double helix. Functional studies show that mutations in PCDH15 dimerization-domains impair MET. Our results establish the molecular foundation for how PCDH15 forms a right-handed double helix to enable mechanical sensing.</w:t>
      </w:r>
    </w:p>
    <w:p>
      <w:pPr>
        <w:spacing w:before="120" w:after="120"/>
      </w:pPr>
      <w:r>
        <w:rPr>
          <w:sz w:val="18"/>
        </w:rPr>
        <w:t>——————————————————————————————————————————————————————————————————————</w:t>
      </w:r>
    </w:p>
    <w:p>
      <w:pPr>
        <w:spacing w:before="160" w:after="40" w:line="240" w:lineRule="auto"/>
      </w:pPr>
      <w:r>
        <w:rPr>
          <w:b/>
        </w:rPr>
        <w:t xml:space="preserve">[167] </w:t>
      </w:r>
      <w:hyperlink r:id="rId620">
        <w:r>
          <w:rPr>
            <w:color w:val="1155CC"/>
            <w:u w:val="single"/>
          </w:rPr>
          <w:t>回复 González González 等人：细菌对肾结石形成的贡献</w:t>
        </w:r>
      </w:hyperlink>
    </w:p>
    <w:p>
      <w:pPr>
        <w:spacing w:before="0" w:after="80"/>
      </w:pPr>
      <w:r>
        <w:rPr>
          <w:i/>
          <w:sz w:val="20"/>
        </w:rPr>
        <w:t>EN: Reply to González González et al.: The contribution of bacteria to kidney stone formation</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21">
        <w:r>
          <w:rPr>
            <w:color w:val="1155CC"/>
            <w:u w:val="single"/>
          </w:rPr>
          <w:t>10.1073/pnas.2609802123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622">
        <w:r>
          <w:rPr>
            <w:color w:val="1155CC"/>
            <w:u w:val="single"/>
          </w:rPr>
          <w:t>有丝分裂调节蛋白 Cdc20 泛素化机制</w:t>
        </w:r>
      </w:hyperlink>
    </w:p>
    <w:p>
      <w:pPr>
        <w:spacing w:before="0" w:after="80"/>
      </w:pPr>
      <w:r>
        <w:rPr>
          <w:i/>
          <w:sz w:val="20"/>
        </w:rPr>
        <w:t>EN: Mechanisms of ubiquitylation of the mitotic regulatory protein Cdc20</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23">
        <w:r>
          <w:rPr>
            <w:color w:val="1155CC"/>
            <w:u w:val="single"/>
          </w:rPr>
          <w:t>10.1073/pnas.2612003123</w:t>
        </w:r>
      </w:hyperlink>
    </w:p>
    <w:p>
      <w:pPr>
        <w:spacing w:before="0" w:after="120"/>
      </w:pPr>
      <w:r>
        <w:rPr>
          <w:b/>
        </w:rPr>
        <w:t xml:space="preserve">Notes: </w:t>
      </w:r>
      <w:r>
        <w:t>abstract_source=crossref</w:t>
      </w:r>
    </w:p>
    <w:p>
      <w:pPr>
        <w:spacing w:before="0" w:after="80" w:lineRule="auto" w:line="276"/>
      </w:pPr>
      <w:r>
        <w:rPr>
          <w:b/>
        </w:rPr>
        <w:t xml:space="preserve">摘要（ZH）: </w:t>
      </w:r>
      <w:r>
        <w:t>一种称为后期促进复合物/环体 (APC/C) 的多亚基泛素连接酶控制真核细胞有丝分裂的进展。 APC/C 在有丝分裂中的活性受到共激活蛋白 Cdc20 的正向和负向调节。在退出有丝分裂时，Cdc20 被 APC/C 催化的泛素化靶向降解。有人提出Cdc20的泛素化是通过分子内“顺式”机制进行的，其中与APC/C共激活子位点结合的Cdc20被直接泛素化[I. T·福</w:t>
      </w:r>
      <w:r>
        <w:t xml:space="preserve"> </w:t>
      </w:r>
      <w:r>
        <w:t>等人。</w:t>
      </w:r>
      <w:r>
        <w:t xml:space="preserve"> </w:t>
      </w:r>
      <w:r>
        <w:t>,</w:t>
      </w:r>
      <w:r>
        <w:t xml:space="preserve"> </w:t>
      </w:r>
      <w:r>
        <w:t>电流。生物。</w:t>
      </w:r>
      <w:r>
        <w:rPr>
          <w:vertAlign w:val="subscript"/>
        </w:rPr>
        <w:t>21</w:t>
      </w:r>
      <w:r>
        <w:t>，1870–1877（2011）]。该提议主要基于观察到Cdc20（参与其与APC/C结合的异亮氨酸-精氨酸C端序列）IR尾部的突变显着损害了Cdc20泛素化。我们发现，Cdc20 的 IR 尾部也是 Cdh1（一种作用于细胞周期 G1 期的 APC/C 共激活剂）促进的 Cdc20 泛素化所必需的。这表明 IR 基序参与了</w:t>
      </w:r>
      <w:r>
        <w:t xml:space="preserve"> </w:t>
      </w:r>
      <w:r>
        <w:t>反式</w:t>
      </w:r>
      <w:r>
        <w:t xml:space="preserve"> </w:t>
      </w:r>
      <w:r>
        <w:t>Cdc20泛素化机制。一个</w:t>
      </w:r>
      <w:r>
        <w:t xml:space="preserve"> </w:t>
      </w:r>
      <w:r>
        <w:t>反式</w:t>
      </w:r>
      <w:r>
        <w:t xml:space="preserve"> </w:t>
      </w:r>
      <w:r>
        <w:t>APC/C 对 Cdc20 泛素化的观察也表明了这一机制</w:t>
      </w:r>
      <w:r>
        <w:t xml:space="preserve"> </w:t>
      </w:r>
      <w:r>
        <w:t>CDC20</w:t>
      </w:r>
      <w:r>
        <w:t xml:space="preserve"> </w:t>
      </w:r>
      <w:r>
        <w:t>，如 APC/C 所言</w:t>
      </w:r>
      <w:r>
        <w:t xml:space="preserve"> </w:t>
      </w:r>
      <w:r>
        <w:t>CDH1</w:t>
      </w:r>
      <w:r>
        <w:t xml:space="preserve"> </w:t>
      </w:r>
      <w:r>
        <w:t>，需要 Cdc20 的 KEN-box 和 CRY-box 降解决定子。提出了一个模型，根据该模型，底物 Cdc20 的 IR 尾部及其 KEN-box 和 CRY-box 莫</w:t>
      </w:r>
    </w:p>
    <w:p>
      <w:pPr>
        <w:spacing w:before="0" w:after="200" w:lineRule="auto" w:line="276"/>
      </w:pPr>
      <w:r>
        <w:rPr>
          <w:b/>
        </w:rPr>
        <w:t xml:space="preserve">Abstract (EN): </w:t>
      </w:r>
      <w:r>
        <w:t>A multisubunit ubiquitin ligase called the anaphase-promoting complex/cyclosome (APC/C) controls progress through mitosis in eukaryotic cells. The activity of APC/C in mitosis is subject to both positive and negative regulation by the co-activator protein Cdc20. On exit from mitosis, Cdc20 is targeted for degradation by APC/C-catalyzed ubiquitylation. It has been proposed that the ubiquitylation of Cdc20 is carried out by an intramolecular “cis” mechanism, in which Cdc20 bound to the co-activator site of APC/C is directly ubiquitylated [I. T. Foe</w:t>
      </w:r>
      <w:r>
        <w:t xml:space="preserve"> </w:t>
      </w:r>
      <w:r>
        <w:t>et al.</w:t>
      </w:r>
      <w:r>
        <w:t xml:space="preserve"> </w:t>
      </w:r>
      <w:r>
        <w:t>,</w:t>
      </w:r>
      <w:r>
        <w:t xml:space="preserve"> </w:t>
      </w:r>
      <w:r>
        <w:t>Curr. Biol.</w:t>
      </w:r>
      <w:r>
        <w:rPr>
          <w:vertAlign w:val="subscript"/>
        </w:rPr>
        <w:t>21</w:t>
      </w:r>
      <w:r>
        <w:t>, 1870–1877 (2011)]. This proposal was mainly based on the observation that mutation in the IR tail of Cdc20, an isoleucine-arginine C-terminal sequence involved in its binding to APC/C, markedly impaired Cdc20 ubiquitylation. We find that the IR tail of Cdc20 is also required for Cdc20 ubiquitylation promoted by Cdh1, an APC/C co-activator that acts in the G1 phase of the cell cycle. This suggested the involvement of the IR motif in a</w:t>
      </w:r>
      <w:r>
        <w:t xml:space="preserve"> </w:t>
      </w:r>
      <w:r>
        <w:t>trans</w:t>
      </w:r>
      <w:r>
        <w:t xml:space="preserve"> </w:t>
      </w:r>
      <w:r>
        <w:t>mechanism of Cdc20 ubiquitylation. A</w:t>
      </w:r>
      <w:r>
        <w:t xml:space="preserve"> </w:t>
      </w:r>
      <w:r>
        <w:t>trans</w:t>
      </w:r>
      <w:r>
        <w:t xml:space="preserve"> </w:t>
      </w:r>
      <w:r>
        <w:t>mechanism is also suggested by the observation that Cdc20 ubiquitylation by APC/C</w:t>
      </w:r>
      <w:r>
        <w:t xml:space="preserve"> </w:t>
      </w:r>
      <w:r>
        <w:t>Cdc20</w:t>
      </w:r>
      <w:r>
        <w:t xml:space="preserve"> </w:t>
      </w:r>
      <w:r>
        <w:t>, as that by APC/C</w:t>
      </w:r>
      <w:r>
        <w:t xml:space="preserve"> </w:t>
      </w:r>
      <w:r>
        <w:t>Cdh1</w:t>
      </w:r>
      <w:r>
        <w:t xml:space="preserve"> </w:t>
      </w:r>
      <w:r>
        <w:t>, requires both KEN-box and CRY-box degrons of Cdc20. A model is proposed according to which the IR tail of substrate Cdc20, along with its KEN-box and CRY-box motifs, interact with corresponding binding sites of APC/C-coactivator complexes.</w:t>
      </w:r>
    </w:p>
    <w:p>
      <w:pPr>
        <w:spacing w:before="120" w:after="120"/>
      </w:pPr>
      <w:r>
        <w:rPr>
          <w:sz w:val="18"/>
        </w:rPr>
        <w:t>——————————————————————————————————————————————————————————————————————</w:t>
      </w:r>
    </w:p>
    <w:p>
      <w:pPr>
        <w:spacing w:before="160" w:after="40" w:line="240" w:lineRule="auto"/>
      </w:pPr>
      <w:r>
        <w:rPr>
          <w:b/>
        </w:rPr>
        <w:t xml:space="preserve">[169] </w:t>
      </w:r>
      <w:hyperlink r:id="rId624">
        <w:r>
          <w:rPr>
            <w:color w:val="1155CC"/>
            <w:u w:val="single"/>
          </w:rPr>
          <w:t>通过全基因组 SNP 的智能分析，预测 Correa 级联中幽门螺杆菌菌株的风险</w:t>
        </w:r>
      </w:hyperlink>
    </w:p>
    <w:p>
      <w:pPr>
        <w:spacing w:before="0" w:after="80"/>
      </w:pPr>
      <w:r>
        <w:rPr>
          <w:i/>
          <w:sz w:val="20"/>
        </w:rPr>
        <w:t>EN: Risk prediction of Helicobacter pylori strains across Correa’s cascade via intelligent analysis of genome-wide SNPs</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25">
        <w:r>
          <w:rPr>
            <w:color w:val="1155CC"/>
            <w:u w:val="single"/>
          </w:rPr>
          <w:t>10.1073/pnas.2603926123</w:t>
        </w:r>
      </w:hyperlink>
    </w:p>
    <w:p>
      <w:pPr>
        <w:spacing w:before="0" w:after="120"/>
      </w:pPr>
      <w:r>
        <w:rPr>
          <w:b/>
        </w:rPr>
        <w:t xml:space="preserve">Notes: </w:t>
      </w:r>
      <w:r>
        <w:t>abstract_source=crossref</w:t>
      </w:r>
    </w:p>
    <w:p>
      <w:pPr>
        <w:spacing w:before="0" w:after="80" w:lineRule="auto" w:line="276"/>
      </w:pPr>
      <w:r>
        <w:rPr>
          <w:b/>
        </w:rPr>
        <w:t xml:space="preserve">摘要（ZH）: </w:t>
      </w:r>
      <w:r>
        <w:t>只有少数人</w:t>
      </w:r>
      <w:r>
        <w:t xml:space="preserve"> </w:t>
      </w:r>
      <w:r>
        <w:t>幽门螺杆菌</w:t>
      </w:r>
      <w:r>
        <w:t xml:space="preserve"> </w:t>
      </w:r>
      <w:r>
        <w:t>（</w:t>
      </w:r>
      <w:r>
        <w:t xml:space="preserve"> </w:t>
      </w:r>
      <w:r>
        <w:t>幽门螺杆菌</w:t>
      </w:r>
      <w:r>
        <w:t xml:space="preserve"> </w:t>
      </w:r>
      <w:r>
        <w:t>）感染个体沿着 Correa 级联发展，经典毒力标记不能完全解释这种异质性，激发了全基因组方法来量化与晚期病变相关的菌株水平基因组风险。我们集结了528个高品质</w:t>
      </w:r>
      <w:r>
        <w:t xml:space="preserve"> </w:t>
      </w:r>
      <w:r>
        <w:t>幽门螺杆菌</w:t>
      </w:r>
      <w:r>
        <w:t xml:space="preserve"> </w:t>
      </w:r>
      <w:r>
        <w:t>涵盖非萎缩性胃炎 (NAG)、萎缩性胃炎 (AG)、肠化生 (IM) 和胃癌 (GC) 的全基因组序列，并进行细菌全基因组关联分析，并对群体结构进行明确调整。然后，我们将高级病变相关变异整合到随机森林模型中，以得出</w:t>
      </w:r>
      <w:r>
        <w:t xml:space="preserve"> </w:t>
      </w:r>
      <w:r>
        <w:t>幽门螺杆菌</w:t>
      </w:r>
      <w:r>
        <w:t xml:space="preserve"> </w:t>
      </w:r>
      <w:r>
        <w:t>基因组风险评分 (HpRS)，定义为菌株与晚期病变 (IM/GC) 与非晚期病变 (NAG/AG) 相关的预测概率。尽管系统发生分析表明全基因组聚类主要由地理谱系而不是疾病阶段驱动，但 HpRS 在重复交叉验证中实现了强烈的区分度（平均 AUC = 0.902，95% CI：0.892 至 0.912），在内部保留集（AUC = 0.780）中仍然具有区分度，并推广到两个独立队列（细菌和病毒生物信息学资源）中心（BV-BRC）：AUC = 0.871</w:t>
      </w:r>
    </w:p>
    <w:p>
      <w:pPr>
        <w:spacing w:before="0" w:after="200" w:lineRule="auto" w:line="276"/>
      </w:pPr>
      <w:r>
        <w:rPr>
          <w:b/>
        </w:rPr>
        <w:t xml:space="preserve">Abstract (EN): </w:t>
      </w:r>
      <w:r>
        <w:t>Only a minority of</w:t>
      </w:r>
      <w:r>
        <w:t xml:space="preserve"> </w:t>
      </w:r>
      <w:r>
        <w:t>Helicobacter pylori</w:t>
      </w:r>
      <w:r>
        <w:t xml:space="preserve"> </w:t>
      </w:r>
      <w:r>
        <w:t>(</w:t>
      </w:r>
      <w:r>
        <w:t xml:space="preserve"> </w:t>
      </w:r>
      <w:r>
        <w:t>H. pylori</w:t>
      </w:r>
      <w:r>
        <w:t xml:space="preserve"> </w:t>
      </w:r>
      <w:r>
        <w:t>)-infected individuals progress along Correa’s cascade, and classical virulence markers do not fully explain this heterogeneity, motivating genome-wide approaches to quantify strain-level genomic risk associated with advanced lesions. We assembled 528 high-quality</w:t>
      </w:r>
      <w:r>
        <w:t xml:space="preserve"> </w:t>
      </w:r>
      <w:r>
        <w:t>H. pylori</w:t>
      </w:r>
      <w:r>
        <w:t xml:space="preserve"> </w:t>
      </w:r>
      <w:r>
        <w:t>whole-genome sequences spanning nonatrophic gastritis (NAG), atrophic gastritis (AG), intestinal metaplasia (IM), and gastric cancer (GC) and performed bacterial genome-wide association analyses with explicit adjustment for population structure. We then integrated advanced lesions-associated variants into a random forest model to derive an</w:t>
      </w:r>
      <w:r>
        <w:t xml:space="preserve"> </w:t>
      </w:r>
      <w:r>
        <w:t>H. pylori</w:t>
      </w:r>
      <w:r>
        <w:t xml:space="preserve"> </w:t>
      </w:r>
      <w:r>
        <w:t>Genomic Risk Score (HpRS), defined as the predicted probability that a strain is associated with advanced lesions (IM/GC) vs. nonadvanced lesions (NAG/AG). Despite phylogenetic analyses revealing that genome-wide clustering was primarily driven by geographic lineage rather than disease stage, HpRS achieved strong discrimination in repeated cross-validation (mean AUC = 0.902, 95% CI: 0.892 to 0.912), remained discriminatory in an internal held-out set (AUC = 0.780), and generalized to two independent cohorts (Bacterial and Viral Bioinformatics Resource Center (BV-BRC): AUC = 0.871; hospital cohort distinguishing IM vs. NAG/AG: AUC = 0.843). Predictive single-nucleotide polymorphisms mapped mainly to core functions (DNA repair, translation, and central and lipid metabolism) and often affected conserved domains, suggesting a polygenic architecture and generating testable functional hypotheses. HpRS provides a proof-of-principle framework for strain-aware risk stratification and may complement future gastric cancer prevention strategies.</w:t>
      </w:r>
    </w:p>
    <w:p>
      <w:pPr>
        <w:spacing w:before="120" w:after="120"/>
      </w:pPr>
      <w:r>
        <w:rPr>
          <w:sz w:val="18"/>
        </w:rPr>
        <w:t>——————————————————————————————————————————————————————————————————————</w:t>
      </w:r>
    </w:p>
    <w:p>
      <w:pPr>
        <w:spacing w:before="160" w:after="40" w:line="240" w:lineRule="auto"/>
      </w:pPr>
      <w:r>
        <w:rPr>
          <w:b/>
        </w:rPr>
        <w:t xml:space="preserve">[170] </w:t>
      </w:r>
      <w:hyperlink r:id="rId626">
        <w:r>
          <w:rPr>
            <w:color w:val="1155CC"/>
            <w:u w:val="single"/>
          </w:rPr>
          <w:t>病毒RNA聚合酶和核酸外切酶的连续催化步骤提出了一种克服内在核苷酸类似物耐药性的方法</w:t>
        </w:r>
      </w:hyperlink>
    </w:p>
    <w:p>
      <w:pPr>
        <w:spacing w:before="0" w:after="80"/>
      </w:pPr>
      <w:r>
        <w:rPr>
          <w:i/>
          <w:sz w:val="20"/>
        </w:rPr>
        <w:t>EN: Consecutive catalytic steps of viral RNA polymerase and exonuclease suggest a way to overcome intrinsic nucleotide analogue resistance</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27">
        <w:r>
          <w:rPr>
            <w:color w:val="1155CC"/>
            <w:u w:val="single"/>
          </w:rPr>
          <w:t>10.1073/pnas.2605725123</w:t>
        </w:r>
      </w:hyperlink>
    </w:p>
    <w:p>
      <w:pPr>
        <w:spacing w:before="0" w:after="120"/>
      </w:pPr>
      <w:r>
        <w:rPr>
          <w:b/>
        </w:rPr>
        <w:t xml:space="preserve">Notes: </w:t>
      </w:r>
      <w:r>
        <w:t>abstract_source=crossref</w:t>
      </w:r>
    </w:p>
    <w:p>
      <w:pPr>
        <w:spacing w:before="0" w:after="80" w:lineRule="auto" w:line="276"/>
      </w:pPr>
      <w:r>
        <w:rPr>
          <w:b/>
        </w:rPr>
        <w:t xml:space="preserve">摘要（ZH）: </w:t>
      </w:r>
      <w:r>
        <w:t>核苷酸类似物 (NA) 通过选择性靶向病毒 RNA 依赖性 RNA 聚合酶 (RdRp) 并入病毒基因组，已成功用于治疗各种 RNA 病毒感染。然而，感染人类的 RNA 病毒的两个主要家族，</w:t>
      </w:r>
      <w:r>
        <w:t xml:space="preserve"> </w:t>
      </w:r>
      <w:r>
        <w:t>冠状病毒科</w:t>
      </w:r>
      <w:r>
        <w:t xml:space="preserve"> </w:t>
      </w:r>
      <w:r>
        <w:t>（冠状病毒）和</w:t>
      </w:r>
      <w:r>
        <w:t xml:space="preserve"> </w:t>
      </w:r>
      <w:r>
        <w:t>沙粒病毒科,</w:t>
      </w:r>
      <w:r>
        <w:t xml:space="preserve"> </w:t>
      </w:r>
      <w:r>
        <w:t>编码核酸外切酶结构域，可以识别并去除掺入的 NA，从而提供对其中一些药物的天然耐药性。聚合和切除反应在机制上都以核苷酸 α-磷酸为中心，从而有可能连续抑制 RNA 合成和修复。在这里，我们提供了聚合过程中磷中心构型反转的结构证据，证明 SARS-CoV-2 RdRp 通过 S</w:t>
      </w:r>
      <w:r>
        <w:t xml:space="preserve"> </w:t>
      </w:r>
      <w:r>
        <w:t>氮</w:t>
      </w:r>
      <w:r>
        <w:t xml:space="preserve"> </w:t>
      </w:r>
      <w:r>
        <w:t>2机制。与 RNA 和 α-硫代修饰的 NTP 结合的三元复制复合物的 2.39 Å 分辨率冷冻电镜结构表明，首选的</w:t>
      </w:r>
      <w:r>
        <w:t xml:space="preserve"> </w:t>
      </w:r>
      <w:r>
        <w:t>S</w:t>
      </w:r>
      <w:r>
        <w:t xml:space="preserve"> </w:t>
      </w:r>
      <w:r>
        <w:t>磷</w:t>
      </w:r>
      <w:r>
        <w:t xml:space="preserve"> </w:t>
      </w:r>
      <w:r>
        <w:t>RNA 3'端的异构体在RNA中产生硫代磷酸酯键</w:t>
      </w:r>
      <w:r>
        <w:t xml:space="preserve"> </w:t>
      </w:r>
      <w:r>
        <w:t>右</w:t>
      </w:r>
      <w:r>
        <w:t xml:space="preserve"> </w:t>
      </w:r>
      <w:r>
        <w:t>磷</w:t>
      </w:r>
      <w:r>
        <w:t xml:space="preserve"> </w:t>
      </w:r>
      <w:r>
        <w:t>配置。这个</w:t>
      </w:r>
      <w:r>
        <w:t xml:space="preserve"> </w:t>
      </w:r>
      <w:r>
        <w:t>右</w:t>
      </w:r>
      <w:r>
        <w:t xml:space="preserve"> </w:t>
      </w:r>
      <w:r>
        <w:t>磷</w:t>
      </w:r>
      <w:r>
        <w:t xml:space="preserve"> </w:t>
      </w:r>
      <w:r>
        <w:t>-硫代磷酸酯 RNA 产物显示 SARS-CoV-2 和三种沙粒病毒 RNA 核酸外切酶的切割减少，揭示了与结构相关的 DNA 核酸外切酶相反的立体化学偏好。时间</w:t>
      </w:r>
    </w:p>
    <w:p>
      <w:pPr>
        <w:spacing w:before="0" w:after="200" w:lineRule="auto" w:line="276"/>
      </w:pPr>
      <w:r>
        <w:rPr>
          <w:b/>
        </w:rPr>
        <w:t xml:space="preserve">Abstract (EN): </w:t>
      </w:r>
      <w:r>
        <w:t>Nucleotide analogues (NAs) have been successfully used for the treatment of various RNA virus infections by selectively targeting the viral RNA-dependent RNA polymerase (RdRp) for incorporation into the viral genome. However two major families of human-infecting RNA viruses,</w:t>
      </w:r>
      <w:r>
        <w:t xml:space="preserve"> </w:t>
      </w:r>
      <w:r>
        <w:t>Coronaviridae</w:t>
      </w:r>
      <w:r>
        <w:t xml:space="preserve"> </w:t>
      </w:r>
      <w:r>
        <w:t>(CoV) and</w:t>
      </w:r>
      <w:r>
        <w:t xml:space="preserve"> </w:t>
      </w:r>
      <w:r>
        <w:t>Arenaviridae,</w:t>
      </w:r>
      <w:r>
        <w:t xml:space="preserve"> </w:t>
      </w:r>
      <w:r>
        <w:t>encode exonuclease domains that may recognize and remove incorporated NAs, thus providing natural resistance against some of these drugs. Both polymerization and excision reactions are mechanistically centered on the nucleotide α-phosphate, enabling the potential for sequential inhibition of both RNA synthesis and repair. Here, we provide structural evidence of inversion of configuration at the phosphorus center during polymerization, demonstrating that the SARS-CoV-2 RdRp proceeds through an S</w:t>
      </w:r>
      <w:r>
        <w:t xml:space="preserve"> </w:t>
      </w:r>
      <w:r>
        <w:t>N</w:t>
      </w:r>
      <w:r>
        <w:t xml:space="preserve"> </w:t>
      </w:r>
      <w:r>
        <w:t>2 mechanism. A 2.39 Å resolution cryo-EM structure of a ternary replication complex bound to RNA and an α-thio–modified NTP shows that incorporation of the preferred</w:t>
      </w:r>
      <w:r>
        <w:t xml:space="preserve"> </w:t>
      </w:r>
      <w:r>
        <w:t>S</w:t>
      </w:r>
      <w:r>
        <w:t xml:space="preserve"> </w:t>
      </w:r>
      <w:r>
        <w:t>P</w:t>
      </w:r>
      <w:r>
        <w:t xml:space="preserve"> </w:t>
      </w:r>
      <w:r>
        <w:t>isomer at the 3′ end of the RNA yields a phosphorothioate linkage in the</w:t>
      </w:r>
      <w:r>
        <w:t xml:space="preserve"> </w:t>
      </w:r>
      <w:r>
        <w:t>R</w:t>
      </w:r>
      <w:r>
        <w:t xml:space="preserve"> </w:t>
      </w:r>
      <w:r>
        <w:t>P</w:t>
      </w:r>
      <w:r>
        <w:t xml:space="preserve"> </w:t>
      </w:r>
      <w:r>
        <w:t>configuration. This</w:t>
      </w:r>
      <w:r>
        <w:t xml:space="preserve"> </w:t>
      </w:r>
      <w:r>
        <w:t>R</w:t>
      </w:r>
      <w:r>
        <w:t xml:space="preserve"> </w:t>
      </w:r>
      <w:r>
        <w:t>P</w:t>
      </w:r>
      <w:r>
        <w:t xml:space="preserve"> </w:t>
      </w:r>
      <w:r>
        <w:t>-phosphorothioate RNA product shows reduced cleavage by both the SARS-CoV-2 and three arenavirus RNA exonucleases, revealing a stereochemical preference opposite to that of structurally related DNA exonucleases. This observation contradicts the prevailing assumption that sulfur substitution at the metal-coordinating oxygen universally blocks catalysis. Instead, RNA exonuclease stereoselectivity appears to be shaped not only by metal–sulfur interactions but also by the geometry of nucleophile activation. These findings provide mechanistic insights into phosphoryl transfer in viral polymerases and exonucleases and highlight opportunities to counteract intrinsic nuclease-mediated resistance against antiviral nucleotide analogues.</w:t>
      </w:r>
    </w:p>
    <w:p>
      <w:pPr>
        <w:spacing w:before="120" w:after="120"/>
      </w:pPr>
      <w:r>
        <w:rPr>
          <w:sz w:val="18"/>
        </w:rPr>
        <w:t>——————————————————————————————————————————————————————————————————————</w:t>
      </w:r>
    </w:p>
    <w:p>
      <w:pPr>
        <w:spacing w:before="160" w:after="40" w:line="240" w:lineRule="auto"/>
      </w:pPr>
      <w:r>
        <w:rPr>
          <w:b/>
        </w:rPr>
        <w:t xml:space="preserve">[171] </w:t>
      </w:r>
      <w:hyperlink r:id="rId628">
        <w:r>
          <w:rPr>
            <w:color w:val="1155CC"/>
            <w:u w:val="single"/>
          </w:rPr>
          <w:t>将营养重要性纳入陆生脊椎动物的保护中</w:t>
        </w:r>
      </w:hyperlink>
    </w:p>
    <w:p>
      <w:pPr>
        <w:spacing w:before="0" w:after="80"/>
      </w:pPr>
      <w:r>
        <w:rPr>
          <w:i/>
          <w:sz w:val="20"/>
        </w:rPr>
        <w:t>EN: Integrating trophic importance into conservation of terrestrial vertebrates</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29">
        <w:r>
          <w:rPr>
            <w:color w:val="1155CC"/>
            <w:u w:val="single"/>
          </w:rPr>
          <w:t>10.1073/pnas.2605237123</w:t>
        </w:r>
      </w:hyperlink>
    </w:p>
    <w:p>
      <w:pPr>
        <w:spacing w:before="0" w:after="120"/>
      </w:pPr>
      <w:r>
        <w:rPr>
          <w:b/>
        </w:rPr>
        <w:t xml:space="preserve">Notes: </w:t>
      </w:r>
      <w:r>
        <w:t>abstract_source=crossref</w:t>
      </w:r>
    </w:p>
    <w:p>
      <w:pPr>
        <w:spacing w:before="0" w:after="80" w:lineRule="auto" w:line="276"/>
      </w:pPr>
      <w:r>
        <w:rPr>
          <w:b/>
        </w:rPr>
        <w:t xml:space="preserve">摘要（ZH）: </w:t>
      </w:r>
      <w:r>
        <w:t>全球一致认为，需要优先考虑保护工作，以防止生物多样性丧失和动物区系丧失。目前大多数保护举措都集中在物种多样性高或许多受威胁物种的地区，独立对待物种并忽略营养相互作用。为了解决这些疏忽，我们开发了一个框架来量化物种在营养重要性 (TI) 和全球濒危 (GE) 连续体中的作用，该框架是根据超过 25,000 种脊椎动物物种的全球陆地元食物网进行估计的。我们将 TI 与 IUCN 红色名录类别相结合，创建了营养重要性全球濒危 (TIGE) 指数，将 TI 和灭绝风险结合起来。我们的分析表明，TI 指数提供了超越物种濒危的独特且互补的见解。系统保护规划表明，与传统分类方法相比，基于 TIGE 的区域优先排序显示出显着的空间不一致。我们的研究结果强调了将物种营养网络重要性纳入保护战略以协调物种生态系统功能和生物多样性保护的价值。</w:t>
      </w:r>
    </w:p>
    <w:p>
      <w:pPr>
        <w:spacing w:before="0" w:after="200" w:lineRule="auto" w:line="276"/>
      </w:pPr>
      <w:r>
        <w:rPr>
          <w:b/>
        </w:rPr>
        <w:t xml:space="preserve">Abstract (EN): </w:t>
      </w:r>
      <w:r>
        <w:t>There is global consensus on the need to prioritize conservation efforts to prevent biodiversity loss and defaunation. Most current conservation initiatives focus on areas with high species diversity or many threatened species, treating species independently and neglecting trophic interactions. To address these oversights, we developed a framework to quantify species’ roles along continuums of trophic importance (TI) and global endangerment (GE), estimated from a global terrestrial meta-food web of over 25,000 vertebrate species. We combined TI with IUCN Red List categories to create a Trophic Importance Global Endangerment (TIGE) index, integrating TI and extinction risk. Our analysis revealed that the TI index provides distinct and complementary insights beyond species endangerment. Systematic conservation planning indicated that prioritizing areas based on TIGE shows significant spatial inconsistency compared to traditional taxonomic approaches. Our findings emphasize the value of incorporating species trophic network importance into conservation strategies to reconcile species ecosystem functioning and biodiversity conservation.</w:t>
      </w:r>
    </w:p>
    <w:p>
      <w:pPr>
        <w:spacing w:before="120" w:after="120"/>
      </w:pPr>
      <w:r>
        <w:rPr>
          <w:sz w:val="18"/>
        </w:rPr>
        <w:t>——————————————————————————————————————————————————————————————————————</w:t>
      </w:r>
    </w:p>
    <w:p>
      <w:pPr>
        <w:spacing w:before="160" w:after="40" w:line="240" w:lineRule="auto"/>
      </w:pPr>
      <w:r>
        <w:rPr>
          <w:b/>
        </w:rPr>
        <w:t xml:space="preserve">[172] </w:t>
      </w:r>
      <w:hyperlink r:id="rId630">
        <w:r>
          <w:rPr>
            <w:color w:val="1155CC"/>
            <w:u w:val="single"/>
          </w:rPr>
          <w:t>催产素通过网络级抑制和θ耦合选择性地偏向感觉-前额叶交流</w:t>
        </w:r>
      </w:hyperlink>
    </w:p>
    <w:p>
      <w:pPr>
        <w:spacing w:before="0" w:after="80"/>
      </w:pPr>
      <w:r>
        <w:rPr>
          <w:i/>
          <w:sz w:val="20"/>
        </w:rPr>
        <w:t>EN: Oxytocin selectively biases sensory–prefrontal communication through network-level suppression and theta coupling</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31">
        <w:r>
          <w:rPr>
            <w:color w:val="1155CC"/>
            <w:u w:val="single"/>
          </w:rPr>
          <w:t>10.1073/pnas.2603966123</w:t>
        </w:r>
      </w:hyperlink>
    </w:p>
    <w:p>
      <w:pPr>
        <w:spacing w:before="0" w:after="120"/>
      </w:pPr>
      <w:r>
        <w:rPr>
          <w:b/>
        </w:rPr>
        <w:t xml:space="preserve">Notes: </w:t>
      </w:r>
      <w:r>
        <w:t>abstract_source=crossref</w:t>
      </w:r>
    </w:p>
    <w:p>
      <w:pPr>
        <w:spacing w:before="0" w:after="80" w:lineRule="auto" w:line="276"/>
      </w:pPr>
      <w:r>
        <w:rPr>
          <w:b/>
        </w:rPr>
        <w:t xml:space="preserve">摘要（ZH）: </w:t>
      </w:r>
      <w:r>
        <w:t>催产素通过改变微电路水平的兴奋-抑制平衡来调节社会信息处理，但这种局部调节如何引起分布式大脑系统水平的选择性处理仍不清楚。在这里，我们使用多位点局部场电位记录研究了催产素对小鼠大脑皮质边缘网络大规模神经动力学的影响。催产素选择性增强听觉皮层（AC）和内侧前额叶皮层（mPFC）对婴儿叫声的神经反应。这些增强是在基线活动减少的情况下发生的，表明信噪比增加，而不是兴奋性整体增加。在听觉稳态反应（ASSR）期间，催产素增加了前额叶相位的一致性，但不改变 ASSR 的功率。在休息期间，催产素会引起跨区域自发光谱功率的短暂宽带降低。尽管活性减少，但区域间相互作用的分析揭示了 AC→mPFC 的低 θ 相位耦合和定向连接的选择性增加。会话级分析表明，较强的自下而上的 AC→mPFC 耦合与较低的前额叶功率相关，这与有利于感觉到前额叶信息传递的门控或去抑制网络机制一致。多变量分析表明，使用监督分类模型可以可靠地区分催产素/盐水条件，其中光谱功率、锁相和格兰杰因果连接特征的具体贡献。相反，无监督维度</w:t>
      </w:r>
    </w:p>
    <w:p>
      <w:pPr>
        <w:spacing w:before="0" w:after="200" w:lineRule="auto" w:line="276"/>
      </w:pPr>
      <w:r>
        <w:rPr>
          <w:b/>
        </w:rPr>
        <w:t xml:space="preserve">Abstract (EN): </w:t>
      </w:r>
      <w:r>
        <w:t>Oxytocin modulates social information processing by altering excitatory-inhibitory balance at the microcircuit level, but how such local modulation gives rise to selective processing at the level of distributed brain systems remains unclear. Here, we investigated the effects of oxytocin on large-scale neurodynamics across cortico-limbic network in the mouse brain using multisite local field potential recordings. Oxytocin selectively enhanced neural responses to infant calls in the auditory cortex (AC) and medial prefrontal cortex (mPFC). These enhancements occurred while baseline activity was reduced, indicating increased signal-to-noise ratio rather than a global increase in excitability. During auditory steady-state responses (ASSRs), oxytocin increased prefrontal phase coherence without altering ASSR power. During rest, oxytocin induced a transient, broadband reduction in spontaneous spectral power across regions. Despite this reduction in activity, analyses of interregional interactions revealed a selective increase in low-theta phase coupling and directional connectivity of AC→mPFC. Session-level analyses showed that stronger bottom–up AC→mPFC coupling was associated with lower prefrontal power, consistent with a gating or disinhibitory network regime favoring sensory-to-prefrontal information transfer. Multivariate analyses showed that oxytocin/saline conditions were reliably discriminable using supervised classification models, with specific contributions from spectral power, phase-locking, and Granger-causal connectivity features. Conversely, unsupervised dimensionality reduction did not identify a distinct low-dimensional manifold separating conditions, although a modest shift in the centroid of neural state space was observed. Together, these results indicate that oxytocin reduces background neural activity while selectively enhancing sensory–prefrontal network interactions, providing a systems-level account linking local inhibitory modulation to selective processing of socially salient infant cues.</w:t>
      </w:r>
    </w:p>
    <w:p>
      <w:pPr>
        <w:spacing w:before="120" w:after="120"/>
      </w:pPr>
      <w:r>
        <w:rPr>
          <w:sz w:val="18"/>
        </w:rPr>
        <w:t>——————————————————————————————————————————————————————————————————————</w:t>
      </w:r>
    </w:p>
    <w:p>
      <w:pPr>
        <w:spacing w:before="160" w:after="40" w:line="240" w:lineRule="auto"/>
      </w:pPr>
      <w:r>
        <w:rPr>
          <w:b/>
        </w:rPr>
        <w:t xml:space="preserve">[173] </w:t>
      </w:r>
      <w:hyperlink r:id="rId632">
        <w:r>
          <w:rPr>
            <w:color w:val="1155CC"/>
            <w:u w:val="single"/>
          </w:rPr>
          <w:t>草酸钙肾结石中的细菌生物膜：我们处于什么位置？</w:t>
        </w:r>
      </w:hyperlink>
    </w:p>
    <w:p>
      <w:pPr>
        <w:spacing w:before="0" w:after="80"/>
      </w:pPr>
      <w:r>
        <w:rPr>
          <w:i/>
          <w:sz w:val="20"/>
        </w:rPr>
        <w:t>EN: Bacterial biofilms in calcium oxalate kidney stones: Where do we stand?</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33">
        <w:r>
          <w:rPr>
            <w:color w:val="1155CC"/>
            <w:u w:val="single"/>
          </w:rPr>
          <w:t>10.1073/pnas.2606646123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634">
        <w:r>
          <w:rPr>
            <w:color w:val="1155CC"/>
            <w:u w:val="single"/>
          </w:rPr>
          <w:t>一种真菌天然产物，通过破坏纤维素合酶复合物来抑制植物纤维素生物合成</w:t>
        </w:r>
      </w:hyperlink>
    </w:p>
    <w:p>
      <w:pPr>
        <w:spacing w:before="0" w:after="80"/>
      </w:pPr>
      <w:r>
        <w:rPr>
          <w:i/>
          <w:sz w:val="20"/>
        </w:rPr>
        <w:t>EN: A fungal natural product that inhibits plant cellulose biosynthesis by disrupting cellulose synthase complexes</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35">
        <w:r>
          <w:rPr>
            <w:color w:val="1155CC"/>
            <w:u w:val="single"/>
          </w:rPr>
          <w:t>10.1073/pnas.2602575123</w:t>
        </w:r>
      </w:hyperlink>
    </w:p>
    <w:p>
      <w:pPr>
        <w:spacing w:before="0" w:after="120"/>
      </w:pPr>
      <w:r>
        <w:rPr>
          <w:b/>
        </w:rPr>
        <w:t xml:space="preserve">Notes: </w:t>
      </w:r>
      <w:r>
        <w:t>abstract_source=crossref</w:t>
      </w:r>
    </w:p>
    <w:p>
      <w:pPr>
        <w:spacing w:before="0" w:after="80" w:lineRule="auto" w:line="276"/>
      </w:pPr>
      <w:r>
        <w:rPr>
          <w:b/>
        </w:rPr>
        <w:t xml:space="preserve">摘要（ZH）: </w:t>
      </w:r>
      <w:r>
        <w:t>纤维素是植物细胞壁的主要成分，由质膜上的纤维素合酶复合物 (CSC) 合成。使用纤维素生物合成抑制剂（CBI）来靶向这一过程极大地增进了我们对植物细胞壁形成的理解，并为除草剂的开发提供了有价值的化合物。在这里，我们鉴定了一种真菌天然产物 8-甲基二氯甘油酯 (MDD)，作为广谱植物 CBI。结构-活性关系分析表明，异香豆素环的甲基化修饰和侧链的氯化对于 MDD 诱导的生长抑制至关重要。化学正向遗传筛选</w:t>
      </w:r>
      <w:r>
        <w:t xml:space="preserve"> </w:t>
      </w:r>
      <w:r>
        <w:t>拟南芥</w:t>
      </w:r>
      <w:r>
        <w:t xml:space="preserve"> </w:t>
      </w:r>
      <w:r>
        <w:t>揭示了两个半显性的 CESA1 突变，导致 A903T 和 H1024Y 替换，从而导致对 MDD 不敏感。两种突变都定位于 CESA1 的跨膜结构域，我们表明 MDD 会消耗质膜上的 CSC 并降低纤维素含量。进一步的遗传分析表明</w:t>
      </w:r>
      <w:r>
        <w:t xml:space="preserve"> </w:t>
      </w:r>
      <w:r>
        <w:t>塞萨1</w:t>
      </w:r>
      <w:r>
        <w:t xml:space="preserve"> </w:t>
      </w:r>
      <w:r>
        <w:t>MDDI1-1</w:t>
      </w:r>
      <w:r>
        <w:t xml:space="preserve"> </w:t>
      </w:r>
      <w:r>
        <w:t>A903T</w:t>
      </w:r>
      <w:r>
        <w:t xml:space="preserve"> </w:t>
      </w:r>
      <w:r>
        <w:t>突变体还赋予对 CBI 喹氧酚和 C17 的抗性，但不赋予对 CBI 异恶苯、吲达西兰或 ES20 的抗性。堆叠额外的点突变赋予对其他 CBI 的抗性，</w:t>
      </w:r>
      <w:r>
        <w:t xml:space="preserve"> </w:t>
      </w:r>
      <w:r>
        <w:t>塞萨3</w:t>
      </w:r>
      <w:r>
        <w:t xml:space="preserve"> </w:t>
      </w:r>
      <w:r>
        <w:t>ixr1-1</w:t>
      </w:r>
      <w:r>
        <w:t xml:space="preserve"> </w:t>
      </w:r>
      <w:r>
        <w:t>G998D</w:t>
      </w:r>
      <w:r>
        <w:t xml:space="preserve"> </w:t>
      </w:r>
      <w:r>
        <w:t>, 和</w:t>
      </w:r>
      <w:r>
        <w:t xml:space="preserve"> </w:t>
      </w:r>
      <w:r>
        <w:t>塞萨6</w:t>
      </w:r>
      <w:r>
        <w:t xml:space="preserve"> </w:t>
      </w:r>
      <w:r>
        <w:t>es20-r3</w:t>
      </w:r>
    </w:p>
    <w:p>
      <w:pPr>
        <w:spacing w:before="0" w:after="200" w:lineRule="auto" w:line="276"/>
      </w:pPr>
      <w:r>
        <w:rPr>
          <w:b/>
        </w:rPr>
        <w:t xml:space="preserve">Abstract (EN): </w:t>
      </w:r>
      <w:r>
        <w:t>Cellulose, a primary component of plant cell walls, is synthesized by cellulose synthase complexes (CSCs) at the plasma membrane. Targeting this process with cellulose biosynthesis inhibitors (CBIs) has significantly advanced our understanding of plant cell wall formation and provided valuable compounds for herbicide development. Here, we identified a fungal natural product, 8-methyldichlorodiaporthin (MDD), as a broad-spectrum plant CBI. Structure–activity relationship analyses demonstrate that methylation modifications on the isocoumarin ring and chlorination of the side chain are crucial for MDD-induced growth inhibition. A chemical forward genetic screen in</w:t>
      </w:r>
      <w:r>
        <w:t xml:space="preserve"> </w:t>
      </w:r>
      <w:r>
        <w:t>Arabidopsis thaliana</w:t>
      </w:r>
      <w:r>
        <w:t xml:space="preserve"> </w:t>
      </w:r>
      <w:r>
        <w:t>revealed two semidominant CESA1 mutations, causing A903T and H1024Y substitutions, that confer insensitivity to MDD. Both mutations locate to transmembrane domains of CESA1, and we show that MDD depletes CSCs from the plasma membrane and reduces cellulose content. Further genetic analyses indicate that the</w:t>
      </w:r>
      <w:r>
        <w:t xml:space="preserve"> </w:t>
      </w:r>
      <w:r>
        <w:t>cesa1</w:t>
      </w:r>
      <w:r>
        <w:t xml:space="preserve"> </w:t>
      </w:r>
      <w:r>
        <w:t>mddi1-1</w:t>
      </w:r>
      <w:r>
        <w:t xml:space="preserve"> </w:t>
      </w:r>
      <w:r>
        <w:t>A903T</w:t>
      </w:r>
      <w:r>
        <w:t xml:space="preserve"> </w:t>
      </w:r>
      <w:r>
        <w:t>mutant also confers resistance to CBIs quinoxyphen and C17, but not to CBIs isoxaben, indaziflam, or ES20. Stacking additional point mutations conferring resistance to other CBIs,</w:t>
      </w:r>
      <w:r>
        <w:t xml:space="preserve"> </w:t>
      </w:r>
      <w:r>
        <w:t>cesa3</w:t>
      </w:r>
      <w:r>
        <w:t xml:space="preserve"> </w:t>
      </w:r>
      <w:r>
        <w:t>ixr1-1</w:t>
      </w:r>
      <w:r>
        <w:t xml:space="preserve"> </w:t>
      </w:r>
      <w:r>
        <w:t>G998D</w:t>
      </w:r>
      <w:r>
        <w:t xml:space="preserve"> </w:t>
      </w:r>
      <w:r>
        <w:t>, and</w:t>
      </w:r>
      <w:r>
        <w:t xml:space="preserve"> </w:t>
      </w:r>
      <w:r>
        <w:t>cesa6</w:t>
      </w:r>
      <w:r>
        <w:t xml:space="preserve"> </w:t>
      </w:r>
      <w:r>
        <w:t>es20-r3</w:t>
      </w:r>
      <w:r>
        <w:t xml:space="preserve"> </w:t>
      </w:r>
      <w:r>
        <w:t>G935E</w:t>
      </w:r>
      <w:r>
        <w:t xml:space="preserve"> </w:t>
      </w:r>
      <w:r>
        <w:t>into the</w:t>
      </w:r>
      <w:r>
        <w:t xml:space="preserve"> </w:t>
      </w:r>
      <w:r>
        <w:t>cesa1</w:t>
      </w:r>
      <w:r>
        <w:t xml:space="preserve"> </w:t>
      </w:r>
      <w:r>
        <w:t>mddi1-1</w:t>
      </w:r>
      <w:r>
        <w:t xml:space="preserve"> </w:t>
      </w:r>
      <w:r>
        <w:t>A903T</w:t>
      </w:r>
      <w:r>
        <w:t xml:space="preserve"> </w:t>
      </w:r>
      <w:r>
        <w:t>background yields multiple-drug-resistant lines that maintain normal growth. These findings establish MDD, as a natural CBI that likely targets CESA1, thereby extending our understanding of CSC regulation and abilities to develop multidrug-resistant crop varieties. These findings offer unique perspectives for weed management and plant biotechnology.</w:t>
      </w:r>
    </w:p>
    <w:p>
      <w:pPr>
        <w:spacing w:before="120" w:after="120"/>
      </w:pPr>
      <w:r>
        <w:rPr>
          <w:sz w:val="18"/>
        </w:rPr>
        <w:t>——————————————————————————————————————————————————————————————————————</w:t>
      </w:r>
    </w:p>
    <w:p>
      <w:pPr>
        <w:spacing w:before="160" w:after="40" w:line="240" w:lineRule="auto"/>
      </w:pPr>
      <w:r>
        <w:rPr>
          <w:b/>
        </w:rPr>
        <w:t xml:space="preserve">[175] </w:t>
      </w:r>
      <w:hyperlink r:id="rId636">
        <w:r>
          <w:rPr>
            <w:color w:val="1155CC"/>
            <w:u w:val="single"/>
          </w:rPr>
          <w:t>空肠弯曲杆菌鞭毛 V 形环可识别粘度水平，从而改变游泳速度、代谢基因表达和健康状况</w:t>
        </w:r>
      </w:hyperlink>
    </w:p>
    <w:p>
      <w:pPr>
        <w:spacing w:before="0" w:after="80"/>
      </w:pPr>
      <w:r>
        <w:rPr>
          <w:i/>
          <w:sz w:val="20"/>
        </w:rPr>
        <w:t>EN: The Campylobacter jejuni flagellar V-ring discerns viscosity levels to alter swimming velocity, metabolic gene expression, and fitness</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37">
        <w:r>
          <w:rPr>
            <w:color w:val="1155CC"/>
            <w:u w:val="single"/>
          </w:rPr>
          <w:t>10.1073/pnas.2603105123</w:t>
        </w:r>
      </w:hyperlink>
    </w:p>
    <w:p>
      <w:pPr>
        <w:spacing w:before="0" w:after="120"/>
      </w:pPr>
      <w:r>
        <w:rPr>
          <w:b/>
        </w:rPr>
        <w:t xml:space="preserve">Notes: </w:t>
      </w:r>
      <w:r>
        <w:t>abstract_source=crossref</w:t>
      </w:r>
    </w:p>
    <w:p>
      <w:pPr>
        <w:spacing w:before="0" w:after="80" w:lineRule="auto" w:line="276"/>
      </w:pPr>
      <w:r>
        <w:rPr>
          <w:b/>
        </w:rPr>
        <w:t xml:space="preserve">摘要（ZH）: </w:t>
      </w:r>
      <w:r>
        <w:t>空肠弯曲菌</w:t>
      </w:r>
      <w:r>
        <w:t xml:space="preserve"> </w:t>
      </w:r>
      <w:r>
        <w:t>是鸟类和动物的肠道共生菌，也是人类细菌性腹泻病的主要原因。在主机中，</w:t>
      </w:r>
      <w:r>
        <w:t xml:space="preserve"> </w:t>
      </w:r>
      <w:r>
        <w:t>空肠弯曲菌</w:t>
      </w:r>
      <w:r>
        <w:t xml:space="preserve"> </w:t>
      </w:r>
      <w:r>
        <w:t>主要存在于下肠上皮顶部的粘液层中。在这个利基市场中的持续存在需要两个鞭毛马达</w:t>
      </w:r>
      <w:r>
        <w:t xml:space="preserve"> </w:t>
      </w:r>
      <w:r>
        <w:t>空肠弯曲菌</w:t>
      </w:r>
      <w:r>
        <w:t xml:space="preserve"> </w:t>
      </w:r>
      <w:r>
        <w:t>为鞭毛旋转产生高扭矩的杆，以促进运动和高游泳速度。与许多细菌鞭毛虫不同，</w:t>
      </w:r>
      <w:r>
        <w:t xml:space="preserve"> </w:t>
      </w:r>
      <w:r>
        <w:t>空肠弯曲菌</w:t>
      </w:r>
      <w:r>
        <w:t xml:space="preserve"> </w:t>
      </w:r>
      <w:r>
        <w:t>游泳速度随着外部粘度的增加而增加。我们确定了由 FlgV、VidA 和 VidC (Cjj81176_1732) 形成的复合物，位于鞭毛运动中 MS 环-转子连接处附近，我们将其注释为 V 环。粘度影响的生长、游泳速度的调节以及铁/血红素获取、呼吸和能量产生系统的转录都依赖于 V 形环。</w:t>
      </w:r>
      <w:r>
        <w:t xml:space="preserve"> </w:t>
      </w:r>
      <w:r>
        <w:t>空肠弯曲菌</w:t>
      </w:r>
      <w:r>
        <w:t xml:space="preserve"> </w:t>
      </w:r>
      <w:r>
        <w:t>Δ</w:t>
      </w:r>
      <w:r>
        <w:t xml:space="preserve"> </w:t>
      </w:r>
      <w:r>
        <w:t>病毒</w:t>
      </w:r>
      <w:r>
        <w:t xml:space="preserve"> </w:t>
      </w:r>
      <w:r>
        <w:t>和 Δ</w:t>
      </w:r>
      <w:r>
        <w:t xml:space="preserve"> </w:t>
      </w:r>
      <w:r>
        <w:t>视频C</w:t>
      </w:r>
      <w:r>
        <w:t xml:space="preserve"> </w:t>
      </w:r>
      <w:r>
        <w:t>缺乏完整 V 形环的种群可以活动，但不能最佳地调节游泳速度。与非运动鞭毛定子或丝突变体一样，运动 V 形环突变体具有体内和体外生长和活力缺陷以及失调的 tra</w:t>
      </w:r>
    </w:p>
    <w:p>
      <w:pPr>
        <w:spacing w:before="0" w:after="200" w:lineRule="auto" w:line="276"/>
      </w:pPr>
      <w:r>
        <w:rPr>
          <w:b/>
        </w:rPr>
        <w:t xml:space="preserve">Abstract (EN): </w:t>
      </w:r>
      <w:r>
        <w:t>Campylobacter jejuni</w:t>
      </w:r>
      <w:r>
        <w:t xml:space="preserve"> </w:t>
      </w:r>
      <w:r>
        <w:t>is an intestinal commensal of birds and animals and a leading cause of bacterial diarrheal disease in humans. In hosts,</w:t>
      </w:r>
      <w:r>
        <w:t xml:space="preserve"> </w:t>
      </w:r>
      <w:r>
        <w:t>C. jejuni</w:t>
      </w:r>
      <w:r>
        <w:t xml:space="preserve"> </w:t>
      </w:r>
      <w:r>
        <w:t>primarily resides in the mucus layer atop the lower intestinal epithelium. Persistence in this niche requires a single flagellar motor at both</w:t>
      </w:r>
      <w:r>
        <w:t xml:space="preserve"> </w:t>
      </w:r>
      <w:r>
        <w:t>C. jejuni</w:t>
      </w:r>
      <w:r>
        <w:t xml:space="preserve"> </w:t>
      </w:r>
      <w:r>
        <w:t>poles that generates high torque for flagellar rotation to facilitate motility and high swimming velocities. Unlike many bacterial flagellates,</w:t>
      </w:r>
      <w:r>
        <w:t xml:space="preserve"> </w:t>
      </w:r>
      <w:r>
        <w:t>C. jejuni</w:t>
      </w:r>
      <w:r>
        <w:t xml:space="preserve"> </w:t>
      </w:r>
      <w:r>
        <w:t>swimming velocity increases as external viscosity increases. We identified a complex formed by FlgV, VidA, and VidC (Cjj81176_1732) positioned near the MS-ring-rotor junction in the flagellar motor we annotated as the V-ring. Viscosity-influenced growth, modulation of swimming velocity, and transcription of iron/heme acquisition, respiratory, and energy-generating systems were dependent on the V-ring.</w:t>
      </w:r>
      <w:r>
        <w:t xml:space="preserve"> </w:t>
      </w:r>
      <w:r>
        <w:t>C. jejuni</w:t>
      </w:r>
      <w:r>
        <w:t xml:space="preserve"> </w:t>
      </w:r>
      <w:r>
        <w:t>Δ</w:t>
      </w:r>
      <w:r>
        <w:t xml:space="preserve"> </w:t>
      </w:r>
      <w:r>
        <w:t>flgV</w:t>
      </w:r>
      <w:r>
        <w:t xml:space="preserve"> </w:t>
      </w:r>
      <w:r>
        <w:t>and Δ</w:t>
      </w:r>
      <w:r>
        <w:t xml:space="preserve"> </w:t>
      </w:r>
      <w:r>
        <w:t>vidC</w:t>
      </w:r>
      <w:r>
        <w:t xml:space="preserve"> </w:t>
      </w:r>
      <w:r>
        <w:t>populations lacking a complete V-ring were motile, but could not optimally modulate swimming velocity. Like nonmotile flagellar stator or filament mutants, motile V-ring mutants had in vivo and in vitro growth and viability defects and dysregulated transcription of genes likely impacting physiology. Because the V-ring mutants behaved similarly as nonmotile mutants that experience little to no viscous drag on the filament, we propose</w:t>
      </w:r>
      <w:r>
        <w:t xml:space="preserve"> </w:t>
      </w:r>
      <w:r>
        <w:t>C. jejuni</w:t>
      </w:r>
      <w:r>
        <w:t xml:space="preserve"> </w:t>
      </w:r>
      <w:r>
        <w:t>V-ring mutants cannot detect viscous drag on their rotating filaments. We propose the V-ring evolved in</w:t>
      </w:r>
      <w:r>
        <w:t xml:space="preserve"> </w:t>
      </w:r>
      <w:r>
        <w:t>C. jejuni</w:t>
      </w:r>
      <w:r>
        <w:t xml:space="preserve"> </w:t>
      </w:r>
      <w:r>
        <w:t>and potentially other bacteria producing high torque flagellar motors to monitor external viscosity information via viscous drag on the rotating flagellar filament to adjust swimming velocity, transcription, and physiology for optimal fitness in different host lower intestinal niches.</w:t>
      </w:r>
    </w:p>
    <w:p>
      <w:pPr>
        <w:spacing w:before="120" w:after="120"/>
      </w:pPr>
      <w:r>
        <w:rPr>
          <w:sz w:val="18"/>
        </w:rPr>
        <w:t>——————————————————————————————————————————————————————————————————————</w:t>
      </w:r>
    </w:p>
    <w:p>
      <w:pPr>
        <w:spacing w:before="160" w:after="40" w:line="240" w:lineRule="auto"/>
      </w:pPr>
      <w:r>
        <w:rPr>
          <w:b/>
        </w:rPr>
        <w:t xml:space="preserve">[176] </w:t>
      </w:r>
      <w:hyperlink r:id="rId638">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39">
        <w:r>
          <w:rPr>
            <w:color w:val="1155CC"/>
            <w:u w:val="single"/>
          </w:rPr>
          <w:t>10.1073/iti2326123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640">
        <w:r>
          <w:rPr>
            <w:color w:val="1155CC"/>
            <w:u w:val="single"/>
          </w:rPr>
          <w:t>一种具有增加 GTP 周转率的 GTP 合酶核酶</w:t>
        </w:r>
      </w:hyperlink>
    </w:p>
    <w:p>
      <w:pPr>
        <w:spacing w:before="0" w:after="80"/>
      </w:pPr>
      <w:r>
        <w:rPr>
          <w:i/>
          <w:sz w:val="20"/>
        </w:rPr>
        <w:t>EN: A GTP synthase ribozyme with increased GTP turnover</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41">
        <w:r>
          <w:rPr>
            <w:color w:val="1155CC"/>
            <w:u w:val="single"/>
          </w:rPr>
          <w:t>10.1073/pnas.2520997123</w:t>
        </w:r>
      </w:hyperlink>
    </w:p>
    <w:p>
      <w:pPr>
        <w:spacing w:before="0" w:after="120"/>
      </w:pPr>
      <w:r>
        <w:rPr>
          <w:b/>
        </w:rPr>
        <w:t xml:space="preserve">Notes: </w:t>
      </w:r>
      <w:r>
        <w:t>abstract_source=crossref</w:t>
      </w:r>
    </w:p>
    <w:p>
      <w:pPr>
        <w:spacing w:before="0" w:after="80" w:lineRule="auto" w:line="276"/>
      </w:pPr>
      <w:r>
        <w:rPr>
          <w:b/>
        </w:rPr>
        <w:t xml:space="preserve">摘要（ZH）: </w:t>
      </w:r>
      <w:r>
        <w:t>在编码蛋白翻译发明之前，生命的早期阶段可能依赖于催化 RNA（核酶）。为了测试这样一个系统如何发挥作用，研究人员开发了可以提供核心功能的核酶。自我复制的核心功能需要核苷酸的模板化 RNA 聚合，这在当今的生命形式中是通过使用核苷 5'-三磷酸 (NTP) 来大力驱动的。我们之前表明，通过在乳液中体外选择生成鸟苷三磷酸化核酶（GTR），核酶可以催化鸟苷和益生元似的多磷酸化试剂环三偏磷酸（cTmp）形成鸟苷5'-三磷酸（GTP）。这种核酶（GTR1）的催化速率提高了约 18,000 倍，但周转率仅为约 1.7。在这里，我们通过从与聚合酶核酶代谢偶联的 GTR1 掺杂文库中选择乳液来改进这种核酶。高通量测序和生化分析确定了 GTR1 最有效的变体，有 19 个突变，这将 GTP 周转数增加到约 13 个。该 GTR1e 的生化分析揭示了具有明显总体 K 的双相反应动力学</w:t>
      </w:r>
      <w:r>
        <w:t xml:space="preserve"> </w:t>
      </w:r>
      <w:r>
        <w:t>中号</w:t>
      </w:r>
      <w:r>
        <w:t xml:space="preserve"> </w:t>
      </w:r>
      <w:r>
        <w:t>应用程序</w:t>
      </w:r>
      <w:r>
        <w:t xml:space="preserve"> </w:t>
      </w:r>
      <w:r>
        <w:t>cTmp 约为 11 mM。当与 RNA 聚合酶核酶偶联时，多达 5 个鸟苷被整合到 RNA 聚合物中，这代表着在实验室中模拟基于 RNA 的生命形式迈出了重要的一步。</w:t>
      </w:r>
    </w:p>
    <w:p>
      <w:pPr>
        <w:spacing w:before="0" w:after="200" w:lineRule="auto" w:line="276"/>
      </w:pPr>
      <w:r>
        <w:rPr>
          <w:b/>
        </w:rPr>
        <w:t xml:space="preserve">Abstract (EN): </w:t>
      </w:r>
      <w:r>
        <w:t>Before the invention of encoded protein translation, early stages of life likely relied on catalytic RNAs (ribozymes). To test how such a system could have functioned, researchers have developed ribozymes that could have provided central functions. The central function of self-replication would have required templated RNA polymerization of nucleotides, which is energetically driven in today’s life forms by the use of nucleoside 5′-triphosphates (NTPs). We previously showed that ribozymes can catalyze the formation of guanosine 5′-triphosphate (GTP) from guanosine and the prebiotically plausible polyphosphorylation reagent cyclic trimetaphosphate (cTmp) by generating a guanosine triphosphorylation ribozyme (GTR) using an in vitro selection in emulsion. This ribozyme (GTR1) had a catalytic rate enhancement of about 18,000-fold but a turnover of only about 1.7. Here, we improved this ribozyme by emulsion selection from a doped library of GTR1 that was metabolically coupled to a polymerase ribozyme. High-throughput sequencing and biochemical analysis identified the most efficient variant of GTR1 with 19 mutations, which increased the GTP turnover number to ~13. Biochemical analysis of this GTR1e revealed biphasic reaction kinetics with an apparent overall K</w:t>
      </w:r>
      <w:r>
        <w:t xml:space="preserve"> </w:t>
      </w:r>
      <w:r>
        <w:t>M</w:t>
      </w:r>
      <w:r>
        <w:t xml:space="preserve"> </w:t>
      </w:r>
      <w:r>
        <w:t>APP</w:t>
      </w:r>
      <w:r>
        <w:t xml:space="preserve"> </w:t>
      </w:r>
      <w:r>
        <w:t>around 11 mM for cTmp. When coupled to an RNA polymerase ribozyme, up to five guanosines were incorporated into an RNA polymer, which represents an important step toward modeling an RNA-based life form in the lab.</w:t>
      </w:r>
    </w:p>
    <w:p>
      <w:pPr>
        <w:spacing w:before="120" w:after="120"/>
      </w:pPr>
      <w:r>
        <w:rPr>
          <w:sz w:val="18"/>
        </w:rPr>
        <w:t>——————————————————————————————————————————————————————————————————————</w:t>
      </w:r>
    </w:p>
    <w:p>
      <w:pPr>
        <w:spacing w:before="160" w:after="40" w:line="240" w:lineRule="auto"/>
      </w:pPr>
      <w:r>
        <w:rPr>
          <w:b/>
        </w:rPr>
        <w:t xml:space="preserve">[178] </w:t>
      </w:r>
      <w:hyperlink r:id="rId642">
        <w:r>
          <w:rPr>
            <w:color w:val="1155CC"/>
            <w:u w:val="single"/>
          </w:rPr>
          <w:t>G 蛋白调节网络控制受体内化动力学</w:t>
        </w:r>
      </w:hyperlink>
    </w:p>
    <w:p>
      <w:pPr>
        <w:spacing w:before="0" w:after="80"/>
      </w:pPr>
      <w:r>
        <w:rPr>
          <w:i/>
          <w:sz w:val="20"/>
        </w:rPr>
        <w:t>EN: G-protein regulatory network governs receptor internalization dynamics</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43">
        <w:r>
          <w:rPr>
            <w:color w:val="1155CC"/>
            <w:u w:val="single"/>
          </w:rPr>
          <w:t>10.1073/pnas.2524866123</w:t>
        </w:r>
      </w:hyperlink>
    </w:p>
    <w:p>
      <w:pPr>
        <w:spacing w:before="0" w:after="120"/>
      </w:pPr>
      <w:r>
        <w:rPr>
          <w:b/>
        </w:rPr>
        <w:t xml:space="preserve">Notes: </w:t>
      </w:r>
      <w:r>
        <w:t>abstract_source=crossref</w:t>
      </w:r>
    </w:p>
    <w:p>
      <w:pPr>
        <w:spacing w:before="0" w:after="80" w:lineRule="auto" w:line="276"/>
      </w:pPr>
      <w:r>
        <w:rPr>
          <w:b/>
        </w:rPr>
        <w:t xml:space="preserve">摘要（ZH）: </w:t>
      </w:r>
      <w:r>
        <w:t>G 蛋白偶联受体 (GPCR) 能够实现细胞之间的化学通讯，并参与几乎所有基本功能。它们通过异三聚体 G 蛋白转导信号，并受到内化的调节，内化是将它们从细胞表面重定向到内部区室的过程，并通过空间重组实现多样化的信号传导。除了受体之外，还存在一个巨大的调控网络来进一步控制 G 蛋白信号传导。然而，尚不清楚这些 G 蛋白调节模式是否也会影响上游 GPCR。在这里，我们系统地阐述了 G 蛋白循环调控如何影响 GPCR 内化，并建立了控制这一过程的几个关键原则和机制。我们发现，鸟嘌呤核苷酸交换因子、G 蛋白信号传导激活剂和 G 蛋白信号传导调节剂引起的 G 蛋白激活和失活时间以及 G 蛋白循环寿命的变化可以改变内化结果。此外，我们还确定了离散 G 蛋白组分的活性和平衡如何与 G 蛋白偶联受体激酶系统相互作用，从而影响 GPCR 空间分布。最后，我们发现大脑中最丰富的 G 蛋白 GαoA 的疾病相关变异会影响驱动 GPCR 内化的调控网络。总而言之，这项研究表明，GPCR 内化不是固定的受体特性，而是受受体 - G 蛋白激活顺序、循环寿命以及 Gα 和 Gβγ 可用性的平衡动态控制。因此，受体内部的改变</w:t>
      </w:r>
    </w:p>
    <w:p>
      <w:pPr>
        <w:spacing w:before="0" w:after="200" w:lineRule="auto" w:line="276"/>
      </w:pPr>
      <w:r>
        <w:rPr>
          <w:b/>
        </w:rPr>
        <w:t xml:space="preserve">Abstract (EN): </w:t>
      </w:r>
      <w:r>
        <w:t>G protein–coupled receptors (GPCRs) enable chemical communication between cells and are involved in nearly all essential functions. They transduce signals via heterotrimeric G proteins and are regulated by internalization, a process which redirects them from the cell surface to internal compartments and enables diversified signaling through spatial reorganization. Beyond the receptor, a vast regulatory network exists to further control G-protein signaling. However, it is unclear whether these modes of G-protein regulation also impact the upstream GPCR. Here, we systematically address how G-protein cycle regulation shapes GPCR internalization and establish several key principles and mechanisms governing this process. We find that timing of G-protein activation and deactivation and changes in G-protein cycle lifetime imparted by guanine nucleotide exchange factors, activators of G-protein signaling, and regulators of G-protein signaling can alter internalization outcomes. Furthermore, we determine how the activity and balance of discrete G-protein components interact with the G protein–coupled receptor kinase system to influence GPCR spatial distribution. Finally, we uncover that disease-associated variants of the most abundant G protein in the brain, GαoA, affect the regulatory network that drives GPCR internalization. Altogether, this study reveals that GPCR internalization is not a fixed receptor property but is dynamically governed by receptor–G-protein activation order, cycle lifetime, and the balance of Gα and Gβγ availability. As such, alterations in receptor internalization dynamics may contribute to the complex disease phenotypes associated with dysregulated G-protein networks.</w:t>
      </w:r>
    </w:p>
    <w:p>
      <w:pPr>
        <w:spacing w:before="120" w:after="120"/>
      </w:pPr>
      <w:r>
        <w:rPr>
          <w:sz w:val="18"/>
        </w:rPr>
        <w:t>——————————————————————————————————————————————————————————————————————</w:t>
      </w:r>
    </w:p>
    <w:p>
      <w:pPr>
        <w:spacing w:before="160" w:after="40" w:line="240" w:lineRule="auto"/>
      </w:pPr>
      <w:r>
        <w:rPr>
          <w:b/>
        </w:rPr>
        <w:t xml:space="preserve">[179] </w:t>
      </w:r>
      <w:hyperlink r:id="rId644">
        <w:r>
          <w:rPr>
            <w:color w:val="1155CC"/>
            <w:u w:val="single"/>
          </w:rPr>
          <w:t>在简单表面热力学的液体混合物中将气泡聚结速率调整多个数量级：实验和理论</w:t>
        </w:r>
      </w:hyperlink>
    </w:p>
    <w:p>
      <w:pPr>
        <w:spacing w:before="0" w:after="80"/>
      </w:pPr>
      <w:r>
        <w:rPr>
          <w:i/>
          <w:sz w:val="20"/>
        </w:rPr>
        <w:t>EN: Tuning bubble coalescence rates over orders of magnitude in liquid mixtures of simple surface thermodynamics: Experiments and theory</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45">
        <w:r>
          <w:rPr>
            <w:color w:val="1155CC"/>
            <w:u w:val="single"/>
          </w:rPr>
          <w:t>10.1073/pnas.2535299123</w:t>
        </w:r>
      </w:hyperlink>
    </w:p>
    <w:p>
      <w:pPr>
        <w:spacing w:before="0" w:after="120"/>
      </w:pPr>
      <w:r>
        <w:rPr>
          <w:b/>
        </w:rPr>
        <w:t xml:space="preserve">Notes: </w:t>
      </w:r>
      <w:r>
        <w:t>abstract_source=crossref</w:t>
      </w:r>
    </w:p>
    <w:p>
      <w:pPr>
        <w:spacing w:before="0" w:after="80" w:lineRule="auto" w:line="276"/>
      </w:pPr>
      <w:r>
        <w:rPr>
          <w:b/>
        </w:rPr>
        <w:t xml:space="preserve">摘要（ZH）: </w:t>
      </w:r>
      <w:r>
        <w:t>液体中气泡的聚结时间取决于液体的性质，液体的性质决定了其表面热力学和气/液界面之间的分子相互作用，并且取决于由气泡的曲率规定的几何形状。纯液体中的聚结现象得到了很好的描述，这些液体在体积和界面处具有相同的成分，并且其中的相互作用很有吸引力。相比之下，对于更复杂的液体中的机制知之甚少，其中聚结时间比纯液体大几个数量级并且不可预测。为了深入了解这些机制，我们使用模型系统：可混溶油的二元混合物。在这些液体中，界面具有纯粹有吸引力的分子相互作用，并且表面热力学可以使用明确的吉布斯弹性模量来简单地描述，该弹性模量由混合物的组成控制。我们通过在微流体管中形成周期性的气泡序列来测量聚结率，微流体管的半径变化超过 1.5 个十年。我们报告了跨越三十多年的聚结时间，并且对于给定的成分，根据具有曲率的幂律变化，其指数大于纯液体中报告的指数并且与吉布斯弹性无关。实验行为与在悬浮液膜的简单几何形状中执行的耦合热力学和流体动力学方程的数值解非常一致。我们的结果清楚地揭示了几何形状和表面热力学如何改变极限中气泡的聚结过程</w:t>
      </w:r>
    </w:p>
    <w:p>
      <w:pPr>
        <w:spacing w:before="0" w:after="200" w:lineRule="auto" w:line="276"/>
      </w:pPr>
      <w:r>
        <w:rPr>
          <w:b/>
        </w:rPr>
        <w:t xml:space="preserve">Abstract (EN): </w:t>
      </w:r>
      <w:r>
        <w:t>The coalescence time of bubbles in a liquid depends on the nature of the liquid, which determines both its surface thermodynamics and the molecular interactions between the gas/liquid interfaces, and on the geometry, prescribed by the curvature of the bubbles. Coalescence is well described in pure liquids that have the same composition in bulk and at interfaces and in which the interactions are attractive. In contrast, the mechanisms are poorly understood in more complex liquids in which coalescence times are orders of magnitudes larger than in pure liquids and are unpredictable. To provide insight on these mechanisms, we use model systems: binary mixtures of miscible oils. In these liquids, interfaces have purely attractive molecular interactions and the surface thermodynamics can simply be described using a well-determined Gibbs elastic modulus, which is controlled by the composition of the mixture. We measure the coalescence rate by forming periodic trains of bubbles in millifluidic tubes whose radius varies over 1.5 decade. We report coalescence times spanning more than three decades and, for a given composition, varying according to a power law with curvature, with an exponent larger than that reported in pure liquids and independent of Gibbs elasticity. The experimental behavior is in excellent agreement with a numerical solution of the coupled thermodynamical and hydrodynamical equations, performed in the simple geometry of a suspended liquid film. Our results clearly reveal how geometry and surface thermodynamics modify the coalescence process of bubbles in the limit of small Gibbs elasticity.</w:t>
      </w:r>
    </w:p>
    <w:p>
      <w:pPr>
        <w:spacing w:before="120" w:after="120"/>
      </w:pPr>
      <w:r>
        <w:rPr>
          <w:sz w:val="18"/>
        </w:rPr>
        <w:t>——————————————————————————————————————————————————————————————————————</w:t>
      </w:r>
    </w:p>
    <w:p>
      <w:pPr>
        <w:spacing w:before="160" w:after="40" w:line="240" w:lineRule="auto"/>
      </w:pPr>
      <w:r>
        <w:rPr>
          <w:b/>
        </w:rPr>
        <w:t xml:space="preserve">[180] </w:t>
      </w:r>
      <w:hyperlink r:id="rId646">
        <w:r>
          <w:rPr>
            <w:color w:val="1155CC"/>
            <w:u w:val="single"/>
          </w:rPr>
          <w:t>钴(IV)-氧代的自旋态工程可实现直接氧原子转移以实现高效烯烃环氧化</w:t>
        </w:r>
      </w:hyperlink>
    </w:p>
    <w:p>
      <w:pPr>
        <w:spacing w:before="0" w:after="80"/>
      </w:pPr>
      <w:r>
        <w:rPr>
          <w:i/>
          <w:sz w:val="20"/>
        </w:rPr>
        <w:t>EN: Spin-state engineering of cobalt(IV)-oxo enables direct oxygen atom transfer for high-efficiency olefin epoxidation</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47">
        <w:r>
          <w:rPr>
            <w:color w:val="1155CC"/>
            <w:u w:val="single"/>
          </w:rPr>
          <w:t>10.1073/pnas.2537686123</w:t>
        </w:r>
      </w:hyperlink>
    </w:p>
    <w:p>
      <w:pPr>
        <w:spacing w:before="0" w:after="120"/>
      </w:pPr>
      <w:r>
        <w:rPr>
          <w:b/>
        </w:rPr>
        <w:t xml:space="preserve">Notes: </w:t>
      </w:r>
      <w:r>
        <w:t>abstract_source=crossref</w:t>
      </w:r>
    </w:p>
    <w:p>
      <w:pPr>
        <w:spacing w:before="0" w:after="80" w:lineRule="auto" w:line="276"/>
      </w:pPr>
      <w:r>
        <w:rPr>
          <w:b/>
        </w:rPr>
        <w:t xml:space="preserve">摘要（ZH）: </w:t>
      </w:r>
      <w:r>
        <w:t>高价金属-氧代物质，例如钴(IV)-氧代 (Co</w:t>
      </w:r>
      <w:r>
        <w:t xml:space="preserve"> </w:t>
      </w:r>
      <w:r>
        <w:t>四号</w:t>
      </w:r>
      <w:r>
        <w:t xml:space="preserve"> </w:t>
      </w:r>
      <w:r>
        <w:t>=O) 配合物代表了在温和条件下通过氧原子转移 (OAT) 催化烯烃环氧化的有希望的候选者。然而，它们的实用性通常受到逐步电子转移机制产生的自由基介导的副反应的限制。在这里，我们报告了一种通过调节 Co 的自旋状态来规避此限制的策略</w:t>
      </w:r>
      <w:r>
        <w:t xml:space="preserve"> </w:t>
      </w:r>
      <w:r>
        <w:t>四号</w:t>
      </w:r>
      <w:r>
        <w:t xml:space="preserve"> </w:t>
      </w:r>
      <w:r>
        <w:t>=O 中心通过几何介导的配体场调整。具体来说，我们采用平面三配位钴位点来激活过一硫酸盐（PMS），产生中间自旋钴</w:t>
      </w:r>
      <w:r>
        <w:t xml:space="preserve"> </w:t>
      </w:r>
      <w:r>
        <w:t>四号</w:t>
      </w:r>
      <w:r>
        <w:t xml:space="preserve"> </w:t>
      </w:r>
      <w:r>
        <w:t>=O 种 ((O</w:t>
      </w:r>
      <w:r>
        <w:rPr>
          <w:vertAlign w:val="subscript"/>
        </w:rPr>
        <w:t>3</w:t>
      </w:r>
      <w:r>
        <w:t>)Co</w:t>
      </w:r>
      <w:r>
        <w:t xml:space="preserve"> </w:t>
      </w:r>
      <w:r>
        <w:t>四号</w:t>
      </w:r>
      <w:r>
        <w:t xml:space="preserve"> </w:t>
      </w:r>
      <w:r>
        <w:t>=O，S = 3/2)。与它的平面四配位低自旋对应物不同（（O</w:t>
      </w:r>
      <w:r>
        <w:rPr>
          <w:vertAlign w:val="subscript"/>
        </w:rPr>
        <w:t>4</w:t>
      </w:r>
      <w:r>
        <w:t>)Co</w:t>
      </w:r>
      <w:r>
        <w:t xml:space="preserve"> </w:t>
      </w:r>
      <w:r>
        <w:t>四号</w:t>
      </w:r>
      <w:r>
        <w:t xml:space="preserve"> </w:t>
      </w:r>
      <w:r>
        <w:t>=O, S = 1/2)，该构型中赤道配位场减弱，降低了晶体场分裂能并重新排列轨道能级，稳定了空的 σ* (d</w:t>
      </w:r>
      <w:r>
        <w:t xml:space="preserve"> </w:t>
      </w:r>
      <w:r>
        <w:t>z</w:t>
      </w:r>
      <w:r>
        <w:t xml:space="preserve"> </w:t>
      </w:r>
      <w:r>
        <w:rPr>
          <w:vertAlign w:val="subscript"/>
        </w:rPr>
        <w:t>2</w:t>
      </w:r>
      <w:r>
        <w:t xml:space="preserve"> </w:t>
      </w:r>
      <w:r>
        <w:t>-p</w:t>
      </w:r>
      <w:r>
        <w:t xml:space="preserve"> </w:t>
      </w:r>
      <w:r>
        <w:t>z</w:t>
      </w:r>
      <w:r>
        <w:t xml:space="preserve"> </w:t>
      </w:r>
      <w:r>
        <w:t>) 轨道处于较低能级，从而能够直接从 ol 转移 π 电子对</w:t>
      </w:r>
    </w:p>
    <w:p>
      <w:pPr>
        <w:spacing w:before="0" w:after="200" w:lineRule="auto" w:line="276"/>
      </w:pPr>
      <w:r>
        <w:rPr>
          <w:b/>
        </w:rPr>
        <w:t xml:space="preserve">Abstract (EN): </w:t>
      </w:r>
      <w:r>
        <w:t>High-valent metal-oxo species, such as cobalt(IV)-oxo (Co</w:t>
      </w:r>
      <w:r>
        <w:t xml:space="preserve"> </w:t>
      </w:r>
      <w:r>
        <w:t>IV</w:t>
      </w:r>
      <w:r>
        <w:t xml:space="preserve"> </w:t>
      </w:r>
      <w:r>
        <w:t>=O) complexes, represent promising candidates for catalytic olefin epoxidation via oxygen atom transfer (OAT) under mild conditions. However, their utility is often limited by radical-mediated side reactions stemming from stepwise electron-transfer mechanisms. Here, we report a strategy to circumvent this limitation by modulating the spin state of the Co</w:t>
      </w:r>
      <w:r>
        <w:t xml:space="preserve"> </w:t>
      </w:r>
      <w:r>
        <w:t>IV</w:t>
      </w:r>
      <w:r>
        <w:t xml:space="preserve"> </w:t>
      </w:r>
      <w:r>
        <w:t>=O center through geometry-mediated ligand-field adjustment. Specifically, we employ a planar tricoordinated cobalt site to activate peroxymonosulfate (PMS), generating an intermediate-spin Co</w:t>
      </w:r>
      <w:r>
        <w:t xml:space="preserve"> </w:t>
      </w:r>
      <w:r>
        <w:t>IV</w:t>
      </w:r>
      <w:r>
        <w:t xml:space="preserve"> </w:t>
      </w:r>
      <w:r>
        <w:t>=O species ((O</w:t>
      </w:r>
      <w:r>
        <w:rPr>
          <w:vertAlign w:val="subscript"/>
        </w:rPr>
        <w:t>3</w:t>
      </w:r>
      <w:r>
        <w:t>)Co</w:t>
      </w:r>
      <w:r>
        <w:t xml:space="preserve"> </w:t>
      </w:r>
      <w:r>
        <w:t>IV</w:t>
      </w:r>
      <w:r>
        <w:t xml:space="preserve"> </w:t>
      </w:r>
      <w:r>
        <w:t>=O, S = 3/2). Unlike its planar tetra-coordinated low-spin counterpart ((O</w:t>
      </w:r>
      <w:r>
        <w:rPr>
          <w:vertAlign w:val="subscript"/>
        </w:rPr>
        <w:t>4</w:t>
      </w:r>
      <w:r>
        <w:t>)Co</w:t>
      </w:r>
      <w:r>
        <w:t xml:space="preserve"> </w:t>
      </w:r>
      <w:r>
        <w:t>IV</w:t>
      </w:r>
      <w:r>
        <w:t xml:space="preserve"> </w:t>
      </w:r>
      <w:r>
        <w:t>=O, S = 1/2), the weakened equatorial coordination field in this configuration reduces the crystal-field splitting energy and rearranges orbital energy levels, stabilizing the empty σ* (d</w:t>
      </w:r>
      <w:r>
        <w:t xml:space="preserve"> </w:t>
      </w:r>
      <w:r>
        <w:t>z</w:t>
      </w:r>
      <w:r>
        <w:t xml:space="preserve"> </w:t>
      </w:r>
      <w:r>
        <w:rPr>
          <w:vertAlign w:val="subscript"/>
        </w:rPr>
        <w:t>2</w:t>
      </w:r>
      <w:r>
        <w:t xml:space="preserve"> </w:t>
      </w:r>
      <w:r>
        <w:t>-p</w:t>
      </w:r>
      <w:r>
        <w:t xml:space="preserve"> </w:t>
      </w:r>
      <w:r>
        <w:t>z</w:t>
      </w:r>
      <w:r>
        <w:t xml:space="preserve"> </w:t>
      </w:r>
      <w:r>
        <w:t>) orbital at a lower energy level, enabling direct transfer of a π-electron pair from the olefin substrate. Consequently, the OAT mechanism shifts from a stepwise single-electron transfer to a concerted two-electron pathway, bypassing radical intermediate formation and enhancing both reactivity and selectivity. In the epoxidation of trans-stilbene and derivatives, the (O</w:t>
      </w:r>
      <w:r>
        <w:rPr>
          <w:vertAlign w:val="subscript"/>
        </w:rPr>
        <w:t>3</w:t>
      </w:r>
      <w:r>
        <w:t>)Co</w:t>
      </w:r>
      <w:r>
        <w:t xml:space="preserve"> </w:t>
      </w:r>
      <w:r>
        <w:t>IV</w:t>
      </w:r>
      <w:r>
        <w:t xml:space="preserve"> </w:t>
      </w:r>
      <w:r>
        <w:t>=O catalyst achieves up to 89.2% conversion with 99.9% selectivity, substantially outperforming conventional noble-metal-based systems. Our findings underscore the critical role of spin-state control in promoting concerted OAT and open avenues for designing next-generation oxidation catalysts.</w:t>
      </w:r>
    </w:p>
    <w:p>
      <w:pPr>
        <w:spacing w:before="120" w:after="120"/>
      </w:pPr>
      <w:r>
        <w:rPr>
          <w:sz w:val="18"/>
        </w:rPr>
        <w:t>——————————————————————————————————————————————————————————————————————</w:t>
      </w:r>
    </w:p>
    <w:p>
      <w:pPr>
        <w:spacing w:before="160" w:after="40" w:line="240" w:lineRule="auto"/>
      </w:pPr>
      <w:r>
        <w:rPr>
          <w:b/>
        </w:rPr>
        <w:t xml:space="preserve">[181] </w:t>
      </w:r>
      <w:hyperlink r:id="rId648">
        <w:r>
          <w:rPr>
            <w:color w:val="1155CC"/>
            <w:u w:val="single"/>
          </w:rPr>
          <w:t>认知不会自动影响感知：来自不同类别颜色神经编码的证据</w:t>
        </w:r>
      </w:hyperlink>
    </w:p>
    <w:p>
      <w:pPr>
        <w:spacing w:before="0" w:after="80"/>
      </w:pPr>
      <w:r>
        <w:rPr>
          <w:i/>
          <w:sz w:val="20"/>
        </w:rPr>
        <w:t>EN: Cognition does not automatically influence perception: Evidence from neural encoding of colors belonging to different categories</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49">
        <w:r>
          <w:rPr>
            <w:color w:val="1155CC"/>
            <w:u w:val="single"/>
          </w:rPr>
          <w:t>10.1073/pnas.2538139123</w:t>
        </w:r>
      </w:hyperlink>
    </w:p>
    <w:p>
      <w:pPr>
        <w:spacing w:before="0" w:after="120"/>
      </w:pPr>
      <w:r>
        <w:rPr>
          <w:b/>
        </w:rPr>
        <w:t xml:space="preserve">Notes: </w:t>
      </w:r>
      <w:r>
        <w:t>abstract_source=crossref</w:t>
      </w:r>
    </w:p>
    <w:p>
      <w:pPr>
        <w:spacing w:before="0" w:after="80" w:lineRule="auto" w:line="276"/>
      </w:pPr>
      <w:r>
        <w:rPr>
          <w:b/>
        </w:rPr>
        <w:t xml:space="preserve">摘要（ZH）: </w:t>
      </w:r>
      <w:r>
        <w:t>支持提出认知对知觉的早期高水平影响的模型的最有力证据来自脑电图（EEG）。与浅绿色和深绿色变化相比，希腊语使用者对浅蓝色和深蓝色特征变化的早期、预先注意处理得到了增强，他们有两个表示“蓝色”的基本术语（</w:t>
      </w:r>
      <w:r>
        <w:t xml:space="preserve"> </w:t>
      </w:r>
      <w:r>
        <w:t>加拉齐奥/BLE</w:t>
      </w:r>
      <w:r>
        <w:t xml:space="preserve"> </w:t>
      </w:r>
      <w:r>
        <w:t>）。在目前的三项实验研究中，我们系统地重新评估了这一证据，并测试了另一种模型，即人类脑电图中的早期差异波主要反映对比适应现象。我们使用相同的经典古怪范例来呈现交替的标准和偏差，这些标准和偏差在颜色和/或亮度和色彩对比度上系统地不同。然后，我们通过从与任务无关的偏差引起的活动中减去标准引起的活动来计算视觉失配负性（vMMN），这是从脑电图数据得出的前注意特征变化处理和预测编码的假定指数。我们的实验证明了以下内容：1）vMMN 是由对比度适应驱动的，只有在刺激之间存在对比度差异的情况下才能观察到，而对于对比度相等的绝对不同色调则不能可靠地观察到； 2）在具有两个基本蓝色类别的说话者（俄语）中，与绿色和蓝色相关的差异波之间没有可靠的区别，差异波再次是由对比度而不是其类别内容驱动的。我们的发现对于有关两者之间的界面的争论非常重要</w:t>
      </w:r>
    </w:p>
    <w:p>
      <w:pPr>
        <w:spacing w:before="0" w:after="200" w:lineRule="auto" w:line="276"/>
      </w:pPr>
      <w:r>
        <w:rPr>
          <w:b/>
        </w:rPr>
        <w:t xml:space="preserve">Abstract (EN): </w:t>
      </w:r>
      <w:r>
        <w:t>The firmest evidence in favor of models that posit early high-level influences of cognition on perception comes from electroencephalography (EEG). Enhanced early, preattentive processing of light and dark blue feature changes compared to light and dark green changes was reported in Greek speakers, who have two basic terms for “blue” (</w:t>
      </w:r>
      <w:r>
        <w:t xml:space="preserve"> </w:t>
      </w:r>
      <w:r>
        <w:t>ghalazio/ble</w:t>
      </w:r>
      <w:r>
        <w:t xml:space="preserve"> </w:t>
      </w:r>
      <w:r>
        <w:t>). In the present three-experiment study, we systematically reevaluate this evidence and test an alternative model that the early difference waves in the human EEG instead mainly reflect contrast adaptation phenomena. We use the same classical oddball paradigm presenting alternating standards and deviants that systematically differ in color and/or luminance and chromatic contrast. We then calculate the visual mismatch negativity (vMMN), a putative index of preattentive feature change processing and predictive coding derived from EEG data, by subtracting the activity elicited by standards from that elicited by task-irrelevant deviants. Our experiments demonstrate the following: 1) vMMN is driven by contrast adaptation, being observable only in the presence of contrast differences between the stimuli and not reliably observed for categorically different hues equated in contrast; 2) there is no reliable difference between green- and blue-related difference waves in speakers (Russian) with two basic blue color categories, the difference waves, again, being driven by contrast rather than their categorical content. Our findings are highly significant for the debate concerning the interface between perception and cognition, as the absence of early categorical effects speaks against models that predict Whorfian-type preattentive cognitive influences on perception.</w:t>
      </w:r>
    </w:p>
    <w:p>
      <w:pPr>
        <w:spacing w:before="120" w:after="120"/>
      </w:pPr>
      <w:r>
        <w:rPr>
          <w:sz w:val="18"/>
        </w:rPr>
        <w:t>——————————————————————————————————————————————————————————————————————</w:t>
      </w:r>
    </w:p>
    <w:p>
      <w:pPr>
        <w:spacing w:before="160" w:after="40" w:line="240" w:lineRule="auto"/>
      </w:pPr>
      <w:r>
        <w:rPr>
          <w:b/>
        </w:rPr>
        <w:t xml:space="preserve">[182] </w:t>
      </w:r>
      <w:hyperlink r:id="rId650">
        <w:r>
          <w:rPr>
            <w:color w:val="1155CC"/>
            <w:u w:val="single"/>
          </w:rPr>
          <w:t>通过轨道和关联协同作用双重增强 FeSe/SrTiO3 的超导性</w:t>
        </w:r>
      </w:hyperlink>
    </w:p>
    <w:p>
      <w:pPr>
        <w:spacing w:before="0" w:after="80"/>
      </w:pPr>
      <w:r>
        <w:rPr>
          <w:i/>
          <w:sz w:val="20"/>
        </w:rPr>
        <w:t>EN: Dual enhancement of superconductivity in FeSe/SrTiO3 via orbital and correlation synergy</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51">
        <w:r>
          <w:rPr>
            <w:color w:val="1155CC"/>
            <w:u w:val="single"/>
          </w:rPr>
          <w:t>10.1073/pnas.2602209123</w:t>
        </w:r>
      </w:hyperlink>
    </w:p>
    <w:p>
      <w:pPr>
        <w:spacing w:before="0" w:after="120"/>
      </w:pPr>
      <w:r>
        <w:rPr>
          <w:b/>
        </w:rPr>
        <w:t xml:space="preserve">Notes: </w:t>
      </w:r>
      <w:r>
        <w:t>abstract_source=crossref</w:t>
      </w:r>
    </w:p>
    <w:p>
      <w:pPr>
        <w:spacing w:before="0" w:after="80" w:lineRule="auto" w:line="276"/>
      </w:pPr>
      <w:r>
        <w:rPr>
          <w:b/>
        </w:rPr>
        <w:t xml:space="preserve">摘要（ZH）: </w:t>
      </w:r>
      <w:r>
        <w:t>在铁基超导体中，</w:t>
      </w:r>
      <w:r>
        <w:t xml:space="preserve"> </w:t>
      </w:r>
      <w:r>
        <w:t>d</w:t>
      </w:r>
      <w:r>
        <w:t xml:space="preserve"> </w:t>
      </w:r>
      <w:r>
        <w:t>z</w:t>
      </w:r>
      <w:r>
        <w:t xml:space="preserve"> </w:t>
      </w:r>
      <w:r>
        <w:rPr>
          <w:vertAlign w:val="subscript"/>
        </w:rPr>
        <w:t>2</w:t>
      </w:r>
      <w:r>
        <w:t>轨道带通常远低于费米能级，并且不被认为参与库珀配对。这里，使用单层 FeSe/SrTiO</w:t>
      </w:r>
      <w:r>
        <w:rPr>
          <w:vertAlign w:val="subscript"/>
        </w:rPr>
        <w:t>3</w:t>
      </w:r>
      <w:r>
        <w:t>作为模型系统，我们证明尖端引起的拉伸应变可控制地改变</w:t>
      </w:r>
      <w:r>
        <w:t xml:space="preserve"> </w:t>
      </w:r>
      <w:r>
        <w:t>d</w:t>
      </w:r>
      <w:r>
        <w:t xml:space="preserve"> </w:t>
      </w:r>
      <w:r>
        <w:t>z</w:t>
      </w:r>
      <w:r>
        <w:t xml:space="preserve"> </w:t>
      </w:r>
      <w:r>
        <w:rPr>
          <w:vertAlign w:val="subscript"/>
        </w:rPr>
        <w:t>2</w:t>
      </w:r>
      <w:r>
        <w:t>能带向费米能级移动，驱动超导性的两阶段增强。面内晶格膨胀首先增强了电子相关性，在初始阶段增强了超导性。随着应变进一步增加，向上移动</w:t>
      </w:r>
      <w:r>
        <w:t xml:space="preserve"> </w:t>
      </w:r>
      <w:r>
        <w:t>d</w:t>
      </w:r>
      <w:r>
        <w:t xml:space="preserve"> </w:t>
      </w:r>
      <w:r>
        <w:t>z</w:t>
      </w:r>
      <w:r>
        <w:t xml:space="preserve"> </w:t>
      </w:r>
      <w:r>
        <w:rPr>
          <w:vertAlign w:val="subscript"/>
        </w:rPr>
        <w:t>2</w:t>
      </w:r>
      <w:r>
        <w:t>带与杂交</w:t>
      </w:r>
      <w:r>
        <w:t xml:space="preserve"> </w:t>
      </w:r>
      <w:r>
        <w:t>d</w:t>
      </w:r>
      <w:r>
        <w:t xml:space="preserve"> </w:t>
      </w:r>
      <w:r>
        <w:t>XY</w:t>
      </w:r>
      <w:r>
        <w:t xml:space="preserve"> </w:t>
      </w:r>
      <w:r>
        <w:t>带，重建配对活动</w:t>
      </w:r>
      <w:r>
        <w:t xml:space="preserve"> </w:t>
      </w:r>
      <w:r>
        <w:t>d</w:t>
      </w:r>
      <w:r>
        <w:t xml:space="preserve"> </w:t>
      </w:r>
      <w:r>
        <w:t>-轨道带并诱导二次、更强的间隙增强。总的来说，这两个阶段将超导能隙从 17.8 meV 扩大到 23.6 meV。在整个过程中，不变的费米波矢量证实增强源自能带重整化和重构，而不是载流子掺杂。我们的工作建立了一条通过应变激活电子校正来定制超导状态的途径</w:t>
      </w:r>
    </w:p>
    <w:p>
      <w:pPr>
        <w:spacing w:before="0" w:after="200" w:lineRule="auto" w:line="276"/>
      </w:pPr>
      <w:r>
        <w:rPr>
          <w:b/>
        </w:rPr>
        <w:t xml:space="preserve">Abstract (EN): </w:t>
      </w:r>
      <w:r>
        <w:t>In iron-based superconductors, the</w:t>
      </w:r>
      <w:r>
        <w:t xml:space="preserve"> </w:t>
      </w:r>
      <w:r>
        <w:t>d</w:t>
      </w:r>
      <w:r>
        <w:t xml:space="preserve"> </w:t>
      </w:r>
      <w:r>
        <w:t>z</w:t>
      </w:r>
      <w:r>
        <w:t xml:space="preserve"> </w:t>
      </w:r>
      <w:r>
        <w:rPr>
          <w:vertAlign w:val="subscript"/>
        </w:rPr>
        <w:t>2</w:t>
      </w:r>
      <w:r>
        <w:t>orbital band typically resides far below the Fermi level and has not been considered to participate in Cooper pairing. Here, using monolayer FeSe/SrTiO</w:t>
      </w:r>
      <w:r>
        <w:rPr>
          <w:vertAlign w:val="subscript"/>
        </w:rPr>
        <w:t>3</w:t>
      </w:r>
      <w:r>
        <w:t>as a model system, we demonstrate that tip-induced tensile strain controllably shifts the</w:t>
      </w:r>
      <w:r>
        <w:t xml:space="preserve"> </w:t>
      </w:r>
      <w:r>
        <w:t>d</w:t>
      </w:r>
      <w:r>
        <w:t xml:space="preserve"> </w:t>
      </w:r>
      <w:r>
        <w:t>z</w:t>
      </w:r>
      <w:r>
        <w:t xml:space="preserve"> </w:t>
      </w:r>
      <w:r>
        <w:rPr>
          <w:vertAlign w:val="subscript"/>
        </w:rPr>
        <w:t>2</w:t>
      </w:r>
      <w:r>
        <w:t>band toward the Fermi level, driving a two-stage enhancement of superconductivity. In-plane lattice expansion first enhances electronic correlation, amplifying superconductivity in the initial stage. As strain further increases, the upward-shifted</w:t>
      </w:r>
      <w:r>
        <w:t xml:space="preserve"> </w:t>
      </w:r>
      <w:r>
        <w:t>d</w:t>
      </w:r>
      <w:r>
        <w:t xml:space="preserve"> </w:t>
      </w:r>
      <w:r>
        <w:t>z</w:t>
      </w:r>
      <w:r>
        <w:t xml:space="preserve"> </w:t>
      </w:r>
      <w:r>
        <w:rPr>
          <w:vertAlign w:val="subscript"/>
        </w:rPr>
        <w:t>2</w:t>
      </w:r>
      <w:r>
        <w:t>band hybridizes with the</w:t>
      </w:r>
      <w:r>
        <w:t xml:space="preserve"> </w:t>
      </w:r>
      <w:r>
        <w:t>d</w:t>
      </w:r>
      <w:r>
        <w:t xml:space="preserve"> </w:t>
      </w:r>
      <w:r>
        <w:t>xy</w:t>
      </w:r>
      <w:r>
        <w:t xml:space="preserve"> </w:t>
      </w:r>
      <w:r>
        <w:t>band, reconstructing the pairing-active</w:t>
      </w:r>
      <w:r>
        <w:t xml:space="preserve"> </w:t>
      </w:r>
      <w:r>
        <w:t>d</w:t>
      </w:r>
      <w:r>
        <w:t xml:space="preserve"> </w:t>
      </w:r>
      <w:r>
        <w:t>-orbital bands and inducing a secondary, stronger gap enhancement. Collectively, these two stages enlarge the superconducting gap from 17.8 to 23.6 meV. Throughout this process, invariant Fermi wave vectors confirm that the enhancement originates from band renormalization and reconstruction rather than carrier doping. Our work establishes a route to tailor superconducting states via strain-activated electronic correlations and band engineering, and reveals a previously unrecognized orbital-selective pairing mechanism with broad implications for correlated multiband superconductors.</w:t>
      </w:r>
    </w:p>
    <w:p>
      <w:pPr>
        <w:spacing w:before="120" w:after="120"/>
      </w:pPr>
      <w:r>
        <w:rPr>
          <w:sz w:val="18"/>
        </w:rPr>
        <w:t>——————————————————————————————————————————————————————————————————————</w:t>
      </w:r>
    </w:p>
    <w:p>
      <w:pPr>
        <w:spacing w:before="160" w:after="40" w:line="240" w:lineRule="auto"/>
      </w:pPr>
      <w:r>
        <w:rPr>
          <w:b/>
        </w:rPr>
        <w:t xml:space="preserve">[183] </w:t>
      </w:r>
      <w:hyperlink r:id="rId652">
        <w:r>
          <w:rPr>
            <w:color w:val="1155CC"/>
            <w:u w:val="single"/>
          </w:rPr>
          <w:t>RNF126 是一种过氧化物酶体命运开关，可实现肝细胞癌的再分化治疗</w:t>
        </w:r>
      </w:hyperlink>
    </w:p>
    <w:p>
      <w:pPr>
        <w:spacing w:before="0" w:after="80"/>
      </w:pPr>
      <w:r>
        <w:rPr>
          <w:i/>
          <w:sz w:val="20"/>
        </w:rPr>
        <w:t>EN: RNF126 is a peroxisomal fate switch enabling redifferentiation therapy in hepatocellular carcinoma</w:t>
      </w:r>
    </w:p>
    <w:p>
      <w:pPr>
        <w:spacing w:before="0" w:after="120"/>
      </w:pPr>
      <w:r>
        <w:rPr>
          <w:b/>
        </w:rPr>
        <w:t xml:space="preserve">Source: </w:t>
      </w:r>
      <w:r>
        <w:t>Proceedings of the National Academy of Sciences: Keyword search for query</w:t>
      </w:r>
      <w:r>
        <w:t xml:space="preserve">    </w:t>
      </w:r>
      <w:r>
        <w:rPr>
          <w:b/>
        </w:rPr>
        <w:t xml:space="preserve">Pub date: </w:t>
      </w:r>
      <w:r>
        <w:t>2026-06-09 07:00:00+00:00</w:t>
      </w:r>
      <w:r>
        <w:t xml:space="preserve">    </w:t>
      </w:r>
      <w:r>
        <w:rPr>
          <w:b/>
        </w:rPr>
        <w:t xml:space="preserve">DOI: </w:t>
      </w:r>
      <w:hyperlink r:id="rId653">
        <w:r>
          <w:rPr>
            <w:color w:val="1155CC"/>
            <w:u w:val="single"/>
          </w:rPr>
          <w:t>10.1073/pnas.2535777123</w:t>
        </w:r>
      </w:hyperlink>
    </w:p>
    <w:p>
      <w:pPr>
        <w:spacing w:before="0" w:after="120"/>
      </w:pPr>
      <w:r>
        <w:rPr>
          <w:b/>
        </w:rPr>
        <w:t xml:space="preserve">Notes: </w:t>
      </w:r>
      <w:r>
        <w:t>abstract_source=crossref</w:t>
      </w:r>
    </w:p>
    <w:p>
      <w:pPr>
        <w:spacing w:before="0" w:after="80" w:lineRule="auto" w:line="276"/>
      </w:pPr>
      <w:r>
        <w:rPr>
          <w:b/>
        </w:rPr>
        <w:t xml:space="preserve">摘要（ZH）: </w:t>
      </w:r>
      <w:r>
        <w:t>肿瘤缺氧促进肝细胞癌（HCC）的去分化和代谢重编程，破坏正常的肝功能。在这里，我们将 E3 泛素连接酶 RNF126 确定为缺氧诱导的“过氧化物酶体命运”开关，将缺氧微环境与肝细胞分化丧失联系起来。在缺氧状态下，HIF-2α 驱动 RNF126 表达，进而泛素化过氧化物酶体膜转运蛋白 ABCD3，触发选择性过氧化物酶体自噬 (pexophagy) 和过氧化物酶体耗竭。这种细胞器损失消除了极长链脂肪酸β-氧化和过氧化氢解毒，消除了关键的肝细胞分化特征。我们发现遗传性 RNF126 消融可恢复过氧化物酶体功能并损害缺氧 HCC 生长。利用这些见解，我们开发了一种小分子 RNF126 抑制剂 D665-1412，它可以选择性地阻断缺氧诱导的自噬。 D665-1412 治疗可稳定过氧化物酶体，使脂质代谢正常化，并重新激活肝细胞分化标记物，从而“重新分化”HCC 细胞并在体外和体内抑制肿瘤进展。我们的研究结果确立了 HIF-2α–RNF126–ABCD3 轴作为 HCC 去分化的驱动因素，并提出细胞器靶向再分化治疗作为肝癌的一种有前途的方法。</w:t>
      </w:r>
    </w:p>
    <w:p>
      <w:pPr>
        <w:spacing w:before="0" w:after="200" w:lineRule="auto" w:line="276"/>
      </w:pPr>
      <w:r>
        <w:rPr>
          <w:b/>
        </w:rPr>
        <w:t xml:space="preserve">Abstract (EN): </w:t>
      </w:r>
      <w:r>
        <w:t>Tumor hypoxia promotes dedifferentiation and metabolic reprogramming in hepatocellular carcinoma (HCC), undermining normal liver functions. Here, we identify the E3 ubiquitin ligase RNF126 as a hypoxia-inducible “peroxisomal fate” switch that links the hypoxic microenvironment to loss of hepatocyte differentiation. Under hypoxia, HIF-2α drives RNF126 expression, which in turn ubiquitinates the peroxisomal membrane transporter ABCD3, triggering selective peroxisome autophagy (pexophagy) and depletion of peroxisomes. This organelle loss ablates very-long-chain fatty acid β-oxidation and hydrogen peroxide detoxification, erasing key hepatocyte differentiation features. We show that genetic RNF126 ablation restores peroxisomal functions and impairs hypoxic HCC growth. Leveraging these insights, we developed a small-molecule RNF126 inhibitor, D665-1412, which selectively blocks hypoxia-induced pexophagy. D665-1412 treatment stabilizes peroxisomes, normalizes lipid metabolism, and reactivates hepatocytic differentiation markers, thereby “redifferentiating” HCC cells and suppressing tumor progression in vitro and in vivo. Our findings establish the HIF-2α–RNF126–ABCD3 axis as a driver of HCC dedifferentiation and present organelle-targeted redifferentiation therapy as a promising approach for liver cancer.</w:t>
      </w:r>
    </w:p>
    <w:p>
      <w:pPr>
        <w:spacing w:before="120" w:after="120"/>
      </w:pPr>
      <w:r>
        <w:rPr>
          <w:sz w:val="18"/>
        </w:rPr>
        <w:t>——————————————————————————————————————————————————————————————————————</w:t>
      </w:r>
    </w:p>
    <w:p>
      <w:pPr>
        <w:spacing w:before="160" w:after="40" w:line="240" w:lineRule="auto"/>
      </w:pPr>
      <w:r>
        <w:rPr>
          <w:b/>
        </w:rPr>
        <w:t xml:space="preserve">[184] </w:t>
      </w:r>
      <w:hyperlink r:id="rId654">
        <w:r>
          <w:rPr>
            <w:color w:val="1155CC"/>
            <w:u w:val="single"/>
          </w:rPr>
          <w:t>二碳分子的高激发电子态：从光谱学到动力学</w:t>
        </w:r>
      </w:hyperlink>
    </w:p>
    <w:p>
      <w:pPr>
        <w:spacing w:before="0" w:after="80"/>
      </w:pPr>
      <w:r>
        <w:rPr>
          <w:i/>
          <w:sz w:val="20"/>
        </w:rPr>
        <w:t>EN: Highly Excited Electronic States of the Dicarbon Molecule: From Spectroscopy to Dynamics</w:t>
      </w:r>
    </w:p>
    <w:p>
      <w:pPr>
        <w:spacing w:before="0" w:after="120"/>
      </w:pPr>
      <w:r>
        <w:rPr>
          <w:b/>
        </w:rPr>
        <w:t xml:space="preserve">Source: </w:t>
      </w:r>
      <w:r>
        <w:t>Wiley: Advanced Materials: Table of Contents</w:t>
      </w:r>
      <w:r>
        <w:t xml:space="preserve">    </w:t>
      </w:r>
      <w:r>
        <w:rPr>
          <w:b/>
        </w:rPr>
        <w:t xml:space="preserve">Pub date: </w:t>
      </w:r>
      <w:r>
        <w:t>2026-06-09 08:09:57+00:00</w:t>
      </w:r>
      <w:r>
        <w:t xml:space="preserve">    </w:t>
      </w:r>
      <w:r>
        <w:rPr>
          <w:b/>
        </w:rPr>
        <w:t xml:space="preserve">DOI: </w:t>
      </w:r>
      <w:hyperlink r:id="rId655">
        <w:r>
          <w:rPr>
            <w:color w:val="1155CC"/>
            <w:u w:val="single"/>
          </w:rPr>
          <w:t>10.1002/adma.73631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二碳分子（C</w:t>
      </w:r>
      <w:r>
        <w:rPr>
          <w:vertAlign w:val="subscript"/>
        </w:rPr>
        <w:t>2</w:t>
      </w:r>
      <w:r>
        <w:t>）不仅可以作为研究化学键合的基准，而且可以作为碳材料自下而上合成的基本构件，以及天体化学中的关键物种。 C的光谱和动力学研究</w:t>
      </w:r>
      <w:r>
        <w:rPr>
          <w:vertAlign w:val="subscript"/>
        </w:rPr>
        <w:t>2</w:t>
      </w:r>
      <w:r>
        <w:t>持续了两个多世纪，这为了解其复杂的电子结构提供了宝贵的见解，这些电子结构表现为低位电子态的密集流形、准简并前沿轨道和显着的多构型特征。从材料的角度，对 C 激发态的光谱和动力学见解</w:t>
      </w:r>
      <w:r>
        <w:rPr>
          <w:vertAlign w:val="subscript"/>
        </w:rPr>
        <w:t>2</w:t>
      </w:r>
      <w:r>
        <w:t>对于控制化学气相沉积（CVD）过程中的非平衡碳化学至关重要，其中C</w:t>
      </w:r>
      <w:r>
        <w:rPr>
          <w:vertAlign w:val="subscript"/>
        </w:rPr>
        <w:t>2</w:t>
      </w:r>
      <w:r>
        <w:t>作为主要构建块。在这里，我们全面回顾了 C 的光谱和动力学研究的最新进展。</w:t>
      </w:r>
      <w:r>
        <w:rPr>
          <w:vertAlign w:val="subscript"/>
        </w:rPr>
        <w:t>2</w:t>
      </w:r>
      <w:r>
        <w:t>，重点关注其接近或高于最低解离阈值的高度激发态。这些进展不仅导致了几种新的高度激发态的识别，而且还提供了有关激发态衰变动力学的重要信息，包括状态特定寿命和预解离动力学。尽管取得了这些进展，我们对 C 的预解离动力学的理解</w:t>
      </w:r>
      <w:r>
        <w:rPr>
          <w:vertAlign w:val="subscript"/>
        </w:rPr>
        <w:t>2</w:t>
      </w:r>
      <w:r>
        <w:t>仍然有限；因此，西弗</w:t>
      </w:r>
    </w:p>
    <w:p>
      <w:pPr>
        <w:spacing w:before="0" w:after="200" w:lineRule="auto" w:line="276"/>
      </w:pPr>
      <w:r>
        <w:rPr>
          <w:b/>
        </w:rPr>
        <w:t xml:space="preserve">Abstract (EN): </w:t>
      </w:r>
      <w:r>
        <w:t>The dicarbon molecule (C</w:t>
      </w:r>
      <w:r>
        <w:rPr>
          <w:vertAlign w:val="subscript"/>
        </w:rPr>
        <w:t>2</w:t>
      </w:r>
      <w:r>
        <w:t>) serves not only as a benchmark for studying chemical bonding, but also as an elementary building block in the bottom‐up synthesis of carbon materials, and a key species in astrochemistry. The spectroscopic and dynamic studies of C</w:t>
      </w:r>
      <w:r>
        <w:rPr>
          <w:vertAlign w:val="subscript"/>
        </w:rPr>
        <w:t>2</w:t>
      </w:r>
      <w:r>
        <w:t>have lasted for longer than two centuries, which provide invaluable insights into its complex electronic structure manifested as dense manifolds of low‐lying electronic states, quasi‐degenerate frontier orbitals, and significant multi‐configurational characters. From a materials perspective, spectroscopic and dynamical insights into the excited states of C</w:t>
      </w:r>
      <w:r>
        <w:rPr>
          <w:vertAlign w:val="subscript"/>
        </w:rPr>
        <w:t>2</w:t>
      </w:r>
      <w:r>
        <w:t>are pivotal for controlling the non‐equilibrium carbon chemistry in chemical vapor deposition (CVD) processes, where C</w:t>
      </w:r>
      <w:r>
        <w:rPr>
          <w:vertAlign w:val="subscript"/>
        </w:rPr>
        <w:t>2</w:t>
      </w:r>
      <w:r>
        <w:t>acts as a primary building block. Here, we present a comprehensive review of recent progress on the spectroscopic and dynamic study of C</w:t>
      </w:r>
      <w:r>
        <w:rPr>
          <w:vertAlign w:val="subscript"/>
        </w:rPr>
        <w:t>2</w:t>
      </w:r>
      <w:r>
        <w:t>, focusing on its highly excited states near or above the lowest dissociation threshold. These advances not only led to the identification of several new highly excited states but also provided important information on the decay dynamics in excited states, including state‐specific lifetimes and predissociation dynamics. Despite these advances, our understanding of the predissociation dynamics of C</w:t>
      </w:r>
      <w:r>
        <w:rPr>
          <w:vertAlign w:val="subscript"/>
        </w:rPr>
        <w:t>2</w:t>
      </w:r>
      <w:r>
        <w:t>remains limited; thus, several future prospects are proposed, and implications for the precise controlled synthesis of carbon materials are also mentioned.</w:t>
      </w:r>
    </w:p>
    <w:p>
      <w:pPr>
        <w:spacing w:before="120" w:after="120"/>
      </w:pPr>
      <w:r>
        <w:rPr>
          <w:sz w:val="18"/>
        </w:rPr>
        <w:t>——————————————————————————————————————————————————————————————————————</w:t>
      </w:r>
    </w:p>
    <w:p>
      <w:pPr>
        <w:spacing w:before="160" w:after="40" w:line="240" w:lineRule="auto"/>
      </w:pPr>
      <w:r>
        <w:rPr>
          <w:b/>
        </w:rPr>
        <w:t xml:space="preserve">[185] </w:t>
      </w:r>
      <w:hyperlink r:id="rId656">
        <w:r>
          <w:rPr>
            <w:color w:val="1155CC"/>
            <w:u w:val="single"/>
          </w:rPr>
          <w:t>量化量子点的电激发水平以减轻电致发光效率滚降</w:t>
        </w:r>
      </w:hyperlink>
    </w:p>
    <w:p>
      <w:pPr>
        <w:spacing w:before="0" w:after="80"/>
      </w:pPr>
      <w:r>
        <w:rPr>
          <w:i/>
          <w:sz w:val="20"/>
        </w:rPr>
        <w:t>EN: Quantifying the Electrical Excitation Level of Quantum Dots for Mitigating Electroluminescent Efficiency Roll‐Off</w:t>
      </w:r>
    </w:p>
    <w:p>
      <w:pPr>
        <w:spacing w:before="0" w:after="120"/>
      </w:pPr>
      <w:r>
        <w:rPr>
          <w:b/>
        </w:rPr>
        <w:t xml:space="preserve">Source: </w:t>
      </w:r>
      <w:r>
        <w:t>Wiley: Advanced Materials: Table of Contents</w:t>
      </w:r>
      <w:r>
        <w:t xml:space="preserve">    </w:t>
      </w:r>
      <w:r>
        <w:rPr>
          <w:b/>
        </w:rPr>
        <w:t xml:space="preserve">Pub date: </w:t>
      </w:r>
      <w:r>
        <w:t>2026-06-09 08:11:52+00:00</w:t>
      </w:r>
      <w:r>
        <w:t xml:space="preserve">    </w:t>
      </w:r>
      <w:r>
        <w:rPr>
          <w:b/>
        </w:rPr>
        <w:t xml:space="preserve">DOI: </w:t>
      </w:r>
      <w:hyperlink r:id="rId657">
        <w:r>
          <w:rPr>
            <w:color w:val="1155CC"/>
            <w:u w:val="single"/>
          </w:rPr>
          <w:t>10.1002/adma.73638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了解发光二极管 (LED) 中量子点的电激发能级是器件机制研究的一个核心方面。然而，由于缺乏直接可行的分析方法，实际研究受到阻碍。在这项研究中，我们提出了一种通过结合载流子注入平衡检查量子点的电激发水平来评估器件质量的方法。通过电致发光强度和平均激子数的定量建模（&lt;</w:t>
      </w:r>
      <w:r>
        <w:t xml:space="preserve"> </w:t>
      </w:r>
      <w:r>
        <w:t>氮</w:t>
      </w:r>
      <w:r>
        <w:t xml:space="preserve"> </w:t>
      </w:r>
      <w:r>
        <w:t>&gt;）在电激励下产生，可以提取体现电流利用效率的关键参数，为器件优化策略提供指导。作为概念证明，我们对发蓝光的钙钛矿量子点 LED 的效率滚降进行了理论分析。结合电激发瞬态吸收光谱，确定空穴泄漏是电流利用效率低的主要原因。通过增强电子注入来缓解载流子注入不平衡，蓝色器件同时实现了超过 11 000 cd m 的高亮度</w:t>
      </w:r>
      <w:r>
        <w:t xml:space="preserve"> </w:t>
      </w:r>
      <w:r>
        <w:t>−2</w:t>
      </w:r>
      <w:r>
        <w:t xml:space="preserve"> </w:t>
      </w:r>
      <w:r>
        <w:t>最大 EQE 为 26.0%，代表最先进的蓝色钙钛矿 LED。</w:t>
      </w:r>
    </w:p>
    <w:p>
      <w:pPr>
        <w:spacing w:before="0" w:after="200" w:lineRule="auto" w:line="276"/>
      </w:pPr>
      <w:r>
        <w:rPr>
          <w:b/>
        </w:rPr>
        <w:t xml:space="preserve">Abstract (EN): </w:t>
      </w:r>
      <w:r>
        <w:t>Understanding the electrical excitation level of quantum dots in light‐emitting diodes (LEDs) constitutes a central aspect of investigations into device mechanisms. However, practical research is hindered by the absence of straightforward and viable analytical methodologies. In this study, we present an approach for assessing device quality by examining the electrical excitation level of quantum dots in conjunction with carrier injection balance. Through quantitative modeling of electroluminescent intensity and the average number of excitons (&amp;lt;</w:t>
      </w:r>
      <w:r>
        <w:t xml:space="preserve"> </w:t>
      </w:r>
      <w:r>
        <w:t>N</w:t>
      </w:r>
      <w:r>
        <w:t xml:space="preserve"> </w:t>
      </w:r>
      <w:r>
        <w:t>&amp;gt;) generated under electrical excitation, key parameters that manifest the current utilization efficiency can be extracted, providing a guideline to inform device optimization strategies. As a proof of concept, the efficiency roll‐off of blue‐emitting perovskite quantum dot LEDs is theoretically analyzed. Combining electrically excited transient absorption spectroscopy, hole leakage is identified as the main cause of low current utilization efficiency. Mitigating carrier injection imbalance via enhancing electron injection, the blue device simultaneously achieves a high brightness of over 11 000 cd m</w:t>
      </w:r>
      <w:r>
        <w:t xml:space="preserve"> </w:t>
      </w:r>
      <w:r>
        <w:t>−2</w:t>
      </w:r>
      <w:r>
        <w:t xml:space="preserve"> </w:t>
      </w:r>
      <w:r>
        <w:t>and a maximum EQE of 26.0%, representing state‐of‐the‐art blue perovskite LEDs.</w:t>
      </w:r>
    </w:p>
    <w:p>
      <w:pPr>
        <w:spacing w:before="120" w:after="120"/>
      </w:pPr>
      <w:r>
        <w:rPr>
          <w:sz w:val="18"/>
        </w:rPr>
        <w:t>——————————————————————————————————————————————————————————————————————</w:t>
      </w:r>
    </w:p>
    <w:p>
      <w:pPr>
        <w:spacing w:before="160" w:after="40" w:line="240" w:lineRule="auto"/>
      </w:pPr>
      <w:r>
        <w:rPr>
          <w:b/>
        </w:rPr>
        <w:t xml:space="preserve">[186] </w:t>
      </w:r>
      <w:hyperlink r:id="rId658">
        <w:r>
          <w:rPr>
            <w:color w:val="1155CC"/>
            <w:u w:val="single"/>
          </w:rPr>
          <w:t>具有目标性能的非晶材料的逆向设计</w:t>
        </w:r>
      </w:hyperlink>
    </w:p>
    <w:p>
      <w:pPr>
        <w:spacing w:before="0" w:after="80"/>
      </w:pPr>
      <w:r>
        <w:rPr>
          <w:i/>
          <w:sz w:val="20"/>
        </w:rPr>
        <w:t>EN: Inverse Design of Amorphous Materials With Targeted Properties</w:t>
      </w:r>
    </w:p>
    <w:p>
      <w:pPr>
        <w:spacing w:before="0" w:after="120"/>
      </w:pPr>
      <w:r>
        <w:rPr>
          <w:b/>
        </w:rPr>
        <w:t xml:space="preserve">Source: </w:t>
      </w:r>
      <w:r>
        <w:t>Wiley: Advanced Materials: Table of Contents</w:t>
      </w:r>
      <w:r>
        <w:t xml:space="preserve">    </w:t>
      </w:r>
      <w:r>
        <w:rPr>
          <w:b/>
        </w:rPr>
        <w:t xml:space="preserve">Pub date: </w:t>
      </w:r>
      <w:r>
        <w:t>2026-06-09 08:13:47+00:00</w:t>
      </w:r>
      <w:r>
        <w:t xml:space="preserve">    </w:t>
      </w:r>
      <w:r>
        <w:rPr>
          <w:b/>
        </w:rPr>
        <w:t xml:space="preserve">DOI: </w:t>
      </w:r>
      <w:hyperlink r:id="rId659">
        <w:r>
          <w:rPr>
            <w:color w:val="1155CC"/>
            <w:u w:val="single"/>
          </w:rPr>
          <w:t>10.1002/adma.202522493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序（非晶）材料，例如玻璃，正在成为能源存储、非线性光学和催化领域应用的有希望的候选材料。它们缺乏长程有序和复杂的短程和中程有序，这取决于成分以及热和压力历史，提供了广阔的材料设计空间。为此，依靠机器学习方法而不是反复试验是有希望的，其中逆向设计已成为生成具有所需性能的材料的工具。尽管基于扩散模型的逆向设计方法已在晶体材料和分子方面取得了成功，但针对非晶材料的类似方法仍然较少开发，这主要是因为大规模数据集的可用性有限以及对更大模拟单元的需求。在这项工作中，我们提出并验证了一种非晶材料的逆向设计方法，引入了AMDEN（非晶材料去噪网络），这是一种基于扩散模型的框架，可生成非晶材料的结构。首先，我们展示了扩散模型生成松弛结构的固有挑战。这些低能量配置通常是通过热运动驱动的随机搜索过程获得的，该过程无法通过标准去噪程序复制。因此，我们引入了一种基于能量的 AMDEN 变体，该变体实施哈密顿蒙特卡罗细化来生成这些松弛结构。我们进一步介绍了几个具有不同属性和共同特征的非晶材料数据集</w:t>
      </w:r>
    </w:p>
    <w:p>
      <w:pPr>
        <w:spacing w:before="0" w:after="200" w:lineRule="auto" w:line="276"/>
      </w:pPr>
      <w:r>
        <w:rPr>
          <w:b/>
        </w:rPr>
        <w:t xml:space="preserve">Abstract (EN): </w:t>
      </w:r>
      <w:r>
        <w:t>Disordered (amorphous) materials, such as glasses, are emerging as promising candidates for applications within energy storage, nonlinear optics, and catalysis. Their lack of long‐range order and complex short‐ and medium‐range order, which depend on composition as well as thermal and pressure history, offer a vast materials design space. To this end, relying on machine learning methods instead of trial and error is promising, and among these, inverse design has emerged as a tool for generating materials with desired properties. Although inverse design methods based on diffusion models have shown success for crystalline materials and molecules, similar methods targeting amorphous materials remain less developed, mainly because of the limited availability of large‐scale datasets and the requirement for larger simulation cells. In this work, we propose and validate an inverse design method for amorphous materials, introducing AMDEN (Amorphous Material DEnoising Network), a diffusion model‐based framework that generates structures of amorphous materials. First, we demonstrate the inherent challenges for diffusion models to generate relaxed structures. These low‐energy configurations are typically obtained through a thermal motion‐driven random search‐like process that cannot be replicated by standard denoising procedures. We therefore introduce an energy‐based AMDEN variant that implements Hamiltonian Monte Carlo refinement for generating these relaxed structures. We further introduce several amorphous material datasets with diverse properties and compositions to evaluate our framework and support future development.</w:t>
      </w:r>
    </w:p>
    <w:p>
      <w:pPr>
        <w:spacing w:before="120" w:after="120"/>
      </w:pPr>
      <w:r>
        <w:rPr>
          <w:sz w:val="18"/>
        </w:rPr>
        <w:t>——————————————————————————————————————————————————————————————————————</w:t>
      </w:r>
    </w:p>
    <w:p>
      <w:pPr>
        <w:spacing w:before="160" w:after="40" w:line="240" w:lineRule="auto"/>
      </w:pPr>
      <w:r>
        <w:rPr>
          <w:b/>
        </w:rPr>
        <w:t xml:space="preserve">[187] </w:t>
      </w:r>
      <w:hyperlink r:id="rId660">
        <w:r>
          <w:rPr>
            <w:color w:val="1155CC"/>
            <w:u w:val="single"/>
          </w:rPr>
          <w:t>用于神经修复的工程丝素蛋白基生物材料</w:t>
        </w:r>
      </w:hyperlink>
    </w:p>
    <w:p>
      <w:pPr>
        <w:spacing w:before="0" w:after="80"/>
      </w:pPr>
      <w:r>
        <w:rPr>
          <w:i/>
          <w:sz w:val="20"/>
        </w:rPr>
        <w:t>EN: Engineering Silk Fibroin‐Based Biomaterials for Neural Repair</w:t>
      </w:r>
    </w:p>
    <w:p>
      <w:pPr>
        <w:spacing w:before="0" w:after="120"/>
      </w:pPr>
      <w:r>
        <w:rPr>
          <w:b/>
        </w:rPr>
        <w:t xml:space="preserve">Source: </w:t>
      </w:r>
      <w:r>
        <w:t>Wiley: Advanced Materials: Table of Contents</w:t>
      </w:r>
      <w:r>
        <w:t xml:space="preserve">    </w:t>
      </w:r>
      <w:r>
        <w:rPr>
          <w:b/>
        </w:rPr>
        <w:t xml:space="preserve">Pub date: </w:t>
      </w:r>
      <w:r>
        <w:t>2026-06-09 08:16:16+00:00</w:t>
      </w:r>
      <w:r>
        <w:t xml:space="preserve">    </w:t>
      </w:r>
      <w:r>
        <w:rPr>
          <w:b/>
        </w:rPr>
        <w:t xml:space="preserve">DOI: </w:t>
      </w:r>
      <w:hyperlink r:id="rId661">
        <w:r>
          <w:rPr>
            <w:color w:val="1155CC"/>
            <w:u w:val="single"/>
          </w:rPr>
          <w:t>10.1002/adma.73651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神经组织的再生能力有限、抑制性损伤后微环境的持续存在以及缺乏能够同时提供结构支撑和生物指导的生物材料，神经损伤仍然是一个重大的临床挑战。越来越多的证据强调，生物材料介导的神经微环境调节对于有效的神经再生和功能恢复至关重要。丝素蛋白（SF）是一种天然衍生的蛋白质生物材料，由于其可调节的机械性能、可控的降解、结构各向异性和多功能修饰潜力，引起了神经修复领域越来越多的兴趣。除了充当被动支架之外，基于 SF 的生物材料还可以主动调节轴突导向、神经和胶质细胞行为以及神经炎症反应。该综述系统地总结了SF的理化性质和修饰策略，阐明了SF基材料促进神经修复的潜在机制，并讨论了多种SF基材料形式，包括水凝胶、支架、贴片、纳米纤维和神经导管。重点介绍了在周围神经损伤和中枢神经系统疾病（例如脊髓损伤、创伤性脑损伤、脑瘫、缺血性中风和帕金森病）中的代表性应用。最后，讨论了基于SF的神经生物材料的当前挑战和未来前景，重点是指导下一代神经生物材料的合理设计和临床转化</w:t>
      </w:r>
    </w:p>
    <w:p>
      <w:pPr>
        <w:spacing w:before="0" w:after="200" w:lineRule="auto" w:line="276"/>
      </w:pPr>
      <w:r>
        <w:rPr>
          <w:b/>
        </w:rPr>
        <w:t xml:space="preserve">Abstract (EN): </w:t>
      </w:r>
      <w:r>
        <w:t>Neurological injuries remain a major clinical challenge due to the limited regenerative capacity of neural tissue, the persistence of inhibitory post‐injury microenvironments, and the lack of biomaterials capable of simultaneously providing structural support and biological instruction. Growing evidence highlights that biomaterial‐mediated modulation of the neural microenvironment is essential for effective neural regeneration and functional recovery. Silk fibroin (SF), a naturally derived protein biomaterial, has attracted growing interest in neural repair owing to its tunable mechanical properties, controllable degradation, structural anisotropy, and versatile modification potential. Beyond serving as passive scaffolds, SF‐based biomaterials actively regulate axonal guidance, neural and glial cell behavior, and neuroinflammatory responses. This review systematically summarizes the physicochemical properties and modification strategies of SF, elucidates the underlying mechanisms by which SF‐based materials promote neural repair, and discusses diverse SF‐based material formats, including hydrogels, scaffolds, patches, nanofibers, and nerve conduits. Representative applications in peripheral nerve injury and central nervous system disorders, such as spinal cord injury, traumatic brain injury, cerebral palsy, ischemic stroke, and Parkinson's disease, are highlighted. Finally, current challenges and future perspectives of SF‐based neural biomaterials are discussed, with an emphasis on guiding the rational design and clinical translation of next‐generation neural repair strategies.</w:t>
      </w:r>
    </w:p>
    <w:p>
      <w:pPr>
        <w:spacing w:before="120" w:after="120"/>
      </w:pPr>
      <w:r>
        <w:rPr>
          <w:sz w:val="18"/>
        </w:rPr>
        <w:t>——————————————————————————————————————————————————————————————————————</w:t>
      </w:r>
    </w:p>
    <w:p>
      <w:pPr>
        <w:spacing w:before="160" w:after="40" w:line="240" w:lineRule="auto"/>
      </w:pPr>
      <w:r>
        <w:rPr>
          <w:b/>
        </w:rPr>
        <w:t xml:space="preserve">[188] </w:t>
      </w:r>
      <w:hyperlink r:id="rId662">
        <w:r>
          <w:rPr>
            <w:color w:val="1155CC"/>
            <w:u w:val="single"/>
          </w:rPr>
          <w:t>对“用于促进缺血组织血管再生的人工混合纳米细胞仿生设计”的修正</w:t>
        </w:r>
      </w:hyperlink>
    </w:p>
    <w:p>
      <w:pPr>
        <w:spacing w:before="0" w:after="80"/>
      </w:pPr>
      <w:r>
        <w:rPr>
          <w:i/>
          <w:sz w:val="20"/>
        </w:rPr>
        <w:t>EN: Correction to “Biomimetic Design of Artificial Hybrid Nanocells for Boosted Vascular Regeneration in Ischemic Tissues”</w:t>
      </w:r>
    </w:p>
    <w:p>
      <w:pPr>
        <w:spacing w:before="0" w:after="120"/>
      </w:pPr>
      <w:r>
        <w:rPr>
          <w:b/>
        </w:rPr>
        <w:t xml:space="preserve">Source: </w:t>
      </w:r>
      <w:r>
        <w:t>Wiley: Advanced Materials: Table of Contents</w:t>
      </w:r>
      <w:r>
        <w:t xml:space="preserve">    </w:t>
      </w:r>
      <w:r>
        <w:rPr>
          <w:b/>
        </w:rPr>
        <w:t xml:space="preserve">Pub date: </w:t>
      </w:r>
      <w:r>
        <w:t>2026-06-09 08:17:25+00:00</w:t>
      </w:r>
      <w:r>
        <w:t xml:space="preserve">    </w:t>
      </w:r>
      <w:r>
        <w:rPr>
          <w:b/>
        </w:rPr>
        <w:t xml:space="preserve">DOI: </w:t>
      </w:r>
      <w:hyperlink r:id="rId663">
        <w:r>
          <w:rPr>
            <w:color w:val="1155CC"/>
            <w:u w:val="single"/>
          </w:rPr>
          <w:t>10.1002/adma.73691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[189] </w:t>
      </w:r>
      <w:hyperlink r:id="rId664">
        <w:r>
          <w:rPr>
            <w:color w:val="1155CC"/>
            <w:u w:val="single"/>
          </w:rPr>
          <w:t>具有适体设计的受限反应环境的双单原子催化剂，用于时空控制的选择性转化</w:t>
        </w:r>
      </w:hyperlink>
    </w:p>
    <w:p>
      <w:pPr>
        <w:spacing w:before="0" w:after="80"/>
      </w:pPr>
      <w:r>
        <w:rPr>
          <w:i/>
          <w:sz w:val="20"/>
        </w:rPr>
        <w:t>EN: Dual‐Single‐Atom Catalyst with Aptamer‐Engineered Confined Reactive Milieu for Spatiotemporally Controlled Selective Conversion</w:t>
      </w:r>
    </w:p>
    <w:p>
      <w:pPr>
        <w:spacing w:before="0" w:after="120"/>
      </w:pPr>
      <w:r>
        <w:rPr>
          <w:b/>
        </w:rPr>
        <w:t xml:space="preserve">Source: </w:t>
      </w:r>
      <w:r>
        <w:t>Wiley: Advanced Materials: Table of Contents</w:t>
      </w:r>
      <w:r>
        <w:t xml:space="preserve">    </w:t>
      </w:r>
      <w:r>
        <w:rPr>
          <w:b/>
        </w:rPr>
        <w:t xml:space="preserve">Pub date: </w:t>
      </w:r>
      <w:r>
        <w:t>2026-06-09 08:20:40+00:00</w:t>
      </w:r>
      <w:r>
        <w:t xml:space="preserve">    </w:t>
      </w:r>
      <w:r>
        <w:rPr>
          <w:b/>
        </w:rPr>
        <w:t xml:space="preserve">DOI: </w:t>
      </w:r>
      <w:hyperlink r:id="rId665">
        <w:r>
          <w:rPr>
            <w:color w:val="1155CC"/>
            <w:u w:val="single"/>
          </w:rPr>
          <w:t>10.1002/adma.73645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短寿命反应中间体的时空控制仍然是多相催化中的一个核心挑战，因为非选择性扩散从根本上限制了复杂介质中的效率。受酶区室化的启发，我们报道了一种适体功能化的Au-Fe双单原子催化剂（Apt-Au</w:t>
      </w:r>
      <w:r>
        <w:rPr>
          <w:vertAlign w:val="subscript"/>
        </w:rPr>
        <w:t>1</w:t>
      </w:r>
      <w:r>
        <w:t>‐铁</w:t>
      </w:r>
      <w:r>
        <w:rPr>
          <w:vertAlign w:val="subscript"/>
        </w:rPr>
        <w:t>1</w:t>
      </w:r>
      <w:r>
        <w:t>/NC）通过将原子分散的金铁位点与基因工程识别元件相结合来模仿自然的精度。这种材料设计创建了一个“智能反应口袋”，具有两个协同界面：Au-Fe异核对以电子方式调节</w:t>
      </w:r>
      <w:r>
        <w:t xml:space="preserve"> </w:t>
      </w:r>
      <w:r>
        <w:t>d</w:t>
      </w:r>
      <w:r>
        <w:t xml:space="preserve"> </w:t>
      </w:r>
      <w:r>
        <w:t>‐能带中心，将氧还原反应（ORR）锁定在具有较低能垒（0.424 eV）的高选择性三电子途径中，而接枝适体则充当底物预富集的分子看门人。由此产生的体系结构对特定目标实现了卓越的选择性 (87.0%–92.6%)，同时将非特定矿化率抑制到 5.3% 以下，这与选择性可忽略不计且矿化度超过 90% 的传统系统形成鲜明对比。从机制上讲，协同电子相互作用确保了局部·OH的生成，而适体则强制执行严格的“邻近效应”，将这些自由基限制在纳米级空间内，以便被捕获的底物瞬时消耗。通过对无机活性物质施加基于生物识别的空间约束</w:t>
      </w:r>
    </w:p>
    <w:p>
      <w:pPr>
        <w:spacing w:before="0" w:after="200" w:lineRule="auto" w:line="276"/>
      </w:pPr>
      <w:r>
        <w:rPr>
          <w:b/>
        </w:rPr>
        <w:t xml:space="preserve">Abstract (EN): </w:t>
      </w:r>
      <w:r>
        <w:t>Spatiotemporal control of short‐lived reactive intermediates remains a central challenge in heterogeneous catalysis, as non‐selective diffusion fundamentally limits efficiency in complex media. Inspired by enzymatic compartmentalization, we report an aptamer‐functionalized Au‐Fe dual‐single‐atom catalyst (Apt‐Au</w:t>
      </w:r>
      <w:r>
        <w:rPr>
          <w:vertAlign w:val="subscript"/>
        </w:rPr>
        <w:t>1</w:t>
      </w:r>
      <w:r>
        <w:t>‐Fe</w:t>
      </w:r>
      <w:r>
        <w:rPr>
          <w:vertAlign w:val="subscript"/>
        </w:rPr>
        <w:t>1</w:t>
      </w:r>
      <w:r>
        <w:t>/NC) that mimics nature's precision by integrating atomically dispersed Au‐Fe sites with a genetically engineered recognition element. This material design creates a “smart reactive pocket” featuring two synergistic interfaces: the Au‐Fe heteronuclear pair electronically modulates the</w:t>
      </w:r>
      <w:r>
        <w:t xml:space="preserve"> </w:t>
      </w:r>
      <w:r>
        <w:t>d</w:t>
      </w:r>
      <w:r>
        <w:t xml:space="preserve"> </w:t>
      </w:r>
      <w:r>
        <w:t>‐band center to lock the oxygen reduction reaction (ORR) into a highly selective 3‐electron pathway with a lowered energy barrier (0.424 eV), while the grafted aptamer acts as a molecular gatekeeper for substrate pre‐enrichment. The resulting architecture achieves exceptional selectivity (87.0%–92.6%) for specific targets while suppressing non‐specific mineralization to below 5.3%—a stark contrast to conventional systems where selectivity is negligible and mineralization exceeds 90%. Mechanistically, the synergistic electronic interaction ensures localized ·OH generation, while the aptamer enforces a strict “proximity effect,” confining these radicals within the nanoscale space for instantaneous consumption by captured substrates. By imposing biological recognition‐based spatial constraints on inorganic active centers, this work establishes a universal paradigm for decoupling activity from selectivity, enabling precision chemical conversion in complex matrices.</w:t>
      </w:r>
    </w:p>
    <w:p>
      <w:pPr>
        <w:spacing w:before="120" w:after="120"/>
      </w:pPr>
      <w:r>
        <w:rPr>
          <w:sz w:val="18"/>
        </w:rPr>
        <w:t>——————————————————————————————————————————————————————————————————————</w:t>
      </w:r>
    </w:p>
    <w:p>
      <w:pPr>
        <w:spacing w:before="160" w:after="40" w:line="240" w:lineRule="auto"/>
      </w:pPr>
      <w:r>
        <w:rPr>
          <w:b/>
        </w:rPr>
        <w:t xml:space="preserve">[190] </w:t>
      </w:r>
      <w:hyperlink r:id="rId666">
        <w:r>
          <w:rPr>
            <w:color w:val="1155CC"/>
            <w:u w:val="single"/>
          </w:rPr>
          <w:t>用于超导量子位读出的庞德-德雷弗-霍尔方法</w:t>
        </w:r>
      </w:hyperlink>
    </w:p>
    <w:p>
      <w:pPr>
        <w:spacing w:before="0" w:after="80"/>
      </w:pPr>
      <w:r>
        <w:rPr>
          <w:i/>
          <w:sz w:val="20"/>
        </w:rPr>
        <w:t>EN: Pound-Drever-Hall Method for Superconducting-Qubit Readout</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67">
        <w:r>
          <w:rPr>
            <w:color w:val="1155CC"/>
            <w:u w:val="single"/>
          </w:rPr>
          <w:t>10.1103/ng1d-6gb8</w:t>
        </w:r>
      </w:hyperlink>
    </w:p>
    <w:p>
      <w:pPr>
        <w:spacing w:before="0" w:after="120"/>
      </w:pPr>
      <w:r>
        <w:rPr>
          <w:b/>
        </w:rPr>
        <w:t xml:space="preserve">Notes: </w:t>
      </w:r>
      <w:r>
        <w:t>abstract_source=rss_description</w:t>
      </w:r>
    </w:p>
    <w:p>
      <w:pPr>
        <w:spacing w:before="0" w:after="80" w:lineRule="auto" w:line="276"/>
      </w:pPr>
      <w:r>
        <w:rPr>
          <w:b/>
        </w:rPr>
        <w:t xml:space="preserve">摘要（ZH）: </w:t>
      </w:r>
      <w:r>
        <w:t>作者：Ibukunoluwa Adisa、Won Chan Lee、Kevin C. Cox 和 Alicia J. Kollár 将量子计算机扩展到大尺寸需要实现许多并行量子位读出。在这里，我们提出了一种使用多音自相位参考 Pound-Drever-Hall (PDH) 技术的超稳定超导量子位读出方法，该技术最初开发用于光学腔。我……[物理。莱特牧师。 136, 233601] 发布时间 2026 年 6 月 9 日星期二</w:t>
      </w:r>
    </w:p>
    <w:p>
      <w:pPr>
        <w:spacing w:before="0" w:after="200" w:lineRule="auto" w:line="276"/>
      </w:pPr>
      <w:r>
        <w:rPr>
          <w:b/>
        </w:rPr>
        <w:t xml:space="preserve">Abstract (EN): </w:t>
      </w:r>
      <w:r>
        <w:t>Author(s): Ibukunoluwa Adisa, Won Chan Lee, Kevin C. Cox, and Alicia J. KollárScaling quantum computers to large sizes requires the implementation of many parallel qubit readouts. Here we present an ultrastable superconducting-qubit readout method using the multitone self-phase-referenced Pound-Drever-Hall (PDH) technique, originally developed for use with optical cavities. I…[Phys. Rev. Lett. 136, 233601] Published Tue Jun 09, 2026</w:t>
      </w:r>
    </w:p>
    <w:p>
      <w:pPr>
        <w:spacing w:before="120" w:after="120"/>
      </w:pPr>
      <w:r>
        <w:rPr>
          <w:sz w:val="18"/>
        </w:rPr>
        <w:t>——————————————————————————————————————————————————————————————————————</w:t>
      </w:r>
    </w:p>
    <w:p>
      <w:pPr>
        <w:spacing w:before="160" w:after="40" w:line="240" w:lineRule="auto"/>
      </w:pPr>
      <w:r>
        <w:rPr>
          <w:b/>
        </w:rPr>
        <w:t xml:space="preserve">[191] </w:t>
      </w:r>
      <w:hyperlink r:id="rId668">
        <w:r>
          <w:rPr>
            <w:color w:val="1155CC"/>
            <w:u w:val="single"/>
          </w:rPr>
          <w:t>一维玻色气体中分数费米海的奇异临界态</w:t>
        </w:r>
      </w:hyperlink>
    </w:p>
    <w:p>
      <w:pPr>
        <w:spacing w:before="0" w:after="80"/>
      </w:pPr>
      <w:r>
        <w:rPr>
          <w:i/>
          <w:sz w:val="20"/>
        </w:rPr>
        <w:t>EN: Exotic Critical States as Fractional Fermi Seas in the One-Dimensional Bose Gas</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69">
        <w:r>
          <w:rPr>
            <w:color w:val="1155CC"/>
            <w:u w:val="single"/>
          </w:rPr>
          <w:t>10.1103/j3s5-gjpf</w:t>
        </w:r>
      </w:hyperlink>
    </w:p>
    <w:p>
      <w:pPr>
        <w:spacing w:before="0" w:after="120"/>
      </w:pPr>
      <w:r>
        <w:rPr>
          <w:b/>
        </w:rPr>
        <w:t xml:space="preserve">Notes: </w:t>
      </w:r>
      <w:r>
        <w:t>abstract_source=rss_description</w:t>
      </w:r>
    </w:p>
    <w:p>
      <w:pPr>
        <w:spacing w:before="0" w:after="80" w:lineRule="auto" w:line="276"/>
      </w:pPr>
      <w:r>
        <w:rPr>
          <w:b/>
        </w:rPr>
        <w:t xml:space="preserve">摘要（ZH）: </w:t>
      </w:r>
      <w:r>
        <w:t>作者：Alvise Bastianello, Yi Zeng, Sudipta Dhar, Zekui Wang, Xudong Yu, Milena Horvath, Grigori E. Astrakharchik, Yanliang Jing, Hanns-Christoph Nägerl, and Manuele Landini 临界量子场论因其源自长程相关性的内在普遍性而在现代理论物理学中占据着中心地位。例如，Tomonaga-Luttinger 液体 (TLL) 描述了大量低温下的一维量子系统。它的行为是……[物理。莱特牧师。 136, 230402] 2026 年 6 月 9 日星期二发布</w:t>
      </w:r>
    </w:p>
    <w:p>
      <w:pPr>
        <w:spacing w:before="0" w:after="200" w:lineRule="auto" w:line="276"/>
      </w:pPr>
      <w:r>
        <w:rPr>
          <w:b/>
        </w:rPr>
        <w:t xml:space="preserve">Abstract (EN): </w:t>
      </w:r>
      <w:r>
        <w:t>Author(s): Alvise Bastianello, Yi Zeng, Sudipta Dhar, Zekui Wang, Xudong Yu, Milena Horvath, Grigori E. Astrakharchik, Yanliang Guo, Hanns-Christoph Nägerl, and Manuele LandiniCritical quantum field theories occupy a central position in modern theoretical physics for their inherent universality stemming from long-range correlations. As an example, the Tomonaga-Luttinger liquid (TLL) describes a wealth of one-dimensional quantum systems at low temperatures. Its behavior is…[Phys. Rev. Lett. 136, 230402] Published Tue Jun 09, 2026</w:t>
      </w:r>
    </w:p>
    <w:p>
      <w:pPr>
        <w:spacing w:before="120" w:after="120"/>
      </w:pPr>
      <w:r>
        <w:rPr>
          <w:sz w:val="18"/>
        </w:rPr>
        <w:t>——————————————————————————————————————————————————————————————————————</w:t>
      </w:r>
    </w:p>
    <w:p>
      <w:pPr>
        <w:spacing w:before="160" w:after="40" w:line="240" w:lineRule="auto"/>
      </w:pPr>
      <w:r>
        <w:rPr>
          <w:b/>
        </w:rPr>
        <w:t xml:space="preserve">[192] </w:t>
      </w:r>
      <w:hyperlink r:id="rId670">
        <w:r>
          <w:rPr>
            <w:color w:val="1155CC"/>
            <w:u w:val="single"/>
          </w:rPr>
          <w:t>斯格明子晶格中的拓扑转变和位错弹性的出现：超越基特尔的磁极类比</w:t>
        </w:r>
      </w:hyperlink>
    </w:p>
    <w:p>
      <w:pPr>
        <w:spacing w:before="0" w:after="80"/>
      </w:pPr>
      <w:r>
        <w:rPr>
          <w:i/>
          <w:sz w:val="20"/>
        </w:rPr>
        <w:t>EN: Topological Transition and Emergence of Elasticity of Dislocation in Skyrmion Lattice: Beyond Kittel’s Magnetic-Polar Analogy</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71">
        <w:r>
          <w:rPr>
            <w:color w:val="1155CC"/>
            <w:u w:val="single"/>
          </w:rPr>
          <w:t>10.1103/4rww-4tsc</w:t>
        </w:r>
      </w:hyperlink>
    </w:p>
    <w:p>
      <w:pPr>
        <w:spacing w:before="0" w:after="120"/>
      </w:pPr>
      <w:r>
        <w:rPr>
          <w:b/>
        </w:rPr>
        <w:t xml:space="preserve">Notes: </w:t>
      </w:r>
      <w:r>
        <w:t>abstract_source=rss_description</w:t>
      </w:r>
    </w:p>
    <w:p>
      <w:pPr>
        <w:spacing w:before="0" w:after="80" w:lineRule="auto" w:line="276"/>
      </w:pPr>
      <w:r>
        <w:rPr>
          <w:b/>
        </w:rPr>
        <w:t xml:space="preserve">摘要（ZH）: </w:t>
      </w:r>
      <w:r>
        <w:t>作者：Kohta Kasai、Akihiro Uematsu、Yu Wang、Tao Xu、Chang Liu、Susumu Minami 和 Takahiro Shimada 斯格明子位错表现出具有大斯格明子变形和拓扑相变的内在核心结构。莱特牧师。 136, 236703] 2026 年 6 月 9 日星期二发布</w:t>
      </w:r>
    </w:p>
    <w:p>
      <w:pPr>
        <w:spacing w:before="0" w:after="200" w:lineRule="auto" w:line="276"/>
      </w:pPr>
      <w:r>
        <w:rPr>
          <w:b/>
        </w:rPr>
        <w:t xml:space="preserve">Abstract (EN): </w:t>
      </w:r>
      <w:r>
        <w:t>Author(s): Kohta Kasai, Akihiro Uematsu, Yu Wang, Tao Xu, Chang Liu, Susumu Minami, and Takahiro ShimadaSkyrmion dislocations exhibit intrinsic core structures possessing large skyrmion deformation and topological phase transitions.[Phys. Rev. Lett. 136, 236703] Published Tue Jun 09, 2026</w:t>
      </w:r>
    </w:p>
    <w:p>
      <w:pPr>
        <w:spacing w:before="120" w:after="120"/>
      </w:pPr>
      <w:r>
        <w:rPr>
          <w:sz w:val="18"/>
        </w:rPr>
        <w:t>——————————————————————————————————————————————————————————————————————</w:t>
      </w:r>
    </w:p>
    <w:p>
      <w:pPr>
        <w:spacing w:before="160" w:after="40" w:line="240" w:lineRule="auto"/>
      </w:pPr>
      <w:r>
        <w:rPr>
          <w:b/>
        </w:rPr>
        <w:t xml:space="preserve">[193] </w:t>
      </w:r>
      <w:hyperlink r:id="rId672">
        <w:r>
          <w:rPr>
            <w:color w:val="1155CC"/>
            <w:u w:val="single"/>
          </w:rPr>
          <w:t>模拟中测量脂质膜高斯曲率模量的拓扑方法</w:t>
        </w:r>
      </w:hyperlink>
    </w:p>
    <w:p>
      <w:pPr>
        <w:spacing w:before="0" w:after="80"/>
      </w:pPr>
      <w:r>
        <w:rPr>
          <w:i/>
          <w:sz w:val="20"/>
        </w:rPr>
        <w:t>EN: Topological Approach to Measuring the Gaussian Curvature Modulus of Lipid Membranes in Simulation</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73">
        <w:r>
          <w:rPr>
            <w:color w:val="1155CC"/>
            <w:u w:val="single"/>
          </w:rPr>
          <w:t>10.1103/6d6f-q1mg</w:t>
        </w:r>
      </w:hyperlink>
    </w:p>
    <w:p>
      <w:pPr>
        <w:spacing w:before="0" w:after="120"/>
      </w:pPr>
      <w:r>
        <w:rPr>
          <w:b/>
        </w:rPr>
        <w:t xml:space="preserve">Notes: </w:t>
      </w:r>
      <w:r>
        <w:t>abstract_source=rss_description</w:t>
      </w:r>
    </w:p>
    <w:p>
      <w:pPr>
        <w:spacing w:before="0" w:after="80" w:lineRule="auto" w:line="276"/>
      </w:pPr>
      <w:r>
        <w:rPr>
          <w:b/>
        </w:rPr>
        <w:t xml:space="preserve">摘要（ZH）: </w:t>
      </w:r>
      <w:r>
        <w:t>作者：Seamus F. Gallagher 和 Markus Deserno 脂膜的裂变和融合是活细胞中普遍存在的形状转变，对于维持细胞器的形状并实现细胞器之间的许多运输过程是必需的。这些拓扑变化事件涉及与高斯成比例的曲率弹性自由能变化……[物理。莱特牧师。 136, 238201] 2026 年 6 月 9 日星期二发布</w:t>
      </w:r>
    </w:p>
    <w:p>
      <w:pPr>
        <w:spacing w:before="0" w:after="200" w:lineRule="auto" w:line="276"/>
      </w:pPr>
      <w:r>
        <w:rPr>
          <w:b/>
        </w:rPr>
        <w:t xml:space="preserve">Abstract (EN): </w:t>
      </w:r>
      <w:r>
        <w:t>Author(s): Seamus F. Gallagher and Markus DesernoFission and fusion of lipid membranes are ubiquitous shape transformations in living cells, necessary for maintaining the shape of organelles and enabling a host of transport processes between them. These topology-changing events involve curvature-elastic free energy changes proportional to the Gaus…[Phys. Rev. Lett. 136, 238201] Published Tue Jun 09, 2026</w:t>
      </w:r>
    </w:p>
    <w:p>
      <w:pPr>
        <w:spacing w:before="120" w:after="120"/>
      </w:pPr>
      <w:r>
        <w:rPr>
          <w:sz w:val="18"/>
        </w:rPr>
        <w:t>——————————————————————————————————————————————————————————————————————</w:t>
      </w:r>
    </w:p>
    <w:p>
      <w:pPr>
        <w:spacing w:before="160" w:after="40" w:line="240" w:lineRule="auto"/>
      </w:pPr>
      <w:r>
        <w:rPr>
          <w:b/>
        </w:rPr>
        <w:t xml:space="preserve">[194] </w:t>
      </w:r>
      <w:hyperlink r:id="rId674">
        <w:r>
          <w:rPr>
            <w:color w:val="1155CC"/>
            <w:u w:val="single"/>
          </w:rPr>
          <w:t>极化子-极化子辅助热激活超辐射</w:t>
        </w:r>
      </w:hyperlink>
    </w:p>
    <w:p>
      <w:pPr>
        <w:spacing w:before="0" w:after="80"/>
      </w:pPr>
      <w:r>
        <w:rPr>
          <w:i/>
          <w:sz w:val="20"/>
        </w:rPr>
        <w:t>EN: Polaron-Polariton-Assisted Thermally Activated Superradiance</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75">
        <w:r>
          <w:rPr>
            <w:color w:val="1155CC"/>
            <w:u w:val="single"/>
          </w:rPr>
          <w:t>10.1103/hs3s-j4yp</w:t>
        </w:r>
      </w:hyperlink>
    </w:p>
    <w:p>
      <w:pPr>
        <w:spacing w:before="0" w:after="120"/>
      </w:pPr>
      <w:r>
        <w:rPr>
          <w:b/>
        </w:rPr>
        <w:t xml:space="preserve">Notes: </w:t>
      </w:r>
      <w:r>
        <w:t>abstract_source=rss_description</w:t>
      </w:r>
    </w:p>
    <w:p>
      <w:pPr>
        <w:spacing w:before="0" w:after="80" w:lineRule="auto" w:line="276"/>
      </w:pPr>
      <w:r>
        <w:rPr>
          <w:b/>
        </w:rPr>
        <w:t xml:space="preserve">摘要（ZH）: </w:t>
      </w:r>
      <w:r>
        <w:t>作者：Yi-Ting Chuang 和Liang-Yan Hsu我们预测极化子环境中分子聚集体中存在异常热激活超辐射。与自由空间相反，当激子-声子耦合或温度升高时，集体发射会增强。这种违反直觉的现象被米捕捉到......[物理。莱特牧师。 136, 238001] 2026 年 6 月 9 日星期二发布</w:t>
      </w:r>
    </w:p>
    <w:p>
      <w:pPr>
        <w:spacing w:before="0" w:after="200" w:lineRule="auto" w:line="276"/>
      </w:pPr>
      <w:r>
        <w:rPr>
          <w:b/>
        </w:rPr>
        <w:t xml:space="preserve">Abstract (EN): </w:t>
      </w:r>
      <w:r>
        <w:t>Author(s): Yi-Ting Chuang and Liang-Yan HsuWe predict an anomalous thermally activated superradiance in molecular aggregates within polaritonic environments. In contrast to free space, the collective emission is enhanced when either the exciton-phonon coupling or the temperature increases. This counterintuitive phenomenon is captured by a mi…[Phys. Rev. Lett. 136, 238001] Published Tue Jun 09, 2026</w:t>
      </w:r>
    </w:p>
    <w:p>
      <w:pPr>
        <w:spacing w:before="120" w:after="120"/>
      </w:pPr>
      <w:r>
        <w:rPr>
          <w:sz w:val="18"/>
        </w:rPr>
        <w:t>——————————————————————————————————————————————————————————————————————</w:t>
      </w:r>
    </w:p>
    <w:p>
      <w:pPr>
        <w:spacing w:before="160" w:after="40" w:line="240" w:lineRule="auto"/>
      </w:pPr>
      <w:r>
        <w:rPr>
          <w:b/>
        </w:rPr>
        <w:t xml:space="preserve">[195] </w:t>
      </w:r>
      <w:hyperlink r:id="rId676">
        <w:r>
          <w:rPr>
            <w:color w:val="1155CC"/>
            <w:u w:val="single"/>
          </w:rPr>
          <w:t>使用物理信息机器学习方法预测核 $β$ 衰变半衰期</w:t>
        </w:r>
      </w:hyperlink>
    </w:p>
    <w:p>
      <w:pPr>
        <w:spacing w:before="0" w:after="80"/>
      </w:pPr>
      <w:r>
        <w:rPr>
          <w:i/>
          <w:sz w:val="20"/>
        </w:rPr>
        <w:t>EN: Nuclear $β$-decay half-life predictions with a physics-information machine learning approach</w:t>
      </w:r>
    </w:p>
    <w:p>
      <w:pPr>
        <w:spacing w:before="0" w:after="120"/>
      </w:pPr>
      <w:r>
        <w:rPr>
          <w:b/>
        </w:rPr>
        <w:t xml:space="preserve">Source: </w:t>
      </w:r>
      <w:r>
        <w:t>Recent Articles in Phys. Rev. C</w:t>
      </w:r>
      <w:r>
        <w:t xml:space="preserve">    </w:t>
      </w:r>
      <w:r>
        <w:rPr>
          <w:b/>
        </w:rPr>
        <w:t xml:space="preserve">Pub date: </w:t>
      </w:r>
      <w:r>
        <w:t>2026-06-09 10:00:00+00:00</w:t>
      </w:r>
      <w:r>
        <w:t xml:space="preserve">    </w:t>
      </w:r>
      <w:r>
        <w:rPr>
          <w:b/>
        </w:rPr>
        <w:t xml:space="preserve">DOI: </w:t>
      </w:r>
      <w:hyperlink r:id="rId677">
        <w:r>
          <w:rPr>
            <w:color w:val="1155CC"/>
            <w:u w:val="single"/>
          </w:rPr>
          <w:t>10.1103/klkv-vk36</w:t>
        </w:r>
      </w:hyperlink>
    </w:p>
    <w:p>
      <w:pPr>
        <w:spacing w:before="0" w:after="120"/>
      </w:pPr>
      <w:r>
        <w:rPr>
          <w:b/>
        </w:rPr>
        <w:t xml:space="preserve">Notes: </w:t>
      </w:r>
      <w:r>
        <w:t>abstract_source=rss_description</w:t>
      </w:r>
    </w:p>
    <w:p>
      <w:pPr>
        <w:spacing w:before="0" w:after="80" w:lineRule="auto" w:line="276"/>
      </w:pPr>
      <w:r>
        <w:rPr>
          <w:b/>
        </w:rPr>
        <w:t xml:space="preserve">摘要（ZH）: </w:t>
      </w:r>
      <w:r>
        <w:t>作者：W. F. Li (李伟峰)、T. Sun (孙婷)、Z. M. Niu (牛中明) 和 H. Z. Liang (梁豪兆) 通过神经网络方法结合物理驱动的 $β$ 衰变半衰期公式研究了核 $β$ 衰变半衰期。与复杂的微观核模型相比，这种物理信息机器学习方法与实验半衰期取得了更好的一致性……[物理。 Rev. C 113, 064310] 2026 年 6 月 9 日星期二发布</w:t>
      </w:r>
    </w:p>
    <w:p>
      <w:pPr>
        <w:spacing w:before="0" w:after="200" w:lineRule="auto" w:line="276"/>
      </w:pPr>
      <w:r>
        <w:rPr>
          <w:b/>
        </w:rPr>
        <w:t xml:space="preserve">Abstract (EN): </w:t>
      </w:r>
      <w:r>
        <w:t>Author(s): W. F. Li (李伟峰), T. Sun (孙婷), Z. M. Niu (牛中明), and H. Z. Liang (梁豪兆)Nuclear $β$-decay half-lives are investigated by the neural network approach combined with a physically motivated $β$-decay half-life formula. This physics-information machine learning approach achieves better agreement with experimental half-lives than the sophisticated microscopic nuclear models a…[Phys. Rev. C 113, 064310] Published Tue Jun 09, 2026</w:t>
      </w:r>
    </w:p>
    <w:p>
      <w:pPr>
        <w:spacing w:before="120" w:after="120"/>
      </w:pPr>
      <w:r>
        <w:rPr>
          <w:sz w:val="18"/>
        </w:rPr>
        <w:t>——————————————————————————————————————————————————————————————————————</w:t>
      </w:r>
    </w:p>
    <w:p>
      <w:pPr>
        <w:spacing w:before="160" w:after="40" w:line="240" w:lineRule="auto"/>
      </w:pPr>
      <w:r>
        <w:rPr>
          <w:b/>
        </w:rPr>
        <w:t xml:space="preserve">[196] </w:t>
      </w:r>
      <w:hyperlink r:id="rId678">
        <w:r>
          <w:rPr>
            <w:color w:val="1155CC"/>
            <w:u w:val="single"/>
          </w:rPr>
          <w:t>学习分子动力学长时间步长模拟的动作</w:t>
        </w:r>
      </w:hyperlink>
    </w:p>
    <w:p>
      <w:pPr>
        <w:spacing w:before="0" w:after="80"/>
      </w:pPr>
      <w:r>
        <w:rPr>
          <w:i/>
          <w:sz w:val="20"/>
        </w:rPr>
        <w:t>EN: Learning the Action for Long-Time-Step Simulations of Molecular Dynamics</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79">
        <w:r>
          <w:rPr>
            <w:color w:val="1155CC"/>
            <w:u w:val="single"/>
          </w:rPr>
          <w:t>10.1103/shj2-hyw8</w:t>
        </w:r>
      </w:hyperlink>
    </w:p>
    <w:p>
      <w:pPr>
        <w:spacing w:before="0" w:after="120"/>
      </w:pPr>
      <w:r>
        <w:rPr>
          <w:b/>
        </w:rPr>
        <w:t xml:space="preserve">Notes: </w:t>
      </w:r>
      <w:r>
        <w:t>abstract_source=rss_description</w:t>
      </w:r>
    </w:p>
    <w:p>
      <w:pPr>
        <w:spacing w:before="0" w:after="80" w:lineRule="auto" w:line="276"/>
      </w:pPr>
      <w:r>
        <w:rPr>
          <w:b/>
        </w:rPr>
        <w:t xml:space="preserve">摘要（ZH）: </w:t>
      </w:r>
      <w:r>
        <w:t>作者：Filippo Bigi、Johannes Spies 和 Michele Ceriotti 机器学习可以减少准确预测动态演化系统进展所需的时间步数。莱特牧师。 136, 237301] 2026 年 6 月 9 日星期二发布</w:t>
      </w:r>
    </w:p>
    <w:p>
      <w:pPr>
        <w:spacing w:before="0" w:after="200" w:lineRule="auto" w:line="276"/>
      </w:pPr>
      <w:r>
        <w:rPr>
          <w:b/>
        </w:rPr>
        <w:t xml:space="preserve">Abstract (EN): </w:t>
      </w:r>
      <w:r>
        <w:t>Author(s): Filippo Bigi, Johannes Spies, and Michele CeriottiMachine learning can reduce the number of time steps needed to accurately predict the progress of a dynamically evolving system.[Phys. Rev. Lett. 136, 237301] Published Tue Jun 09, 2026</w:t>
      </w:r>
    </w:p>
    <w:p>
      <w:pPr>
        <w:spacing w:before="120" w:after="120"/>
      </w:pPr>
      <w:r>
        <w:rPr>
          <w:sz w:val="18"/>
        </w:rPr>
        <w:t>——————————————————————————————————————————————————————————————————————</w:t>
      </w:r>
    </w:p>
    <w:p>
      <w:pPr>
        <w:spacing w:before="160" w:after="40" w:line="240" w:lineRule="auto"/>
      </w:pPr>
      <w:r>
        <w:rPr>
          <w:b/>
        </w:rPr>
        <w:t xml:space="preserve">[197] </w:t>
      </w:r>
      <w:hyperlink r:id="rId680">
        <w:r>
          <w:rPr>
            <w:color w:val="1155CC"/>
            <w:u w:val="single"/>
          </w:rPr>
          <w:t>通过轻子对撞机的双强子碎片揭示光夸克汤川风味结构</w:t>
        </w:r>
      </w:hyperlink>
    </w:p>
    <w:p>
      <w:pPr>
        <w:spacing w:before="0" w:after="80"/>
      </w:pPr>
      <w:r>
        <w:rPr>
          <w:i/>
          <w:sz w:val="20"/>
        </w:rPr>
        <w:t>EN: Unveiling Light-Quark Yukawa Flavor Structure via Dihadron Fragmentation at Lepton Colliders</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81">
        <w:r>
          <w:rPr>
            <w:color w:val="1155CC"/>
            <w:u w:val="single"/>
          </w:rPr>
          <w:t>10.1103/p5c7-m43d</w:t>
        </w:r>
      </w:hyperlink>
    </w:p>
    <w:p>
      <w:pPr>
        <w:spacing w:before="0" w:after="120"/>
      </w:pPr>
      <w:r>
        <w:rPr>
          <w:b/>
        </w:rPr>
        <w:t xml:space="preserve">Notes: </w:t>
      </w:r>
      <w:r>
        <w:t>abstract_source=rss_description</w:t>
      </w:r>
    </w:p>
    <w:p>
      <w:pPr>
        <w:spacing w:before="0" w:after="80" w:lineRule="auto" w:line="276"/>
      </w:pPr>
      <w:r>
        <w:rPr>
          <w:b/>
        </w:rPr>
        <w:t xml:space="preserve">摘要（ZH）: </w:t>
      </w:r>
      <w:r>
        <w:t>作者：曹庆红、温新凯、严斌和张书涛 由于轻夸克汤川耦合及其风味结构很小且具有压倒性的 QCD 背景，直接探测它们仍然是一个重大挑战。在这封信中，我们提出了一个理论框架，通过横向自旋相关的方位模来访问轻子对撞机上的这些耦合……[物理。莱特牧师。 136, 231901] 2026 年 6 月 9 日星期二发布</w:t>
      </w:r>
    </w:p>
    <w:p>
      <w:pPr>
        <w:spacing w:before="0" w:after="200" w:lineRule="auto" w:line="276"/>
      </w:pPr>
      <w:r>
        <w:rPr>
          <w:b/>
        </w:rPr>
        <w:t xml:space="preserve">Abstract (EN): </w:t>
      </w:r>
      <w:r>
        <w:t>Author(s): Qing-Hong Cao, Xin-Kai Wen, Bin Yan, and Shu-Tao ZhangDirectly probing light-quark Yukawa couplings and their flavor structure remains a major challenge due to their smallness and overwhelming QCD backgrounds. In this Letter, we propose a theoretical framework to access these couplings at lepton colliders through transverse spin dependent azimuthal mod…[Phys. Rev. Lett. 136, 231901] Published Tue Jun 09, 2026</w:t>
      </w:r>
    </w:p>
    <w:p>
      <w:pPr>
        <w:spacing w:before="120" w:after="120"/>
      </w:pPr>
      <w:r>
        <w:rPr>
          <w:sz w:val="18"/>
        </w:rPr>
        <w:t>——————————————————————————————————————————————————————————————————————</w:t>
      </w:r>
    </w:p>
    <w:p>
      <w:pPr>
        <w:spacing w:before="160" w:after="40" w:line="240" w:lineRule="auto"/>
      </w:pPr>
      <w:r>
        <w:rPr>
          <w:b/>
        </w:rPr>
        <w:t xml:space="preserve">[198] </w:t>
      </w:r>
      <w:hyperlink r:id="rId682">
        <w:r>
          <w:rPr>
            <w:color w:val="1155CC"/>
            <w:u w:val="single"/>
          </w:rPr>
          <w:t>通过 Bang-Bang-Bang 协议实现快速一致状态传输的适应性路由</w:t>
        </w:r>
      </w:hyperlink>
    </w:p>
    <w:p>
      <w:pPr>
        <w:spacing w:before="0" w:after="80"/>
      </w:pPr>
      <w:r>
        <w:rPr>
          <w:i/>
          <w:sz w:val="20"/>
        </w:rPr>
        <w:t>EN: Adaptable Route to Fast Coherent State Transport via Bang-Bang-Bang Protocols</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83">
        <w:r>
          <w:rPr>
            <w:color w:val="1155CC"/>
            <w:u w:val="single"/>
          </w:rPr>
          <w:t>10.1103/g22y-z8h3</w:t>
        </w:r>
      </w:hyperlink>
    </w:p>
    <w:p>
      <w:pPr>
        <w:spacing w:before="0" w:after="120"/>
      </w:pPr>
      <w:r>
        <w:rPr>
          <w:b/>
        </w:rPr>
        <w:t xml:space="preserve">Notes: </w:t>
      </w:r>
      <w:r>
        <w:t>abstract_source=rss_description</w:t>
      </w:r>
    </w:p>
    <w:p>
      <w:pPr>
        <w:spacing w:before="0" w:after="80" w:lineRule="auto" w:line="276"/>
      </w:pPr>
      <w:r>
        <w:rPr>
          <w:b/>
        </w:rPr>
        <w:t xml:space="preserve">摘要（ZH）: </w:t>
      </w:r>
      <w:r>
        <w:t>作者：Ya-Tang Yu、Hsin-Lien Lee、Shao-Hung Chung、Ting Hsu、Guin-Dar Lin、Ying-Cheng Chen 和 H. H. Jen 快速相干态传输对于量子计算和量子信息处理至关重要。虽然原子量子位的绝热传输保证了状态准备的高保真度，但它需要很长的时间尺度，这无法实现有效的量子操作。在这里，我们提出了一种适应性强的……[物理。莱特牧师。 136, 230802] 2026 年 6 月 9 日星期二发布</w:t>
      </w:r>
    </w:p>
    <w:p>
      <w:pPr>
        <w:spacing w:before="0" w:after="200" w:lineRule="auto" w:line="276"/>
      </w:pPr>
      <w:r>
        <w:rPr>
          <w:b/>
        </w:rPr>
        <w:t xml:space="preserve">Abstract (EN): </w:t>
      </w:r>
      <w:r>
        <w:t>Author(s): Ya-Tang Yu, Hsin-Lien Lee, Shao-Hung Chung, Ting Hsu, Guin-Dar Lin, Ying-Cheng Chen, and H. H. JenFast coherent state transport is essential to quantum computation and quantum information processing. While an adiabatic transport of atomic qubits guarantees a high fidelity of the state preparation, it requires a long timescale that defies efficient quantum operations. Here, we propose an adaptabl…[Phys. Rev. Lett. 136, 230802] Published Tue Jun 09, 2026</w:t>
      </w:r>
    </w:p>
    <w:p>
      <w:pPr>
        <w:spacing w:before="120" w:after="120"/>
      </w:pPr>
      <w:r>
        <w:rPr>
          <w:sz w:val="18"/>
        </w:rPr>
        <w:t>——————————————————————————————————————————————————————————————————————</w:t>
      </w:r>
    </w:p>
    <w:p>
      <w:pPr>
        <w:spacing w:before="160" w:after="40" w:line="240" w:lineRule="auto"/>
      </w:pPr>
      <w:r>
        <w:rPr>
          <w:b/>
        </w:rPr>
        <w:t xml:space="preserve">[199] </w:t>
      </w:r>
      <w:hyperlink r:id="rId684">
        <w:r>
          <w:rPr>
            <w:color w:val="1155CC"/>
            <w:u w:val="single"/>
          </w:rPr>
          <w:t>$^{149}\mathrm{La}$ 中的新基态消除了镧同位素中的二中子分离能量异常</w:t>
        </w:r>
      </w:hyperlink>
    </w:p>
    <w:p>
      <w:pPr>
        <w:spacing w:before="0" w:after="80"/>
      </w:pPr>
      <w:r>
        <w:rPr>
          <w:i/>
          <w:sz w:val="20"/>
        </w:rPr>
        <w:t>EN: New Ground State in $^{149}\mathrm{La}$ Removes Two-Neutron-Separation-Energy Anomaly in Lanthanum Isotopes</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85">
        <w:r>
          <w:rPr>
            <w:color w:val="1155CC"/>
            <w:u w:val="single"/>
          </w:rPr>
          <w:t>10.1103/gvxl-vxd4</w:t>
        </w:r>
      </w:hyperlink>
    </w:p>
    <w:p>
      <w:pPr>
        <w:spacing w:before="0" w:after="120"/>
      </w:pPr>
      <w:r>
        <w:rPr>
          <w:b/>
        </w:rPr>
        <w:t xml:space="preserve">Notes: </w:t>
      </w:r>
      <w:r>
        <w:t>abstract_source=rss_description</w:t>
      </w:r>
    </w:p>
    <w:p>
      <w:pPr>
        <w:spacing w:before="0" w:after="80" w:lineRule="auto" w:line="276"/>
      </w:pPr>
      <w:r>
        <w:rPr>
          <w:b/>
        </w:rPr>
        <w:t xml:space="preserve">摘要（ZH）: </w:t>
      </w:r>
      <w:r>
        <w:t>作者：S. Kimura、M. Wada、H. Haba、Y. Hirayama、H. Ishiyama、Y. Ito、T. Niwase、M. Rosenbusch、P. Schury、H. Ueno、Y. X. Watanabe 和 Y. Yamanouchi 核质量是核壳结构如何演化的关键指标。最近富中子镧同位素的质量测量研究 [Jaries 等人，Phys.莱特牧师。 134, 042501 (2025)]揭示了它们的双中子分离能中存在明显的突出现象。然而，它的...[物理。莱特牧师。 136, 232501] 2026 年 6 月 9 日星期二发布</w:t>
      </w:r>
    </w:p>
    <w:p>
      <w:pPr>
        <w:spacing w:before="0" w:after="200" w:lineRule="auto" w:line="276"/>
      </w:pPr>
      <w:r>
        <w:rPr>
          <w:b/>
        </w:rPr>
        <w:t xml:space="preserve">Abstract (EN): </w:t>
      </w:r>
      <w:r>
        <w:t>Author(s): S. Kimura, M. Wada, H. Haba, Y. Hirayama, H. Ishiyama, Y. Ito, T. Niwase, M. Rosenbusch, P. Schury, H. Ueno, Y. X. Watanabe, and Y. YamanouchiNuclear mass is a key indicator of how the nuclear shell structure evolves. The recent mass measurement study of neutron-rich lanthanum isotopes [Jaries et al., Phys. Rev. Lett. 134, 042501 (2025)] reveals the presence of a distinct prominence in their two-neutron separation energies. However, its p…[Phys. Rev. Lett. 136, 232501] Published Tue Jun 09, 2026</w:t>
      </w:r>
    </w:p>
    <w:p>
      <w:pPr>
        <w:spacing w:before="120" w:after="120"/>
      </w:pPr>
      <w:r>
        <w:rPr>
          <w:sz w:val="18"/>
        </w:rPr>
        <w:t>——————————————————————————————————————————————————————————————————————</w:t>
      </w:r>
    </w:p>
    <w:p>
      <w:pPr>
        <w:spacing w:before="160" w:after="40" w:line="240" w:lineRule="auto"/>
      </w:pPr>
      <w:r>
        <w:rPr>
          <w:b/>
        </w:rPr>
        <w:t xml:space="preserve">[200] </w:t>
      </w:r>
      <w:hyperlink r:id="rId686">
        <w:r>
          <w:rPr>
            <w:color w:val="1155CC"/>
            <w:u w:val="single"/>
          </w:rPr>
          <w:t>用于噪声量子电路仿真的实时符号问题抑制量子蒙特卡罗算法</w:t>
        </w:r>
      </w:hyperlink>
    </w:p>
    <w:p>
      <w:pPr>
        <w:spacing w:before="0" w:after="80"/>
      </w:pPr>
      <w:r>
        <w:rPr>
          <w:i/>
          <w:sz w:val="20"/>
        </w:rPr>
        <w:t>EN: Real-Time Sign-Problem-Suppressed Quantum Monte Carlo Algorithm for Noisy Quantum Circuit Simulations</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87">
        <w:r>
          <w:rPr>
            <w:color w:val="1155CC"/>
            <w:u w:val="single"/>
          </w:rPr>
          <w:t>10.1103/wzcr-m8xb</w:t>
        </w:r>
      </w:hyperlink>
    </w:p>
    <w:p>
      <w:pPr>
        <w:spacing w:before="0" w:after="120"/>
      </w:pPr>
      <w:r>
        <w:rPr>
          <w:b/>
        </w:rPr>
        <w:t xml:space="preserve">Notes: </w:t>
      </w:r>
      <w:r>
        <w:t>abstract_source=rss_description</w:t>
      </w:r>
    </w:p>
    <w:p>
      <w:pPr>
        <w:spacing w:before="0" w:after="80" w:lineRule="auto" w:line="276"/>
      </w:pPr>
      <w:r>
        <w:rPr>
          <w:b/>
        </w:rPr>
        <w:t xml:space="preserve">摘要（ZH）: </w:t>
      </w:r>
      <w:r>
        <w:t>作者：Tong Shen 和 Daniel A. Lidar 我们提出了一种实时量子蒙特卡罗算法，该算法通过在马尔可夫和非马尔可夫主方程下随机压缩和演化密度矩阵来模拟开放量子系统的动力学。我们的算法使用种群动态来持续抑制符号 pro…[Phys.莱特牧师。 136, 230601] 2026 年 6 月 9 日星期二发布</w:t>
      </w:r>
    </w:p>
    <w:p>
      <w:pPr>
        <w:spacing w:before="0" w:after="200" w:lineRule="auto" w:line="276"/>
      </w:pPr>
      <w:r>
        <w:rPr>
          <w:b/>
        </w:rPr>
        <w:t xml:space="preserve">Abstract (EN): </w:t>
      </w:r>
      <w:r>
        <w:t>Author(s): Tong Shen and Daniel A. LidarWe present a real-time quantum Monte Carlo algorithm that simulates the dynamics of open quantum systems by stochastically compressing and evolving the density matrix under both Markovian and non-Markovian master equations. Our algorithm uses population dynamics to continuously suppress the sign pro…[Phys. Rev. Lett. 136, 230601] Published Tue Jun 09, 2026</w:t>
      </w:r>
    </w:p>
    <w:p>
      <w:pPr>
        <w:spacing w:before="120" w:after="120"/>
      </w:pPr>
      <w:r>
        <w:rPr>
          <w:sz w:val="18"/>
        </w:rPr>
        <w:t>——————————————————————————————————————————————————————————————————————</w:t>
      </w:r>
    </w:p>
    <w:p>
      <w:pPr>
        <w:spacing w:before="160" w:after="40" w:line="240" w:lineRule="auto"/>
      </w:pPr>
      <w:r>
        <w:rPr>
          <w:b/>
        </w:rPr>
        <w:t xml:space="preserve">[201] </w:t>
      </w:r>
      <w:hyperlink r:id="rId688">
        <w:r>
          <w:rPr>
            <w:color w:val="1155CC"/>
            <w:u w:val="single"/>
          </w:rPr>
          <w:t>通过 ${\mathrm{PbTiO}}_{3}$ 中隐藏的极声耦合实现应变梯度和 90° 畴壁的电切换</w:t>
        </w:r>
      </w:hyperlink>
    </w:p>
    <w:p>
      <w:pPr>
        <w:spacing w:before="0" w:after="80"/>
      </w:pPr>
      <w:r>
        <w:rPr>
          <w:i/>
          <w:sz w:val="20"/>
        </w:rPr>
        <w:t>EN: Electrical Switching of Strain Gradients and 90° Domain Walls via Hidden Polar-Acoustic Coupling in ${\mathrm{PbTiO}}_{3}$</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89">
        <w:r>
          <w:rPr>
            <w:color w:val="1155CC"/>
            <w:u w:val="single"/>
          </w:rPr>
          <w:t>10.1103/yhk9-qf8c</w:t>
        </w:r>
      </w:hyperlink>
    </w:p>
    <w:p>
      <w:pPr>
        <w:spacing w:before="0" w:after="120"/>
      </w:pPr>
      <w:r>
        <w:rPr>
          <w:b/>
        </w:rPr>
        <w:t xml:space="preserve">Notes: </w:t>
      </w:r>
      <w:r>
        <w:t>abstract_source=rss_description</w:t>
      </w:r>
    </w:p>
    <w:p>
      <w:pPr>
        <w:spacing w:before="0" w:after="80" w:lineRule="auto" w:line="276"/>
      </w:pPr>
      <w:r>
        <w:rPr>
          <w:b/>
        </w:rPr>
        <w:t xml:space="preserve">摘要（ZH）: </w:t>
      </w:r>
      <w:r>
        <w:t>作者：Yajun 张、Konstantin Shapovalov、Xu He、Chang Liu、Huadong Yong、Xingyi 张、Jie Wang、Kun Zhou 和 Philippe Ghosez 尽管应变梯度对于定制紧急功能有很大希望，但其灵活的全局控制仍然是一个基本挑战。在这里，我们通过揭示应变梯度和 90 的自发出现来解决双轴拉伸应变下 ${\mathrm{PbTiO}}_{3}$ 的这个问题......莱特牧师。 136, 236101] 2026 年 6 月 9 日星期二发布</w:t>
      </w:r>
    </w:p>
    <w:p>
      <w:pPr>
        <w:spacing w:before="0" w:after="200" w:lineRule="auto" w:line="276"/>
      </w:pPr>
      <w:r>
        <w:rPr>
          <w:b/>
        </w:rPr>
        <w:t xml:space="preserve">Abstract (EN): </w:t>
      </w:r>
      <w:r>
        <w:t>Author(s): Yajun Zhang, Konstantin Shapovalov, Xu He, Chang Liu, Huadong Yong, Xingyi Zhang, Jie Wang, Kun Zhou, and Philippe GhosezAlthough strain gradients hold great promise for tailoring emergent functionalities, their flexible global control remains a fundamental challenge. Here, we address this concern in ${\mathrm{PbTiO}}_{3}$ under biaxial tensile strain by uncovering the spontaneous appearance of strain gradients and 90…[Phys. Rev. Lett. 136, 236101] Published Tue Jun 09, 2026</w:t>
      </w:r>
    </w:p>
    <w:p>
      <w:pPr>
        <w:spacing w:before="120" w:after="120"/>
      </w:pPr>
      <w:r>
        <w:rPr>
          <w:sz w:val="18"/>
        </w:rPr>
        <w:t>——————————————————————————————————————————————————————————————————————</w:t>
      </w:r>
    </w:p>
    <w:p>
      <w:pPr>
        <w:spacing w:before="160" w:after="40" w:line="240" w:lineRule="auto"/>
      </w:pPr>
      <w:r>
        <w:rPr>
          <w:b/>
        </w:rPr>
        <w:t xml:space="preserve">[202] </w:t>
      </w:r>
      <w:hyperlink r:id="rId690">
        <w:r>
          <w:rPr>
            <w:color w:val="1155CC"/>
            <w:u w:val="single"/>
          </w:rPr>
          <w:t>使用 EXO-200 第二阶段搜索 $^{134}\mathrm{Xe}$ 的双 Beta 衰变</w:t>
        </w:r>
      </w:hyperlink>
    </w:p>
    <w:p>
      <w:pPr>
        <w:spacing w:before="0" w:after="80"/>
      </w:pPr>
      <w:r>
        <w:rPr>
          <w:i/>
          <w:sz w:val="20"/>
        </w:rPr>
        <w:t>EN: Search for Double Beta Decays of $^{134}\mathrm{Xe}$ with EXO-200 Phase II</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91">
        <w:r>
          <w:rPr>
            <w:color w:val="1155CC"/>
            <w:u w:val="single"/>
          </w:rPr>
          <w:t>10.1103/vpny-23wq</w:t>
        </w:r>
      </w:hyperlink>
    </w:p>
    <w:p>
      <w:pPr>
        <w:spacing w:before="0" w:after="120"/>
      </w:pPr>
      <w:r>
        <w:rPr>
          <w:b/>
        </w:rPr>
        <w:t xml:space="preserve">Notes: </w:t>
      </w:r>
      <w:r>
        <w:t>abstract_source=rss_description</w:t>
      </w:r>
    </w:p>
    <w:p>
      <w:pPr>
        <w:spacing w:before="0" w:after="80" w:lineRule="auto" w:line="276"/>
      </w:pPr>
      <w:r>
        <w:rPr>
          <w:b/>
        </w:rPr>
        <w:t xml:space="preserve">摘要（ZH）: </w:t>
      </w:r>
      <w:r>
        <w:t>作者：S. Al Kharusi 等人。 （EXO-200 合作）EXO-200 是一项领先的双 β 衰变实验，由单相浓缩液态氙时间投影室组成，其中填充了 80.672% $^{136}\mathrm{Xe}$ 和 19.098% $^{134}\mathrm{Xe}$ 的混合物。该探测器于 2010 年至 2018 年间在废物隔离试点工厂运行，并…[物理。莱特牧师。 136, 232502] 2026 年 6 月 9 日星期二发布</w:t>
      </w:r>
    </w:p>
    <w:p>
      <w:pPr>
        <w:spacing w:before="0" w:after="200" w:lineRule="auto" w:line="276"/>
      </w:pPr>
      <w:r>
        <w:rPr>
          <w:b/>
        </w:rPr>
        <w:t xml:space="preserve">Abstract (EN): </w:t>
      </w:r>
      <w:r>
        <w:t>Author(s): S. Al Kharusi et al. (EXO-200 Collaboration)EXO-200 was a leading double beta decay experiment consisting of a single-phase, enriched liquid xenon time projection chamber filled with an admixture of 80.672% $^{136}\mathrm{Xe}$ and 19.098% $^{134}\mathrm{Xe}$. The detector operated at the Waste Isolation Pilot Plant between 2010 and 2018 and w…[Phys. Rev. Lett. 136, 232502] Published Tue Jun 09, 2026</w:t>
      </w:r>
    </w:p>
    <w:p>
      <w:pPr>
        <w:spacing w:before="120" w:after="120"/>
      </w:pPr>
      <w:r>
        <w:rPr>
          <w:sz w:val="18"/>
        </w:rPr>
        <w:t>——————————————————————————————————————————————————————————————————————</w:t>
      </w:r>
    </w:p>
    <w:p>
      <w:pPr>
        <w:spacing w:before="160" w:after="40" w:line="240" w:lineRule="auto"/>
      </w:pPr>
      <w:r>
        <w:rPr>
          <w:b/>
        </w:rPr>
        <w:t xml:space="preserve">[203] </w:t>
      </w:r>
      <w:hyperlink r:id="rId692">
        <w:r>
          <w:rPr>
            <w:color w:val="1155CC"/>
            <w:u w:val="single"/>
          </w:rPr>
          <w:t>动量分辨二维光谱作为非线性量子场动力学的探针</w:t>
        </w:r>
      </w:hyperlink>
    </w:p>
    <w:p>
      <w:pPr>
        <w:spacing w:before="0" w:after="80"/>
      </w:pPr>
      <w:r>
        <w:rPr>
          <w:i/>
          <w:sz w:val="20"/>
        </w:rPr>
        <w:t>EN: Momentum-Resolved Two-Dimensional Spectroscopy as a Probe of Nonlinear Quantum Field Dynamics</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93">
        <w:r>
          <w:rPr>
            <w:color w:val="1155CC"/>
            <w:u w:val="single"/>
          </w:rPr>
          <w:t>10.1103/tfdm-qshs</w:t>
        </w:r>
      </w:hyperlink>
    </w:p>
    <w:p>
      <w:pPr>
        <w:spacing w:before="0" w:after="120"/>
      </w:pPr>
      <w:r>
        <w:rPr>
          <w:b/>
        </w:rPr>
        <w:t xml:space="preserve">Notes: </w:t>
      </w:r>
      <w:r>
        <w:t>abstract_source=rss_description</w:t>
      </w:r>
    </w:p>
    <w:p>
      <w:pPr>
        <w:spacing w:before="0" w:after="80" w:lineRule="auto" w:line="276"/>
      </w:pPr>
      <w:r>
        <w:rPr>
          <w:b/>
        </w:rPr>
        <w:t xml:space="preserve">摘要（ZH）: </w:t>
      </w:r>
      <w:r>
        <w:t>作者：Duilio De Santis、Alex Gómez-Salvador、Nataliia Bazhan、Sebastian Erne、Maximilian Prüfer、Claudio Guarcello、Davide Valenti、Jörg Schmiedmayer 和 Eugene Demler 紧急集体激发构成了相互作用的量子多体系统的标志，但在固态平台中，他们的研究在很大程度上受到线性响应探针和有限元的限制。动量分辨率。我们建议通过结合……[物理。莱特牧师。 136, 233401] 2026 年 6 月 9 日星期二发布</w:t>
      </w:r>
    </w:p>
    <w:p>
      <w:pPr>
        <w:spacing w:before="0" w:after="200" w:lineRule="auto" w:line="276"/>
      </w:pPr>
      <w:r>
        <w:rPr>
          <w:b/>
        </w:rPr>
        <w:t xml:space="preserve">Abstract (EN): </w:t>
      </w:r>
      <w:r>
        <w:t>Author(s): Duilio De Santis, Alex Gómez-Salvador, Nataliia Bazhan, Sebastian Erne, Maximilian Prüfer, Claudio Guarcello, Davide Valenti, Jörg Schmiedmayer, and Eugene DemlerEmergent collective excitations constitute a hallmark of interacting quantum many-body systems, yet in solid-state platforms their study has been largely limited by the constraints of linear-response probes and by finite momentum resolution. We propose to overcome these limitations by combining the …[Phys. Rev. Lett. 136, 233401] Published Tue Jun 09, 2026</w:t>
      </w:r>
    </w:p>
    <w:p>
      <w:pPr>
        <w:spacing w:before="120" w:after="120"/>
      </w:pPr>
      <w:r>
        <w:rPr>
          <w:sz w:val="18"/>
        </w:rPr>
        <w:t>——————————————————————————————————————————————————————————————————————</w:t>
      </w:r>
    </w:p>
    <w:p>
      <w:pPr>
        <w:spacing w:before="160" w:after="40" w:line="240" w:lineRule="auto"/>
      </w:pPr>
      <w:r>
        <w:rPr>
          <w:b/>
        </w:rPr>
        <w:t xml:space="preserve">[204] </w:t>
      </w:r>
      <w:hyperlink r:id="rId694">
        <w:r>
          <w:rPr>
            <w:color w:val="1155CC"/>
            <w:u w:val="single"/>
          </w:rPr>
          <w:t>Taub-Newman-Unti-Tamburino 瞬子的 Newman-Janis 算法</w:t>
        </w:r>
      </w:hyperlink>
    </w:p>
    <w:p>
      <w:pPr>
        <w:spacing w:before="0" w:after="80"/>
      </w:pPr>
      <w:r>
        <w:rPr>
          <w:i/>
          <w:sz w:val="20"/>
        </w:rPr>
        <w:t>EN: Newman-Janis Algorithm from Taub-Newman-Unti-Tamburino Instantons</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95">
        <w:r>
          <w:rPr>
            <w:color w:val="1155CC"/>
            <w:u w:val="single"/>
          </w:rPr>
          <w:t>10.1103/g6nl-1fbn</w:t>
        </w:r>
      </w:hyperlink>
    </w:p>
    <w:p>
      <w:pPr>
        <w:spacing w:before="0" w:after="120"/>
      </w:pPr>
      <w:r>
        <w:rPr>
          <w:b/>
        </w:rPr>
        <w:t xml:space="preserve">Notes: </w:t>
      </w:r>
      <w:r>
        <w:t>abstract_source=rss_description</w:t>
      </w:r>
    </w:p>
    <w:p>
      <w:pPr>
        <w:spacing w:before="0" w:after="80" w:lineRule="auto" w:line="276"/>
      </w:pPr>
      <w:r>
        <w:rPr>
          <w:b/>
        </w:rPr>
        <w:t xml:space="preserve">摘要（ZH）: </w:t>
      </w:r>
      <w:r>
        <w:t>作者：Joon-Hwi Kim 证明 Kerr 度量表示自对偶和反自对偶 Taub-Newman-Unti-Tamburino (NUT) 瞬子的非线性叠加。这将 Newman-Janis 算法提升为具有明确物理起源的 Kerr 度量的严格推导。以同样的方式，克尔-纽曼……[物理。莱特牧师。 136, 231401] 2026 年 6 月 9 日星期二发布</w:t>
      </w:r>
    </w:p>
    <w:p>
      <w:pPr>
        <w:spacing w:before="0" w:after="200" w:lineRule="auto" w:line="276"/>
      </w:pPr>
      <w:r>
        <w:rPr>
          <w:b/>
        </w:rPr>
        <w:t xml:space="preserve">Abstract (EN): </w:t>
      </w:r>
      <w:r>
        <w:t>Author(s): Joon-Hwi KimIt is shown that the Kerr metric represents the nonlinear superposition of self-dual and anti-self-dual Taub-Newman-Unti-Tamburino (NUT) instantons. This promotes the Newman-Janis algorithm to a rigorous derivation of the Kerr metric with a definite physical origin. In the same way, the Kerr-Newman …[Phys. Rev. Lett. 136, 231401] Published Tue Jun 09, 2026</w:t>
      </w:r>
    </w:p>
    <w:p>
      <w:pPr>
        <w:spacing w:before="120" w:after="120"/>
      </w:pPr>
      <w:r>
        <w:rPr>
          <w:sz w:val="18"/>
        </w:rPr>
        <w:t>——————————————————————————————————————————————————————————————————————</w:t>
      </w:r>
    </w:p>
    <w:p>
      <w:pPr>
        <w:spacing w:before="160" w:after="40" w:line="240" w:lineRule="auto"/>
      </w:pPr>
      <w:r>
        <w:rPr>
          <w:b/>
        </w:rPr>
        <w:t xml:space="preserve">[205] </w:t>
      </w:r>
      <w:hyperlink r:id="rId696">
        <w:r>
          <w:rPr>
            <w:color w:val="1155CC"/>
            <w:u w:val="single"/>
          </w:rPr>
          <w:t>平衡磁振子轨道角动量的正确理论</w:t>
        </w:r>
      </w:hyperlink>
    </w:p>
    <w:p>
      <w:pPr>
        <w:spacing w:before="0" w:after="80"/>
      </w:pPr>
      <w:r>
        <w:rPr>
          <w:i/>
          <w:sz w:val="20"/>
        </w:rPr>
        <w:t>EN: Proper Theory of Magnon Orbital Angular Momentum at Equilibrium</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97">
        <w:r>
          <w:rPr>
            <w:color w:val="1155CC"/>
            <w:u w:val="single"/>
          </w:rPr>
          <w:t>10.1103/fgt6-bhmq</w:t>
        </w:r>
      </w:hyperlink>
    </w:p>
    <w:p>
      <w:pPr>
        <w:spacing w:before="0" w:after="120"/>
      </w:pPr>
      <w:r>
        <w:rPr>
          <w:b/>
        </w:rPr>
        <w:t xml:space="preserve">Notes: </w:t>
      </w:r>
      <w:r>
        <w:t>abstract_source=rss_description</w:t>
      </w:r>
    </w:p>
    <w:p>
      <w:pPr>
        <w:spacing w:before="0" w:after="80" w:lineRule="auto" w:line="276"/>
      </w:pPr>
      <w:r>
        <w:rPr>
          <w:b/>
        </w:rPr>
        <w:t xml:space="preserve">摘要（ZH）: </w:t>
      </w:r>
      <w:r>
        <w:t>作者：唐俊宇和程然 与电子不同，无电荷玻色子的轨道运动不会产生磁矩，因此不能直接与磁场相互作用。为了制定磁振子的轨道角动量（OAM），我们首先通过考虑阿哈罗诺夫-卡什……[物理。莱特牧师。 136, 236702] 2026 年 6 月 9 日星期二发布</w:t>
      </w:r>
    </w:p>
    <w:p>
      <w:pPr>
        <w:spacing w:before="0" w:after="200" w:lineRule="auto" w:line="276"/>
      </w:pPr>
      <w:r>
        <w:rPr>
          <w:b/>
        </w:rPr>
        <w:t xml:space="preserve">Abstract (EN): </w:t>
      </w:r>
      <w:r>
        <w:t>Author(s): Junyu Tang and Ran ChengThe orbital motion of chargeless bosons, unlike that of electrons, does not generate a magnetic moment and thus cannot directly interact with magnetic fields. To formulate the orbital angular momentum (OAM) of magnons, we first identify its proper conjugate variable by considering the Aharonov-Cashe…[Phys. Rev. Lett. 136, 236702] Published Tue Jun 09, 2026</w:t>
      </w:r>
    </w:p>
    <w:p>
      <w:pPr>
        <w:spacing w:before="120" w:after="120"/>
      </w:pPr>
      <w:r>
        <w:rPr>
          <w:sz w:val="18"/>
        </w:rPr>
        <w:t>——————————————————————————————————————————————————————————————————————</w:t>
      </w:r>
    </w:p>
    <w:p>
      <w:pPr>
        <w:spacing w:before="160" w:after="40" w:line="240" w:lineRule="auto"/>
      </w:pPr>
      <w:r>
        <w:rPr>
          <w:b/>
        </w:rPr>
        <w:t xml:space="preserve">[206] </w:t>
      </w:r>
      <w:hyperlink r:id="rId698">
        <w:r>
          <w:rPr>
            <w:color w:val="1155CC"/>
            <w:u w:val="single"/>
          </w:rPr>
          <w:t>超冷微波屏蔽极性分子中的 Efimov 效应</w:t>
        </w:r>
      </w:hyperlink>
    </w:p>
    <w:p>
      <w:pPr>
        <w:spacing w:before="0" w:after="80"/>
      </w:pPr>
      <w:r>
        <w:rPr>
          <w:i/>
          <w:sz w:val="20"/>
        </w:rPr>
        <w:t>EN: Efimov Effect in Ultracold Microwave-Shielded Polar Molecules</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699">
        <w:r>
          <w:rPr>
            <w:color w:val="1155CC"/>
            <w:u w:val="single"/>
          </w:rPr>
          <w:t>10.1103/qlvv-r93m</w:t>
        </w:r>
      </w:hyperlink>
    </w:p>
    <w:p>
      <w:pPr>
        <w:spacing w:before="0" w:after="120"/>
      </w:pPr>
      <w:r>
        <w:rPr>
          <w:b/>
        </w:rPr>
        <w:t xml:space="preserve">Notes: </w:t>
      </w:r>
      <w:r>
        <w:t>abstract_source=rss_description</w:t>
      </w:r>
    </w:p>
    <w:p>
      <w:pPr>
        <w:spacing w:before="0" w:after="80" w:lineRule="auto" w:line="276"/>
      </w:pPr>
      <w:r>
        <w:rPr>
          <w:b/>
        </w:rPr>
        <w:t xml:space="preserve">摘要（ZH）: </w:t>
      </w:r>
      <w:r>
        <w:t>作者：Shayamal Singh 和 Chris H. Greene 提出了屏蔽偶极分子三体物理的量子力学描述，包括可观测 Efimov 物理的预测。尽管相互作用具有各向异性和长距离的性质，但屏蔽能够实现一种在二元结构中已经出现普遍性的机制……[物理。莱特牧师。 136, 233402] 2026 年 6 月 9 日星期二发布</w:t>
      </w:r>
    </w:p>
    <w:p>
      <w:pPr>
        <w:spacing w:before="0" w:after="200" w:lineRule="auto" w:line="276"/>
      </w:pPr>
      <w:r>
        <w:rPr>
          <w:b/>
        </w:rPr>
        <w:t xml:space="preserve">Abstract (EN): </w:t>
      </w:r>
      <w:r>
        <w:t>Author(s): Shayamal Singh and Chris H. GreeneA quantum-mechanical description is presented for the three-body physics of shielded dipolar molecules, including a prediction of observable Efimov physics. Despite the anisotropic and long-range nature of the interaction, shielding enables a regime in which universality emerges already at the two-b…[Phys. Rev. Lett. 136, 233402] Published Tue Jun 09, 2026</w:t>
      </w:r>
    </w:p>
    <w:p>
      <w:pPr>
        <w:spacing w:before="120" w:after="120"/>
      </w:pPr>
      <w:r>
        <w:rPr>
          <w:sz w:val="18"/>
        </w:rPr>
        <w:t>——————————————————————————————————————————————————————————————————————</w:t>
      </w:r>
    </w:p>
    <w:p>
      <w:pPr>
        <w:spacing w:before="160" w:after="40" w:line="240" w:lineRule="auto"/>
      </w:pPr>
      <w:r>
        <w:rPr>
          <w:b/>
        </w:rPr>
        <w:t xml:space="preserve">[207] </w:t>
      </w:r>
      <w:hyperlink r:id="rId700">
        <w:r>
          <w:rPr>
            <w:color w:val="1155CC"/>
            <w:u w:val="single"/>
          </w:rPr>
          <w:t>将 $^{73}\mathrm{Ge}$ 核自旋耦合到硅中静电定义的量子点</w:t>
        </w:r>
      </w:hyperlink>
    </w:p>
    <w:p>
      <w:pPr>
        <w:spacing w:before="0" w:after="80"/>
      </w:pPr>
      <w:r>
        <w:rPr>
          <w:i/>
          <w:sz w:val="20"/>
        </w:rPr>
        <w:t>EN: Coupling a $^{73}\mathrm{Ge}$ Nuclear Spin to an Electrostatically Defined Quantum Dot in Silicon</w:t>
      </w:r>
    </w:p>
    <w:p>
      <w:pPr>
        <w:spacing w:before="0" w:after="120"/>
      </w:pPr>
      <w:r>
        <w:rPr>
          <w:b/>
        </w:rPr>
        <w:t xml:space="preserve">Source: </w:t>
      </w:r>
      <w:r>
        <w:t>Recent Articles in Phys. Rev. Lett.</w:t>
      </w:r>
      <w:r>
        <w:t xml:space="preserve">    </w:t>
      </w:r>
      <w:r>
        <w:rPr>
          <w:b/>
        </w:rPr>
        <w:t xml:space="preserve">Pub date: </w:t>
      </w:r>
      <w:r>
        <w:t>2026-06-09 10:00:00+00:00</w:t>
      </w:r>
      <w:r>
        <w:t xml:space="preserve">    </w:t>
      </w:r>
      <w:r>
        <w:rPr>
          <w:b/>
        </w:rPr>
        <w:t xml:space="preserve">DOI: </w:t>
      </w:r>
      <w:hyperlink r:id="rId701">
        <w:r>
          <w:rPr>
            <w:color w:val="1155CC"/>
            <w:u w:val="single"/>
          </w:rPr>
          <w:t>10.1103/49gt-msw9</w:t>
        </w:r>
      </w:hyperlink>
    </w:p>
    <w:p>
      <w:pPr>
        <w:spacing w:before="0" w:after="120"/>
      </w:pPr>
      <w:r>
        <w:rPr>
          <w:b/>
        </w:rPr>
        <w:t xml:space="preserve">Notes: </w:t>
      </w:r>
      <w:r>
        <w:t>abstract_source=rss_description</w:t>
      </w:r>
    </w:p>
    <w:p>
      <w:pPr>
        <w:spacing w:before="0" w:after="80" w:lineRule="auto" w:line="276"/>
      </w:pPr>
      <w:r>
        <w:rPr>
          <w:b/>
        </w:rPr>
        <w:t xml:space="preserve">摘要（ZH）: </w:t>
      </w:r>
      <w:r>
        <w:t>作者：Paul Steinacker、Gauri Goenka、Rocky Yue Su、Tuomo Tanttu、Wee Han Lim、Santiago Serrano、Tim Botzem、Jesus D. Cifuentes、Shao Qi Lim、Jeffrey C. McCallum、Brett C. Johnson、Fay E. Hudson、Kok Wai Chan、Christopher C. Escott、Andre Saraiva、Chih Hwan Yang、Vincent Mourik、Andrea Morello、 Andrew S. Dzurak 和 Arne Laucht 硅中的单核自旋因其长相干时间和出色的控制保真度而成为量子技术的有前途的资源。量子位和量子体已在供体核上进行编码，并成功演示了自旋上的贝尔态和量子存储器-$^{1}{/}_{2}$ $^{3…[Phys.莱特牧师。 136, 230602] 2026 年 6 月 9 日星期二发布</w:t>
      </w:r>
    </w:p>
    <w:p>
      <w:pPr>
        <w:spacing w:before="0" w:after="200" w:lineRule="auto" w:line="276"/>
      </w:pPr>
      <w:r>
        <w:rPr>
          <w:b/>
        </w:rPr>
        <w:t xml:space="preserve">Abstract (EN): </w:t>
      </w:r>
      <w:r>
        <w:t>Author(s): Paul Steinacker, Gauri Goenka, Rocky Yue Su, Tuomo Tanttu, Wee Han Lim, Santiago Serrano, Tim Botzem, Jesus D. Cifuentes, Shao Qi Lim, Jeffrey C. McCallum, Brett C. Johnson, Fay E. Hudson, Kok Wai Chan, Christopher C. Escott, Andre Saraiva, Chih Hwan Yang, Vincent Mourik, Andrea Morello, Andrew S. Dzurak, and Arne LauchtSingle nuclear spins in silicon are a promising resource for quantum technologies due to their long coherence times and excellent control fidelities. Qubits and qudits have been encoded on donor nuclei, with successful demonstrations of Bell states and quantum memories on the spin-$^{1}{/}_{2}$ $^{3…[Phys. Rev. Lett. 136, 230602] Published Tue Jun 09, 2026</w:t>
      </w:r>
    </w:p>
    <w:p>
      <w:pPr>
        <w:spacing w:before="120" w:after="120"/>
      </w:pPr>
      <w:r>
        <w:rPr>
          <w:sz w:val="18"/>
        </w:rPr>
        <w:t>——————————————————————————————————————————————————————————————————————</w:t>
      </w:r>
    </w:p>
    <w:p>
      <w:pPr>
        <w:spacing w:before="160" w:after="40" w:line="240" w:lineRule="auto"/>
      </w:pPr>
      <w:r>
        <w:rPr>
          <w:b/>
        </w:rPr>
        <w:t xml:space="preserve">[208] </w:t>
      </w:r>
      <w:hyperlink r:id="rId702">
        <w:r>
          <w:rPr>
            <w:color w:val="1155CC"/>
            <w:u w:val="single"/>
          </w:rPr>
          <w:t>使用 CLAS12 实验测量近阈值 $J/ψ$ 光生成横截面</w:t>
        </w:r>
      </w:hyperlink>
    </w:p>
    <w:p>
      <w:pPr>
        <w:spacing w:before="0" w:after="80"/>
      </w:pPr>
      <w:r>
        <w:rPr>
          <w:i/>
          <w:sz w:val="20"/>
        </w:rPr>
        <w:t>EN: Measurement of the near-threshold $J/ψ$ photoproduction cross section with the CLAS12 experiment</w:t>
      </w:r>
    </w:p>
    <w:p>
      <w:pPr>
        <w:spacing w:before="0" w:after="120"/>
      </w:pPr>
      <w:r>
        <w:rPr>
          <w:b/>
        </w:rPr>
        <w:t xml:space="preserve">Source: </w:t>
      </w:r>
      <w:r>
        <w:t>Recent Articles in Phys. Rev. C</w:t>
      </w:r>
      <w:r>
        <w:t xml:space="preserve">    </w:t>
      </w:r>
      <w:r>
        <w:rPr>
          <w:b/>
        </w:rPr>
        <w:t xml:space="preserve">Pub date: </w:t>
      </w:r>
      <w:r>
        <w:t>2026-06-09 10:00:00+00:00</w:t>
      </w:r>
      <w:r>
        <w:t xml:space="preserve">    </w:t>
      </w:r>
      <w:r>
        <w:rPr>
          <w:b/>
        </w:rPr>
        <w:t xml:space="preserve">DOI: </w:t>
      </w:r>
      <w:hyperlink r:id="rId703">
        <w:r>
          <w:rPr>
            <w:color w:val="1155CC"/>
            <w:u w:val="single"/>
          </w:rPr>
          <w:t>10.1103/lqv1-kf2n</w:t>
        </w:r>
      </w:hyperlink>
    </w:p>
    <w:p>
      <w:pPr>
        <w:spacing w:before="0" w:after="120"/>
      </w:pPr>
      <w:r>
        <w:rPr>
          <w:b/>
        </w:rPr>
        <w:t xml:space="preserve">Notes: </w:t>
      </w:r>
      <w:r>
        <w:t>abstract_source=rss_description</w:t>
      </w:r>
    </w:p>
    <w:p>
      <w:pPr>
        <w:spacing w:before="0" w:after="80" w:lineRule="auto" w:line="276"/>
      </w:pPr>
      <w:r>
        <w:rPr>
          <w:b/>
        </w:rPr>
        <w:t xml:space="preserve">摘要（ZH）: </w:t>
      </w:r>
      <w:r>
        <w:t>作者：P.Chatagnon 等人。 （CLAS 合作）我们展示了使用托马斯·杰斐逊国家加速器设施的 CLAS12 探测器获得的近阈值 $J/ψ$ 光产生的总横截面和微分横截面的测量结果。结果基于 2018 年秋季和 2019 年春季运行期间收集的数据，使用 e…[Phys.修订版 C 113, 065203] 2026 年 6 月 9 日星期二发布</w:t>
      </w:r>
    </w:p>
    <w:p>
      <w:pPr>
        <w:spacing w:before="0" w:after="200" w:lineRule="auto" w:line="276"/>
      </w:pPr>
      <w:r>
        <w:rPr>
          <w:b/>
        </w:rPr>
        <w:t xml:space="preserve">Abstract (EN): </w:t>
      </w:r>
      <w:r>
        <w:t>Author(s): P. Chatagnon et al. (CLAS Collaboration)We present measurements of the total and differential cross sections for near-threshold $J/ψ$ photoproduction obtained with the CLAS12 detector at the Thomas Jefferson National Accelerator Facility. The results are based on data collected during the fall 2018 and spring 2019 running periods, using e…[Phys. Rev. C 113, 065203] Published Tue Jun 09, 2026</w:t>
      </w:r>
    </w:p>
    <w:p>
      <w:pPr>
        <w:spacing w:before="120" w:after="120"/>
      </w:pPr>
      <w:r>
        <w:rPr>
          <w:sz w:val="18"/>
        </w:rPr>
        <w:t>——————————————————————————————————————————————————————————————————————</w:t>
      </w:r>
    </w:p>
    <w:p>
      <w:pPr>
        <w:spacing w:before="160" w:after="40" w:line="240" w:lineRule="auto"/>
      </w:pPr>
      <w:r>
        <w:rPr>
          <w:b/>
        </w:rPr>
        <w:t xml:space="preserve">[209] </w:t>
      </w:r>
      <w:hyperlink r:id="rId704">
        <w:r>
          <w:rPr>
            <w:color w:val="1155CC"/>
            <w:u w:val="single"/>
          </w:rPr>
          <w:t>在未来的 BNL 电子离子对撞机上利用偏振离子束实现科学计划</w:t>
        </w:r>
      </w:hyperlink>
    </w:p>
    <w:p>
      <w:pPr>
        <w:spacing w:before="0" w:after="80"/>
      </w:pPr>
      <w:r>
        <w:rPr>
          <w:i/>
          <w:sz w:val="20"/>
        </w:rPr>
        <w:t>EN: Realizing the scientific program with polarized ion beams at the future BNL Electron Ion Collider</w:t>
      </w:r>
    </w:p>
    <w:p>
      <w:pPr>
        <w:spacing w:before="0" w:after="120"/>
      </w:pPr>
      <w:r>
        <w:rPr>
          <w:b/>
        </w:rPr>
        <w:t xml:space="preserve">Source: </w:t>
      </w:r>
      <w:r>
        <w:t>Recent Articles in Phys. Rev. C</w:t>
      </w:r>
      <w:r>
        <w:t xml:space="preserve">    </w:t>
      </w:r>
      <w:r>
        <w:rPr>
          <w:b/>
        </w:rPr>
        <w:t xml:space="preserve">Pub date: </w:t>
      </w:r>
      <w:r>
        <w:t>2026-06-09 10:00:00+00:00</w:t>
      </w:r>
      <w:r>
        <w:t xml:space="preserve">    </w:t>
      </w:r>
      <w:r>
        <w:rPr>
          <w:b/>
        </w:rPr>
        <w:t xml:space="preserve">DOI: </w:t>
      </w:r>
      <w:hyperlink r:id="rId705">
        <w:r>
          <w:rPr>
            <w:color w:val="1155CC"/>
            <w:u w:val="single"/>
          </w:rPr>
          <w:t>10.1103/261w-8f38</w:t>
        </w:r>
      </w:hyperlink>
    </w:p>
    <w:p>
      <w:pPr>
        <w:spacing w:before="0" w:after="120"/>
      </w:pPr>
      <w:r>
        <w:rPr>
          <w:b/>
        </w:rPr>
        <w:t xml:space="preserve">Notes: </w:t>
      </w:r>
      <w:r>
        <w:t>abstract_source=rss_description</w:t>
      </w:r>
    </w:p>
    <w:p>
      <w:pPr>
        <w:spacing w:before="0" w:after="80" w:lineRule="auto" w:line="276"/>
      </w:pPr>
      <w:r>
        <w:rPr>
          <w:b/>
        </w:rPr>
        <w:t xml:space="preserve">摘要（ZH）: </w:t>
      </w:r>
      <w:r>
        <w:t>作者：Grigor Atoian 等人。 （EPIOS 科学联盟）大型粒子加速器中的自旋利用是一项年轻的量子技术，直到二十世纪末才出现实际实现。未来电子离子对撞机 (EIC) 的偏振离子束对于解决二十一世纪我们理解物质基本结构前沿的一些最重要的开放性问题至关重要。 1/2 的质子自旋是如何由高度相对论的夸克和胶子及其通过 QCD 的相互作用产生的？夸克和胶子核子自旋分布是否在原子核内部发生了变化？核中可以存在外来胶子吗？除了这些问题之外，极化电子束和离子束对于揭示核子和原子核的完整三维结构至关重要。这篇观点论文总结了科学案例，并将偏振离子束确定为能够解决这些问题的实验的关键技术。作者进一步讨论了 EIC 所需的离子偏振测量和自旋操纵，并确定了涉及国家实验室和大学的重大研发工作，这将需要大约十年的时间才能实现偏振离子束。 Rev. C 113, 060501] 于 2026 年 6 月 9 日星期二发布</w:t>
      </w:r>
    </w:p>
    <w:p>
      <w:pPr>
        <w:spacing w:before="0" w:after="200" w:lineRule="auto" w:line="276"/>
      </w:pPr>
      <w:r>
        <w:rPr>
          <w:b/>
        </w:rPr>
        <w:t xml:space="preserve">Abstract (EN): </w:t>
      </w:r>
      <w:r>
        <w:t>Author(s): Grigor Atoian et al. (EPIOS Scientific Consortium)Spin utilization in large particle accelerators is a young quantum technology, with practical realization only emerging in the late twentieth century. Polarized ion beams at the future Electron Ion Collider (EIC) are essential to address some of the most important open questions at the twenty-first-century frontiers of our understanding of the fundamental structure of matter. How does the proton spin of 1/2 arise from the highly relativistic constituent quarks and gluons and their interactions via QCD? Are the quark and gluon nucleon spin distributions modified inside the nucleus? Can exotic gluons exist in the nucleus? Beyond these questions, polarized electron and ion beams are crucial for unravelling the full three-dimensional structure of the nucleon and of nuclei. This Perspective paper summarizes the science case and identifies polarized ion beams as the critical technology enabling the experiments that address these questions. The authors further discuss the required ion polarimetry and spin manipulation at the EIC, and identify a significant R&amp;D effort, involving both national laboratories and universities, that will be required over roughly a decade to realize the polarized ion beams.[Phys. Rev. C 113, 060501] Published Tue Jun 09, 2026</w:t>
      </w:r>
    </w:p>
    <w:p>
      <w:pPr>
        <w:spacing w:before="120" w:after="120"/>
      </w:pPr>
      <w:r>
        <w:rPr>
          <w:sz w:val="18"/>
        </w:rPr>
        <w:t>——————————————————————————————————————————————————————————————————————</w:t>
      </w:r>
    </w:p>
    <w:p>
      <w:pPr>
        <w:spacing w:before="160" w:after="40" w:line="240" w:lineRule="auto"/>
      </w:pPr>
      <w:r>
        <w:rPr>
          <w:b/>
        </w:rPr>
        <w:t xml:space="preserve">[210] </w:t>
      </w:r>
      <w:hyperlink r:id="rId706">
        <w:r>
          <w:rPr>
            <w:color w:val="1155CC"/>
            <w:u w:val="single"/>
          </w:rPr>
          <w:t>气泡形成控制：通过过氧化氢酶涂覆的释氧水凝胶制造厘米大小的组织状结构</w:t>
        </w:r>
      </w:hyperlink>
    </w:p>
    <w:p>
      <w:pPr>
        <w:spacing w:before="0" w:after="80"/>
      </w:pPr>
      <w:r>
        <w:rPr>
          <w:i/>
          <w:sz w:val="20"/>
        </w:rPr>
        <w:t>EN: Bubble Formation Control: Fabrication of Centimeter‐Sized Tissue‐Like Constructs by Catalase‐Coated Oxygen‐Releasing Hydrogel</w:t>
      </w:r>
    </w:p>
    <w:p>
      <w:pPr>
        <w:spacing w:before="0" w:after="120"/>
      </w:pPr>
      <w:r>
        <w:rPr>
          <w:b/>
        </w:rPr>
        <w:t xml:space="preserve">Source: </w:t>
      </w:r>
      <w:r>
        <w:t>Wiley: Advanced Materials: Table of Contents</w:t>
      </w:r>
      <w:r>
        <w:t xml:space="preserve">    </w:t>
      </w:r>
      <w:r>
        <w:rPr>
          <w:b/>
        </w:rPr>
        <w:t xml:space="preserve">Pub date: </w:t>
      </w:r>
      <w:r>
        <w:t>2026-06-09 10:26:55+00:00</w:t>
      </w:r>
      <w:r>
        <w:t xml:space="preserve">    </w:t>
      </w:r>
      <w:r>
        <w:rPr>
          <w:b/>
        </w:rPr>
        <w:t xml:space="preserve">DOI: </w:t>
      </w:r>
      <w:hyperlink r:id="rId707">
        <w:r>
          <w:rPr>
            <w:color w:val="1155CC"/>
            <w:u w:val="single"/>
          </w:rPr>
          <w:t>10.1002/adma.202523593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由于氧气耗尽和细胞活力有限，开发厚的三维（3D）支架仍然具有挑战性。过氧化钙（CaO</w:t>
      </w:r>
      <w:r>
        <w:rPr>
          <w:vertAlign w:val="subscript"/>
        </w:rPr>
        <w:t>2</w:t>
      </w:r>
      <w:r>
        <w:t>基于过氧化氢酶的释氧生物材料是一种常见的解决方案，但很少讨论氧气气泡的不受控制的释放通常会导致结构损坏。在此，我们提出了一种通过在释氧水凝胶表面涂覆过氧化氢酶纳米涂层来控制气泡形成位置的策略。氧化钙</w:t>
      </w:r>
      <w:r>
        <w:rPr>
          <w:vertAlign w:val="subscript"/>
        </w:rPr>
        <w:t>2</w:t>
      </w:r>
      <w:r>
        <w:t>遇水水解分解，生成过氧化氢（H</w:t>
      </w:r>
      <w:r>
        <w:rPr>
          <w:vertAlign w:val="subscript"/>
        </w:rPr>
        <w:t>2</w:t>
      </w:r>
      <w:r>
        <w:t>氧</w:t>
      </w:r>
      <w:r>
        <w:rPr>
          <w:vertAlign w:val="subscript"/>
        </w:rPr>
        <w:t>2</w:t>
      </w:r>
      <w:r>
        <w:t>)，随后转换为 O</w:t>
      </w:r>
      <w:r>
        <w:rPr>
          <w:vertAlign w:val="subscript"/>
        </w:rPr>
        <w:t>2</w:t>
      </w:r>
      <w:r>
        <w:t>和H</w:t>
      </w:r>
      <w:r>
        <w:rPr>
          <w:vertAlign w:val="subscript"/>
        </w:rPr>
        <w:t>2</w:t>
      </w:r>
      <w:r>
        <w:t>O.因为H</w:t>
      </w:r>
      <w:r>
        <w:rPr>
          <w:vertAlign w:val="subscript"/>
        </w:rPr>
        <w:t>2</w:t>
      </w:r>
      <w:r>
        <w:t>氧</w:t>
      </w:r>
      <w:r>
        <w:rPr>
          <w:vertAlign w:val="subscript"/>
        </w:rPr>
        <w:t>2</w:t>
      </w:r>
      <w:r>
        <w:t>可以诱导细胞毒性，直接将过氧化氢酶掺入水凝胶系统可能会加速 O</w:t>
      </w:r>
      <w:r>
        <w:rPr>
          <w:vertAlign w:val="subscript"/>
        </w:rPr>
        <w:t>2</w:t>
      </w:r>
      <w:r>
        <w:t>气泡形成，导致水凝胶在浸入水中 1 小时内塌陷。相比之下，涂有过氧化氢酶的水凝胶表现出更好的结构稳定性，在环境空气中放置 24 小时后，气泡尺寸比混合过氧化氢酶的水凝胶小 5.9 倍。缺氧条件下（O</w:t>
      </w:r>
      <w:r>
        <w:rPr>
          <w:vertAlign w:val="subscript"/>
        </w:rPr>
        <w:t>2</w:t>
      </w:r>
      <w:r>
        <w:t>&lt; 0.1%），含有过氧化氢酶涂层水凝胶的厘米级结构在 5 天后保留了高达 86% 的活人成纤维细胞</w:t>
      </w:r>
    </w:p>
    <w:p>
      <w:pPr>
        <w:spacing w:before="0" w:after="200" w:lineRule="auto" w:line="276"/>
      </w:pPr>
      <w:r>
        <w:rPr>
          <w:b/>
        </w:rPr>
        <w:t xml:space="preserve">Abstract (EN): </w:t>
      </w:r>
      <w:r>
        <w:t>Developing thick three‐dimensional (3D) scaffolds remains challenging due to oxygen depletion and limited cell viability. Calcium peroxide (CaO</w:t>
      </w:r>
      <w:r>
        <w:rPr>
          <w:vertAlign w:val="subscript"/>
        </w:rPr>
        <w:t>2</w:t>
      </w:r>
      <w:r>
        <w:t>)‐catalase‐based oxygen‐releasing biomaterials are a common solution, but the uncontrolled release of oxygen bubbles often leading to structural damages is rarely discussed. Herein, we present a strategy to control the site of bubble formation in an oxygen‐releasing hydrogel, by applying a catalase nanocoating to its surface. CaO</w:t>
      </w:r>
      <w:r>
        <w:rPr>
          <w:vertAlign w:val="subscript"/>
        </w:rPr>
        <w:t>2</w:t>
      </w:r>
      <w:r>
        <w:t>undergoes hydrolytic decomposition with water, generating hydrogen peroxide (H</w:t>
      </w:r>
      <w:r>
        <w:rPr>
          <w:vertAlign w:val="subscript"/>
        </w:rPr>
        <w:t>2</w:t>
      </w:r>
      <w:r>
        <w:t>O</w:t>
      </w:r>
      <w:r>
        <w:rPr>
          <w:vertAlign w:val="subscript"/>
        </w:rPr>
        <w:t>2</w:t>
      </w:r>
      <w:r>
        <w:t>), subsequently converts into O</w:t>
      </w:r>
      <w:r>
        <w:rPr>
          <w:vertAlign w:val="subscript"/>
        </w:rPr>
        <w:t>2</w:t>
      </w:r>
      <w:r>
        <w:t>and H</w:t>
      </w:r>
      <w:r>
        <w:rPr>
          <w:vertAlign w:val="subscript"/>
        </w:rPr>
        <w:t>2</w:t>
      </w:r>
      <w:r>
        <w:t>O. Because H</w:t>
      </w:r>
      <w:r>
        <w:rPr>
          <w:vertAlign w:val="subscript"/>
        </w:rPr>
        <w:t>2</w:t>
      </w:r>
      <w:r>
        <w:t>O</w:t>
      </w:r>
      <w:r>
        <w:rPr>
          <w:vertAlign w:val="subscript"/>
        </w:rPr>
        <w:t>2</w:t>
      </w:r>
      <w:r>
        <w:t>can induce cytotoxicity, direct catalase incorporation into hydrogel systems may accelerate O</w:t>
      </w:r>
      <w:r>
        <w:rPr>
          <w:vertAlign w:val="subscript"/>
        </w:rPr>
        <w:t>2</w:t>
      </w:r>
      <w:r>
        <w:t>bubble formation, leading in hydrogel collapse within 1 h of aqueous immersion. In comparison, catalase‐coated hydrogels exhibited improved structural stability, showing a 5.9‐fold smaller bubble size than hydrogels with mixed catalase after 24 h in ambient air. Under hypoxic conditions (O</w:t>
      </w:r>
      <w:r>
        <w:rPr>
          <w:vertAlign w:val="subscript"/>
        </w:rPr>
        <w:t>2</w:t>
      </w:r>
      <w:r>
        <w:t>&amp;lt; 0.1%), centimeter‐scale constructs containing catalase‐coated hydrogels preserved up to 86% viable human fibroblast cells after 5 days of culture, compared with only 47% in non‐catalase coated hydrogels. Furthermore, the incorporation of catalase‐coated hydrogels promoted cell survival and neurite outgrowth of human neural stem cells cultured in neuronal differentiation conditions under severe hypoxia. These findings suggest the potential of the proposed strategy for oxygen‐supportive tissue engineering applications.</w:t>
      </w:r>
    </w:p>
    <w:p>
      <w:pPr>
        <w:spacing w:before="120" w:after="120"/>
      </w:pPr>
      <w:r>
        <w:rPr>
          <w:sz w:val="18"/>
        </w:rPr>
        <w:t>——————————————————————————————————————————————————————————————————————</w:t>
      </w:r>
    </w:p>
    <w:p>
      <w:pPr>
        <w:spacing w:before="160" w:after="40" w:line="240" w:lineRule="auto"/>
      </w:pPr>
      <w:r>
        <w:rPr>
          <w:b/>
        </w:rPr>
        <w:t xml:space="preserve">[211] </w:t>
      </w:r>
      <w:hyperlink r:id="rId708">
        <w:r>
          <w:rPr>
            <w:color w:val="1155CC"/>
            <w:u w:val="single"/>
          </w:rPr>
          <w:t>FeOOH 纳米纺锤中谷胱甘肽诱导的原位氧空位促进声催化肿瘤治疗</w:t>
        </w:r>
      </w:hyperlink>
    </w:p>
    <w:p>
      <w:pPr>
        <w:spacing w:before="0" w:after="80"/>
      </w:pPr>
      <w:r>
        <w:rPr>
          <w:i/>
          <w:sz w:val="20"/>
        </w:rPr>
        <w:t>EN: Glutathione‐Induced In Situ Oxygen Vacancies in FeOOH Nanospindles for Boosting Sonocatalytic Tumor Therapy</w:t>
      </w:r>
    </w:p>
    <w:p>
      <w:pPr>
        <w:spacing w:before="0" w:after="120"/>
      </w:pPr>
      <w:r>
        <w:rPr>
          <w:b/>
        </w:rPr>
        <w:t xml:space="preserve">Source: </w:t>
      </w:r>
      <w:r>
        <w:t>Wiley: Angewandte Chemie International Edition: Table of Contents</w:t>
      </w:r>
      <w:r>
        <w:t xml:space="preserve">    </w:t>
      </w:r>
      <w:r>
        <w:rPr>
          <w:b/>
        </w:rPr>
        <w:t xml:space="preserve">Pub date: </w:t>
      </w:r>
      <w:r>
        <w:t>2026-06-09 11:32:06+00:00</w:t>
      </w:r>
      <w:r>
        <w:t xml:space="preserve">    </w:t>
      </w:r>
      <w:r>
        <w:rPr>
          <w:b/>
        </w:rPr>
        <w:t xml:space="preserve">DOI: </w:t>
      </w:r>
      <w:hyperlink r:id="rId709">
        <w:r>
          <w:rPr>
            <w:color w:val="1155CC"/>
            <w:u w:val="single"/>
          </w:rPr>
          <w:t>10.1002/anie.6524839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缺陷工程可以增强声催化剂中的载流子分离，从而促进活性氧（ROS）的产生；然而，目前的方法仍然依赖于体外物理化学缺陷的引入，缺乏肿瘤特异性并存在脱靶激活的风险。在此，我们开发了 FeOOH 纳米纺锤体，其中肿瘤细胞内的谷胱甘肽 (GSH) 触发原位氧空位 (O</w:t>
      </w:r>
      <w:r>
        <w:t xml:space="preserve"> </w:t>
      </w:r>
      <w:r>
        <w:t>真空</w:t>
      </w:r>
      <w:r>
        <w:t xml:space="preserve"> </w:t>
      </w:r>
      <w:r>
        <w:t>），促进声催化治疗（SCT）过程中ROS的产生，以增强抗肿瘤功效，同时最大限度地减少脱靶毒性。欧的介绍</w:t>
      </w:r>
      <w:r>
        <w:t xml:space="preserve"> </w:t>
      </w:r>
      <w:r>
        <w:t>真空</w:t>
      </w:r>
      <w:r>
        <w:t xml:space="preserve"> </w:t>
      </w:r>
      <w:r>
        <w:t>缩小带隙，提高费米能级，促进电荷分离，抑制电子空穴复合，从而显着提高声催化生产</w:t>
      </w:r>
      <w:r>
        <w:rPr>
          <w:vertAlign w:val="subscript"/>
        </w:rPr>
        <w:t>1</w:t>
      </w:r>
      <w:r>
        <w:t>氧</w:t>
      </w:r>
      <w:r>
        <w:rPr>
          <w:vertAlign w:val="subscript"/>
        </w:rPr>
        <w:t>2</w:t>
      </w:r>
      <w:r>
        <w:t>。同时，铁</w:t>
      </w:r>
      <w:r>
        <w:t xml:space="preserve"> </w:t>
      </w:r>
      <w:r>
        <w:t>3+</w:t>
      </w:r>
      <w:r>
        <w:t xml:space="preserve"> </w:t>
      </w:r>
      <w:r>
        <w:t>离子催化析氧以缓解肿瘤缺氧，而Fe</w:t>
      </w:r>
      <w:r>
        <w:t xml:space="preserve"> </w:t>
      </w:r>
      <w:r>
        <w:t>3+</w:t>
      </w:r>
      <w:r>
        <w:t xml:space="preserve"> </w:t>
      </w:r>
      <w:r>
        <w:t>离子被还原为 Fe</w:t>
      </w:r>
      <w:r>
        <w:t xml:space="preserve"> </w:t>
      </w:r>
      <w:r>
        <w:t>2+</w:t>
      </w:r>
      <w:r>
        <w:t xml:space="preserve"> </w:t>
      </w:r>
      <w:r>
        <w:t>谷胱甘肽离子，介导芬顿反应，在超声波照射下产生有毒的·OH。这种“三合一”设计巧妙地整合了肿瘤微环境（TME）响应性、原位缺陷工程和多种催化机制，以破坏氧化还原稳态并协同触发细胞凋亡和铁死亡。通过实现原位激活和位点特异性</w:t>
      </w:r>
    </w:p>
    <w:p>
      <w:pPr>
        <w:spacing w:before="0" w:after="200" w:lineRule="auto" w:line="276"/>
      </w:pPr>
      <w:r>
        <w:rPr>
          <w:b/>
        </w:rPr>
        <w:t xml:space="preserve">Abstract (EN): </w:t>
      </w:r>
      <w:r>
        <w:t>Defect engineering can enhance carrier separation in sonocatalysts to boost reactive oxygen species (ROS) generation; however, the current methods still rely on in vitro physicochemical defect introduction that lacks tumor specificity and poses a risk of off‐target activation. Herein, we developed FeOOH nanospindles in which glutathione (GSH) within tumor cells triggers the formation of in situ oxygen vacancies (O</w:t>
      </w:r>
      <w:r>
        <w:t xml:space="preserve"> </w:t>
      </w:r>
      <w:r>
        <w:t>vac</w:t>
      </w:r>
      <w:r>
        <w:t xml:space="preserve"> </w:t>
      </w:r>
      <w:r>
        <w:t>), promoting ROS generation during sonocatalytic therapy (SCT) to enhance antitumor efficacy while minimizing off‐target toxicity. The introduction of O</w:t>
      </w:r>
      <w:r>
        <w:t xml:space="preserve"> </w:t>
      </w:r>
      <w:r>
        <w:t>vac</w:t>
      </w:r>
      <w:r>
        <w:t xml:space="preserve"> </w:t>
      </w:r>
      <w:r>
        <w:t>narrows the bandgap, raises the Fermi level, promotes charge separation, and inhibits electron‐hole recombination, thereby significantly enhancing the sonocatalytic production of</w:t>
      </w:r>
      <w:r>
        <w:rPr>
          <w:vertAlign w:val="subscript"/>
        </w:rPr>
        <w:t>1</w:t>
      </w:r>
      <w:r>
        <w:t>O</w:t>
      </w:r>
      <w:r>
        <w:rPr>
          <w:vertAlign w:val="subscript"/>
        </w:rPr>
        <w:t>2</w:t>
      </w:r>
      <w:r>
        <w:t>. Concurrently, Fe</w:t>
      </w:r>
      <w:r>
        <w:t xml:space="preserve"> </w:t>
      </w:r>
      <w:r>
        <w:t>3+</w:t>
      </w:r>
      <w:r>
        <w:t xml:space="preserve"> </w:t>
      </w:r>
      <w:r>
        <w:t>ions catalyze oxygen evolution to alleviate tumor hypoxia, while Fe</w:t>
      </w:r>
      <w:r>
        <w:t xml:space="preserve"> </w:t>
      </w:r>
      <w:r>
        <w:t>3+</w:t>
      </w:r>
      <w:r>
        <w:t xml:space="preserve"> </w:t>
      </w:r>
      <w:r>
        <w:t>ions are reduced to Fe</w:t>
      </w:r>
      <w:r>
        <w:t xml:space="preserve"> </w:t>
      </w:r>
      <w:r>
        <w:t>2+</w:t>
      </w:r>
      <w:r>
        <w:t xml:space="preserve"> </w:t>
      </w:r>
      <w:r>
        <w:t>ions by GSH, which mediate the Fenton reaction, generating toxic •OH under ultrasound irradiation. This “three‐in‐one” design ingeniously integrates tumor microenvironment (TME) responsiveness, in situ defect engineering, and multiple catalytic mechanisms to disrupt redox homeostasis and trigger apoptosis and ferroptosis synergistically. By enabling in situ activation and site‐specific amplification of therapeutic functions, this work offers a great promise for advancing precision oncology and overcoming the current limitations of ROS‐based tumor therapies.</w:t>
      </w:r>
    </w:p>
    <w:p>
      <w:pPr>
        <w:spacing w:before="120" w:after="120"/>
      </w:pPr>
      <w:r>
        <w:rPr>
          <w:sz w:val="18"/>
        </w:rPr>
        <w:t>——————————————————————————————————————————————————————————————————————</w:t>
      </w:r>
    </w:p>
    <w:p>
      <w:pPr>
        <w:spacing w:before="160" w:after="40" w:line="240" w:lineRule="auto"/>
      </w:pPr>
      <w:r>
        <w:rPr>
          <w:b/>
        </w:rPr>
        <w:t xml:space="preserve">[212] </w:t>
      </w:r>
      <w:hyperlink r:id="rId710">
        <w:r>
          <w:rPr>
            <w:color w:val="1155CC"/>
            <w:u w:val="single"/>
          </w:rPr>
          <w:t>共溶剂调制的超分子手性揭示了肽基纳米材料中显着的压电响应</w:t>
        </w:r>
      </w:hyperlink>
    </w:p>
    <w:p>
      <w:pPr>
        <w:spacing w:before="0" w:after="80"/>
      </w:pPr>
      <w:r>
        <w:rPr>
          <w:i/>
          <w:sz w:val="20"/>
        </w:rPr>
        <w:t>EN: Cosolvent‐Modulated Supramolecular Chirality Unveils Pronounced Piezoelectric Response in Peptide‐Based Nanomaterials</w:t>
      </w:r>
    </w:p>
    <w:p>
      <w:pPr>
        <w:spacing w:before="0" w:after="120"/>
      </w:pPr>
      <w:r>
        <w:rPr>
          <w:b/>
        </w:rPr>
        <w:t xml:space="preserve">Source: </w:t>
      </w:r>
      <w:r>
        <w:t>Wiley: Angewandte Chemie International Edition: Table of Contents</w:t>
      </w:r>
      <w:r>
        <w:t xml:space="preserve">    </w:t>
      </w:r>
      <w:r>
        <w:rPr>
          <w:b/>
        </w:rPr>
        <w:t xml:space="preserve">Pub date: </w:t>
      </w:r>
      <w:r>
        <w:t>2026-06-09 11:34:26+00:00</w:t>
      </w:r>
      <w:r>
        <w:t xml:space="preserve">    </w:t>
      </w:r>
      <w:r>
        <w:rPr>
          <w:b/>
        </w:rPr>
        <w:t xml:space="preserve">DOI: </w:t>
      </w:r>
      <w:hyperlink r:id="rId711">
        <w:r>
          <w:rPr>
            <w:color w:val="1155CC"/>
            <w:u w:val="single"/>
          </w:rPr>
          <w:t>10.1002/anie.3135255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肽的功能生物材料由于其固有的生物相容性、生物可降解性和结构可调性而引起了广泛的兴趣。在功能性生物材料中，压电材料对于开发生物医学应用中的自供电生物设备特别有价值。然而，基于肽的压电响应系统在很大程度上仍未得到充分探索。在这项研究中，我们提出了一种发色团共轭肽（PEP-A），它可以自组装成表现出压电活性或非活性状态的纳米材料，其功能行为与其在不同溶剂条件下的手性光学性质密切相关。通过涉及光谱学、显微镜和原子模拟的全面研究，我们揭示了自组装过程的共溶剂诱导调节如何共同控制手性光学和压电性质。有趣的是，PEP-A 在纯水中形成细长的纳米纤维，这些纤维在手性光学和压电方面均不活跃。然而，引入最少量的共溶剂（1% DMSO 或 1% DMF）会引发超分子手性的出现以及显着的压电响应，揭示了宏观手性与压电功能之间的直接相关性。我们的研究结果强调了装配环境的微妙变化如何驱动材料特性的深刻变化，为设计响应性压电生物材料提供了强大的策略。这项研究提供了一种设计下一代响应性肽基压电生物器件的新方法</w:t>
      </w:r>
    </w:p>
    <w:p>
      <w:pPr>
        <w:spacing w:before="0" w:after="200" w:lineRule="auto" w:line="276"/>
      </w:pPr>
      <w:r>
        <w:rPr>
          <w:b/>
        </w:rPr>
        <w:t xml:space="preserve">Abstract (EN): </w:t>
      </w:r>
      <w:r>
        <w:t>Peptide‐based functional biomaterials have attracted widespread interest due to their inherent biocompatibility, biodegradability, and structural tunability. Among functional biomaterials, piezoelectric materials are particularly valuable for developing self‐powered biodevices in biomedical applications. However, peptide‐based piezoresponsive systems remain largely underexplored. In this study, we present a chromophore‐conjugated peptide (PEP‐A) that self‐assembles into nanomaterials exhibiting either piezo‐active or inactive states, with the functional behaviour closely linked to their chiroptical properties under different solvent conditions. Through a comprehensive investigation involving spectroscopy, microscopy, and atomistic simulations, we uncover how cosolvent‐induced modulation of the self‐assembly process co‐governs chiroptical and piezoelectric properties. Interestingly, PEP‐A forms elongated nanofibers in pure water that are both chiroptically and piezoelectrically inactive. However, the introduction of a minimal amount of cosolvent (1% DMSO or 1% DMF) triggers the emergence of supramolecular chirality alongside a significant piezoresponse, revealing a direct correlation between macroscopic chirality and piezoelectric functionality. Our findings highlight how subtle changes in the assembly environment can drive profound shifts in material properties, offering a powerful strategy to design responsive piezoelectric biomaterials. This study provides a novel approach to designing next‐generation, responsive, peptide‐based piezoelectric biomaterials for biomedical and bioelectronic applications.</w:t>
      </w:r>
    </w:p>
    <w:p>
      <w:pPr>
        <w:spacing w:before="120" w:after="120"/>
      </w:pPr>
      <w:r>
        <w:rPr>
          <w:sz w:val="18"/>
        </w:rPr>
        <w:t>——————————————————————————————————————————————————————————————————————</w:t>
      </w:r>
    </w:p>
    <w:p>
      <w:pPr>
        <w:spacing w:before="160" w:after="40" w:line="240" w:lineRule="auto"/>
      </w:pPr>
      <w:r>
        <w:rPr>
          <w:b/>
        </w:rPr>
        <w:t xml:space="preserve">[213] </w:t>
      </w:r>
      <w:hyperlink r:id="rId712">
        <w:r>
          <w:rPr>
            <w:color w:val="1155CC"/>
            <w:u w:val="single"/>
          </w:rPr>
          <w:t>通过合成 NAD+ 型辅因子重编程 NAD(P)+ 结合蛋白以实现 Iminium 生物催化</w:t>
        </w:r>
      </w:hyperlink>
    </w:p>
    <w:p>
      <w:pPr>
        <w:spacing w:before="0" w:after="80"/>
      </w:pPr>
      <w:r>
        <w:rPr>
          <w:i/>
          <w:sz w:val="20"/>
        </w:rPr>
        <w:t>EN: Reprogramming NAD(P)+‐Binding Proteins for Iminium Biocatalysis via a Synthetic NAD+‐Type Cofactor</w:t>
      </w:r>
    </w:p>
    <w:p>
      <w:pPr>
        <w:spacing w:before="0" w:after="120"/>
      </w:pPr>
      <w:r>
        <w:rPr>
          <w:b/>
        </w:rPr>
        <w:t xml:space="preserve">Source: </w:t>
      </w:r>
      <w:r>
        <w:t>Wiley: Angewandte Chemie International Edition: Table of Contents</w:t>
      </w:r>
      <w:r>
        <w:t xml:space="preserve">    </w:t>
      </w:r>
      <w:r>
        <w:rPr>
          <w:b/>
        </w:rPr>
        <w:t xml:space="preserve">Pub date: </w:t>
      </w:r>
      <w:r>
        <w:t>2026-06-09 11:35:12+00:00</w:t>
      </w:r>
      <w:r>
        <w:t xml:space="preserve">    </w:t>
      </w:r>
      <w:r>
        <w:rPr>
          <w:b/>
        </w:rPr>
        <w:t xml:space="preserve">DOI: </w:t>
      </w:r>
      <w:hyperlink r:id="rId713">
        <w:r>
          <w:rPr>
            <w:color w:val="1155CC"/>
            <w:u w:val="single"/>
          </w:rPr>
          <w:t>10.1002/anie.2116720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将非天然催化基序有效整合到蛋白质支架中仍然是人工酶设计的核心挑战。在这里，我们报告苯胺腺嘌呤二核苷酸 (AnAD)，一种 NAD</w:t>
      </w:r>
      <w:r>
        <w:t xml:space="preserve"> </w:t>
      </w:r>
      <w:r>
        <w:t>+</w:t>
      </w:r>
      <w:r>
        <w:t xml:space="preserve"> </w:t>
      </w:r>
      <w:r>
        <w:t>‐型合成辅因子，其中天然烟酰胺被催化活性苯胺单元取代。当合并到不同的 NAD(P) 中时</w:t>
      </w:r>
      <w:r>
        <w:t xml:space="preserve"> </w:t>
      </w:r>
      <w:r>
        <w:t>+</w:t>
      </w:r>
      <w:r>
        <w:t xml:space="preserve"> </w:t>
      </w:r>
      <w:r>
        <w:t>结合蛋白，AnAD 引入了亚胺催化机制，可实现串联弗里德尔-克来福特烷基化-对映选择性质子化反应。筛选一组天然蛋白质支架揭示了广泛的内在相容性，而蛋白质工程进一步增强了活性和立体选择性，提供了具有良好底物通用性和可调对映选择性的人工酶。机理研究表明 AnAD 和蛋白质微环境之间的合作，特别是动态活性位点环运动，控制着反应性和对映选择性。这些结果证明了重编程无处不在的 NAD(P) 的普遍性和稳健性</w:t>
      </w:r>
      <w:r>
        <w:t xml:space="preserve"> </w:t>
      </w:r>
      <w:r>
        <w:t>+</w:t>
      </w:r>
      <w:r>
        <w:t xml:space="preserve"> </w:t>
      </w:r>
      <w:r>
        <w:t>‐使用 NAD 进行新的自然生物转化的结合蛋白</w:t>
      </w:r>
      <w:r>
        <w:t xml:space="preserve"> </w:t>
      </w:r>
      <w:r>
        <w:t>+</w:t>
      </w:r>
      <w:r>
        <w:t xml:space="preserve"> </w:t>
      </w:r>
      <w:r>
        <w:t>‐型合成辅因子。</w:t>
      </w:r>
    </w:p>
    <w:p>
      <w:pPr>
        <w:spacing w:before="0" w:after="200" w:lineRule="auto" w:line="276"/>
      </w:pPr>
      <w:r>
        <w:rPr>
          <w:b/>
        </w:rPr>
        <w:t xml:space="preserve">Abstract (EN): </w:t>
      </w:r>
      <w:r>
        <w:t>Efficient integration of non‐natural catalytic motifs into protein scaffolds remains a central challenge in artificial enzyme design. Here we report aniline adenine dinucleotide (AnAD), a NAD</w:t>
      </w:r>
      <w:r>
        <w:t xml:space="preserve"> </w:t>
      </w:r>
      <w:r>
        <w:t>+</w:t>
      </w:r>
      <w:r>
        <w:t xml:space="preserve"> </w:t>
      </w:r>
      <w:r>
        <w:t>‐type synthetic cofactor in which the native nicotinamide is replaced by a catalytically active aniline unit. When incorporated into diverse NAD(P)</w:t>
      </w:r>
      <w:r>
        <w:t xml:space="preserve"> </w:t>
      </w:r>
      <w:r>
        <w:t>+</w:t>
      </w:r>
      <w:r>
        <w:t xml:space="preserve"> </w:t>
      </w:r>
      <w:r>
        <w:t>‐binding proteins, AnAD introduces an iminium catalysis mechanism that enables tandem Friedel‐Crafts alkylation‐enantioselective protonation reactions. Screening a panel of natural protein scaffolds revealed broad intrinsic compatibility, while protein engineering further enhanced activity and stereoselectivity, affording artificial enzymes with good substrate generality and tunable enantioselectivity. Mechanistic studies showed that cooperation between AnAD and protein microenvironments, particularly dynamic active‐site loop motions, governs both reactivity and enantioselectivity. These results demonstrate the generality and robustness of reprogramming ubiquitous NAD(P)</w:t>
      </w:r>
      <w:r>
        <w:t xml:space="preserve"> </w:t>
      </w:r>
      <w:r>
        <w:t>+</w:t>
      </w:r>
      <w:r>
        <w:t xml:space="preserve"> </w:t>
      </w:r>
      <w:r>
        <w:t>‐binding proteins for new‐to‐nature biotransformations using NAD</w:t>
      </w:r>
      <w:r>
        <w:t xml:space="preserve"> </w:t>
      </w:r>
      <w:r>
        <w:t>+</w:t>
      </w:r>
      <w:r>
        <w:t xml:space="preserve"> </w:t>
      </w:r>
      <w:r>
        <w:t>‐type synthetic cofactors.</w:t>
      </w:r>
    </w:p>
    <w:p>
      <w:pPr>
        <w:spacing w:before="120" w:after="120"/>
      </w:pPr>
      <w:r>
        <w:rPr>
          <w:sz w:val="18"/>
        </w:rPr>
        <w:t>——————————————————————————————————————————————————————————————————————</w:t>
      </w:r>
    </w:p>
    <w:p>
      <w:pPr>
        <w:spacing w:before="160" w:after="40" w:line="240" w:lineRule="auto"/>
      </w:pPr>
      <w:r>
        <w:rPr>
          <w:b/>
        </w:rPr>
        <w:t xml:space="preserve">[214] </w:t>
      </w:r>
      <w:hyperlink r:id="rId714">
        <w:r>
          <w:rPr>
            <w:color w:val="1155CC"/>
            <w:u w:val="single"/>
          </w:rPr>
          <w:t>化合价控制的多光致变色：硅的门控开关和光开关路易斯超酸性</w:t>
        </w:r>
      </w:hyperlink>
    </w:p>
    <w:p>
      <w:pPr>
        <w:spacing w:before="0" w:after="80"/>
      </w:pPr>
      <w:r>
        <w:rPr>
          <w:i/>
          <w:sz w:val="20"/>
        </w:rPr>
        <w:t>EN: Valency‐Controlled Multiphotochromism: Gated Switching and Photoswitchable Lewis Superacidity at Silicon</w:t>
      </w:r>
    </w:p>
    <w:p>
      <w:pPr>
        <w:spacing w:before="0" w:after="120"/>
      </w:pPr>
      <w:r>
        <w:rPr>
          <w:b/>
        </w:rPr>
        <w:t xml:space="preserve">Source: </w:t>
      </w:r>
      <w:r>
        <w:t>Wiley: Angewandte Chemie International Edition: Table of Contents</w:t>
      </w:r>
      <w:r>
        <w:t xml:space="preserve">    </w:t>
      </w:r>
      <w:r>
        <w:rPr>
          <w:b/>
        </w:rPr>
        <w:t xml:space="preserve">Pub date: </w:t>
      </w:r>
      <w:r>
        <w:t>2026-06-09 11:39:10+00:00</w:t>
      </w:r>
      <w:r>
        <w:t xml:space="preserve">    </w:t>
      </w:r>
      <w:r>
        <w:rPr>
          <w:b/>
        </w:rPr>
        <w:t xml:space="preserve">DOI: </w:t>
      </w:r>
      <w:hyperlink r:id="rId715">
        <w:r>
          <w:rPr>
            <w:color w:val="1155CC"/>
            <w:u w:val="single"/>
          </w:rPr>
          <w:t>10.1002/anie.2997357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光致变色系统有望实现多态分子信息存储，但控制其开关状态分布和发色团间通信的策略仍然很少。在这里，我们证明硅价可以作为分子控制元素来控制多光致变色现象。两种硅基二芳基乙烯路易斯酸经历逐步双重环化，四配位态和五配位态之间的相互转化调节配体之间的电子耦合。供体配位可以实现选择性单环化、波长门控激活或完全抑制光反应性，具体取决于结合的碱基。在无供体状态下，逐步环化逐渐增强路易斯酸性，并在光可切换路易斯超酸性的第一个例子中达到顶峰。此外，动态Si─N/Si─O键复分解提供了超越统计光化学极限的开关态分布的热力学途径。这些发现将化合价控制确立为多光致变色结构的设计原则。</w:t>
      </w:r>
    </w:p>
    <w:p>
      <w:pPr>
        <w:spacing w:before="0" w:after="200" w:lineRule="auto" w:line="276"/>
      </w:pPr>
      <w:r>
        <w:rPr>
          <w:b/>
        </w:rPr>
        <w:t xml:space="preserve">Abstract (EN): </w:t>
      </w:r>
      <w:r>
        <w:t>Multiphotochromic systems promise multistate molecular information storage, yet strategies to control their switching‐state distributions and interchromophore communication remain scarce. Here, we demonstrate that silicon valency can serve as a molecular control element to gate multiphotochromism. Two silicon‐based diarylethene Lewis acids undergo stepwise twofold cyclization, with interconversion between tetra‐ and pentacoordinate states modulating electronic coupling between ligands. Donor coordination enables selective monocyclization, wavelength‐gated activation, or complete suppression of photoreactivity, depending on the bound base. In the donor‐free state, stepwise cyclization progressively enhances Lewis acidity and culminates in the first example of photoswitchable Lewis superacidity. In addition, dynamic Si─N/Si─O bond metathesis provides thermodynamic access to switching‐state distributions beyond statistical photochemical limits. These findings establish valency control as a design principle for multiphotochromic architectures.</w:t>
      </w:r>
    </w:p>
    <w:p>
      <w:pPr>
        <w:spacing w:before="120" w:after="120"/>
      </w:pPr>
      <w:r>
        <w:rPr>
          <w:sz w:val="18"/>
        </w:rPr>
        <w:t>——————————————————————————————————————————————————————————————————————</w:t>
      </w:r>
    </w:p>
    <w:p>
      <w:pPr>
        <w:spacing w:before="160" w:after="40" w:line="240" w:lineRule="auto"/>
      </w:pPr>
      <w:r>
        <w:rPr>
          <w:b/>
        </w:rPr>
        <w:t xml:space="preserve">[215] </w:t>
      </w:r>
      <w:hyperlink r:id="rId716">
        <w:r>
          <w:rPr>
            <w:color w:val="1155CC"/>
            <w:u w:val="single"/>
          </w:rPr>
          <w:t>用于 SuFEx 反应的多功能六氟化硫：N-CF2H 磺胺酰氟</w:t>
        </w:r>
      </w:hyperlink>
    </w:p>
    <w:p>
      <w:pPr>
        <w:spacing w:before="0" w:after="80"/>
      </w:pPr>
      <w:r>
        <w:rPr>
          <w:i/>
          <w:sz w:val="20"/>
        </w:rPr>
        <w:t>EN: A Multifunctional Sulfur(VI) Fluoride for SuFEx Reactions: N‐CF2H Sulfamoyl Fluorides</w:t>
      </w:r>
    </w:p>
    <w:p>
      <w:pPr>
        <w:spacing w:before="0" w:after="120"/>
      </w:pPr>
      <w:r>
        <w:rPr>
          <w:b/>
        </w:rPr>
        <w:t xml:space="preserve">Source: </w:t>
      </w:r>
      <w:r>
        <w:t>Wiley: Angewandte Chemie International Edition: Table of Contents</w:t>
      </w:r>
      <w:r>
        <w:t xml:space="preserve">    </w:t>
      </w:r>
      <w:r>
        <w:rPr>
          <w:b/>
        </w:rPr>
        <w:t xml:space="preserve">Pub date: </w:t>
      </w:r>
      <w:r>
        <w:t>2026-06-09 11:39:55+00:00</w:t>
      </w:r>
      <w:r>
        <w:t xml:space="preserve">    </w:t>
      </w:r>
      <w:r>
        <w:rPr>
          <w:b/>
        </w:rPr>
        <w:t xml:space="preserve">DOI: </w:t>
      </w:r>
      <w:hyperlink r:id="rId717">
        <w:r>
          <w:rPr>
            <w:color w:val="1155CC"/>
            <w:u w:val="single"/>
          </w:rPr>
          <w:t>10.1002/anie.7689781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基于氟化硫交换（SuFEx）化学的六氟化硫在药物化学领域展示了其独特的多功能性和高效性。作为共价键和氢键供体，新型</w:t>
      </w:r>
      <w:r>
        <w:t xml:space="preserve"> </w:t>
      </w:r>
      <w:r>
        <w:t>氮</w:t>
      </w:r>
      <w:r>
        <w:t xml:space="preserve"> </w:t>
      </w:r>
      <w:r>
        <w:t>‐CF</w:t>
      </w:r>
      <w:r>
        <w:rPr>
          <w:vertAlign w:val="subscript"/>
        </w:rPr>
        <w:t>2</w:t>
      </w:r>
      <w:r>
        <w:t>H氨磺酰氟将增强药物与生物体受体的结合强度，从而为靶向药物的研究注入新的活力。</w:t>
      </w:r>
      <w:r>
        <w:t xml:space="preserve"> </w:t>
      </w:r>
      <w:r>
        <w:t>在此，我们报道了两步合成</w:t>
      </w:r>
      <w:r>
        <w:t xml:space="preserve"> </w:t>
      </w:r>
      <w:r>
        <w:t>氮</w:t>
      </w:r>
      <w:r>
        <w:t xml:space="preserve"> </w:t>
      </w:r>
      <w:r>
        <w:t>‐CF</w:t>
      </w:r>
      <w:r>
        <w:rPr>
          <w:vertAlign w:val="subscript"/>
        </w:rPr>
        <w:t>2</w:t>
      </w:r>
      <w:r>
        <w:t>通过连续的氟磺酰化和二氟卡宾的插入，由伯胺生成 H 氨磺酰氟。该方法显示了广泛的范围，为快速生成提供了一个平台</w:t>
      </w:r>
      <w:r>
        <w:t xml:space="preserve"> </w:t>
      </w:r>
      <w:r>
        <w:t>氮</w:t>
      </w:r>
      <w:r>
        <w:t xml:space="preserve"> </w:t>
      </w:r>
      <w:r>
        <w:t>‐CF</w:t>
      </w:r>
      <w:r>
        <w:rPr>
          <w:vertAlign w:val="subscript"/>
        </w:rPr>
        <w:t>2</w:t>
      </w:r>
      <w:r>
        <w:t>H氨磺酰氟凭借胺的多样性和可用性。稳定性</w:t>
      </w:r>
      <w:r>
        <w:t xml:space="preserve"> </w:t>
      </w:r>
      <w:r>
        <w:t>氮</w:t>
      </w:r>
      <w:r>
        <w:t xml:space="preserve"> </w:t>
      </w:r>
      <w:r>
        <w:t>‐CF</w:t>
      </w:r>
      <w:r>
        <w:rPr>
          <w:vertAlign w:val="subscript"/>
        </w:rPr>
        <w:t>2</w:t>
      </w:r>
      <w:r>
        <w:t>H 氨磺酰氟在不同 pH 值的水环境中进行了测试，结果表明大多数化合物在 72 小时内仍保持 &gt;95% 完整。</w:t>
      </w:r>
      <w:r>
        <w:t xml:space="preserve"> </w:t>
      </w:r>
      <w:r>
        <w:t>作为新颖的 SuFEx 构建块，</w:t>
      </w:r>
      <w:r>
        <w:t xml:space="preserve"> </w:t>
      </w:r>
      <w:r>
        <w:t>氮</w:t>
      </w:r>
      <w:r>
        <w:t xml:space="preserve"> </w:t>
      </w:r>
      <w:r>
        <w:t>‐CF</w:t>
      </w:r>
      <w:r>
        <w:rPr>
          <w:vertAlign w:val="subscript"/>
        </w:rPr>
        <w:t>2</w:t>
      </w:r>
      <w:r>
        <w:t>H 氨磺酰氟对苯酚表现出化学选择性，并且不与胺和醇发生反应。乙</w:t>
      </w:r>
    </w:p>
    <w:p>
      <w:pPr>
        <w:spacing w:before="0" w:after="200" w:lineRule="auto" w:line="276"/>
      </w:pPr>
      <w:r>
        <w:rPr>
          <w:b/>
        </w:rPr>
        <w:t xml:space="preserve">Abstract (EN): </w:t>
      </w:r>
      <w:r>
        <w:t>Sulfur(VI) fluorides based on sulfur(VI) fluoride exchange (SuFEx) chemistry have demonstrated their unique versatility and high efficiency in the field of medicinal chemistry. Acting as both covalent and hydrogen bond donors, the novel</w:t>
      </w:r>
      <w:r>
        <w:t xml:space="preserve"> </w:t>
      </w:r>
      <w:r>
        <w:t>N</w:t>
      </w:r>
      <w:r>
        <w:t xml:space="preserve"> </w:t>
      </w:r>
      <w:r>
        <w:t>‐CF</w:t>
      </w:r>
      <w:r>
        <w:rPr>
          <w:vertAlign w:val="subscript"/>
        </w:rPr>
        <w:t>2</w:t>
      </w:r>
      <w:r>
        <w:t>H sulfamoyl fluoride will enhance the binding strength between drugs and receptors in organism, thereby injecting new vitality into the research of targeted drugs.</w:t>
      </w:r>
      <w:r>
        <w:t xml:space="preserve"> </w:t>
      </w:r>
      <w:r>
        <w:t>Herein, we report the two‐step synthesis of</w:t>
      </w:r>
      <w:r>
        <w:t xml:space="preserve"> </w:t>
      </w:r>
      <w:r>
        <w:t>N</w:t>
      </w:r>
      <w:r>
        <w:t xml:space="preserve"> </w:t>
      </w:r>
      <w:r>
        <w:t>‐CF</w:t>
      </w:r>
      <w:r>
        <w:rPr>
          <w:vertAlign w:val="subscript"/>
        </w:rPr>
        <w:t>2</w:t>
      </w:r>
      <w:r>
        <w:t>H sulfamoyl fluorides from primary amines via successive fluorosulfonylation and insertion of difluorocarbene. This method shows broad scope, provides a platform for rapidly generating</w:t>
      </w:r>
      <w:r>
        <w:t xml:space="preserve"> </w:t>
      </w:r>
      <w:r>
        <w:t>N</w:t>
      </w:r>
      <w:r>
        <w:t xml:space="preserve"> </w:t>
      </w:r>
      <w:r>
        <w:t>‐CF</w:t>
      </w:r>
      <w:r>
        <w:rPr>
          <w:vertAlign w:val="subscript"/>
        </w:rPr>
        <w:t>2</w:t>
      </w:r>
      <w:r>
        <w:t>H sulfamoyl fluorides by virtue of the diversity and availability of amines. The stability of</w:t>
      </w:r>
      <w:r>
        <w:t xml:space="preserve"> </w:t>
      </w:r>
      <w:r>
        <w:t>N</w:t>
      </w:r>
      <w:r>
        <w:t xml:space="preserve"> </w:t>
      </w:r>
      <w:r>
        <w:t>‐CF</w:t>
      </w:r>
      <w:r>
        <w:rPr>
          <w:vertAlign w:val="subscript"/>
        </w:rPr>
        <w:t>2</w:t>
      </w:r>
      <w:r>
        <w:t>H sulfamoyl fluorides was tested in aqueous environment at different pH, showing that most compounds remained &amp;gt;95% intact for 72 h.</w:t>
      </w:r>
      <w:r>
        <w:t xml:space="preserve"> </w:t>
      </w:r>
      <w:r>
        <w:t>As a novel SuFEx building block,</w:t>
      </w:r>
      <w:r>
        <w:t xml:space="preserve"> </w:t>
      </w:r>
      <w:r>
        <w:t>N</w:t>
      </w:r>
      <w:r>
        <w:t xml:space="preserve"> </w:t>
      </w:r>
      <w:r>
        <w:t>‐CF</w:t>
      </w:r>
      <w:r>
        <w:rPr>
          <w:vertAlign w:val="subscript"/>
        </w:rPr>
        <w:t>2</w:t>
      </w:r>
      <w:r>
        <w:t>H sulfamoyl fluoride shows chemoselectivity toward phenol and does not react with amines and alcohols. Besides,</w:t>
      </w:r>
      <w:r>
        <w:t xml:space="preserve"> </w:t>
      </w:r>
      <w:r>
        <w:t>N</w:t>
      </w:r>
      <w:r>
        <w:t xml:space="preserve"> </w:t>
      </w:r>
      <w:r>
        <w:t>‐CF</w:t>
      </w:r>
      <w:r>
        <w:rPr>
          <w:vertAlign w:val="subscript"/>
        </w:rPr>
        <w:t>2</w:t>
      </w:r>
      <w:r>
        <w:t>H sulfamoyl fluorides were subjected to debenzylation and amide‐bond‐formation reactions to generate peptides, Sitagliptin derivative and bioactive alkylamine. Finally,</w:t>
      </w:r>
      <w:r>
        <w:t xml:space="preserve"> </w:t>
      </w:r>
      <w:r>
        <w:t>N</w:t>
      </w:r>
      <w:r>
        <w:t xml:space="preserve"> </w:t>
      </w:r>
      <w:r>
        <w:t>‐CF</w:t>
      </w:r>
      <w:r>
        <w:rPr>
          <w:vertAlign w:val="subscript"/>
        </w:rPr>
        <w:t>2</w:t>
      </w:r>
      <w:r>
        <w:t>H sulfamoyl fluoride underwent successful F‐18 labeling. With the reported syntheses, we believe that</w:t>
      </w:r>
      <w:r>
        <w:t xml:space="preserve"> </w:t>
      </w:r>
      <w:r>
        <w:t>N</w:t>
      </w:r>
      <w:r>
        <w:t xml:space="preserve"> </w:t>
      </w:r>
      <w:r>
        <w:t>‐CF</w:t>
      </w:r>
      <w:r>
        <w:rPr>
          <w:vertAlign w:val="subscript"/>
        </w:rPr>
        <w:t>2</w:t>
      </w:r>
      <w:r>
        <w:t>H sulfamoyl fluoride will soon be practically applied in drugs, covalent targeted radioligand, F‐18 PET tracers, electrolyte in general.</w:t>
      </w:r>
    </w:p>
    <w:p>
      <w:pPr>
        <w:spacing w:before="120" w:after="120"/>
      </w:pPr>
      <w:r>
        <w:rPr>
          <w:sz w:val="18"/>
        </w:rPr>
        <w:t>——————————————————————————————————————————————————————————————————————</w:t>
      </w:r>
    </w:p>
    <w:p>
      <w:pPr>
        <w:spacing w:before="160" w:after="40" w:line="240" w:lineRule="auto"/>
      </w:pPr>
      <w:r>
        <w:rPr>
          <w:b/>
        </w:rPr>
        <w:t xml:space="preserve">[216] </w:t>
      </w:r>
      <w:hyperlink r:id="rId718">
        <w:r>
          <w:rPr>
            <w:color w:val="1155CC"/>
            <w:u w:val="single"/>
          </w:rPr>
          <w:t>通过 CuH 催化对映选择性合成一类新型稳定且功能化的环戊二烯</w:t>
        </w:r>
      </w:hyperlink>
    </w:p>
    <w:p>
      <w:pPr>
        <w:spacing w:before="0" w:after="80"/>
      </w:pPr>
      <w:r>
        <w:rPr>
          <w:i/>
          <w:sz w:val="20"/>
        </w:rPr>
        <w:t>EN: Enantioselective Synthesis of a New Class of Stable and Functionalized Cyclopentadienes via CuH‐Catalysis</w:t>
      </w:r>
    </w:p>
    <w:p>
      <w:pPr>
        <w:spacing w:before="0" w:after="120"/>
      </w:pPr>
      <w:r>
        <w:rPr>
          <w:b/>
        </w:rPr>
        <w:t xml:space="preserve">Source: </w:t>
      </w:r>
      <w:r>
        <w:t>Wiley: Angewandte Chemie International Edition: Table of Contents</w:t>
      </w:r>
      <w:r>
        <w:t xml:space="preserve">    </w:t>
      </w:r>
      <w:r>
        <w:rPr>
          <w:b/>
        </w:rPr>
        <w:t xml:space="preserve">Pub date: </w:t>
      </w:r>
      <w:r>
        <w:t>2026-06-09 11:44:17+00:00</w:t>
      </w:r>
      <w:r>
        <w:t xml:space="preserve">    </w:t>
      </w:r>
      <w:r>
        <w:rPr>
          <w:b/>
        </w:rPr>
        <w:t xml:space="preserve">DOI: </w:t>
      </w:r>
      <w:hyperlink r:id="rId719">
        <w:r>
          <w:rPr>
            <w:color w:val="1155CC"/>
            <w:u w:val="single"/>
          </w:rPr>
          <w:t>10.1002/anie.6630116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环戊二烯 (CpH) 是化学的基本组成部分，但其固有的酸性和快速 [1,5]-氢位移的倾向长期以来限制了结构和构型稳定的手性变体的获得。克服这种内在的流动性仍然是一个主要的合成挑战，限制了 CpH 在不对称合成中的潜力。在这里，我们提出了一种 CuH 催化转化，可将简单的前体转化为高度功能化和对映体富集的 CpH，产率高且具有优异的对映选择性。计算揭示了所观察到的选择性的起源，并显示了涉及铜催化中腈活化的罕见例子的反应机制。所公开的新型 CpH 出人意料地稳定，这归因于共轭推挽电子效应，该效应描绘了用于驯服 CpH 内在不稳定性的新通用设计原理。</w:t>
      </w:r>
    </w:p>
    <w:p>
      <w:pPr>
        <w:spacing w:before="0" w:after="200" w:lineRule="auto" w:line="276"/>
      </w:pPr>
      <w:r>
        <w:rPr>
          <w:b/>
        </w:rPr>
        <w:t xml:space="preserve">Abstract (EN): </w:t>
      </w:r>
      <w:r>
        <w:t>Cyclopentadienes (CpHs) are fundamental building blocks across chemistry, yet their inherent acidity and tendency to undergo rapid [1,5]‐hydrogen shifts have long limited access to structurally and configurationally stable chiral variants. Overcoming this intrinsic fluxionality remains a major synthetic challenge that limits the potential of CpHs in asymmetric synthesis. Here we present a CuH‐catalyzed transformation that converts simple precursors into highly functionalized and enantioenriched CpHs in high yield and with exceptional enantioselectivity. Computations uncover the origins of the observed selectivity and show the reaction mechanism to involve a rare example of nitrile activation in Cu‐catalysis. The disclosed new class of CpHs is unexpectedly stable, which was found to be attributed to a conjugated push–pull electronic effect that delineates a new general design principle for taming the intrinsic instability of CpHs.</w:t>
      </w:r>
    </w:p>
    <w:p>
      <w:pPr>
        <w:spacing w:before="120" w:after="120"/>
      </w:pPr>
      <w:r>
        <w:rPr>
          <w:sz w:val="18"/>
        </w:rPr>
        <w:t>——————————————————————————————————————————————————————————————————————</w:t>
      </w:r>
    </w:p>
    <w:p>
      <w:pPr>
        <w:spacing w:before="160" w:after="40" w:line="240" w:lineRule="auto"/>
      </w:pPr>
      <w:r>
        <w:rPr>
          <w:b/>
        </w:rPr>
        <w:t xml:space="preserve">[217] </w:t>
      </w:r>
      <w:hyperlink r:id="rId720">
        <w:r>
          <w:rPr>
            <w:color w:val="1155CC"/>
            <w:u w:val="single"/>
          </w:rPr>
          <w:t>激活自组装多层 π 电子共轭网络，实现 21.1% 效率的有机太阳能电池</w:t>
        </w:r>
      </w:hyperlink>
    </w:p>
    <w:p>
      <w:pPr>
        <w:spacing w:before="0" w:after="80"/>
      </w:pPr>
      <w:r>
        <w:rPr>
          <w:i/>
          <w:sz w:val="20"/>
        </w:rPr>
        <w:t>EN: Activating π‐Electron Conjugated Networks of Self‐Assembled Multilayers for 21.1% Efficiency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2026-06-09 11:48:09+00:00</w:t>
      </w:r>
      <w:r>
        <w:t xml:space="preserve">    </w:t>
      </w:r>
      <w:r>
        <w:rPr>
          <w:b/>
        </w:rPr>
        <w:t xml:space="preserve">DOI: </w:t>
      </w:r>
      <w:hyperlink r:id="rId721">
        <w:r>
          <w:rPr>
            <w:color w:val="1155CC"/>
            <w:u w:val="single"/>
          </w:rPr>
          <w:t>10.1002/anie.4154577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自组装单分子层由于其超薄性质和无序分子取向而导致导电性不足。在这里，我们报道了 3,6-二苯并噻吩-9 的 π 骨架单元</w:t>
      </w:r>
      <w:r>
        <w:t xml:space="preserve"> </w:t>
      </w:r>
      <w:r>
        <w:t>H</w:t>
      </w:r>
      <w:r>
        <w:t xml:space="preserve"> </w:t>
      </w:r>
      <w:r>
        <w:t>‐咔唑构建自组装多层膜（SAMUL），该多层膜具有优异的载流子传输能力和对外部刺激的出色抵抗力。 π扩展骨架有效增强了分子结晶度和面取向，成功激活了SAMUL内的大型π电子共轭网络。这种共轭网络结构极大地拓宽了自由基的离域区域，不仅显着增强了电导率和空穴传输能力，而且增强了光化学稳定性。因此，二元有机太阳能电池实现了 21.13% 的创纪录高效率（认证为 20.77%），填充因子高达 83.48%。这项工作为有机电子学中的分子骨架设计提供了新的灵感。</w:t>
      </w:r>
    </w:p>
    <w:p>
      <w:pPr>
        <w:spacing w:before="0" w:after="200" w:lineRule="auto" w:line="276"/>
      </w:pPr>
      <w:r>
        <w:rPr>
          <w:b/>
        </w:rPr>
        <w:t xml:space="preserve">Abstract (EN): </w:t>
      </w:r>
      <w:r>
        <w:t>Self‐assembled monolayers suffer from the insufficient electrical conductivity, stemming from their ultrathin nature and disordered molecular orientation. Here we report a π‐skeleton unit of 3,6‐dibenzothiophen‐9</w:t>
      </w:r>
      <w:r>
        <w:t xml:space="preserve"> </w:t>
      </w:r>
      <w:r>
        <w:t>H</w:t>
      </w:r>
      <w:r>
        <w:t xml:space="preserve"> </w:t>
      </w:r>
      <w:r>
        <w:t>‐carbazol to building a self‐assembled multilayer (SAMUL) that exhibits superior carrier transport and outstanding resistance to external stimuli. The π‐expanded skeleton effectively enhanced the molecular crystallinity and face‐on orientation, which successfully activated a large π‐electron conjugated network within SAMULs. This conjugated network structure greatly broadens the delocalization region of free radicals, which not only significantly enhances the electrical conductance and hole‐transporting capability, but also reinforces the photochemical stability. Consequently, a record‐high efficiency of 21.13% (certified as 20.77%) with a notable fill factor of 83.48% was achieved for binary organic solar cells. This work provides a new inspiration for the molecular skeleton design in organic electronics.</w:t>
      </w:r>
    </w:p>
    <w:p>
      <w:pPr>
        <w:spacing w:before="120" w:after="120"/>
      </w:pPr>
      <w:r>
        <w:rPr>
          <w:sz w:val="18"/>
        </w:rPr>
        <w:t>——————————————————————————————————————————————————————————————————————</w:t>
      </w:r>
    </w:p>
    <w:p>
      <w:pPr>
        <w:spacing w:before="160" w:after="40" w:line="240" w:lineRule="auto"/>
      </w:pPr>
      <w:r>
        <w:rPr>
          <w:b/>
        </w:rPr>
        <w:t xml:space="preserve">[218] </w:t>
      </w:r>
      <w:hyperlink r:id="rId722">
        <w:r>
          <w:rPr>
            <w:color w:val="1155CC"/>
            <w:u w:val="single"/>
          </w:rPr>
          <w:t>分子 N 型掺杂解锁微腔集成 OLED 中的低阈值纳秒激光，实现电泵浦有机激光器</w:t>
        </w:r>
      </w:hyperlink>
    </w:p>
    <w:p>
      <w:pPr>
        <w:spacing w:before="0" w:after="80"/>
      </w:pPr>
      <w:r>
        <w:rPr>
          <w:i/>
          <w:sz w:val="20"/>
        </w:rPr>
        <w:t>EN: Molecular N‐Type Doping Unlocks Low‐Threshold Nanosecond Lasing in a Microcavity‐Integrated OLED Toward Electrically Pumped Organic Lasers</w:t>
      </w:r>
    </w:p>
    <w:p>
      <w:pPr>
        <w:spacing w:before="0" w:after="120"/>
      </w:pPr>
      <w:r>
        <w:rPr>
          <w:b/>
        </w:rPr>
        <w:t xml:space="preserve">Source: </w:t>
      </w:r>
      <w:r>
        <w:t>Wiley: Angewandte Chemie International Edition: Table of Contents</w:t>
      </w:r>
      <w:r>
        <w:t xml:space="preserve">    </w:t>
      </w:r>
      <w:r>
        <w:rPr>
          <w:b/>
        </w:rPr>
        <w:t xml:space="preserve">Pub date: </w:t>
      </w:r>
      <w:r>
        <w:t>2026-06-09 11:54:41+00:00</w:t>
      </w:r>
      <w:r>
        <w:t xml:space="preserve">    </w:t>
      </w:r>
      <w:r>
        <w:rPr>
          <w:b/>
        </w:rPr>
        <w:t xml:space="preserve">DOI: </w:t>
      </w:r>
      <w:hyperlink r:id="rId723">
        <w:r>
          <w:rPr>
            <w:color w:val="1155CC"/>
            <w:u w:val="single"/>
          </w:rPr>
          <w:t>10.1002/anie.5388345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半导体对于开发灵活的波长可调谐激光器具有吸引力。然而，大多数报道的有机微/纳米激光器依赖于飞秒脉冲光泵浦，这对于实际应用来说是不切实际的。这种限制促使人们追求电泵浦有机激光器。然而，它们的实现仍然是一个长期存在的挑战，主要是由于基本材料的困境，其中高增益有机半导体经常遭受不良、不平衡的电荷传输。在这里，我们证明这种内在的权衡可以通过分子掺杂策略得到有效缓解。我们采用高增益螺芴衍生物作为发射层，引入n型掺杂层来构建有机发光二极管（OLED），实现更平衡的电荷传输，同时保持出色的光学增益。因此，单线态极化子湮灭被显着抑制，效率滚降降低和电泵瞬态吸收测量证明了这一点。当与分布式反馈（DFB）谐振器集成时，所得器件在脉冲电流注入下表现出超窄（∼2 nm）电致发光，并在光电共泵浦配置下提供低阈值纳秒激光，从而展示了实现有机激光二极管的实用架构。我们的工作提供了克服高增益有机半导体难以维持平衡电荷传输的内在悖论的总体策略，阐明了</w:t>
      </w:r>
    </w:p>
    <w:p>
      <w:pPr>
        <w:spacing w:before="0" w:after="200" w:lineRule="auto" w:line="276"/>
      </w:pPr>
      <w:r>
        <w:rPr>
          <w:b/>
        </w:rPr>
        <w:t xml:space="preserve">Abstract (EN): </w:t>
      </w:r>
      <w:r>
        <w:t>Organic semiconductors are attractive for the development of flexible, wavelength‐tunable lasers. However, most reported organic micro/nanolasers rely on femtosecond‐pulsed optical pumping, which is impractical for real‐world applications. This limitation has urged the pursuit of electrically pumped organic lasers; yet their realization remains a long‐standing challenge primarily due to a fundamental materials dilemma, in which high‐gain organic semiconductors often suffer from poor, unbalanced charge transport. Here, we demonstrate that this intrinsic trade‐off can be effectively alleviated through a molecular doping strategy. Employing a high‐gain spirofluorene derivative as the emissive layer, we introduce an n‐type doped layer to construct an organic light‐emitting diode (OLED), achieving more balanced charge transport while preserving outstanding optical gain. Consequently, singlet‐polaron annihilation is significantly suppressed, as evidenced by reduced efficiency roll‐off and electrically pumped transient absorption measurements. When integrated with a distributed feedback (DFB) resonator, the resulting device exhibits ultra‐narrow (∼2 nm) electroluminescence under pulsed current injections and delivers low‐threshold nanosecond lasing under an optical–electrical co‐pumping configuration, thereby demonstrating a practical architecture for implementing organic laser diodes. Our work provides a general strategy to overcome the intrinsic paradox where high‐gain organic semiconductors struggle to maintain balanced charge transport, illuminating a pathway toward light amplification under electrical excitation.</w:t>
      </w:r>
    </w:p>
    <w:p>
      <w:pPr>
        <w:spacing w:before="120" w:after="120"/>
      </w:pPr>
      <w:r>
        <w:rPr>
          <w:sz w:val="18"/>
        </w:rPr>
        <w:t>——————————————————————————————————————————————————————————————————————</w:t>
      </w:r>
    </w:p>
    <w:p>
      <w:pPr>
        <w:spacing w:before="160" w:after="40" w:line="240" w:lineRule="auto"/>
      </w:pPr>
      <w:r>
        <w:rPr>
          <w:b/>
        </w:rPr>
        <w:t xml:space="preserve">[219] </w:t>
      </w:r>
      <w:hyperlink r:id="rId724">
        <w:r>
          <w:rPr>
            <w:color w:val="1155CC"/>
            <w:u w:val="single"/>
          </w:rPr>
          <w:t>带有不同配体的双核钴催化剂实现炔烃的区域发散性氢甲酰化</w:t>
        </w:r>
      </w:hyperlink>
    </w:p>
    <w:p>
      <w:pPr>
        <w:spacing w:before="0" w:after="80"/>
      </w:pPr>
      <w:r>
        <w:rPr>
          <w:i/>
          <w:sz w:val="20"/>
        </w:rPr>
        <w:t>EN: Regiodivergent Hydrogermylation of Alkynes Enabled by Dinuclear Cobalt Catalysts Bearing Different Ligands</w:t>
      </w:r>
    </w:p>
    <w:p>
      <w:pPr>
        <w:spacing w:before="0" w:after="120"/>
      </w:pPr>
      <w:r>
        <w:rPr>
          <w:b/>
        </w:rPr>
        <w:t xml:space="preserve">Source: </w:t>
      </w:r>
      <w:r>
        <w:t>Wiley: Angewandte Chemie International Edition: Table of Contents</w:t>
      </w:r>
      <w:r>
        <w:t xml:space="preserve">    </w:t>
      </w:r>
      <w:r>
        <w:rPr>
          <w:b/>
        </w:rPr>
        <w:t xml:space="preserve">Pub date: </w:t>
      </w:r>
      <w:r>
        <w:t>2026-06-09 12:06:48+00:00</w:t>
      </w:r>
      <w:r>
        <w:t xml:space="preserve">    </w:t>
      </w:r>
      <w:r>
        <w:rPr>
          <w:b/>
        </w:rPr>
        <w:t xml:space="preserve">DOI: </w:t>
      </w:r>
      <w:hyperlink r:id="rId725">
        <w:r>
          <w:rPr>
            <w:color w:val="1155CC"/>
            <w:u w:val="single"/>
          </w:rPr>
          <w:t>10.1002/anie.6685709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过渡金属催化的炔烃加氢甲酰化代表了一种理想的原子经济方法来制备乙烯基锗烷，乙烯基锗烷是药物化学、材料科学和有机合成中有价值的试剂。尽管如此，它的发展——特别是利用地球丰富的 3d 金属催化剂实现高区域选择性——仍然是一个艰巨的挑战。在此，我们报道了使用结构明确的二钴羰基络合物作为催化剂的炔烃的区域发散性氢甲酰化反应：使用[(IPent)Co的反应</w:t>
      </w:r>
      <w:r>
        <w:rPr>
          <w:vertAlign w:val="subscript"/>
        </w:rPr>
        <w:t>2</w:t>
      </w:r>
      <w:r>
        <w:t>（一氧化碳）</w:t>
      </w:r>
      <w:r>
        <w:rPr>
          <w:vertAlign w:val="subscript"/>
        </w:rPr>
        <w:t>7</w:t>
      </w:r>
      <w:r>
        <w:t>] (IPent = 1,3-二(2,6-二(戊-3-基)苯基)咪唑-2-亚基)选择性地提供</w:t>
      </w:r>
      <w:r>
        <w:t xml:space="preserve"> </w:t>
      </w:r>
      <w:r>
        <w:t>α</w:t>
      </w:r>
      <w:r>
        <w:t xml:space="preserve"> </w:t>
      </w:r>
      <w:r>
        <w:t>‐乙烯基锗烷，而 [(Xantphos)Co</w:t>
      </w:r>
      <w:r>
        <w:rPr>
          <w:vertAlign w:val="subscript"/>
        </w:rPr>
        <w:t>2</w:t>
      </w:r>
      <w:r>
        <w:t>（一氧化碳）</w:t>
      </w:r>
      <w:r>
        <w:rPr>
          <w:vertAlign w:val="subscript"/>
        </w:rPr>
        <w:t>6</w:t>
      </w:r>
      <w:r>
        <w:t>] (Xantphos = (9,9-二甲基-9</w:t>
      </w:r>
      <w:r>
        <w:t xml:space="preserve"> </w:t>
      </w:r>
      <w:r>
        <w:t>H</w:t>
      </w:r>
      <w:r>
        <w:t xml:space="preserve"> </w:t>
      </w:r>
      <w:r>
        <w:t>‐呫吨-4,5-二基）双（二苯基膦）选择性地产生</w:t>
      </w:r>
      <w:r>
        <w:t xml:space="preserve"> </w:t>
      </w:r>
      <w:r>
        <w:t>β-</w:t>
      </w:r>
      <w:r>
        <w:t>（</w:t>
      </w:r>
      <w:r>
        <w:t xml:space="preserve"> </w:t>
      </w:r>
      <w:r>
        <w:t>乙</w:t>
      </w:r>
      <w:r>
        <w:t xml:space="preserve"> </w:t>
      </w:r>
      <w:r>
        <w:t>)-乙烯基锗烷。两种钴催化剂均能实现烷基和芳基取代的末端炔烃与叔氢锗烷的加氢甲酰化，具有良好的官能团相容性，产率和选择性良好。机理研究确立了炔桥二钴羰基物质作为两个催化体系中的活性中间体，并且金属配体 LCo (L = IPent, Xantphos) 的独特空间性质控制着催化体系。</w:t>
      </w:r>
    </w:p>
    <w:p>
      <w:pPr>
        <w:spacing w:before="0" w:after="200" w:lineRule="auto" w:line="276"/>
      </w:pPr>
      <w:r>
        <w:rPr>
          <w:b/>
        </w:rPr>
        <w:t xml:space="preserve">Abstract (EN): </w:t>
      </w:r>
      <w:r>
        <w:t>Transition‐metal‐catalyzed hydrogermylation of alkynes represents an ideal atom‐economical method to prepare vinylgermanes that are valuable reagents in medicinal chemistry, material science and organic synthesis. Nevertheless, its development―particularly in achieving high regioselectivity with earth‐abundant 3d metal catalysts―remains as a formidable challenge. Herein, we report regiodivergent hydrogermylation reactions of alkynes employing structure well‐defined dicobalt carbonyl complexes as catalysts: the reaction using [(IPent)Co</w:t>
      </w:r>
      <w:r>
        <w:rPr>
          <w:vertAlign w:val="subscript"/>
        </w:rPr>
        <w:t>2</w:t>
      </w:r>
      <w:r>
        <w:t>(CO)</w:t>
      </w:r>
      <w:r>
        <w:rPr>
          <w:vertAlign w:val="subscript"/>
        </w:rPr>
        <w:t>7</w:t>
      </w:r>
      <w:r>
        <w:t>] (IPent = 1,3‐di(2,6‐di(pentan‐3‐yl)phenyl)imidazol‐2‐ylidene) affords selectively</w:t>
      </w:r>
      <w:r>
        <w:t xml:space="preserve"> </w:t>
      </w:r>
      <w:r>
        <w:t>α</w:t>
      </w:r>
      <w:r>
        <w:t xml:space="preserve"> </w:t>
      </w:r>
      <w:r>
        <w:t>‐vinylgermanes, whereas that with [(Xantphos)Co</w:t>
      </w:r>
      <w:r>
        <w:rPr>
          <w:vertAlign w:val="subscript"/>
        </w:rPr>
        <w:t>2</w:t>
      </w:r>
      <w:r>
        <w:t>(CO)</w:t>
      </w:r>
      <w:r>
        <w:rPr>
          <w:vertAlign w:val="subscript"/>
        </w:rPr>
        <w:t>6</w:t>
      </w:r>
      <w:r>
        <w:t>] (Xantphos = (9,9‐dimethyl‐9</w:t>
      </w:r>
      <w:r>
        <w:t xml:space="preserve"> </w:t>
      </w:r>
      <w:r>
        <w:t>H</w:t>
      </w:r>
      <w:r>
        <w:t xml:space="preserve"> </w:t>
      </w:r>
      <w:r>
        <w:t>‐xanthene‐4,5‐diyl)bis(diphenylphosphane) yields selectively</w:t>
      </w:r>
      <w:r>
        <w:t xml:space="preserve"> </w:t>
      </w:r>
      <w:r>
        <w:t>β‐</w:t>
      </w:r>
      <w:r>
        <w:t xml:space="preserve"> </w:t>
      </w:r>
      <w:r>
        <w:t>(</w:t>
      </w:r>
      <w:r>
        <w:t xml:space="preserve"> </w:t>
      </w:r>
      <w:r>
        <w:t>E</w:t>
      </w:r>
      <w:r>
        <w:t xml:space="preserve"> </w:t>
      </w:r>
      <w:r>
        <w:t>)‐vinylgermanes. Both cobalt catalysts effect the hydrogermylation of alkyl‐ and aryl‐substituted terminal alkynes with tertiary hydrogermanes with good functional group compatibility in good to high yields and selectivity. Mechanistic studies establish alkyne‐bridged dicobalt carbonyl species as the active intermediates in both catalytic systems and the distinct steric nature of the metalloligands LCo (L = IPent, Xantphos) governs the observed regiodivergent selectivity. The application of these dicobalt‐catalysts to alkyne hydroelementation reactions allows the selective preparation of different configurational isomers of vinylgermanes/silanes that can be further utilized for the stereoselective synthesis of alkene derivatives.</w:t>
      </w:r>
    </w:p>
    <w:p>
      <w:pPr>
        <w:spacing w:before="120" w:after="120"/>
      </w:pPr>
      <w:r>
        <w:rPr>
          <w:sz w:val="18"/>
        </w:rPr>
        <w:t>——————————————————————————————————————————————————————————————————————</w:t>
      </w:r>
    </w:p>
    <w:p>
      <w:pPr>
        <w:spacing w:before="160" w:after="40" w:line="240" w:lineRule="auto"/>
      </w:pPr>
      <w:r>
        <w:rPr>
          <w:b/>
        </w:rPr>
        <w:t xml:space="preserve">[220] </w:t>
      </w:r>
      <w:hyperlink r:id="rId726">
        <w:r>
          <w:rPr>
            <w:color w:val="1155CC"/>
            <w:u w:val="single"/>
          </w:rPr>
          <w:t>用于基于铜凋亡的癌症治疗和成像的自组装</w:t>
        </w:r>
      </w:hyperlink>
    </w:p>
    <w:p>
      <w:pPr>
        <w:spacing w:before="0" w:after="80"/>
      </w:pPr>
      <w:r>
        <w:rPr>
          <w:i/>
          <w:sz w:val="20"/>
        </w:rPr>
        <w:t>EN: Self-assembly for cuproptosis-based cancer therapy and imaging</w:t>
      </w:r>
    </w:p>
    <w:p>
      <w:pPr>
        <w:spacing w:before="0" w:after="120"/>
      </w:pPr>
      <w:r>
        <w:rPr>
          <w:b/>
        </w:rPr>
        <w:t xml:space="preserve">Source: </w:t>
      </w:r>
      <w:r>
        <w:t>RSC - Chem. Soc. Rev. latest articles</w:t>
      </w:r>
      <w:r>
        <w:t xml:space="preserve">    </w:t>
      </w:r>
      <w:r>
        <w:rPr>
          <w:b/>
        </w:rPr>
        <w:t xml:space="preserve">Pub date: </w:t>
      </w:r>
      <w:r>
        <w:t>2026-06-09 23:00:00+00:00</w:t>
      </w:r>
    </w:p>
    <w:p>
      <w:pPr>
        <w:spacing w:before="0" w:after="120"/>
      </w:pPr>
      <w:r>
        <w:rPr>
          <w:b/>
        </w:rPr>
        <w:t xml:space="preserve">Notes: </w:t>
      </w:r>
      <w:r>
        <w:t>abstract_source=rsc_html</w:t>
      </w:r>
    </w:p>
    <w:p>
      <w:pPr>
        <w:spacing w:before="0" w:after="80" w:lineRule="auto" w:line="276"/>
      </w:pPr>
      <w:r>
        <w:rPr>
          <w:b/>
        </w:rPr>
        <w:t xml:space="preserve">摘要（ZH）: </w:t>
      </w:r>
      <w:r>
        <w:t>Cuprotosis 是一种铜依赖性程序性细胞死亡途径，已成为一种有前途的癌症治疗策略。虽然之前的评论主要集中在铜凋亡的基本机制和诱导剂的开发上，但自组装驱动的、刺激响应的铜凋亡纳米平台的探索仍然相对不足。为了填补这一空白，这篇综述对用于基于铜凋亡的癌症治疗和成像的刺激响应、动态自组装纳米系统的最新进展进行了全面分析。我们首先阐明支持铜凋亡的分子机制，然后系统地探索基于自组装的铜凋亡诱导剂背后的设计原理。这些诱导剂利用选择性铜离子配位化学，再加上不同的分子间力，以实现精确的时空调节。此外，我们强调了这些纳米组件如何响应内源性和外源性刺激而经历智能结构和功能转变，从而实现铜凋亡的受控激活。这篇综述还探讨了将铜凋亡与协同治疗策略和影像指导相结合的突破性应用，突出了增强癌症治疗的有希望的方向。最后，我们讨论了推动这一新兴领域走向临床转化所必须解决的关键挑战和障碍。</w:t>
      </w:r>
    </w:p>
    <w:p>
      <w:pPr>
        <w:spacing w:before="0" w:after="200" w:lineRule="auto" w:line="276"/>
      </w:pPr>
      <w:r>
        <w:rPr>
          <w:b/>
        </w:rPr>
        <w:t xml:space="preserve">Abstract (EN): </w:t>
      </w:r>
      <w:r>
        <w:t>Cuproptosis, a copper-dependent programmed cell death pathway, has emerged as a promising strategy for cancer therapy. While previous reviews have primarily focused on the fundamental mechanisms of cuproptosis and the development of inducing agents, the self-assembly-driven, stimuli-responsive cuproptosis nanoplatforms have remained relatively underexplored. To fill this gap, this review provides a comprehensive analysis of recent advancements in stimuli-responsive, dynamic self-assembly nanosystems for cuproptosis-based cancer therapy and imaging. We begin by elucidating the molecular mechanisms that underpin cuproptosis, followed by a systematic exploration of the design principles behind self-assembly-based cuproptosis inducers. These inducers leverage selective copper-ion coordination chemistry, coupled with diverse intermolecular forces, to enable precise spatiotemporal regulation. Furthermore, we highlight how these nanoassemblies undergo intelligent structural and functional transformations in response to both endogenous and exogenous stimuli, enabling controlled activation of cuproptosis. This review also explores breakthrough applications that integrate cuproptosis with synergistic therapeutic strategies and imaging guidance, highlighting a promising direction for enhancing cancer treatment. Finally, we discuss the critical challenges and barriers that must be addressed to push this emerging field toward clinical translation.</w:t>
      </w:r>
    </w:p>
    <w:p>
      <w:pPr>
        <w:spacing w:before="120" w:after="120"/>
      </w:pPr>
      <w:r>
        <w:rPr>
          <w:sz w:val="18"/>
        </w:rPr>
        <w:t>——————————————————————————————————————————————————————————————————————</w:t>
      </w:r>
    </w:p>
    <w:p>
      <w:pPr>
        <w:spacing w:before="160" w:after="40" w:line="240" w:lineRule="auto"/>
      </w:pPr>
      <w:r>
        <w:rPr>
          <w:b/>
        </w:rPr>
        <w:t xml:space="preserve">[221] </w:t>
      </w:r>
      <w:hyperlink r:id="rId727">
        <w:r>
          <w:rPr>
            <w:color w:val="1155CC"/>
            <w:u w:val="single"/>
          </w:rPr>
          <w:t>配体调制的金属-自由基极性匹配可实现乙烯的一般 1,2-二碳官能化</w:t>
        </w:r>
      </w:hyperlink>
    </w:p>
    <w:p>
      <w:pPr>
        <w:spacing w:before="0" w:after="80"/>
      </w:pPr>
      <w:r>
        <w:rPr>
          <w:i/>
          <w:sz w:val="20"/>
        </w:rPr>
        <w:t>EN: Ligand-modulated metal–radical polarity match enables general 1,2-dicarbofunctionalization of ethylene</w:t>
      </w:r>
    </w:p>
    <w:p>
      <w:pPr>
        <w:spacing w:before="0" w:after="120"/>
      </w:pPr>
      <w:r>
        <w:rPr>
          <w:b/>
        </w:rPr>
        <w:t xml:space="preserve">Source: </w:t>
      </w:r>
      <w:r>
        <w:t>Nature Chemistry</w:t>
      </w:r>
      <w:r>
        <w:t xml:space="preserve">    </w:t>
      </w:r>
      <w:r>
        <w:rPr>
          <w:b/>
        </w:rPr>
        <w:t xml:space="preserve">Pub date: </w:t>
      </w:r>
      <w:r>
        <w:t>2026-06-10 00:00:00+00:00</w:t>
      </w:r>
      <w:r>
        <w:t xml:space="preserve">    </w:t>
      </w:r>
      <w:r>
        <w:rPr>
          <w:b/>
        </w:rPr>
        <w:t xml:space="preserve">DOI: </w:t>
      </w:r>
      <w:hyperlink r:id="rId728">
        <w:r>
          <w:rPr>
            <w:color w:val="1155CC"/>
            <w:u w:val="single"/>
          </w:rPr>
          <w:t>10.1038/s41557-026-02177-8</w:t>
        </w:r>
      </w:hyperlink>
    </w:p>
    <w:p>
      <w:pPr>
        <w:spacing w:before="0" w:after="120"/>
      </w:pPr>
      <w:r>
        <w:rPr>
          <w:b/>
        </w:rPr>
        <w:t xml:space="preserve">Notes: </w:t>
      </w:r>
      <w:r>
        <w:t>abstract_source=nature_html</w:t>
      </w:r>
    </w:p>
    <w:p>
      <w:pPr>
        <w:spacing w:before="0" w:after="80" w:lineRule="auto" w:line="276"/>
      </w:pPr>
      <w:r>
        <w:rPr>
          <w:b/>
        </w:rPr>
        <w:t xml:space="preserve">摘要（ZH）: </w:t>
      </w:r>
      <w:r>
        <w:t>利用过渡金属催化将多种自由基中间体引导至单一所需产物提供了许多合成机会，同时提出了由催化剂自由基捕获选择性引起的重要化学选择性挑战。机械设计如何精确调节这种选择性仍然有限，限制了高效催化系统的合理设计。在这里，我们证明可以策略性地利用自由基中间体和配体调节的铜中心的电子偏压来控制铜介导的自由基捕获的选择性。强π接受三联吡啶配体调节铜催化剂的电子特性，从而能够通过金属-自由基极性匹配机制选择性捕获具有互补极性的自由基中间体。在此机制框架的基础上，我们建立了一种合成强大但极具挑战性的乙烯 1,2-二碳官能化。这提供了对结构多样化、医学相关的 1,2-二碳官能化乙烷的简化获取，这些乙烷包含 sp3-、sp2- 和 sp- 杂化碳原官能团，同时提供机械见解和设计原则，促进过渡金属催化自由基转化的合理设计。该图像的替代文本可能是使用 AI 生成的。</w:t>
      </w:r>
    </w:p>
    <w:p>
      <w:pPr>
        <w:spacing w:before="0" w:after="200" w:lineRule="auto" w:line="276"/>
      </w:pPr>
      <w:r>
        <w:rPr>
          <w:b/>
        </w:rPr>
        <w:t xml:space="preserve">Abstract (EN): </w:t>
      </w:r>
      <w:r>
        <w:t>Leveraging transition metal catalysis to direct multiple radical intermediates towards a single desired product offers many synthetic opportunities while presenting an important chemoselectivity challenge arising from selectivity in radical capture by the catalyst. How mechanistic design precisely tunes this selectivity remains limited, constraining the rational design of efficient catalytic systems. Here we demonstrate that the electronic bias of the radical intermediates and the ligand-modulated copper centre can be strategically harnessed to control the selectivity of copper-mediated radical capture. A strongly π-accepting terpyridine ligand modulates the electronic properties of the copper catalyst, enabling the selective capture of radical intermediates with complementary polarity through a metal–radical polarity-match mechanism. Building on this mechanistic framework, we have established a synthetically powerful, yet highly challenging ethylene 1,2-dicarbofunctionalization. This provides streamlined access to structurally diverse, medicinally relevant 1,2-dicarbofunctionalized ethanes that incorporate sp3-, sp2- and sp-hybridized carbogenic functional groups while offering mechanistic insights and design principles that facilitate the rational design of transition metal-catalysed radical transformations.The alternative text for this image may have been generated using AI.</w:t>
      </w:r>
    </w:p>
    <w:p>
      <w:pPr>
        <w:spacing w:before="120" w:after="120"/>
      </w:pPr>
      <w:r>
        <w:rPr>
          <w:sz w:val="18"/>
        </w:rPr>
        <w:t>——————————————————————————————————————————————————————————————————————</w:t>
      </w:r>
    </w:p>
    <w:p>
      <w:pPr>
        <w:spacing w:before="160" w:after="40" w:line="240" w:lineRule="auto"/>
      </w:pPr>
      <w:r>
        <w:rPr>
          <w:b/>
        </w:rPr>
        <w:t xml:space="preserve">[222] </w:t>
      </w:r>
      <w:hyperlink r:id="rId729">
        <w:r>
          <w:rPr>
            <w:color w:val="1155CC"/>
            <w:u w:val="single"/>
          </w:rPr>
          <w:t>芳香环翻转揭示了晶体和复合物中蛋白质动力学的重塑</w:t>
        </w:r>
      </w:hyperlink>
    </w:p>
    <w:p>
      <w:pPr>
        <w:spacing w:before="0" w:after="80"/>
      </w:pPr>
      <w:r>
        <w:rPr>
          <w:i/>
          <w:sz w:val="20"/>
        </w:rPr>
        <w:t>EN: Aromatic ring flips reveal reshaping of protein dynamics in crystals and complexes</w:t>
      </w:r>
    </w:p>
    <w:p>
      <w:pPr>
        <w:spacing w:before="0" w:after="120"/>
      </w:pPr>
      <w:r>
        <w:rPr>
          <w:b/>
        </w:rPr>
        <w:t xml:space="preserve">Source: </w:t>
      </w:r>
      <w:r>
        <w:t>Nature Chemistry</w:t>
      </w:r>
      <w:r>
        <w:t xml:space="preserve">    </w:t>
      </w:r>
      <w:r>
        <w:rPr>
          <w:b/>
        </w:rPr>
        <w:t xml:space="preserve">Pub date: </w:t>
      </w:r>
      <w:r>
        <w:t>2026-06-10 00:00:00+00:00</w:t>
      </w:r>
      <w:r>
        <w:t xml:space="preserve">    </w:t>
      </w:r>
      <w:r>
        <w:rPr>
          <w:b/>
        </w:rPr>
        <w:t xml:space="preserve">DOI: </w:t>
      </w:r>
      <w:hyperlink r:id="rId730">
        <w:r>
          <w:rPr>
            <w:color w:val="1155CC"/>
            <w:u w:val="single"/>
          </w:rPr>
          <w:t>10.1038/s41557-026-02155-0</w:t>
        </w:r>
      </w:hyperlink>
    </w:p>
    <w:p>
      <w:pPr>
        <w:spacing w:before="0" w:after="120"/>
      </w:pPr>
      <w:r>
        <w:rPr>
          <w:b/>
        </w:rPr>
        <w:t xml:space="preserve">Notes: </w:t>
      </w:r>
      <w:r>
        <w:t>abstract_source=nature_html</w:t>
      </w:r>
    </w:p>
    <w:p>
      <w:pPr>
        <w:spacing w:before="0" w:after="80" w:lineRule="auto" w:line="276"/>
      </w:pPr>
      <w:r>
        <w:rPr>
          <w:b/>
        </w:rPr>
        <w:t xml:space="preserve">摘要（ZH）: </w:t>
      </w:r>
      <w:r>
        <w:t>蛋白质构象能量景观不仅由分子内相互作用决定，还受到其环境的影响。 In protein crystals and protein–protein complexes, intermolecular contacts alter this energy landscape, but the exact nature of this alteration is difficult to decipher. Understanding how the crystal lattice affects protein dynamics is crucial for crystallography-based studies of motion, yet its influence on collective motions remains unclear.疏水核心中的芳环翻转代表了这种动力学的敏感探针。 Here, we compare the kinetics of aromatic ring flips in the protein GB1 in crystals, in complex with its binding partner IgG, and in solution, combining advanced isotope labelling with quantitative NMR methods.我们发现，晶体中核心环的翻转频率比溶液中低近千倍。 Enhanced-sampling molecular dynamics simulations, based on a crystal structure of a GB1 variant reported in this work, reproduce these elevated barriers and reveal how the crystal restrains motions.The alternative text for this image may have been generated using AI.</w:t>
      </w:r>
    </w:p>
    <w:p>
      <w:pPr>
        <w:spacing w:before="0" w:after="200" w:lineRule="auto" w:line="276"/>
      </w:pPr>
      <w:r>
        <w:rPr>
          <w:b/>
        </w:rPr>
        <w:t xml:space="preserve">Abstract (EN): </w:t>
      </w:r>
      <w:r>
        <w:t>Protein conformational energy landscapes are shaped not only by intramolecular interactions but also by their environment. In protein crystals and protein–protein complexes, intermolecular contacts alter this energy landscape, but the exact nature of this alteration is difficult to decipher. Understanding how the crystal lattice affects protein dynamics is crucial for crystallography-based studies of motion, yet its influence on collective motions remains unclear. Aromatic ring flips in the hydrophobic core represent sensitive probes of such dynamics. Here, we compare the kinetics of aromatic ring flips in the protein GB1 in crystals, in complex with its binding partner IgG, and in solution, combining advanced isotope labelling with quantitative NMR methods. We show that rings in the core flip nearly a thousand times less frequently in crystals than in solution. Enhanced-sampling molecular dynamics simulations, based on a crystal structure of a GB1 variant reported in this work, reproduce these elevated barriers and reveal how the crystal restrains motions.The alternative text for this image may have been generated using AI.</w:t>
      </w:r>
    </w:p>
    <w:p>
      <w:pPr>
        <w:spacing w:before="120" w:after="120"/>
      </w:pPr>
      <w:r>
        <w:rPr>
          <w:sz w:val="18"/>
        </w:rPr>
        <w:t>——————————————————————————————————————————————————————————————————————</w:t>
      </w:r>
    </w:p>
    <w:p>
      <w:pPr>
        <w:spacing w:before="160" w:after="40" w:line="240" w:lineRule="auto"/>
      </w:pPr>
      <w:r>
        <w:rPr>
          <w:b/>
        </w:rPr>
        <w:t xml:space="preserve">[223] </w:t>
      </w:r>
      <w:hyperlink r:id="rId731">
        <w:r>
          <w:rPr>
            <w:color w:val="1155CC"/>
            <w:u w:val="single"/>
          </w:rPr>
          <w:t>作者更正：[2+2]亚磺胺与烯烃的光环加成反应得到β-​​磺内酰胺衍生物</w:t>
        </w:r>
      </w:hyperlink>
    </w:p>
    <w:p>
      <w:pPr>
        <w:spacing w:before="0" w:after="80"/>
      </w:pPr>
      <w:r>
        <w:rPr>
          <w:i/>
          <w:sz w:val="20"/>
        </w:rPr>
        <w:t>EN: Author Correction: [2+2] Photocycloaddition reactions of sulfinylamines with alkenes to access β-sultam derivatives</w:t>
      </w:r>
    </w:p>
    <w:p>
      <w:pPr>
        <w:spacing w:before="0" w:after="120"/>
      </w:pPr>
      <w:r>
        <w:rPr>
          <w:b/>
        </w:rPr>
        <w:t xml:space="preserve">Source: </w:t>
      </w:r>
      <w:r>
        <w:t>Nature Chemistry</w:t>
      </w:r>
      <w:r>
        <w:t xml:space="preserve">    </w:t>
      </w:r>
      <w:r>
        <w:rPr>
          <w:b/>
        </w:rPr>
        <w:t xml:space="preserve">Pub date: </w:t>
      </w:r>
      <w:r>
        <w:t>2026-06-10 00:00:00+00:00</w:t>
      </w:r>
      <w:r>
        <w:t xml:space="preserve">    </w:t>
      </w:r>
      <w:r>
        <w:rPr>
          <w:b/>
        </w:rPr>
        <w:t xml:space="preserve">DOI: </w:t>
      </w:r>
      <w:hyperlink r:id="rId732">
        <w:r>
          <w:rPr>
            <w:color w:val="1155CC"/>
            <w:u w:val="single"/>
          </w:rPr>
          <w:t>10.1038/s41557-026-02198-3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[224] </w:t>
      </w:r>
      <w:hyperlink r:id="rId733">
        <w:r>
          <w:rPr>
            <w:color w:val="1155CC"/>
            <w:u w:val="single"/>
          </w:rPr>
          <w:t>使用 BRIGHT-seq 对 5mC 和 5hmC 进行同步单碱基分辨率分析</w:t>
        </w:r>
      </w:hyperlink>
    </w:p>
    <w:p>
      <w:pPr>
        <w:spacing w:before="0" w:after="80"/>
      </w:pPr>
      <w:r>
        <w:rPr>
          <w:i/>
          <w:sz w:val="20"/>
        </w:rPr>
        <w:t>EN: Simultaneous single-base resolution profiling of 5mC and 5hmC using BRIGHT-seq</w:t>
      </w:r>
    </w:p>
    <w:p>
      <w:pPr>
        <w:spacing w:before="0" w:after="120"/>
      </w:pPr>
      <w:r>
        <w:rPr>
          <w:b/>
        </w:rPr>
        <w:t xml:space="preserve">Source: </w:t>
      </w:r>
      <w:r>
        <w:t>National Science Review Advance Access</w:t>
      </w:r>
      <w:r>
        <w:t xml:space="preserve">    </w:t>
      </w:r>
      <w:r>
        <w:rPr>
          <w:b/>
        </w:rPr>
        <w:t xml:space="preserve">Pub date: </w:t>
      </w:r>
      <w:r>
        <w:t>2026-06-10 00:00:00+00:00</w:t>
      </w:r>
      <w:r>
        <w:t xml:space="preserve">    </w:t>
      </w:r>
      <w:r>
        <w:rPr>
          <w:b/>
        </w:rPr>
        <w:t xml:space="preserve">DOI: </w:t>
      </w:r>
      <w:hyperlink r:id="rId734">
        <w:r>
          <w:rPr>
            <w:color w:val="1155CC"/>
            <w:u w:val="single"/>
          </w:rPr>
          <w:t>10.1093/nsr/nwag353</w:t>
        </w:r>
      </w:hyperlink>
    </w:p>
    <w:p>
      <w:pPr>
        <w:spacing w:before="0" w:after="120"/>
      </w:pPr>
      <w:r>
        <w:rPr>
          <w:b/>
        </w:rPr>
        <w:t xml:space="preserve">Notes: </w:t>
      </w:r>
      <w:r>
        <w:t>abstract_source=rss_oup</w:t>
      </w:r>
    </w:p>
    <w:p>
      <w:pPr>
        <w:spacing w:before="0" w:after="80" w:lineRule="auto" w:line="276"/>
      </w:pPr>
      <w:r>
        <w:rPr>
          <w:b/>
        </w:rPr>
        <w:t xml:space="preserve">摘要（ZH）: </w:t>
      </w:r>
      <w:r>
        <w:t>DNA 中的胞嘧啶修饰，特别是 5-甲基胞嘧啶 (5mC) 和 5-羟甲基胞嘧啶 (5hmC)，是参与基因调控和染色质组织的关键表观遗传标记。 5mC 和 5hmC 的同步和碱基分辨率检测对于了解它们在基因调控中的相互作用至关重要。然而，现有方法通常依赖于微分减法策略，这使得在单个测定中进行直接和并发分析具有挑战性。在这里，我们提出了集成全基因组甲基化和羟甲基化跟踪测序的碱基替换 (BRIGHT-seq)，这是一种测序策略，能够在同一 DNA 分子内以单碱基分辨率直接同时检测 5mC 和 5hmC。通过整合酶处理和化学处理，BRIGHT-seq 将 5mC 转化为腺嘌呤，将 5hmC 转化为胸腺嘧啶，从而无需依赖差异减法即可直接识别这两种修饰。我们通过绘制人类和小鼠基因组中的 5mC 和 5hmC 景观来证明 BRIGHT-seq 的适用性。 BRIGHT-seq 为表观遗传学研究提供了一种有用的高分辨率工具，有助于未来研究 5mC 和 5hmC 在基因调控和疾病中的作用。</w:t>
      </w:r>
    </w:p>
    <w:p>
      <w:pPr>
        <w:spacing w:before="0" w:after="200" w:lineRule="auto" w:line="276"/>
      </w:pPr>
      <w:r>
        <w:rPr>
          <w:b/>
        </w:rPr>
        <w:t xml:space="preserve">Abstract (EN): </w:t>
      </w:r>
      <w:r>
        <w:t>Cytosine modifications in DNA, particularly 5-methylcytosine (5mC) and 5-hydroxymethylcytosine (5hmC), are key epigenetic marks involved in gene regulation and chromatin organization. Simultaneous and base-resolution detection of 5mC and 5hmC is essential for understanding their interplay in gene regulation. However, existing methods often rely on differential subtraction strategies, making direct and concurrent analysis within a single assay challenging. Here, we present the Base Replacement for Integrated Genome-wide Methylation and Hydroxymethylation Tracking Sequencing (BRIGHT-seq), a sequencing strategy that enables direct and simultaneous detection of 5mC and 5hmC at single-base resolution within the same DNA molecule. By integrating enzymatic and chemical treatments, BRIGHT-seq converts 5mC to adenine and 5hmC to thymine, enabling direct identification of both modifications without relying on differential subtraction. We demonstrate the applicability of BRIGHT-seq by mapping 5mC and 5hmC landscapes across human and mouse genomes. BRIGHT-seq provides a useful and high-resolution tool for epigenetic research, facilitating future studies on the roles of 5mC and 5hmC in gene regulation and disease.</w:t>
      </w:r>
    </w:p>
    <w:p>
      <w:pPr>
        <w:spacing w:before="120" w:after="120"/>
      </w:pPr>
      <w:r>
        <w:rPr>
          <w:sz w:val="18"/>
        </w:rPr>
        <w:t>——————————————————————————————————————————————————————————————————————</w:t>
      </w:r>
    </w:p>
    <w:p>
      <w:pPr>
        <w:spacing w:before="160" w:after="40" w:line="240" w:lineRule="auto"/>
      </w:pPr>
      <w:r>
        <w:rPr>
          <w:b/>
        </w:rPr>
        <w:t xml:space="preserve">[225] </w:t>
      </w:r>
      <w:hyperlink r:id="rId735">
        <w:r>
          <w:rPr>
            <w:color w:val="1155CC"/>
            <w:u w:val="single"/>
          </w:rPr>
          <w:t>光减慢水中碳纳米管的速度</w:t>
        </w:r>
      </w:hyperlink>
    </w:p>
    <w:p>
      <w:pPr>
        <w:spacing w:before="0" w:after="80"/>
      </w:pPr>
      <w:r>
        <w:rPr>
          <w:i/>
          <w:sz w:val="20"/>
        </w:rPr>
        <w:t>EN: Light slows down carbon nanotubes in water</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36">
        <w:r>
          <w:rPr>
            <w:color w:val="1155CC"/>
            <w:u w:val="single"/>
          </w:rPr>
          <w:t>10.1038/d41586-026-01701-7</w:t>
        </w:r>
      </w:hyperlink>
    </w:p>
    <w:p>
      <w:pPr>
        <w:spacing w:before="0" w:after="120"/>
      </w:pPr>
      <w:r>
        <w:rPr>
          <w:b/>
        </w:rPr>
        <w:t xml:space="preserve">Notes: </w:t>
      </w:r>
      <w:r>
        <w:t>abstract_source=nature_html</w:t>
      </w:r>
    </w:p>
    <w:p>
      <w:pPr>
        <w:spacing w:before="0" w:after="80" w:lineRule="auto" w:line="276"/>
      </w:pPr>
      <w:r>
        <w:rPr>
          <w:b/>
        </w:rPr>
        <w:t xml:space="preserve">摘要（ZH）: </w:t>
      </w:r>
      <w:r>
        <w:t>水中悬浮的碳纳米管在绿光下移动得更慢，这表明管中激发的电子通过“量子摩擦”与水耦合。水中悬浮的碳纳米管在绿光下移动得更慢，这表明管中激发的电子通过“量子摩擦”与水耦合。</w:t>
      </w:r>
    </w:p>
    <w:p>
      <w:pPr>
        <w:spacing w:before="0" w:after="200" w:lineRule="auto" w:line="276"/>
      </w:pPr>
      <w:r>
        <w:rPr>
          <w:b/>
        </w:rPr>
        <w:t xml:space="preserve">Abstract (EN): </w:t>
      </w:r>
      <w:r>
        <w:t>Water-suspended carbon nanotubes move more slowly in green light, suggesting that excited electrons in the tubes couple to the water through ‘quantum friction’. Water-suspended carbon nanotubes move more slowly in green light, suggesting that excited electrons in the tubes couple to the water through ‘quantum friction’.</w:t>
      </w:r>
    </w:p>
    <w:p>
      <w:pPr>
        <w:spacing w:before="120" w:after="120"/>
      </w:pPr>
      <w:r>
        <w:rPr>
          <w:sz w:val="18"/>
        </w:rPr>
        <w:t>——————————————————————————————————————————————————————————————————————</w:t>
      </w:r>
    </w:p>
    <w:p>
      <w:pPr>
        <w:spacing w:before="160" w:after="40" w:line="240" w:lineRule="auto"/>
      </w:pPr>
      <w:r>
        <w:rPr>
          <w:b/>
        </w:rPr>
        <w:t xml:space="preserve">[226] </w:t>
      </w:r>
      <w:hyperlink r:id="rId737">
        <w:r>
          <w:rPr>
            <w:color w:val="1155CC"/>
            <w:u w:val="single"/>
          </w:rPr>
          <w:t>怀疑托马斯</w:t>
        </w:r>
      </w:hyperlink>
    </w:p>
    <w:p>
      <w:pPr>
        <w:spacing w:before="0" w:after="80"/>
      </w:pPr>
      <w:r>
        <w:rPr>
          <w:i/>
          <w:sz w:val="20"/>
        </w:rPr>
        <w:t>EN: Doubting Thomas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38">
        <w:r>
          <w:rPr>
            <w:color w:val="1155CC"/>
            <w:u w:val="single"/>
          </w:rPr>
          <w:t>10.1038/d41586-026-01718-y</w:t>
        </w:r>
      </w:hyperlink>
    </w:p>
    <w:p>
      <w:pPr>
        <w:spacing w:before="0" w:after="120"/>
      </w:pPr>
      <w:r>
        <w:rPr>
          <w:b/>
        </w:rPr>
        <w:t xml:space="preserve">Notes: </w:t>
      </w:r>
      <w:r>
        <w:t>abstract_source=nature_html</w:t>
      </w:r>
    </w:p>
    <w:p>
      <w:pPr>
        <w:spacing w:before="0" w:after="80" w:lineRule="auto" w:line="276"/>
      </w:pPr>
      <w:r>
        <w:rPr>
          <w:b/>
        </w:rPr>
        <w:t xml:space="preserve">摘要（ZH）: </w:t>
      </w:r>
      <w:r>
        <w:t>家庭关系。家庭关系。</w:t>
      </w:r>
    </w:p>
    <w:p>
      <w:pPr>
        <w:spacing w:before="0" w:after="200" w:lineRule="auto" w:line="276"/>
      </w:pPr>
      <w:r>
        <w:rPr>
          <w:b/>
        </w:rPr>
        <w:t xml:space="preserve">Abstract (EN): </w:t>
      </w:r>
      <w:r>
        <w:t>Family ties. Family ties.</w:t>
      </w:r>
    </w:p>
    <w:p>
      <w:pPr>
        <w:spacing w:before="120" w:after="120"/>
      </w:pPr>
      <w:r>
        <w:rPr>
          <w:sz w:val="18"/>
        </w:rPr>
        <w:t>——————————————————————————————————————————————————————————————————————</w:t>
      </w:r>
    </w:p>
    <w:p>
      <w:pPr>
        <w:spacing w:before="160" w:after="40" w:line="240" w:lineRule="auto"/>
      </w:pPr>
      <w:r>
        <w:rPr>
          <w:b/>
        </w:rPr>
        <w:t xml:space="preserve">[227] </w:t>
      </w:r>
      <w:hyperlink r:id="rId739">
        <w:r>
          <w:rPr>
            <w:color w:val="1155CC"/>
            <w:u w:val="single"/>
          </w:rPr>
          <w:t>Z 世代对人工智能的怀疑是一记警钟——大学必须认真对待</w:t>
        </w:r>
      </w:hyperlink>
    </w:p>
    <w:p>
      <w:pPr>
        <w:spacing w:before="0" w:after="80"/>
      </w:pPr>
      <w:r>
        <w:rPr>
          <w:i/>
          <w:sz w:val="20"/>
        </w:rPr>
        <w:t>EN: Gen Z scepticism towards AI is a wake-up call — universities must take it seriously</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40">
        <w:r>
          <w:rPr>
            <w:color w:val="1155CC"/>
            <w:u w:val="single"/>
          </w:rPr>
          <w:t>10.1038/d41586-026-01814-z</w:t>
        </w:r>
      </w:hyperlink>
    </w:p>
    <w:p>
      <w:pPr>
        <w:spacing w:before="0" w:after="120"/>
      </w:pPr>
      <w:r>
        <w:rPr>
          <w:b/>
        </w:rPr>
        <w:t xml:space="preserve">Notes: </w:t>
      </w:r>
      <w:r>
        <w:t>abstract_source=nature_html</w:t>
      </w:r>
    </w:p>
    <w:p>
      <w:pPr>
        <w:spacing w:before="0" w:after="80" w:lineRule="auto" w:line="276"/>
      </w:pPr>
      <w:r>
        <w:rPr>
          <w:b/>
        </w:rPr>
        <w:t xml:space="preserve">摘要（ZH）: </w:t>
      </w:r>
      <w:r>
        <w:t>大学面临的挑战不是采用人工智能，而是采用当代学生可以信任的方式。大学面临的挑战不是采用人工智能，而是采用当代学生可以信任的方式。</w:t>
      </w:r>
    </w:p>
    <w:p>
      <w:pPr>
        <w:spacing w:before="0" w:after="200" w:lineRule="auto" w:line="276"/>
      </w:pPr>
      <w:r>
        <w:rPr>
          <w:b/>
        </w:rPr>
        <w:t xml:space="preserve">Abstract (EN): </w:t>
      </w:r>
      <w:r>
        <w:t>The challenge for universities is not adopting artificial intelligence, but doing so in ways that the current generation of students can trust. The challenge for universities is not adopting artificial intelligence, but doing so in ways that the current generation of students can trust.</w:t>
      </w:r>
    </w:p>
    <w:p>
      <w:pPr>
        <w:spacing w:before="120" w:after="120"/>
      </w:pPr>
      <w:r>
        <w:rPr>
          <w:sz w:val="18"/>
        </w:rPr>
        <w:t>——————————————————————————————————————————————————————————————————————</w:t>
      </w:r>
    </w:p>
    <w:p>
      <w:pPr>
        <w:spacing w:before="160" w:after="40" w:line="240" w:lineRule="auto"/>
      </w:pPr>
      <w:r>
        <w:rPr>
          <w:b/>
        </w:rPr>
        <w:t xml:space="preserve">[228] </w:t>
      </w:r>
      <w:hyperlink r:id="rId741">
        <w:r>
          <w:rPr>
            <w:color w:val="1155CC"/>
            <w:u w:val="single"/>
          </w:rPr>
          <w:t>我如何利用人工智能将失败的药物变成新药</w:t>
        </w:r>
      </w:hyperlink>
    </w:p>
    <w:p>
      <w:pPr>
        <w:spacing w:before="0" w:after="80"/>
      </w:pPr>
      <w:r>
        <w:rPr>
          <w:i/>
          <w:sz w:val="20"/>
        </w:rPr>
        <w:t>EN: How I use AI to turn failed drugs into new medicines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42">
        <w:r>
          <w:rPr>
            <w:color w:val="1155CC"/>
            <w:u w:val="single"/>
          </w:rPr>
          <w:t>10.1038/d41586-026-01626-1</w:t>
        </w:r>
      </w:hyperlink>
    </w:p>
    <w:p>
      <w:pPr>
        <w:spacing w:before="0" w:after="120"/>
      </w:pPr>
      <w:r>
        <w:rPr>
          <w:b/>
        </w:rPr>
        <w:t xml:space="preserve">Notes: </w:t>
      </w:r>
      <w:r>
        <w:t>abstract_source=nature_html</w:t>
      </w:r>
    </w:p>
    <w:p>
      <w:pPr>
        <w:spacing w:before="0" w:after="80" w:lineRule="auto" w:line="276"/>
      </w:pPr>
      <w:r>
        <w:rPr>
          <w:b/>
        </w:rPr>
        <w:t xml:space="preserve">摘要（ZH）: </w:t>
      </w:r>
      <w:r>
        <w:t>通过将化学和生物学与人工智能建模相结合，Layla Hosseini-Gerami 正在寻找并复兴具有“巨大潜力”的疗法。通过将化学和生物学与人工智能建模相结合，Layla Hosseini-Gerami 正在寻找并复兴具有“巨大潜力”的疗法。</w:t>
      </w:r>
    </w:p>
    <w:p>
      <w:pPr>
        <w:spacing w:before="0" w:after="200" w:lineRule="auto" w:line="276"/>
      </w:pPr>
      <w:r>
        <w:rPr>
          <w:b/>
        </w:rPr>
        <w:t xml:space="preserve">Abstract (EN): </w:t>
      </w:r>
      <w:r>
        <w:t>By combining chemistry and biology with AI modelling, Layla Hosseini-Gerami is finding and reviving therapeutics with ‘huge potential’. By combining chemistry and biology with AI modelling, Layla Hosseini-Gerami is finding and reviving therapeutics with ‘huge potential’.</w:t>
      </w:r>
    </w:p>
    <w:p>
      <w:pPr>
        <w:spacing w:before="120" w:after="120"/>
      </w:pPr>
      <w:r>
        <w:rPr>
          <w:sz w:val="18"/>
        </w:rPr>
        <w:t>——————————————————————————————————————————————————————————————————————</w:t>
      </w:r>
    </w:p>
    <w:p>
      <w:pPr>
        <w:spacing w:before="160" w:after="40" w:line="240" w:lineRule="auto"/>
      </w:pPr>
      <w:r>
        <w:rPr>
          <w:b/>
        </w:rPr>
        <w:t xml:space="preserve">[229] </w:t>
      </w:r>
      <w:hyperlink r:id="rId743">
        <w:r>
          <w:rPr>
            <w:color w:val="1155CC"/>
            <w:u w:val="single"/>
          </w:rPr>
          <w:t>自然指数2026年研究领袖排名：中国的东亚邻国是否跟上？</w:t>
        </w:r>
      </w:hyperlink>
    </w:p>
    <w:p>
      <w:pPr>
        <w:spacing w:before="0" w:after="80"/>
      </w:pPr>
      <w:r>
        <w:rPr>
          <w:i/>
          <w:sz w:val="20"/>
        </w:rPr>
        <w:t>EN: Nature Index 2026 Research Leaders rankings: are China’s East Asian neighbours keeping pace with it?</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44">
        <w:r>
          <w:rPr>
            <w:color w:val="1155CC"/>
            <w:u w:val="single"/>
          </w:rPr>
          <w:t>10.1038/d41586-026-01662-x</w:t>
        </w:r>
      </w:hyperlink>
    </w:p>
    <w:p>
      <w:pPr>
        <w:spacing w:before="0" w:after="120"/>
      </w:pPr>
      <w:r>
        <w:rPr>
          <w:b/>
        </w:rPr>
        <w:t xml:space="preserve">Notes: </w:t>
      </w:r>
      <w:r>
        <w:t>abstract_source=nature_html</w:t>
      </w:r>
    </w:p>
    <w:p>
      <w:pPr>
        <w:spacing w:before="0" w:after="80" w:lineRule="auto" w:line="276"/>
      </w:pPr>
      <w:r>
        <w:rPr>
          <w:b/>
        </w:rPr>
        <w:t xml:space="preserve">摘要（ZH）: </w:t>
      </w:r>
      <w:r>
        <w:t>日本和韩国正在不断变化的研究格局中向西方同行发起挑战。日本和韩国正在不断变化的研究格局中向西方同行发起挑战。</w:t>
      </w:r>
    </w:p>
    <w:p>
      <w:pPr>
        <w:spacing w:before="0" w:after="200" w:lineRule="auto" w:line="276"/>
      </w:pPr>
      <w:r>
        <w:rPr>
          <w:b/>
        </w:rPr>
        <w:t xml:space="preserve">Abstract (EN): </w:t>
      </w:r>
      <w:r>
        <w:t>Japan and South Korea are challenging Western peers in a shifting research landscape. Japan and South Korea are challenging Western peers in a shifting research landscape.</w:t>
      </w:r>
    </w:p>
    <w:p>
      <w:pPr>
        <w:spacing w:before="120" w:after="120"/>
      </w:pPr>
      <w:r>
        <w:rPr>
          <w:sz w:val="18"/>
        </w:rPr>
        <w:t>——————————————————————————————————————————————————————————————————————</w:t>
      </w:r>
    </w:p>
    <w:p>
      <w:pPr>
        <w:spacing w:before="160" w:after="40" w:line="240" w:lineRule="auto"/>
      </w:pPr>
      <w:r>
        <w:rPr>
          <w:b/>
        </w:rPr>
        <w:t xml:space="preserve">[230] </w:t>
      </w:r>
      <w:hyperlink r:id="rId745">
        <w:r>
          <w:rPr>
            <w:color w:val="1155CC"/>
            <w:u w:val="single"/>
          </w:rPr>
          <w:t>每日简报：古代地松鼠的饮食方式就像“更新世的僵尸”</w:t>
        </w:r>
      </w:hyperlink>
    </w:p>
    <w:p>
      <w:pPr>
        <w:spacing w:before="0" w:after="80"/>
      </w:pPr>
      <w:r>
        <w:rPr>
          <w:i/>
          <w:sz w:val="20"/>
        </w:rPr>
        <w:t>EN: Daily briefing: Ancient ground squirrels ate like ‘zombies of the Pleistocene’</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46">
        <w:r>
          <w:rPr>
            <w:color w:val="1155CC"/>
            <w:u w:val="single"/>
          </w:rPr>
          <w:t>10.1038/d41586-026-01878-x</w:t>
        </w:r>
      </w:hyperlink>
    </w:p>
    <w:p>
      <w:pPr>
        <w:spacing w:before="0" w:after="120"/>
      </w:pPr>
      <w:r>
        <w:rPr>
          <w:b/>
        </w:rPr>
        <w:t xml:space="preserve">Notes: </w:t>
      </w:r>
      <w:r>
        <w:t>abstract_source=nature_html</w:t>
      </w:r>
    </w:p>
    <w:p>
      <w:pPr>
        <w:spacing w:before="0" w:after="80" w:lineRule="auto" w:line="276"/>
      </w:pPr>
      <w:r>
        <w:rPr>
          <w:b/>
        </w:rPr>
        <w:t xml:space="preserve">摘要（ZH）: </w:t>
      </w:r>
      <w:r>
        <w:t>来自粪便化石的证据揭示了古代地松鼠的多样化饮食。另外，肽热潮背后的科学原理以及我们与生俱来的逆时针徘徊倾向。来自粪便化石的证据揭示了古代地松鼠的多样化饮食。另外，肽热潮背后的科学原理以及我们与生俱来的逆时针徘徊倾向。</w:t>
      </w:r>
    </w:p>
    <w:p>
      <w:pPr>
        <w:spacing w:before="0" w:after="200" w:lineRule="auto" w:line="276"/>
      </w:pPr>
      <w:r>
        <w:rPr>
          <w:b/>
        </w:rPr>
        <w:t xml:space="preserve">Abstract (EN): </w:t>
      </w:r>
      <w:r>
        <w:t>Evidence from fossilized poo reveals the diverse diet of ancient ground squirrels. Plus, the science behind the peptide craze and our innate tendency to wander anticlockwise. Evidence from fossilized poo reveals the diverse diet of ancient ground squirrels. Plus, the science behind the peptide craze and our innate tendency to wander anticlockwise.</w:t>
      </w:r>
    </w:p>
    <w:p>
      <w:pPr>
        <w:spacing w:before="120" w:after="120"/>
      </w:pPr>
      <w:r>
        <w:rPr>
          <w:sz w:val="18"/>
        </w:rPr>
        <w:t>——————————————————————————————————————————————————————————————————————</w:t>
      </w:r>
    </w:p>
    <w:p>
      <w:pPr>
        <w:spacing w:before="160" w:after="40" w:line="240" w:lineRule="auto"/>
      </w:pPr>
      <w:r>
        <w:rPr>
          <w:b/>
        </w:rPr>
        <w:t xml:space="preserve">[231] </w:t>
      </w:r>
      <w:hyperlink r:id="rId747">
        <w:r>
          <w:rPr>
            <w:color w:val="1155CC"/>
            <w:u w:val="single"/>
          </w:rPr>
          <w:t>冰山融化落下的岩石孕育着生物多样性的深海绿洲</w:t>
        </w:r>
      </w:hyperlink>
    </w:p>
    <w:p>
      <w:pPr>
        <w:spacing w:before="0" w:after="80"/>
      </w:pPr>
      <w:r>
        <w:rPr>
          <w:i/>
          <w:sz w:val="20"/>
        </w:rPr>
        <w:t>EN: Rocks falling from melting icebergs host deep-sea oases of biodiversity</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48">
        <w:r>
          <w:rPr>
            <w:color w:val="1155CC"/>
            <w:u w:val="single"/>
          </w:rPr>
          <w:t>10.1038/d41586-026-01835-8</w:t>
        </w:r>
      </w:hyperlink>
    </w:p>
    <w:p>
      <w:pPr>
        <w:spacing w:before="0" w:after="120"/>
      </w:pPr>
      <w:r>
        <w:rPr>
          <w:b/>
        </w:rPr>
        <w:t xml:space="preserve">Notes: </w:t>
      </w:r>
      <w:r>
        <w:t>abstract_source=nature_html</w:t>
      </w:r>
    </w:p>
    <w:p>
      <w:pPr>
        <w:spacing w:before="0" w:after="80" w:lineRule="auto" w:line="276"/>
      </w:pPr>
      <w:r>
        <w:rPr>
          <w:b/>
        </w:rPr>
        <w:t xml:space="preserve">摘要（ZH）: </w:t>
      </w:r>
      <w:r>
        <w:t>气候变化的连锁反应为珊瑚、海绵和其他北极动物提供了栖息地。气候变化的连锁反应为珊瑚、海绵和其他北极动物提供了栖息地。</w:t>
      </w:r>
    </w:p>
    <w:p>
      <w:pPr>
        <w:spacing w:before="0" w:after="200" w:lineRule="auto" w:line="276"/>
      </w:pPr>
      <w:r>
        <w:rPr>
          <w:b/>
        </w:rPr>
        <w:t xml:space="preserve">Abstract (EN): </w:t>
      </w:r>
      <w:r>
        <w:t>A ripple effect of climate change is providing habitat for corals, sponges and other Arctic animals. A ripple effect of climate change is providing habitat for corals, sponges and other Arctic animals.</w:t>
      </w:r>
    </w:p>
    <w:p>
      <w:pPr>
        <w:spacing w:before="120" w:after="120"/>
      </w:pPr>
      <w:r>
        <w:rPr>
          <w:sz w:val="18"/>
        </w:rPr>
        <w:t>——————————————————————————————————————————————————————————————————————</w:t>
      </w:r>
    </w:p>
    <w:p>
      <w:pPr>
        <w:spacing w:before="160" w:after="40" w:line="240" w:lineRule="auto"/>
      </w:pPr>
      <w:r>
        <w:rPr>
          <w:b/>
        </w:rPr>
        <w:t xml:space="preserve">[232] </w:t>
      </w:r>
      <w:hyperlink r:id="rId749">
        <w:r>
          <w:rPr>
            <w:color w:val="1155CC"/>
            <w:u w:val="single"/>
          </w:rPr>
          <w:t>人工智能揭示隐藏的全球移民流动</w:t>
        </w:r>
      </w:hyperlink>
    </w:p>
    <w:p>
      <w:pPr>
        <w:spacing w:before="0" w:after="80"/>
      </w:pPr>
      <w:r>
        <w:rPr>
          <w:i/>
          <w:sz w:val="20"/>
        </w:rPr>
        <w:t>EN: Artificial intelligence shines a light on hidden global migration flows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50">
        <w:r>
          <w:rPr>
            <w:color w:val="1155CC"/>
            <w:u w:val="single"/>
          </w:rPr>
          <w:t>10.1038/d41586-026-01588-4</w:t>
        </w:r>
      </w:hyperlink>
    </w:p>
    <w:p>
      <w:pPr>
        <w:spacing w:before="0" w:after="120"/>
      </w:pPr>
      <w:r>
        <w:rPr>
          <w:b/>
        </w:rPr>
        <w:t xml:space="preserve">Notes: </w:t>
      </w:r>
      <w:r>
        <w:t>abstract_source=nature_html</w:t>
      </w:r>
    </w:p>
    <w:p>
      <w:pPr>
        <w:spacing w:before="0" w:after="80" w:lineRule="auto" w:line="276"/>
      </w:pPr>
      <w:r>
        <w:rPr>
          <w:b/>
        </w:rPr>
        <w:t xml:space="preserve">摘要（ZH）: </w:t>
      </w:r>
      <w:r>
        <w:t>训练神经网络来整理来自多个来源的数据，可以提供人们如何在世界各地移动的高分辨率视图。训练神经网络来整理来自多个来源的数据，可以提供人们如何在世界各地移动的高分辨率视图。</w:t>
      </w:r>
    </w:p>
    <w:p>
      <w:pPr>
        <w:spacing w:before="0" w:after="200" w:lineRule="auto" w:line="276"/>
      </w:pPr>
      <w:r>
        <w:rPr>
          <w:b/>
        </w:rPr>
        <w:t xml:space="preserve">Abstract (EN): </w:t>
      </w:r>
      <w:r>
        <w:t>Training a neural network to collate data from several sources provides a high-resolution view of how people are moving around the world. Training a neural network to collate data from several sources provides a high-resolution view of how people are moving around the world.</w:t>
      </w:r>
    </w:p>
    <w:p>
      <w:pPr>
        <w:spacing w:before="120" w:after="120"/>
      </w:pPr>
      <w:r>
        <w:rPr>
          <w:sz w:val="18"/>
        </w:rPr>
        <w:t>——————————————————————————————————————————————————————————————————————</w:t>
      </w:r>
    </w:p>
    <w:p>
      <w:pPr>
        <w:spacing w:before="160" w:after="40" w:line="240" w:lineRule="auto"/>
      </w:pPr>
      <w:r>
        <w:rPr>
          <w:b/>
        </w:rPr>
        <w:t xml:space="preserve">[233] </w:t>
      </w:r>
      <w:hyperlink r:id="rId751">
        <w:r>
          <w:rPr>
            <w:color w:val="1155CC"/>
            <w:u w:val="single"/>
          </w:rPr>
          <w:t>科学家工作中的五张获奖照片</w:t>
        </w:r>
      </w:hyperlink>
    </w:p>
    <w:p>
      <w:pPr>
        <w:spacing w:before="0" w:after="80"/>
      </w:pPr>
      <w:r>
        <w:rPr>
          <w:i/>
          <w:sz w:val="20"/>
        </w:rPr>
        <w:t>EN: Five winning images of scientists at work</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52">
        <w:r>
          <w:rPr>
            <w:color w:val="1155CC"/>
            <w:u w:val="single"/>
          </w:rPr>
          <w:t>10.1038/d41586-026-01819-8</w:t>
        </w:r>
      </w:hyperlink>
    </w:p>
    <w:p>
      <w:pPr>
        <w:spacing w:before="0" w:after="120"/>
      </w:pPr>
      <w:r>
        <w:rPr>
          <w:b/>
        </w:rPr>
        <w:t xml:space="preserve">Notes: </w:t>
      </w:r>
      <w:r>
        <w:t>abstract_source=nature_html</w:t>
      </w:r>
    </w:p>
    <w:p>
      <w:pPr>
        <w:spacing w:before="0" w:after="80" w:lineRule="auto" w:line="276"/>
      </w:pPr>
      <w:r>
        <w:rPr>
          <w:b/>
        </w:rPr>
        <w:t xml:space="preserve">摘要（ZH）: </w:t>
      </w:r>
      <w:r>
        <w:t>从天空到海洋，再回到实验室，以下是《自然》杂志 2026 年摄影大赛的最佳照片。</w:t>
      </w:r>
    </w:p>
    <w:p>
      <w:pPr>
        <w:spacing w:before="0" w:after="200" w:lineRule="auto" w:line="276"/>
      </w:pPr>
      <w:r>
        <w:rPr>
          <w:b/>
        </w:rPr>
        <w:t xml:space="preserve">Abstract (EN): </w:t>
      </w:r>
      <w:r>
        <w:t>From sky to sea, and then back to the lab, here are the top images from Nature’s 2026 photo competition.</w:t>
      </w:r>
    </w:p>
    <w:p>
      <w:pPr>
        <w:spacing w:before="120" w:after="120"/>
      </w:pPr>
      <w:r>
        <w:rPr>
          <w:sz w:val="18"/>
        </w:rPr>
        <w:t>——————————————————————————————————————————————————————————————————————</w:t>
      </w:r>
    </w:p>
    <w:p>
      <w:pPr>
        <w:spacing w:before="160" w:after="40" w:line="240" w:lineRule="auto"/>
      </w:pPr>
      <w:r>
        <w:rPr>
          <w:b/>
        </w:rPr>
        <w:t xml:space="preserve">[234] </w:t>
      </w:r>
      <w:hyperlink r:id="rId753">
        <w:r>
          <w:rPr>
            <w:color w:val="1155CC"/>
            <w:u w:val="single"/>
          </w:rPr>
          <w:t>发现了一个巨大的鲸鱼墓地</w:t>
        </w:r>
      </w:hyperlink>
    </w:p>
    <w:p>
      <w:pPr>
        <w:spacing w:before="0" w:after="80"/>
      </w:pPr>
      <w:r>
        <w:rPr>
          <w:i/>
          <w:sz w:val="20"/>
        </w:rPr>
        <w:t>EN: A vast whale necropolis has been found</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54">
        <w:r>
          <w:rPr>
            <w:color w:val="1155CC"/>
            <w:u w:val="single"/>
          </w:rPr>
          <w:t>10.1038/d41586-026-01581-x</w:t>
        </w:r>
      </w:hyperlink>
    </w:p>
    <w:p>
      <w:pPr>
        <w:spacing w:before="0" w:after="120"/>
      </w:pPr>
      <w:r>
        <w:rPr>
          <w:b/>
        </w:rPr>
        <w:t xml:space="preserve">Notes: </w:t>
      </w:r>
      <w:r>
        <w:t>abstract_source=nature_html</w:t>
      </w:r>
    </w:p>
    <w:p>
      <w:pPr>
        <w:spacing w:before="0" w:after="80" w:lineRule="auto" w:line="276"/>
      </w:pPr>
      <w:r>
        <w:rPr>
          <w:b/>
        </w:rPr>
        <w:t xml:space="preserve">摘要（ZH）: </w:t>
      </w:r>
      <w:r>
        <w:t>在印度洋，长约1200公里、深约7公里的深海区域被发现蕴藏着鲸鱼遗骸的生态标志性遗址。在印度洋，长约1200公里、深约7公里的深海区域被发现蕴藏着鲸鱼遗骸的生态标志性遗址。</w:t>
      </w:r>
    </w:p>
    <w:p>
      <w:pPr>
        <w:spacing w:before="0" w:after="200" w:lineRule="auto" w:line="276"/>
      </w:pPr>
      <w:r>
        <w:rPr>
          <w:b/>
        </w:rPr>
        <w:t xml:space="preserve">Abstract (EN): </w:t>
      </w:r>
      <w:r>
        <w:t>In the Indian Ocean, a deep-sea area roughly 1,200 kilometres long and 7 kilometres deep was found to harbour an ecological landmark site of whale remains. In the Indian Ocean, a deep-sea area roughly 1,200 kilometres long and 7 kilometres deep was found to harbour an ecological landmark site of whale remains.</w:t>
      </w:r>
    </w:p>
    <w:p>
      <w:pPr>
        <w:spacing w:before="120" w:after="120"/>
      </w:pPr>
      <w:r>
        <w:rPr>
          <w:sz w:val="18"/>
        </w:rPr>
        <w:t>——————————————————————————————————————————————————————————————————————</w:t>
      </w:r>
    </w:p>
    <w:p>
      <w:pPr>
        <w:spacing w:before="160" w:after="40" w:line="240" w:lineRule="auto"/>
      </w:pPr>
      <w:r>
        <w:rPr>
          <w:b/>
        </w:rPr>
        <w:t xml:space="preserve">[235] </w:t>
      </w:r>
      <w:hyperlink r:id="rId755">
        <w:r>
          <w:rPr>
            <w:color w:val="1155CC"/>
            <w:u w:val="single"/>
          </w:rPr>
          <w:t>自 2000 年以来，人类迁徙激增——这些地图揭示了人们的去向</w:t>
        </w:r>
      </w:hyperlink>
    </w:p>
    <w:p>
      <w:pPr>
        <w:spacing w:before="0" w:after="80"/>
      </w:pPr>
      <w:r>
        <w:rPr>
          <w:i/>
          <w:sz w:val="20"/>
        </w:rPr>
        <w:t>EN: Human migration has surged since 2000 — these maps reveal where people are going</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56">
        <w:r>
          <w:rPr>
            <w:color w:val="1155CC"/>
            <w:u w:val="single"/>
          </w:rPr>
          <w:t>10.1038/d41586-026-01796-y</w:t>
        </w:r>
      </w:hyperlink>
    </w:p>
    <w:p>
      <w:pPr>
        <w:spacing w:before="0" w:after="120"/>
      </w:pPr>
      <w:r>
        <w:rPr>
          <w:b/>
        </w:rPr>
        <w:t xml:space="preserve">Notes: </w:t>
      </w:r>
      <w:r>
        <w:t>abstract_source=nature_html</w:t>
      </w:r>
    </w:p>
    <w:p>
      <w:pPr>
        <w:spacing w:before="0" w:after="80" w:lineRule="auto" w:line="276"/>
      </w:pPr>
      <w:r>
        <w:rPr>
          <w:b/>
        </w:rPr>
        <w:t xml:space="preserve">摘要（ZH）: </w:t>
      </w:r>
      <w:r>
        <w:t>利用人工智能工具进行建模填补了移民数据的空白，揭示了 1990 年至 2023 年全球人口流动的详细情况。利用人工智能工具进行建模填补了移民数据的空白，揭示了 1990 年至 2023 年全球人口流动的详细情况。</w:t>
      </w:r>
    </w:p>
    <w:p>
      <w:pPr>
        <w:spacing w:before="0" w:after="200" w:lineRule="auto" w:line="276"/>
      </w:pPr>
      <w:r>
        <w:rPr>
          <w:b/>
        </w:rPr>
        <w:t xml:space="preserve">Abstract (EN): </w:t>
      </w:r>
      <w:r>
        <w:t>Modelling with artificial-intelligence tools has filled gaps in migration data, revealing detailed global population movements from 1990 to 2023. Modelling with artificial-intelligence tools has filled gaps in migration data, revealing detailed global population movements from 1990 to 2023.</w:t>
      </w:r>
    </w:p>
    <w:p>
      <w:pPr>
        <w:spacing w:before="120" w:after="120"/>
      </w:pPr>
      <w:r>
        <w:rPr>
          <w:sz w:val="18"/>
        </w:rPr>
        <w:t>——————————————————————————————————————————————————————————————————————</w:t>
      </w:r>
    </w:p>
    <w:p>
      <w:pPr>
        <w:spacing w:before="160" w:after="40" w:line="240" w:lineRule="auto"/>
      </w:pPr>
      <w:r>
        <w:rPr>
          <w:b/>
        </w:rPr>
        <w:t xml:space="preserve">[236] </w:t>
      </w:r>
      <w:hyperlink r:id="rId757">
        <w:r>
          <w:rPr>
            <w:color w:val="1155CC"/>
            <w:u w:val="single"/>
          </w:rPr>
          <w:t>深度学习人类迁徙的四十年</w:t>
        </w:r>
      </w:hyperlink>
    </w:p>
    <w:p>
      <w:pPr>
        <w:spacing w:before="0" w:after="80"/>
      </w:pPr>
      <w:r>
        <w:rPr>
          <w:i/>
          <w:sz w:val="20"/>
        </w:rPr>
        <w:t>EN: Deep learning four decades of human migration</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58">
        <w:r>
          <w:rPr>
            <w:color w:val="1155CC"/>
            <w:u w:val="single"/>
          </w:rPr>
          <w:t>10.1038/s41586-026-10611-7</w:t>
        </w:r>
      </w:hyperlink>
    </w:p>
    <w:p>
      <w:pPr>
        <w:spacing w:before="0" w:after="120"/>
      </w:pPr>
      <w:r>
        <w:rPr>
          <w:b/>
        </w:rPr>
        <w:t xml:space="preserve">Notes: </w:t>
      </w:r>
      <w:r>
        <w:t>abstract_source=nature_html</w:t>
      </w:r>
    </w:p>
    <w:p>
      <w:pPr>
        <w:spacing w:before="0" w:after="80" w:lineRule="auto" w:line="276"/>
      </w:pPr>
      <w:r>
        <w:rPr>
          <w:b/>
        </w:rPr>
        <w:t xml:space="preserve">摘要（ZH）: </w:t>
      </w:r>
      <w:r>
        <w:t>人口迁移是全球人口变化的根本驱动力，影响着各国的人口结构、劳动力市场和社会政策1,2,3。尽管长期移民模式通常与经济发展4有关，但它们可能会因冲突、环境危机和政治变革等冲击而迅速发生变化5。尽管迁移很重要，但它仍然难以一致地衡量：现有数据稀疏，集中在高收入环境，并且在不兼容的定义、时间分辨率和数据类型中分散6、7、8。过去的努力依赖于部分数据集，包括覆盖范围有限的流量记录、种群估计和基于模型的重建9,10,11,12,13,14。因此，一个核心挑战是建立一个全球一致的、高分辨率的长期移民流动账户。在这里，我们提出了 1990 年至今 230 个国家和地区每年始发地-目的地迁移的新数据集，将不同的数据源整合到统一的建模框架中。通过结合官方统计数据、基于人口普查的种群、净移民估计和过去的流量重建，我们的方法产生了时间上详细和空间上全面的估计，从而大大扩展了现有资源。使用由地理、经济、文化和政治协变量提供信息的深层循环神经网络集合，我们可以捕获持续趋势和对不断变化的条件的短期响应，同时传播不确定性以产生置信区间。我们的业绩优于现有五年</w:t>
      </w:r>
    </w:p>
    <w:p>
      <w:pPr>
        <w:spacing w:before="0" w:after="200" w:lineRule="auto" w:line="276"/>
      </w:pPr>
      <w:r>
        <w:rPr>
          <w:b/>
        </w:rPr>
        <w:t xml:space="preserve">Abstract (EN): </w:t>
      </w:r>
      <w:r>
        <w:t>Human migration is a fundamental driver of global demographic change, shaping population structure, labour markets and social policy across countries1,2,3. Although long-term migration patterns are often linked to economic development4, they can shift rapidly in response to shocks such as conflict, environmental crises and political change5. Despite its importance, migration remains difficult to measure consistently: existing data are sparse, concentrated in high-income settings and are fragmented across incompatible definitions, temporal resolutions and data types6,7,8. Past efforts have relied on partial datasets, including flow records, stock estimates and model-based reconstructions with limited coverage9,10,11,12,13,14. A central challenge is therefore to construct a globally consistent, high-resolution account of migration flows over time. Here we present a new dataset of annual origin-destination migration across 230 countries and regions from 1990 to the present, integrating diverse data sources into a unified modelling framework. By combining official statistics, census-based stocks, net migration estimates and past flow reconstructions, our approach produces temporally detailed and spatially comprehensive estimates that substantially extend existing resources. Using an ensemble of deep recurrent neural networks informed by geographic, economic, cultural and political covariates, we capture both persistent trends and short-term responses to changing conditions—all while propagating uncertainty to generate confidence bounds. Our results outperform existing five-year flow estimates on held-out data and provide finer temporal resolution, revealing previously obscured dynamics in global migration patterns. This framework highlights regions in which uncertainty remains high and data collection is most urgently needed. By releasing all data, code and trained models, we provide a transparent and reproducible foundation for future work. These advances enable a more timely and detailed understanding of human mobility, with implications for research and policy in an increasingly dynamic global system.</w:t>
      </w:r>
    </w:p>
    <w:p>
      <w:pPr>
        <w:spacing w:before="120" w:after="120"/>
      </w:pPr>
      <w:r>
        <w:rPr>
          <w:sz w:val="18"/>
        </w:rPr>
        <w:t>——————————————————————————————————————————————————————————————————————</w:t>
      </w:r>
    </w:p>
    <w:p>
      <w:pPr>
        <w:spacing w:before="160" w:after="40" w:line="240" w:lineRule="auto"/>
      </w:pPr>
      <w:r>
        <w:rPr>
          <w:b/>
        </w:rPr>
        <w:t xml:space="preserve">[237] </w:t>
      </w:r>
      <w:hyperlink r:id="rId759">
        <w:r>
          <w:rPr>
            <w:color w:val="1155CC"/>
            <w:u w:val="single"/>
          </w:rPr>
          <w:t>证实寒武纪大爆发期间存在苔藓虫动物</w:t>
        </w:r>
      </w:hyperlink>
    </w:p>
    <w:p>
      <w:pPr>
        <w:spacing w:before="0" w:after="80"/>
      </w:pPr>
      <w:r>
        <w:rPr>
          <w:i/>
          <w:sz w:val="20"/>
        </w:rPr>
        <w:t>EN: Confirmation that bryozoan animals were present during the Cambrian explosion</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60">
        <w:r>
          <w:rPr>
            <w:color w:val="1155CC"/>
            <w:u w:val="single"/>
          </w:rPr>
          <w:t>10.1038/d41586-026-01753-9</w:t>
        </w:r>
      </w:hyperlink>
    </w:p>
    <w:p>
      <w:pPr>
        <w:spacing w:before="0" w:after="120"/>
      </w:pPr>
      <w:r>
        <w:rPr>
          <w:b/>
        </w:rPr>
        <w:t xml:space="preserve">Notes: </w:t>
      </w:r>
      <w:r>
        <w:t>abstract_source=nature_html</w:t>
      </w:r>
    </w:p>
    <w:p>
      <w:pPr>
        <w:spacing w:before="0" w:after="80" w:lineRule="auto" w:line="276"/>
      </w:pPr>
      <w:r>
        <w:rPr>
          <w:b/>
        </w:rPr>
        <w:t xml:space="preserve">摘要（ZH）: </w:t>
      </w:r>
      <w:r>
        <w:t>苔藓虫是群居的海洋无脊椎动物，长期以来一直被认为没有出现在寒武纪大爆发中——这是一场大约 5.38 亿年前开始的快速进化事件。新发现的寒武纪化石表明，苔藓虫门此时已经多样化。两种苔藓动物的化石显示出其矿化骨骼内仍保存有软组织的证据。</w:t>
      </w:r>
    </w:p>
    <w:p>
      <w:pPr>
        <w:spacing w:before="0" w:after="200" w:lineRule="auto" w:line="276"/>
      </w:pPr>
      <w:r>
        <w:rPr>
          <w:b/>
        </w:rPr>
        <w:t xml:space="preserve">Abstract (EN): </w:t>
      </w:r>
      <w:r>
        <w:t>Bryozoans are marine invertebrates that live in colonies and have long been considered absent from the Cambrian explosion — a rapid evolutionary event that began around 538 million years ago. Newly discovered fossils from the Cambrian period reveal that the bryozoan phylum had already diversified by this time. Fossils of two forms of bryozoans show evidence of soft tissue still preserved inside their mineralized skeletons.</w:t>
      </w:r>
    </w:p>
    <w:p>
      <w:pPr>
        <w:spacing w:before="120" w:after="120"/>
      </w:pPr>
      <w:r>
        <w:rPr>
          <w:sz w:val="18"/>
        </w:rPr>
        <w:t>——————————————————————————————————————————————————————————————————————</w:t>
      </w:r>
    </w:p>
    <w:p>
      <w:pPr>
        <w:spacing w:before="160" w:after="40" w:line="240" w:lineRule="auto"/>
      </w:pPr>
      <w:r>
        <w:rPr>
          <w:b/>
        </w:rPr>
        <w:t xml:space="preserve">[238] </w:t>
      </w:r>
      <w:hyperlink r:id="rId761">
        <w:r>
          <w:rPr>
            <w:color w:val="1155CC"/>
            <w:u w:val="single"/>
          </w:rPr>
          <w:t>通过校正和检测提高量子处理器逻辑错误率</w:t>
        </w:r>
      </w:hyperlink>
    </w:p>
    <w:p>
      <w:pPr>
        <w:spacing w:before="0" w:after="80"/>
      </w:pPr>
      <w:r>
        <w:rPr>
          <w:i/>
          <w:sz w:val="20"/>
        </w:rPr>
        <w:t>EN: Improved quantum processor logical error rates via correction and detection</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62">
        <w:r>
          <w:rPr>
            <w:color w:val="1155CC"/>
            <w:u w:val="single"/>
          </w:rPr>
          <w:t>10.1038/s41586-026-10628-y</w:t>
        </w:r>
      </w:hyperlink>
    </w:p>
    <w:p>
      <w:pPr>
        <w:spacing w:before="0" w:after="120"/>
      </w:pPr>
      <w:r>
        <w:rPr>
          <w:b/>
        </w:rPr>
        <w:t xml:space="preserve">Notes: </w:t>
      </w:r>
      <w:r>
        <w:t>abstract_source=nature_html</w:t>
      </w:r>
    </w:p>
    <w:p>
      <w:pPr>
        <w:spacing w:before="0" w:after="80" w:lineRule="auto" w:line="276"/>
      </w:pPr>
      <w:r>
        <w:rPr>
          <w:b/>
        </w:rPr>
        <w:t xml:space="preserve">摘要（ZH）: </w:t>
      </w:r>
      <w:r>
        <w:t>对物理和化学中的关键问题执行量子算法所需的错误率远低于现有量子计算机的物理错误率。要实现如此低的逻辑错误率，需要量子纠错1,2，并且物理错误率低于临界阈值3,4,5,6,7,8。我们通过实验证明了俘获离子量子电荷耦合器件 (QCCD)9,10 与几个物理电路基线相比，包括多个量子位上的量子计算，逻辑错误率提高了 11 倍到 800 倍。我们的结果取决于针对离子阱处理器优化的两种量子纠错代码结构：受 Knill11 启发编码两个量子位的 12 量子位代码和编码四个量子位 12,13 的 16 量子位超正方颜色代码。这些结构与错误检测和后选择的可扩展方法相结合，以降低逻辑错误率。我们的结果表明，最先进的量子设备已经能够利用容错和纠错来强烈抑制重要量子电路计算中的错误。</w:t>
      </w:r>
    </w:p>
    <w:p>
      <w:pPr>
        <w:spacing w:before="0" w:after="200" w:lineRule="auto" w:line="276"/>
      </w:pPr>
      <w:r>
        <w:rPr>
          <w:b/>
        </w:rPr>
        <w:t xml:space="preserve">Abstract (EN): </w:t>
      </w:r>
      <w:r>
        <w:t>Performing quantum algorithms for critical problems in physics and chemistry requires substantially lower error rates than the physical error rates of present quantum computers. Achieving such low logical error rates requires quantum error correction1,2 and physical error rates below a critical threshold value3,4,5,6,7,8. We experimentally demonstrate on a trapped-ion quantum charge-coupled device (QCCD)9,10 improvements in logical error rates ranging from 11× to 800× compared with several physical circuit baselines, including quantum computation on multiple qubits. Our results hinge on two quantum error correction code constructions optimized for an ion-trap processor: a 12-qubit code encoding two qubits inspired by Knill11 and a 16-qubit tesseract colour code encoding four qubits12,13. These constructions are combined with a scalable method of error detection and post-selection to achieve reduced logical error rates. Our results show that state-of-the-art quantum devices are already able to make use of fault tolerance and error correction to strongly suppress errors in non-trivial quantum circuit computations.</w:t>
      </w:r>
    </w:p>
    <w:p>
      <w:pPr>
        <w:spacing w:before="120" w:after="120"/>
      </w:pPr>
      <w:r>
        <w:rPr>
          <w:sz w:val="18"/>
        </w:rPr>
        <w:t>——————————————————————————————————————————————————————————————————————</w:t>
      </w:r>
    </w:p>
    <w:p>
      <w:pPr>
        <w:spacing w:before="160" w:after="40" w:line="240" w:lineRule="auto"/>
      </w:pPr>
      <w:r>
        <w:rPr>
          <w:b/>
        </w:rPr>
        <w:t xml:space="preserve">[239] </w:t>
      </w:r>
      <w:hyperlink r:id="rId763">
        <w:r>
          <w:rPr>
            <w:color w:val="1155CC"/>
            <w:u w:val="single"/>
          </w:rPr>
          <w:t>中国探测器距离解开中微子质量之谜又近了一步</w:t>
        </w:r>
      </w:hyperlink>
    </w:p>
    <w:p>
      <w:pPr>
        <w:spacing w:before="0" w:after="80"/>
      </w:pPr>
      <w:r>
        <w:rPr>
          <w:i/>
          <w:sz w:val="20"/>
        </w:rPr>
        <w:t>EN: Chinese detector edges closer to solving the mystery of neutrino mass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64">
        <w:r>
          <w:rPr>
            <w:color w:val="1155CC"/>
            <w:u w:val="single"/>
          </w:rPr>
          <w:t>10.1038/d41586-026-01851-8</w:t>
        </w:r>
      </w:hyperlink>
    </w:p>
    <w:p>
      <w:pPr>
        <w:spacing w:before="0" w:after="120"/>
      </w:pPr>
      <w:r>
        <w:rPr>
          <w:b/>
        </w:rPr>
        <w:t xml:space="preserve">Notes: </w:t>
      </w:r>
      <w:r>
        <w:t>abstract_source=nature_html</w:t>
      </w:r>
    </w:p>
    <w:p>
      <w:pPr>
        <w:spacing w:before="0" w:after="80" w:lineRule="auto" w:line="276"/>
      </w:pPr>
      <w:r>
        <w:rPr>
          <w:b/>
        </w:rPr>
        <w:t xml:space="preserve">摘要（ZH）: </w:t>
      </w:r>
      <w:r>
        <w:t>物理学家希望朱诺设施能够确定哪种类型的中微子具有最高的质量。物理学家希望朱诺设施能够确定哪种类型的中微子具有最高的质量。</w:t>
      </w:r>
    </w:p>
    <w:p>
      <w:pPr>
        <w:spacing w:before="0" w:after="200" w:lineRule="auto" w:line="276"/>
      </w:pPr>
      <w:r>
        <w:rPr>
          <w:b/>
        </w:rPr>
        <w:t xml:space="preserve">Abstract (EN): </w:t>
      </w:r>
      <w:r>
        <w:t>Physicists hope that the JUNO facility can determine which type of neutrino has the highest mass. Physicists hope that the JUNO facility can determine which type of neutrino has the highest mass.</w:t>
      </w:r>
    </w:p>
    <w:p>
      <w:pPr>
        <w:spacing w:before="120" w:after="120"/>
      </w:pPr>
      <w:r>
        <w:rPr>
          <w:sz w:val="18"/>
        </w:rPr>
        <w:t>——————————————————————————————————————————————————————————————————————</w:t>
      </w:r>
    </w:p>
    <w:p>
      <w:pPr>
        <w:spacing w:before="160" w:after="40" w:line="240" w:lineRule="auto"/>
      </w:pPr>
      <w:r>
        <w:rPr>
          <w:b/>
        </w:rPr>
        <w:t xml:space="preserve">[240] </w:t>
      </w:r>
      <w:hyperlink r:id="rId765">
        <w:r>
          <w:rPr>
            <w:color w:val="1155CC"/>
            <w:u w:val="single"/>
          </w:rPr>
          <w:t>北极冰山交通的扩大重塑了底栖生物多样性</w:t>
        </w:r>
      </w:hyperlink>
    </w:p>
    <w:p>
      <w:pPr>
        <w:spacing w:before="0" w:after="80"/>
      </w:pPr>
      <w:r>
        <w:rPr>
          <w:i/>
          <w:sz w:val="20"/>
        </w:rPr>
        <w:t>EN: Amplified Arctic iceberg traffic reshapes benthic biodiversity</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66">
        <w:r>
          <w:rPr>
            <w:color w:val="1155CC"/>
            <w:u w:val="single"/>
          </w:rPr>
          <w:t>10.1038/s41586-026-10630-4</w:t>
        </w:r>
      </w:hyperlink>
    </w:p>
    <w:p>
      <w:pPr>
        <w:spacing w:before="0" w:after="120"/>
      </w:pPr>
      <w:r>
        <w:rPr>
          <w:b/>
        </w:rPr>
        <w:t xml:space="preserve">Notes: </w:t>
      </w:r>
      <w:r>
        <w:t>abstract_source=nature_html</w:t>
      </w:r>
    </w:p>
    <w:p>
      <w:pPr>
        <w:spacing w:before="0" w:after="80" w:lineRule="auto" w:line="276"/>
      </w:pPr>
      <w:r>
        <w:rPr>
          <w:b/>
        </w:rPr>
        <w:t xml:space="preserve">摘要（ZH）: </w:t>
      </w:r>
      <w:r>
        <w:t>北极正在经历快速变暖，导致海冰和冰川消退1，但冰冻圈变化如何传播到深海仍知之甚少2。在这里，我们确定了一种气候驱动的机制，将冰川加速融化与远远超出崩解​​前沿的深海硬底栖息地的增加联系起来。弗拉姆海峡的海底观测显示，充满碎片的冰山所产生的落石密度和斑块状局部增加。与此同时，四十年的船上记录显示，冰山的出现在 2000 年代初急剧增加。回溯将这些冰山与格陵兰岛东北部和俄罗斯北极地区的主要出口冰川联系起来。在格陵兰岛东北部，冰川不稳定的时间与冰川上升的时间一致，而俄罗斯地区稀疏的卫星覆盖限制了时间归因，尽管有迹象表明冰川活动有所增强。模型敏感性研究表明，除了加剧的崩解之外，更具动态的海冰覆盖还增强了冰川冰的下游运输。沿着这些路径，冰山活动的增加可能会通过增加融化和相关的岩石输入来重塑深海栖息地，并随着北极海上交通的扩大而增加航行危险。尽管与更新世海因里希事件的冰山排放相比，这一机制较为温和，但这种机制提供了气候变暖时冰冻圈对海底的远程影响的现代模拟。</w:t>
      </w:r>
    </w:p>
    <w:p>
      <w:pPr>
        <w:spacing w:before="0" w:after="200" w:lineRule="auto" w:line="276"/>
      </w:pPr>
      <w:r>
        <w:rPr>
          <w:b/>
        </w:rPr>
        <w:t xml:space="preserve">Abstract (EN): </w:t>
      </w:r>
      <w:r>
        <w:t>The Arctic is undergoing rapid warming, resulting in retreating sea ice and glaciers1, yet how cryospheric changes propagate into the deep ocean remains poorly understood2. Here we identify a climate-driven mechanism linking accelerating glacier disintegration to an increase in deep-sea hard-bottom habitats far beyond calving fronts. Seafloor observations in Fram Strait show a localized increase in the density and patchiness of dropstones delivered by debris-laden icebergs. At the same time, four decades of shipboard records show that the occurrence of icebergs increased abruptly in the early 2000s. Backtracking links these icebergs to the main outlet glaciers in northeast Greenland and the Russian High Arctic. In northeast Greenland, the timing of glacier destabilization coincides with this rise, whereas sparse satellite coverage in the Russian sector limits temporal attribution despite indications of enhanced glacier activity. A model sensitivity study shows that, apart from intensified calving, a more dynamic sea ice cover enhances downstream transport of glacial ice. Along these pathways, increased iceberg activity could reshape deep-sea habitats through enhanced melt and associated lithogenic input, and elevate navigational hazards as maritime traffic expands in the Arctic. Although modest compared with the iceberg discharges of Pleistocene Heinrich events, this mechanism provides a modern analogue of long-range cryospheric influence on the seafloor in a warming climate.</w:t>
      </w:r>
    </w:p>
    <w:p>
      <w:pPr>
        <w:spacing w:before="120" w:after="120"/>
      </w:pPr>
      <w:r>
        <w:rPr>
          <w:sz w:val="18"/>
        </w:rPr>
        <w:t>——————————————————————————————————————————————————————————————————————</w:t>
      </w:r>
    </w:p>
    <w:p>
      <w:pPr>
        <w:spacing w:before="160" w:after="40" w:line="240" w:lineRule="auto"/>
      </w:pPr>
      <w:r>
        <w:rPr>
          <w:b/>
        </w:rPr>
        <w:t xml:space="preserve">[241] </w:t>
      </w:r>
      <w:hyperlink r:id="rId767">
        <w:r>
          <w:rPr>
            <w:color w:val="1155CC"/>
            <w:u w:val="single"/>
          </w:rPr>
          <w:t>激动性神经毒素对人类 Nav1.6 的不同结合姿势</w:t>
        </w:r>
      </w:hyperlink>
    </w:p>
    <w:p>
      <w:pPr>
        <w:spacing w:before="0" w:after="80"/>
      </w:pPr>
      <w:r>
        <w:rPr>
          <w:i/>
          <w:sz w:val="20"/>
        </w:rPr>
        <w:t>EN: Diverse binding poses of agonistic neurotoxins on human Nav1.6</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68">
        <w:r>
          <w:rPr>
            <w:color w:val="1155CC"/>
            <w:u w:val="single"/>
          </w:rPr>
          <w:t>10.1038/s41586-026-10661-x</w:t>
        </w:r>
      </w:hyperlink>
    </w:p>
    <w:p>
      <w:pPr>
        <w:spacing w:before="0" w:after="120"/>
      </w:pPr>
      <w:r>
        <w:rPr>
          <w:b/>
        </w:rPr>
        <w:t xml:space="preserve">Notes: </w:t>
      </w:r>
      <w:r>
        <w:t>abstract_source=nature_html</w:t>
      </w:r>
    </w:p>
    <w:p>
      <w:pPr>
        <w:spacing w:before="0" w:after="80" w:lineRule="auto" w:line="276"/>
      </w:pPr>
      <w:r>
        <w:rPr>
          <w:b/>
        </w:rPr>
        <w:t xml:space="preserve">摘要（ZH）: </w:t>
      </w:r>
      <w:r>
        <w:t>电压门控钠 (Nav) 通道是各种有毒毒素的关键目标。破译代表性毒素的结合姿势和作用机制将有助于剖析通道的功能机制并促进针对 Nav 通道的治疗开发1,2。在这里，我们展示了三种激动性肽毒素在人类 Nav1.6-β1 通道复合物上的不同结合姿势的冷冻电子显微镜 (cryo-EM) 结构。球状 β-蝎子毒素 Cn2 坐落在 Nav1.6 核心 α-单元 (VSDII) 第二个重复中的电压传感结构域 (VSD) 的细胞外片段和 Nav1.6 核心 α-单元 (ECLIII) 第三个重复中的孔细胞外环之间，通过与两个蛋白质区域和支链 N1372-聚糖的相互作用而稳定。锥螺ι-芋螺毒素 RXIA 采用细长构象，跨越 VSDI 和 VSDIV，包裹在孔域 (PD) 的肩部。子弹蚁衍生毒素 δ-paraponeritoxin-Pc1a 以跨膜螺旋形式存在，位于 VSDII 和 PDIII 之间。我们的研究结果通过功能表征得到证实，说明了肽毒素结合姿势和作用机制的多样性，将 VSDI 或 VSDII 上态的稳定与通道激活联系起来，并为选择性 Nav 通道调制器的合理设计提供了线索。</w:t>
      </w:r>
    </w:p>
    <w:p>
      <w:pPr>
        <w:spacing w:before="0" w:after="200" w:lineRule="auto" w:line="276"/>
      </w:pPr>
      <w:r>
        <w:rPr>
          <w:b/>
        </w:rPr>
        <w:t xml:space="preserve">Abstract (EN): </w:t>
      </w:r>
      <w:r>
        <w:t>Voltage-gated sodium (Nav) channels are key targets of various venomous toxins. Deciphering the binding poses and mechanisms of action of representative toxins will help to dissect the functional mechanism of the channels and facilitate therapeutic development targeting Nav channels1,2. Here we present cryo-electron microscopy (cryo-EM) structures of distinct binding poses of three agonistic peptide toxins on the human Nav1.6–β1 channel complex. The globular β-scorpion toxin Cn2 nestles between the extracellular segment of voltage-sensing domain (VSD) in the second repeat of the Nav1.6 core α-unit (VSDII) and the pore extracellular loops in the third repeat of the Nav1.6 core α-unit (ECLIII), where it is stabilized by interactions with both protein regions and the branched N1372-glycan. Cone snail ι-conotoxin RXIA adopts an elongated conformation, spanning VSDI and VSDIV to wrap around the shoulder of the pore domain (PD). The bullet ant-derived toxin δ-paraponeritoxin-Pc1a exists as a transmembrane helix that stands between VSDII and PDIII. Our findings, corroborated by functional characterizations, illustrate the diversity in peptide toxin binding poses and mechanisms of action, link stabilization of the up state of VSDI or VSDII to channel activation, and provide clues to the rational design of selective Nav channel modulators.</w:t>
      </w:r>
    </w:p>
    <w:p>
      <w:pPr>
        <w:spacing w:before="120" w:after="120"/>
      </w:pPr>
      <w:r>
        <w:rPr>
          <w:sz w:val="18"/>
        </w:rPr>
        <w:t>——————————————————————————————————————————————————————————————————————</w:t>
      </w:r>
    </w:p>
    <w:p>
      <w:pPr>
        <w:spacing w:before="160" w:after="40" w:line="240" w:lineRule="auto"/>
      </w:pPr>
      <w:r>
        <w:rPr>
          <w:b/>
        </w:rPr>
        <w:t xml:space="preserve">[242] </w:t>
      </w:r>
      <w:hyperlink r:id="rId769">
        <w:r>
          <w:rPr>
            <w:color w:val="1155CC"/>
            <w:u w:val="single"/>
          </w:rPr>
          <w:t>构建用户驱动的气候适应产品</w:t>
        </w:r>
      </w:hyperlink>
    </w:p>
    <w:p>
      <w:pPr>
        <w:spacing w:before="0" w:after="80"/>
      </w:pPr>
      <w:r>
        <w:rPr>
          <w:i/>
          <w:sz w:val="20"/>
        </w:rPr>
        <w:t>EN: Building user-driven climate adaptation products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70">
        <w:r>
          <w:rPr>
            <w:color w:val="1155CC"/>
            <w:u w:val="single"/>
          </w:rPr>
          <w:t>10.1038/s41586-026-10555-y</w:t>
        </w:r>
      </w:hyperlink>
    </w:p>
    <w:p>
      <w:pPr>
        <w:spacing w:before="0" w:after="120"/>
      </w:pPr>
      <w:r>
        <w:rPr>
          <w:b/>
        </w:rPr>
        <w:t xml:space="preserve">Notes: </w:t>
      </w:r>
      <w:r>
        <w:t>abstract_source=nature_html</w:t>
      </w:r>
    </w:p>
    <w:p>
      <w:pPr>
        <w:spacing w:before="0" w:after="80" w:lineRule="auto" w:line="276"/>
      </w:pPr>
      <w:r>
        <w:rPr>
          <w:b/>
        </w:rPr>
        <w:t xml:space="preserve">摘要（ZH）: </w:t>
      </w:r>
      <w:r>
        <w:t>气候适应产品传统上是使用依赖于现有气候信息的供应驱动模型来开发的，导致可用性差距1,2,3,4。为了更好地满足用户需求，气候服务领域已经认识到需要转向强调共同生产的需求驱动模式，即通过共享知识实践创建用户驱动的、科学的产品1,2,3,4,5。然而，联合生产可能具有挑战性，特别是对于不熟悉该方法的研究人员或具有复杂用户需求的数字和基于软件的产品2,5,6,7,8。来自人机交互领域的以用户为中心的设计提供了一个可以补充产品开发联合生产方法的流程，但其潜力仍未得到充分开发2。在这里，我们展示了如何将以用户为中心的设计融入并加强联合生产方法，以构建用户驱动的气候适应产品。通过对联合生产和以用户为中心的设计文献进行系统回顾，我们确定了这两种方法的关键流程、机制和最佳实践。我们的研究结果为研究人员提供了实用指导，并提出了开发有用、可用和使用的气候适应产品的综合方法。</w:t>
      </w:r>
    </w:p>
    <w:p>
      <w:pPr>
        <w:spacing w:before="0" w:after="200" w:lineRule="auto" w:line="276"/>
      </w:pPr>
      <w:r>
        <w:rPr>
          <w:b/>
        </w:rPr>
        <w:t xml:space="preserve">Abstract (EN): </w:t>
      </w:r>
      <w:r>
        <w:t>Climate adaptation products have traditionally been developed using a supply-driven model reliant on available climate information, leading to usability gaps1,2,3,4. To better meet user needs, the climate services field has recognized a need to shift towards a demand-driven model emphasizing co-production, that is, user-driven, scientifically informed products created through shared knowledge practices1,2,3,4,5. However, co-production can be challenging, especially for researchers unfamiliar with the approach or for digital and software-based products with complex user needs2,5,6,7,8. User-centred design, from the human–computer interaction field, offers a process that could complement co-production approaches to product development, yet its potential remains underexplored2. Here we show how user-centred design can be integrated into, and strengthen, co-production approaches for building user-driven climate adaptation products. Through a systematic review of the co-production and user-centred design literature, we identify key processes, mechanisms and best practices for both approaches. Our findings offer practical guidance for researchers and propose an integrated approach for developing climate adaptation products that are useful, usable and used.</w:t>
      </w:r>
    </w:p>
    <w:p>
      <w:pPr>
        <w:spacing w:before="120" w:after="120"/>
      </w:pPr>
      <w:r>
        <w:rPr>
          <w:sz w:val="18"/>
        </w:rPr>
        <w:t>——————————————————————————————————————————————————————————————————————</w:t>
      </w:r>
    </w:p>
    <w:p>
      <w:pPr>
        <w:spacing w:before="160" w:after="40" w:line="240" w:lineRule="auto"/>
      </w:pPr>
      <w:r>
        <w:rPr>
          <w:b/>
        </w:rPr>
        <w:t xml:space="preserve">[243] </w:t>
      </w:r>
      <w:hyperlink r:id="rId771">
        <w:r>
          <w:rPr>
            <w:color w:val="1155CC"/>
            <w:u w:val="single"/>
          </w:rPr>
          <w:t>用于治疗胆汁酸相关肝脏疾病的一流脉冲 FXR 激动剂</w:t>
        </w:r>
      </w:hyperlink>
    </w:p>
    <w:p>
      <w:pPr>
        <w:spacing w:before="0" w:after="80"/>
      </w:pPr>
      <w:r>
        <w:rPr>
          <w:i/>
          <w:sz w:val="20"/>
        </w:rPr>
        <w:t>EN: A first-in-class pulsatile FXR agonist for bile-acid-related liver diseases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72">
        <w:r>
          <w:rPr>
            <w:color w:val="1155CC"/>
            <w:u w:val="single"/>
          </w:rPr>
          <w:t>10.1038/s41586-026-10633-1</w:t>
        </w:r>
      </w:hyperlink>
    </w:p>
    <w:p>
      <w:pPr>
        <w:spacing w:before="0" w:after="120"/>
      </w:pPr>
      <w:r>
        <w:rPr>
          <w:b/>
        </w:rPr>
        <w:t xml:space="preserve">Notes: </w:t>
      </w:r>
      <w:r>
        <w:t>abstract_source=nature_html</w:t>
      </w:r>
    </w:p>
    <w:p>
      <w:pPr>
        <w:spacing w:before="0" w:after="80" w:lineRule="auto" w:line="276"/>
      </w:pPr>
      <w:r>
        <w:rPr>
          <w:b/>
        </w:rPr>
        <w:t xml:space="preserve">摘要（ZH）: </w:t>
      </w:r>
      <w:r>
        <w:t>核受体是新陈代谢的核心调节因子1，但强制持续激活受体的治疗策略常常会导致疗效降低和不可接受的毒性。在这里，我们报告了一种第一原理药物设计策略，该策略将药代动力学与生理信号循环相结合。我们开发了 linafexor，一种有效的法尼醇 X 受体 (FXR)2 非胆汁酸激动剂；它专为快速全身清除而设计，可实现反映内源性胆汁酸动力学的脉动受体激活3,4,5。 Linafexor 在代谢功能障碍相关的脂肪性肝炎 6、肝纤维化 7、原发性胆汁性胆管炎和原发性硬化性胆管炎 8、9 的多种临床前模型中具有强大的疗效。转录组学分析表明，与长效 FXR 激动剂 10,11 不同，linafexor 保留了循环 FXR 信号传导，避免受体下调并防止广泛的转录失调。直接操纵递送模式表明，持续的 FXR 激活（与化合物特性无关）会引起严重的毒性，从而将激活持续时间确定为治疗指数的决定因素。在 1 期临床研究（ClinicalTrials.gov；NCT05082779）中，每日一次的 linafexor 会产生短暂的 FXR 通路参与，其特点是 (1) 诱导 FGF1912,13,14，胆汁酸反馈调节的关键内分泌介质； (2)抑制C415（一种反映肝胆汁酸合成的中间体），没有与治疗相关的不良事件。总之，这些发现将脉冲 FXR 激活确定为一种机制</w:t>
      </w:r>
    </w:p>
    <w:p>
      <w:pPr>
        <w:spacing w:before="0" w:after="200" w:lineRule="auto" w:line="276"/>
      </w:pPr>
      <w:r>
        <w:rPr>
          <w:b/>
        </w:rPr>
        <w:t xml:space="preserve">Abstract (EN): </w:t>
      </w:r>
      <w:r>
        <w:t>Nuclear receptors are central regulators of metabolism1, yet therapeutic strategies that enforce continuous receptor activation frequently lead to reduced efficacy and unacceptable toxicity. Here we report a first-principles drug design strategy that aligns pharmacokinetics with physiological signalling cycles. We developed linafexor, a potent non-bile-acid agonist of the farnesoid X receptor (FXR)2; it is engineered for rapid systemic clearance, which enables pulsatile receptor activation that mirrors endogenous bile acid dynamics3,4,5. Linafexor has robust efficacy across multiple preclinical models of metabolic dysfunction-associated steatohepatitis6, liver fibrosis7, primary biliary cholangitis and primary sclerosing cholangitis8,9. Transcriptomic analyses reveal that, unlike long-acting FXR agonists10,11, linafexor preserves cyclic FXR signalling, avoids receptor downregulation and prevents broad transcriptional dysregulation. Direct manipulation of delivery patterns demonstrates that sustained FXR activation—independent of compound identity—induces severe toxicity, establishing activation duration as a determinant of therapeutic index. In phase 1 clinical studies (ClinicalTrials.gov; NCT05082779), linafexor administered once daily produces transient FXR pathway engagement, marked by (1) induction of FGF1912,13,14, a key endocrine mediator of bile acid feedback regulation; and (2) suppression of C415, an intermediate reflecting hepatic bile acid synthesis, with no treatment-related adverse events. Together, these findings identify pulsatile FXR activation as a mechanistically grounded and clinically translatable strategy, and establish linafexor as a first-in-class therapeutic for bile acid–related liver diseases.</w:t>
      </w:r>
    </w:p>
    <w:p>
      <w:pPr>
        <w:spacing w:before="120" w:after="120"/>
      </w:pPr>
      <w:r>
        <w:rPr>
          <w:sz w:val="18"/>
        </w:rPr>
        <w:t>——————————————————————————————————————————————————————————————————————</w:t>
      </w:r>
    </w:p>
    <w:p>
      <w:pPr>
        <w:spacing w:before="160" w:after="40" w:line="240" w:lineRule="auto"/>
      </w:pPr>
      <w:r>
        <w:rPr>
          <w:b/>
        </w:rPr>
        <w:t xml:space="preserve">[244] </w:t>
      </w:r>
      <w:hyperlink r:id="rId773">
        <w:r>
          <w:rPr>
            <w:color w:val="1155CC"/>
            <w:u w:val="single"/>
          </w:rPr>
          <w:t>“隐藏的英雄”肽保护农作物免受突如其来的寒冷</w:t>
        </w:r>
      </w:hyperlink>
    </w:p>
    <w:p>
      <w:pPr>
        <w:spacing w:before="0" w:after="80"/>
      </w:pPr>
      <w:r>
        <w:rPr>
          <w:i/>
          <w:sz w:val="20"/>
        </w:rPr>
        <w:t>EN: ‘Hidden hero’ peptides guard crops against sudden cold</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74">
        <w:r>
          <w:rPr>
            <w:color w:val="1155CC"/>
            <w:u w:val="single"/>
          </w:rPr>
          <w:t>10.1038/d41586-026-01754-8</w:t>
        </w:r>
      </w:hyperlink>
    </w:p>
    <w:p>
      <w:pPr>
        <w:spacing w:before="0" w:after="120"/>
      </w:pPr>
      <w:r>
        <w:rPr>
          <w:b/>
        </w:rPr>
        <w:t xml:space="preserve">Notes: </w:t>
      </w:r>
      <w:r>
        <w:t>abstract_source=nature_html</w:t>
      </w:r>
    </w:p>
    <w:p>
      <w:pPr>
        <w:spacing w:before="0" w:after="80" w:lineRule="auto" w:line="276"/>
      </w:pPr>
      <w:r>
        <w:rPr>
          <w:b/>
        </w:rPr>
        <w:t xml:space="preserve">摘要（ZH）: </w:t>
      </w:r>
      <w:r>
        <w:t>蛋白质信号在正常条件下保持沉默，但在冷应激下被激活以保护正在发育的花粉。这种“按需”弹性机制可以促进“气候智能”作物的开发，在丰年时保持高产，并在气候压力下保持粮食安全。肽信号确保在寒冷条件下，正在发育的花粉在正确的时间接收营养。</w:t>
      </w:r>
    </w:p>
    <w:p>
      <w:pPr>
        <w:spacing w:before="0" w:after="200" w:lineRule="auto" w:line="276"/>
      </w:pPr>
      <w:r>
        <w:rPr>
          <w:b/>
        </w:rPr>
        <w:t xml:space="preserve">Abstract (EN): </w:t>
      </w:r>
      <w:r>
        <w:t>A protein signal remains silent under normal conditions but is activated under cold stress to protect developing pollen. This ‘on-demand’ resilience mechanism could enable the development of ‘climate smart’ crops that maintain high yields in good years and food security under climate stress. A peptide signal ensures that, in cold conditions, developing pollen receives nutrients at the right time.</w:t>
      </w:r>
    </w:p>
    <w:p>
      <w:pPr>
        <w:spacing w:before="120" w:after="120"/>
      </w:pPr>
      <w:r>
        <w:rPr>
          <w:sz w:val="18"/>
        </w:rPr>
        <w:t>——————————————————————————————————————————————————————————————————————</w:t>
      </w:r>
    </w:p>
    <w:p>
      <w:pPr>
        <w:spacing w:before="160" w:after="40" w:line="240" w:lineRule="auto"/>
      </w:pPr>
      <w:r>
        <w:rPr>
          <w:b/>
        </w:rPr>
        <w:t xml:space="preserve">[245] </w:t>
      </w:r>
      <w:hyperlink r:id="rId775">
        <w:r>
          <w:rPr>
            <w:color w:val="1155CC"/>
            <w:u w:val="single"/>
          </w:rPr>
          <w:t>线粒体直接与核孔复合体相互作用</w:t>
        </w:r>
      </w:hyperlink>
    </w:p>
    <w:p>
      <w:pPr>
        <w:spacing w:before="0" w:after="80"/>
      </w:pPr>
      <w:r>
        <w:rPr>
          <w:i/>
          <w:sz w:val="20"/>
        </w:rPr>
        <w:t>EN: Mitochondria directly interact with the nuclear pore complex</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76">
        <w:r>
          <w:rPr>
            <w:color w:val="1155CC"/>
            <w:u w:val="single"/>
          </w:rPr>
          <w:t>10.1038/s41586-026-10588-3</w:t>
        </w:r>
      </w:hyperlink>
    </w:p>
    <w:p>
      <w:pPr>
        <w:spacing w:before="0" w:after="120"/>
      </w:pPr>
      <w:r>
        <w:rPr>
          <w:b/>
        </w:rPr>
        <w:t xml:space="preserve">Notes: </w:t>
      </w:r>
      <w:r>
        <w:t>abstract_source=nature_html</w:t>
      </w:r>
    </w:p>
    <w:p>
      <w:pPr>
        <w:spacing w:before="0" w:after="80" w:lineRule="auto" w:line="276"/>
      </w:pPr>
      <w:r>
        <w:rPr>
          <w:b/>
        </w:rPr>
        <w:t xml:space="preserve">摘要（ZH）: </w:t>
      </w:r>
      <w:r>
        <w:t>线粒体通过与其他细胞器的直接和间接相互作用来调节细胞过程。一个经过充分研究的例子是线粒体相关内质网膜与内质网的接触1，它控制包括氧化还原和钙稳态在内的途径2,3。最近的研究还报道了癌细胞和酵母中线粒体与核膜的直接接触，促进了促生存信号传导 4,5。在这里，我们确定了线粒体和核孔之间的直接相互作用。使用两种无偏蛋白质组筛选（GST pulldown 和 BioID），我们发现 VDAC1 是与丝状核孔蛋白 RANBP2 相互作用的顶级线粒体候选者。体外 RANBP2 CRISPR 敲除、RANBP2 截短或 RANBP2-VDAC1 相互作用氨基酸的定点诱变导致线粒体-细胞核接近度降低以及核 ATP 和磷酸肌酸水平降低。伴随着核磷酸蛋白质组水平的下降以及参与组蛋白修饰、细胞分化和体外转录调节的途径的下调。此外，在小鼠体内删除 RANBP2 C 端结构域会因心脏和神经嵴分化缺陷而导致胚胎死亡。总的来说，这些结果描述了线粒体直接与核孔复合体相互作用的机制，这种现象对于核能量和细胞分化的调节至关重要。毫无疑问，这种相互作用的其他作用仍有待揭示。</w:t>
      </w:r>
    </w:p>
    <w:p>
      <w:pPr>
        <w:spacing w:before="0" w:after="200" w:lineRule="auto" w:line="276"/>
      </w:pPr>
      <w:r>
        <w:rPr>
          <w:b/>
        </w:rPr>
        <w:t xml:space="preserve">Abstract (EN): </w:t>
      </w:r>
      <w:r>
        <w:t>Mitochondria regulate cellular processes through direct and indirect interactions with other organelles. A well-studied example has been contact with the endoplasmic reticulum at mitochondrial-associated endoplasmic reticulum membranes1, which control pathways including redox and calcium homeostasis2,3. Recent studies have also reported direct mitochondria–nuclear membrane contacts in cancer cells and yeast that promote pro-survival signalling4,5. Here we identify direct interactions between mitochondria and nuclear pores. Using two unbiased proteomic screens, GST pulldown and BioID, we found that VDAC1 was the top mitochondrial candidate that interacts with the filamentous nuclear pore protein RANBP2. In vitro RANBP2 CRISPR knockout, RANBP2 truncation or site-directed mutagenesis of RANBP2–VDAC1 interacting amino acids resulted in reduced mitochondria–nucleus proximity and decreased nuclear ATP and phosphocreatine levels. This was accompanied by a decline in the levels of the nuclear phosphoproteome and downregulation of pathways involved in histone modification, cellular differentiation and transcriptional regulation in vitro. Moreover, deletion of the RANBP2 C-terminal domain in vivo in mice resulted in embryonic lethality due to cardiac and neural crest differentiation defects. Collectively, these results describe a mechanism by which mitochondria directly interact with the nuclear pore complex, a phenomenon critical for regulation of nuclear energetics and cellular differentiation. Undoubtedly, additional roles of this interaction remain to be revealed.</w:t>
      </w:r>
    </w:p>
    <w:p>
      <w:pPr>
        <w:spacing w:before="120" w:after="120"/>
      </w:pPr>
      <w:r>
        <w:rPr>
          <w:sz w:val="18"/>
        </w:rPr>
        <w:t>——————————————————————————————————————————————————————————————————————</w:t>
      </w:r>
    </w:p>
    <w:p>
      <w:pPr>
        <w:spacing w:before="160" w:after="40" w:line="240" w:lineRule="auto"/>
      </w:pPr>
      <w:r>
        <w:rPr>
          <w:b/>
        </w:rPr>
        <w:t xml:space="preserve">[246] </w:t>
      </w:r>
      <w:hyperlink r:id="rId777">
        <w:r>
          <w:rPr>
            <w:color w:val="1155CC"/>
            <w:u w:val="single"/>
          </w:rPr>
          <w:t>丘脑-脑干吸引子网络驱动历史偏见决策</w:t>
        </w:r>
      </w:hyperlink>
    </w:p>
    <w:p>
      <w:pPr>
        <w:spacing w:before="0" w:after="80"/>
      </w:pPr>
      <w:r>
        <w:rPr>
          <w:i/>
          <w:sz w:val="20"/>
        </w:rPr>
        <w:t>EN: A thalamus–brainstem attractor network drives history-biased decisions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78">
        <w:r>
          <w:rPr>
            <w:color w:val="1155CC"/>
            <w:u w:val="single"/>
          </w:rPr>
          <w:t>10.1038/s41586-026-10623-3</w:t>
        </w:r>
      </w:hyperlink>
    </w:p>
    <w:p>
      <w:pPr>
        <w:spacing w:before="0" w:after="120"/>
      </w:pPr>
      <w:r>
        <w:rPr>
          <w:b/>
        </w:rPr>
        <w:t xml:space="preserve">Notes: </w:t>
      </w:r>
      <w:r>
        <w:t>abstract_source=nature_html</w:t>
      </w:r>
    </w:p>
    <w:p>
      <w:pPr>
        <w:spacing w:before="0" w:after="80" w:lineRule="auto" w:line="276"/>
      </w:pPr>
      <w:r>
        <w:rPr>
          <w:b/>
        </w:rPr>
        <w:t xml:space="preserve">摘要（ZH）: </w:t>
      </w:r>
      <w:r>
        <w:t>自然环境经常逐渐变化，使其适应基于最近的历史的偏见决策——这种现象称为序列依赖性1,2,3。行为过程中的大规模记录表明，序列依赖性是决策的常见主题，在整个大脑中发现了过去经历的神经表征4,5,6,7,8,9,10,11。然而，目前尚不清楚这种偏差是否源于具有历史特定计算的专用神经回路。使用斑马鱼的全脑细胞分辨率成像来执行记忆引导的规避策略12,13,14，我们确定了一个分层电路，可以保留过去的信息并影响未来的选择。背侧丘脑中的离散吸引子对最近障碍物的位置进行编码，通过持续 10-20 秒的持续活动来维持分类记忆。背侧丘脑的光遗传学操作消除或施加了序列偏差。下游后脑积分器接收来自丘脑的输入，并将其与当前的感觉线索相结合，产生反映多试验历史的分级反应。利用斑马鱼的综合大脑图谱，我们构建了一个全脑计算模型，该模型可以概括行为，并预测异质抑制亚型在实现灵活状态转换中的关键作用。这种吸引子-积分器架构揭示了一种分层和模块化计算，将强大的记忆保留与灵活的感觉集成结合起来，为历史偏见决策提供了一般原则。</w:t>
      </w:r>
    </w:p>
    <w:p>
      <w:pPr>
        <w:spacing w:before="0" w:after="200" w:lineRule="auto" w:line="276"/>
      </w:pPr>
      <w:r>
        <w:rPr>
          <w:b/>
        </w:rPr>
        <w:t xml:space="preserve">Abstract (EN): </w:t>
      </w:r>
      <w:r>
        <w:t>Natural environments often change gradually, making it adaptive to bias decisions on the basis of the recent past — a phenomenon known as serial dependence1,2,3. Large-scale recordings during behaviour have identified that serial dependence is a common motif for decision-making, with neural representations of past experiences found throughout the brain4,5,6,7,8,9,10,11. However, it remains unclear whether this bias arises from dedicated neural circuits with history-specific computations. Using whole-brain, cellular-resolution imaging in zebrafish performing memory-guided evasive manoeuvres12,13,14, we identified a hierarchical circuit that maintains past information and biases future choices. Discrete attractors in the dorsal thalamus encoded the position of the most recent obstacle, maintaining a categorical memory via persistent activity lasting 10–20 s. Optogenetic manipulation of the dorsal thalamus abolished or imposed serial bias. A downstream hindbrain integrator received input from the thalamus and combined it with current sensory cues to produce graded responses reflecting multi-trial history. Leveraging a comprehensive brain atlas in zebrafish15, we constructed a whole-brain computational model that recapitulated behaviour and also predicted a key role for heterogeneous inhibitory subtypes in enabling flexible state transitions. This attractor–integrator architecture reveals a hierarchical and modular computation that unifies robust memory retention with flexible sensory integration, providing a general principle for history-biased decisions.</w:t>
      </w:r>
    </w:p>
    <w:p>
      <w:pPr>
        <w:spacing w:before="120" w:after="120"/>
      </w:pPr>
      <w:r>
        <w:rPr>
          <w:sz w:val="18"/>
        </w:rPr>
        <w:t>——————————————————————————————————————————————————————————————————————</w:t>
      </w:r>
    </w:p>
    <w:p>
      <w:pPr>
        <w:spacing w:before="160" w:after="40" w:line="240" w:lineRule="auto"/>
      </w:pPr>
      <w:r>
        <w:rPr>
          <w:b/>
        </w:rPr>
        <w:t xml:space="preserve">[247] </w:t>
      </w:r>
      <w:hyperlink r:id="rId779">
        <w:r>
          <w:rPr>
            <w:color w:val="1155CC"/>
            <w:u w:val="single"/>
          </w:rPr>
          <w:t>附带影响：中美紧张局势和第三国能源转型</w:t>
        </w:r>
      </w:hyperlink>
    </w:p>
    <w:p>
      <w:pPr>
        <w:spacing w:before="0" w:after="80"/>
      </w:pPr>
      <w:r>
        <w:rPr>
          <w:i/>
          <w:sz w:val="20"/>
        </w:rPr>
        <w:t>EN: Collateral impact: U.S.-China tensions and energy transition in third countries</w:t>
      </w:r>
    </w:p>
    <w:p>
      <w:pPr>
        <w:spacing w:before="0" w:after="120"/>
      </w:pPr>
      <w:r>
        <w:rPr>
          <w:b/>
        </w:rPr>
        <w:t xml:space="preserve">Source: </w:t>
      </w:r>
      <w:r>
        <w:t>ScienceDirect Publication: Energy Policy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780">
        <w:r>
          <w:rPr>
            <w:color w:val="1155CC"/>
            <w:u w:val="single"/>
          </w:rPr>
          <w:t>使用第一个 JUNO 数据测量反应堆中微子振荡</w:t>
        </w:r>
      </w:hyperlink>
    </w:p>
    <w:p>
      <w:pPr>
        <w:spacing w:before="0" w:after="80"/>
      </w:pPr>
      <w:r>
        <w:rPr>
          <w:i/>
          <w:sz w:val="20"/>
        </w:rPr>
        <w:t>EN: Measurement of reactor neutrino oscillation with the first JUNO data</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81">
        <w:r>
          <w:rPr>
            <w:color w:val="1155CC"/>
            <w:u w:val="single"/>
          </w:rPr>
          <w:t>10.1038/s41586-026-10538-z</w:t>
        </w:r>
      </w:hyperlink>
    </w:p>
    <w:p>
      <w:pPr>
        <w:spacing w:before="0" w:after="120"/>
      </w:pPr>
      <w:r>
        <w:rPr>
          <w:b/>
        </w:rPr>
        <w:t xml:space="preserve">Notes: </w:t>
      </w:r>
      <w:r>
        <w:t>abstract_source=nature_html</w:t>
      </w:r>
    </w:p>
    <w:p>
      <w:pPr>
        <w:spacing w:before="0" w:after="80" w:lineRule="auto" w:line="276"/>
      </w:pPr>
      <w:r>
        <w:rPr>
          <w:b/>
        </w:rPr>
        <w:t xml:space="preserve">摘要（ZH）: </w:t>
      </w:r>
      <w:r>
        <w:t>中微子振荡（参见参考文献 1,2 和其中的参考文献）是一种在宏观尺度上显现的量子效应，受轻子风味混合角和中微子质量平方差 3 控制，它们是粒子物理学的基本参数，代表了超出标准模型的现象。这些参数的精确测量对于测试三味框架的完整性、确定中微子的质量排序和探索可能的新物理至关重要。江门地下中微子观测站 (JUNO)4 是一个 20 吨液体闪烁体探测器，距离多个反应堆堆芯 52.5 公里，旨在以亚百分之一的精度解析反应堆中微子的干涉图案5,6。在此，我们报告使用自 2025 年 8 月探测器完成以来收集的前 59.1 天的数据，首次同时高精度确定两个中微子振荡参数 sin2θ12=0.3092±0.0087" role="presentation"&gt;sin2θ12=0.3092±0.0087{\sin }^{2}{\theta }_{12}=0.3092\,\pm \,0.0087 且 Δm212=(7.50±0.12)×10−5eV2" role="presentation"&gt;Δm212=(7.50±0.12)×10−5eV2\Delta {m}_{21}^{2}=(7.50\,\pm \,0.12)\times 1{0}^{-5}\,{\mathrm{eV}}^{2} 对于正常质量排序场景，相对于所有先前测量的组合，精度提高了 1.6 倍。这些结果增进了对中微子的基本理解，验证了探测器的设计，并表明 JUNO 已准备好使用更大的数据集解决中微子质量排序问题。快速取得成就</w:t>
      </w:r>
    </w:p>
    <w:p>
      <w:pPr>
        <w:spacing w:before="0" w:after="200" w:lineRule="auto" w:line="276"/>
      </w:pPr>
      <w:r>
        <w:rPr>
          <w:b/>
        </w:rPr>
        <w:t xml:space="preserve">Abstract (EN): </w:t>
      </w:r>
      <w:r>
        <w:t>Neutrino oscillations (see refs. 1,2 and references therein), a quantum effect manifesting at macroscopic scales, are governed by lepton flavour mixing angles and neutrino mass-squared differences3 that are fundamental parameters of particle physics, representing phenomena beyond the Standard Model. Precision measurements of these parameters are essential for testing the completeness of the three-flavour framework, determining the mass ordering of neutrinos and probing possible new physics. The Jiangmen Underground Neutrino Observatory (JUNO)4 is a 20-ktonne liquid-scintillator detector located 52.5 km from multiple reactor cores, designed to resolve the interference pattern of reactor neutrinos with sub-percent precision5,6. Here we report, using the first 59.1 days of data collected since detector completion in August 2025, the first simultaneous high-precision determination of two neutrino oscillation parameters, sin2&amp;#x03B8;12=0.3092&amp;#x00B1;0.0087" role="presentation"&gt;sin2θ12=0.3092±0.0087{\sin }^{2}{\theta }_{12}=0.3092\,\pm \,0.0087 and &amp;#x0394;m212=(7.50&amp;#x00B1;0.12)&amp;#x00D7;10&amp;#x2212;5eV2" role="presentation"&gt;Δm212=(7.50±0.12)×10−5eV2\Delta {m}_{21}^{2}=(7.50\,\pm \,0.12)\times 1{0}^{-5}\,{\mathrm{eV}}^{2} for the normal mass ordering scenario, improving the precision by a factor of 1.6 relative to the combination of all previous measurements. These results advance the basic understanding of neutrinos, validate the design of the detector and indicate the readiness of JUNO for resolving the neutrino mass ordering with a larger dataset. The rapid achievement with a short exposure highlights the potential of JUNO to push the frontiers of precision neutrino physics and paves the way for its broad scientific programme.</w:t>
      </w:r>
    </w:p>
    <w:p>
      <w:pPr>
        <w:spacing w:before="120" w:after="120"/>
      </w:pPr>
      <w:r>
        <w:rPr>
          <w:sz w:val="18"/>
        </w:rPr>
        <w:t>——————————————————————————————————————————————————————————————————————</w:t>
      </w:r>
    </w:p>
    <w:p>
      <w:pPr>
        <w:spacing w:before="160" w:after="40" w:line="240" w:lineRule="auto"/>
      </w:pPr>
      <w:r>
        <w:rPr>
          <w:b/>
        </w:rPr>
        <w:t xml:space="preserve">[249] </w:t>
      </w:r>
      <w:hyperlink r:id="rId782">
        <w:r>
          <w:rPr>
            <w:color w:val="1155CC"/>
            <w:u w:val="single"/>
          </w:rPr>
          <w:t>伊拉克、沙特阿拉伯和西班牙的可再生能源政策分析：使用 HOMER 和记录的系统性能数据进行多维评估</w:t>
        </w:r>
      </w:hyperlink>
    </w:p>
    <w:p>
      <w:pPr>
        <w:spacing w:before="0" w:after="80"/>
      </w:pPr>
      <w:r>
        <w:rPr>
          <w:i/>
          <w:sz w:val="20"/>
        </w:rPr>
        <w:t>EN: Renewable energy policy analysis in Iraq, Saudi Arabia, and Spain: A multi-dimensional assessment using HOMER and documented system performance data</w:t>
      </w:r>
    </w:p>
    <w:p>
      <w:pPr>
        <w:spacing w:before="0" w:after="120"/>
      </w:pPr>
      <w:r>
        <w:rPr>
          <w:b/>
        </w:rPr>
        <w:t xml:space="preserve">Source: </w:t>
      </w:r>
      <w:r>
        <w:t>ScienceDirect Publication: Energy Policy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[250] </w:t>
      </w:r>
      <w:hyperlink r:id="rId783">
        <w:r>
          <w:rPr>
            <w:color w:val="1155CC"/>
            <w:u w:val="single"/>
          </w:rPr>
          <w:t>巴西境内外采取一致行动，亚马逊是可以被拯救的</w:t>
        </w:r>
      </w:hyperlink>
    </w:p>
    <w:p>
      <w:pPr>
        <w:spacing w:before="0" w:after="80"/>
      </w:pPr>
      <w:r>
        <w:rPr>
          <w:i/>
          <w:sz w:val="20"/>
        </w:rPr>
        <w:t>EN: The Amazon can be saved — with concerted action inside and outside Brazil</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84">
        <w:r>
          <w:rPr>
            <w:color w:val="1155CC"/>
            <w:u w:val="single"/>
          </w:rPr>
          <w:t>10.1038/d41586-026-01824-x</w:t>
        </w:r>
      </w:hyperlink>
    </w:p>
    <w:p>
      <w:pPr>
        <w:spacing w:before="0" w:after="120"/>
      </w:pPr>
      <w:r>
        <w:rPr>
          <w:b/>
        </w:rPr>
        <w:t xml:space="preserve">Notes: </w:t>
      </w:r>
      <w:r>
        <w:t>abstract_source=nature_html</w:t>
      </w:r>
    </w:p>
    <w:p>
      <w:pPr>
        <w:spacing w:before="0" w:after="80" w:lineRule="auto" w:line="276"/>
      </w:pPr>
      <w:r>
        <w:rPr>
          <w:b/>
        </w:rPr>
        <w:t xml:space="preserve">摘要（ZH）: </w:t>
      </w:r>
      <w:r>
        <w:t>随着亚马逊地区森林砍伐的减少，新的证据表明，雨林能够抵御全球变暖，但前提是全世界都努力阻止砍伐。随着亚马逊地区森林砍伐的减少，新的证据表明，雨林能够抵御全球变暖，但前提是全世界都努力阻止砍伐。</w:t>
      </w:r>
    </w:p>
    <w:p>
      <w:pPr>
        <w:spacing w:before="0" w:after="200" w:lineRule="auto" w:line="276"/>
      </w:pPr>
      <w:r>
        <w:rPr>
          <w:b/>
        </w:rPr>
        <w:t xml:space="preserve">Abstract (EN): </w:t>
      </w:r>
      <w:r>
        <w:t>As deforestation in the Amazon falls, fresh evidence shows that the rainforest can withstand global warming, but only if there is a worldwide effort to stop cutting it down. As deforestation in the Amazon falls, fresh evidence shows that the rainforest can withstand global warming, but only if there is a worldwide effort to stop cutting it down.</w:t>
      </w:r>
    </w:p>
    <w:p>
      <w:pPr>
        <w:spacing w:before="120" w:after="120"/>
      </w:pPr>
      <w:r>
        <w:rPr>
          <w:sz w:val="18"/>
        </w:rPr>
        <w:t>——————————————————————————————————————————————————————————————————————</w:t>
      </w:r>
    </w:p>
    <w:p>
      <w:pPr>
        <w:spacing w:before="160" w:after="40" w:line="240" w:lineRule="auto"/>
      </w:pPr>
      <w:r>
        <w:rPr>
          <w:b/>
        </w:rPr>
        <w:t xml:space="preserve">[251] </w:t>
      </w:r>
      <w:hyperlink r:id="rId785">
        <w:r>
          <w:rPr>
            <w:color w:val="1155CC"/>
            <w:u w:val="single"/>
          </w:rPr>
          <w:t>肽热潮有科学依据吗？炒作背后的承诺</w:t>
        </w:r>
      </w:hyperlink>
    </w:p>
    <w:p>
      <w:pPr>
        <w:spacing w:before="0" w:after="80"/>
      </w:pPr>
      <w:r>
        <w:rPr>
          <w:i/>
          <w:sz w:val="20"/>
        </w:rPr>
        <w:t>EN: Is the peptide craze backed by science? The promise behind the hype</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86">
        <w:r>
          <w:rPr>
            <w:color w:val="1155CC"/>
            <w:u w:val="single"/>
          </w:rPr>
          <w:t>10.1038/d41586-026-01816-x</w:t>
        </w:r>
      </w:hyperlink>
    </w:p>
    <w:p>
      <w:pPr>
        <w:spacing w:before="0" w:after="120"/>
      </w:pPr>
      <w:r>
        <w:rPr>
          <w:b/>
        </w:rPr>
        <w:t xml:space="preserve">Notes: </w:t>
      </w:r>
      <w:r>
        <w:t>abstract_source=nature_html</w:t>
      </w:r>
    </w:p>
    <w:p>
      <w:pPr>
        <w:spacing w:before="0" w:after="80" w:lineRule="auto" w:line="276"/>
      </w:pPr>
      <w:r>
        <w:rPr>
          <w:b/>
        </w:rPr>
        <w:t xml:space="preserve">摘要（ZH）: </w:t>
      </w:r>
      <w:r>
        <w:t>肽注射是健康领域最热门的趋势。研究人员表示，对这些不受监管的药物的热情已经超越了科学。肽注射是健康领域最热门的趋势。研究人员表示，对这些不受监管的药物的热情已经超越了科学。</w:t>
      </w:r>
    </w:p>
    <w:p>
      <w:pPr>
        <w:spacing w:before="0" w:after="200" w:lineRule="auto" w:line="276"/>
      </w:pPr>
      <w:r>
        <w:rPr>
          <w:b/>
        </w:rPr>
        <w:t xml:space="preserve">Abstract (EN): </w:t>
      </w:r>
      <w:r>
        <w:t>Peptide injections are the hottest trend in wellness. Researchers say enthusiasm for these unregulated drugs has got ahead of the science. Peptide injections are the hottest trend in wellness. Researchers say enthusiasm for these unregulated drugs has got ahead of the science.</w:t>
      </w:r>
    </w:p>
    <w:p>
      <w:pPr>
        <w:spacing w:before="120" w:after="120"/>
      </w:pPr>
      <w:r>
        <w:rPr>
          <w:sz w:val="18"/>
        </w:rPr>
        <w:t>——————————————————————————————————————————————————————————————————————</w:t>
      </w:r>
    </w:p>
    <w:p>
      <w:pPr>
        <w:spacing w:before="160" w:after="40" w:line="240" w:lineRule="auto"/>
      </w:pPr>
      <w:r>
        <w:rPr>
          <w:b/>
        </w:rPr>
        <w:t xml:space="preserve">[252] </w:t>
      </w:r>
      <w:hyperlink r:id="rId787">
        <w:r>
          <w:rPr>
            <w:color w:val="1155CC"/>
            <w:u w:val="single"/>
          </w:rPr>
          <w:t>JUNO 实验迎来了下一代中微子实验</w:t>
        </w:r>
      </w:hyperlink>
    </w:p>
    <w:p>
      <w:pPr>
        <w:spacing w:before="0" w:after="80"/>
      </w:pPr>
      <w:r>
        <w:rPr>
          <w:i/>
          <w:sz w:val="20"/>
        </w:rPr>
        <w:t>EN: JUNO experiment ushers in next generation of neutrino experiments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88">
        <w:r>
          <w:rPr>
            <w:color w:val="1155CC"/>
            <w:u w:val="single"/>
          </w:rPr>
          <w:t>10.1038/d41586-026-01585-7</w:t>
        </w:r>
      </w:hyperlink>
    </w:p>
    <w:p>
      <w:pPr>
        <w:spacing w:before="0" w:after="120"/>
      </w:pPr>
      <w:r>
        <w:rPr>
          <w:b/>
        </w:rPr>
        <w:t xml:space="preserve">Notes: </w:t>
      </w:r>
      <w:r>
        <w:t>abstract_source=nature_html</w:t>
      </w:r>
    </w:p>
    <w:p>
      <w:pPr>
        <w:spacing w:before="0" w:after="80" w:lineRule="auto" w:line="276"/>
      </w:pPr>
      <w:r>
        <w:rPr>
          <w:b/>
        </w:rPr>
        <w:t xml:space="preserve">摘要（ZH）: </w:t>
      </w:r>
      <w:r>
        <w:t>JUNO 实验的首次测量显示出前所未有的精度，并有望带来令人兴奋的结果。 JUNO 实验的首次测量显示出前所未有的精度，并有望带来令人兴奋的结果。</w:t>
      </w:r>
    </w:p>
    <w:p>
      <w:pPr>
        <w:spacing w:before="0" w:after="200" w:lineRule="auto" w:line="276"/>
      </w:pPr>
      <w:r>
        <w:rPr>
          <w:b/>
        </w:rPr>
        <w:t xml:space="preserve">Abstract (EN): </w:t>
      </w:r>
      <w:r>
        <w:t>The first measurements from the JUNO experiment demonstrate unprecedented precision and promise exciting results. The first measurements from the JUNO experiment demonstrate unprecedented precision and promise exciting results.</w:t>
      </w:r>
    </w:p>
    <w:p>
      <w:pPr>
        <w:spacing w:before="120" w:after="120"/>
      </w:pPr>
      <w:r>
        <w:rPr>
          <w:sz w:val="18"/>
        </w:rPr>
        <w:t>——————————————————————————————————————————————————————————————————————</w:t>
      </w:r>
    </w:p>
    <w:p>
      <w:pPr>
        <w:spacing w:before="160" w:after="40" w:line="240" w:lineRule="auto"/>
      </w:pPr>
      <w:r>
        <w:rPr>
          <w:b/>
        </w:rPr>
        <w:t xml:space="preserve">[253] </w:t>
      </w:r>
      <w:hyperlink r:id="rId789">
        <w:r>
          <w:rPr>
            <w:color w:val="1155CC"/>
            <w:u w:val="single"/>
          </w:rPr>
          <w:t>物理信息引导的暂态电压稳定性评估训练方法</w:t>
        </w:r>
      </w:hyperlink>
    </w:p>
    <w:p>
      <w:pPr>
        <w:spacing w:before="0" w:after="80"/>
      </w:pPr>
      <w:r>
        <w:rPr>
          <w:i/>
          <w:sz w:val="20"/>
        </w:rPr>
        <w:t>EN: Physical information-guided training method for transient voltage stability assessment</w:t>
      </w:r>
    </w:p>
    <w:p>
      <w:pPr>
        <w:spacing w:before="0" w:after="120"/>
      </w:pPr>
      <w:r>
        <w:rPr>
          <w:b/>
        </w:rPr>
        <w:t xml:space="preserve">Source: </w:t>
      </w:r>
      <w:r>
        <w:t>ScienceDirect Publication: Applied Energy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790">
        <w:r>
          <w:rPr>
            <w:color w:val="1155CC"/>
            <w:u w:val="single"/>
          </w:rPr>
          <w:t>使用电阻记忆进行高效、准确的神经场重建</w:t>
        </w:r>
      </w:hyperlink>
    </w:p>
    <w:p>
      <w:pPr>
        <w:spacing w:before="0" w:after="80"/>
      </w:pPr>
      <w:r>
        <w:rPr>
          <w:i/>
          <w:sz w:val="20"/>
        </w:rPr>
        <w:t>EN: Efficient and accurate neural-field reconstruction using resistive memory</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91">
        <w:r>
          <w:rPr>
            <w:color w:val="1155CC"/>
            <w:u w:val="single"/>
          </w:rPr>
          <w:t>10.1038/s41586-026-10646-w</w:t>
        </w:r>
      </w:hyperlink>
    </w:p>
    <w:p>
      <w:pPr>
        <w:spacing w:before="0" w:after="120"/>
      </w:pPr>
      <w:r>
        <w:rPr>
          <w:b/>
        </w:rPr>
        <w:t xml:space="preserve">Notes: </w:t>
      </w:r>
      <w:r>
        <w:t>abstract_source=nature_html</w:t>
      </w:r>
    </w:p>
    <w:p>
      <w:pPr>
        <w:spacing w:before="0" w:after="80" w:lineRule="auto" w:line="276"/>
      </w:pPr>
      <w:r>
        <w:rPr>
          <w:b/>
        </w:rPr>
        <w:t xml:space="preserve">摘要（ZH）: </w:t>
      </w:r>
      <w:r>
        <w:t>医学成像、增强和虚拟现实以及嵌入式人工智能 (AI) 等应用取决于从稀疏观察中重建复杂信号的能力。这些应用的特点是测量不完整和计算资源有限。传统的数字硬件方法面临以下挑战：显式信号表示需要大量采样和存储，跨越冯诺依曼瓶颈的数据移动在能量和延迟方面占主导地位，并且基于 CMOS（互补金属氧化物半导体）的电路提供有限的并行效率。在这里，我们提出了一个用于稀疏输入信号重建的软件-硬件协同优化框架。在软件层面，我们使用神经场1通过神经网络隐式表示信号，并通过低秩分解和结构化剪枝进一步压缩信号。在硬件层面，我们设计了一个基于电阻存储器的内存计算平台，具有高斯编码器和多层感知器处理引擎。高斯编码器利用电阻存储器固有的随机性进行高效编码，而处理引擎则通过硬件感知量化电路实现精确的权重映射。在 40 nm 256 Kb 电阻式存储宏上，该系统可在投影能源效率上实现 23.5×、21.0× 和 32.3× 增益，在投影并行度上实现 10.8×、38.8× 和 6.2× 增益，用于三维计算机断层扫描稀疏重建、新颖视图合成和动态场景新颖视图合成，无需补偿。</w:t>
      </w:r>
    </w:p>
    <w:p>
      <w:pPr>
        <w:spacing w:before="0" w:after="200" w:lineRule="auto" w:line="276"/>
      </w:pPr>
      <w:r>
        <w:rPr>
          <w:b/>
        </w:rPr>
        <w:t xml:space="preserve">Abstract (EN): </w:t>
      </w:r>
      <w:r>
        <w:t>Applications such as medical imaging, augmented and virtual reality, and embodied artificial intelligence (AI) depend on the ability to reconstruct complex signals from sparse observations. These applications are characterized by incomplete measurements and limited computational resources. Traditional approaches to digital hardware face the following challenges: explicit signal representations require heavy sampling and storage, data movement across the von Neumann bottleneck dominates energy and latency, and CMOS (complementary metal–oxide–semiconductor)-based circuits offer limited parallel efficiency. Here we present a software–hardware co-optimization framework for sparse-input signal reconstruction. At the software level, we use neural fields1 to implicitly represent signals using neural networks, which are further compressed by low-rank decomposition and structured pruning. At the hardware level, we design a resistive-memory-based computing-in-memory platform, featuring a Gaussian encoder and a multi-layer perceptron processing engine. The Gaussian encoder leverages the intrinsic stochasticity of resistive memory for efficient encoding, whereas the processing engine enables precise weight mapping through a hardware-aware quantization circuit. On a 40-nm 256 Kb resistive-memory macro, the system delivers 23.5×, 21.0× and 32.3× gains in projected energy efficiency, together with 10.8×, 38.8× and 6.2× gains in projected parallelism, for three-dimensional computed tomography sparse reconstruction, novel view synthesis and dynamic-scene novel view synthesis, without compromising on reconstruction quality. This work advances AI-driven signal reconstruction technology and paves the way for future efficient and robust medical AI and three-dimensional vision applications.</w:t>
      </w:r>
    </w:p>
    <w:p>
      <w:pPr>
        <w:spacing w:before="120" w:after="120"/>
      </w:pPr>
      <w:r>
        <w:rPr>
          <w:sz w:val="18"/>
        </w:rPr>
        <w:t>——————————————————————————————————————————————————————————————————————</w:t>
      </w:r>
    </w:p>
    <w:p>
      <w:pPr>
        <w:spacing w:before="160" w:after="40" w:line="240" w:lineRule="auto"/>
      </w:pPr>
      <w:r>
        <w:rPr>
          <w:b/>
        </w:rPr>
        <w:t xml:space="preserve">[255] </w:t>
      </w:r>
      <w:hyperlink r:id="rId792">
        <w:r>
          <w:rPr>
            <w:color w:val="1155CC"/>
            <w:u w:val="single"/>
          </w:rPr>
          <w:t>克隆造血过程中睡眠和运动的突变依赖性反应</w:t>
        </w:r>
      </w:hyperlink>
    </w:p>
    <w:p>
      <w:pPr>
        <w:spacing w:before="0" w:after="80"/>
      </w:pPr>
      <w:r>
        <w:rPr>
          <w:i/>
          <w:sz w:val="20"/>
        </w:rPr>
        <w:t>EN: Mutation-dependent responses to sleep and exercise in clonal haematopoiesis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93">
        <w:r>
          <w:rPr>
            <w:color w:val="1155CC"/>
            <w:u w:val="single"/>
          </w:rPr>
          <w:t>10.1038/s41586-026-10634-0</w:t>
        </w:r>
      </w:hyperlink>
    </w:p>
    <w:p>
      <w:pPr>
        <w:spacing w:before="0" w:after="120"/>
      </w:pPr>
      <w:r>
        <w:rPr>
          <w:b/>
        </w:rPr>
        <w:t xml:space="preserve">Notes: </w:t>
      </w:r>
      <w:r>
        <w:t>abstract_source=nature_html</w:t>
      </w:r>
    </w:p>
    <w:p>
      <w:pPr>
        <w:spacing w:before="0" w:after="80" w:lineRule="auto" w:line="276"/>
      </w:pPr>
      <w:r>
        <w:rPr>
          <w:b/>
        </w:rPr>
        <w:t xml:space="preserve">摘要（ZH）: </w:t>
      </w:r>
      <w:r>
        <w:t>克隆造血 (CH) 会激活炎症并增加动脉粥样硬化的风险1,2。生活方式是否会改变 CH 克隆扩增或 CH 突变细胞的表型编程，从而影响动脉粥样硬化，目前尚不清楚。在这里，在人类和小鼠中，通过 Jak2、Tet2、Trp53 和 Dnmt3a 的突变，我们证明了 CH 对睡眠和运动的突变依赖性反应，并表明突变细胞对生活方式具有独特的敏感性。在两个人类数据集中，中度至剧烈的体力活动与非 DNMT3A 驱动的 CH 患病率较低相关。在 Jak2V617F 或 Tet2 功能丧失 (LOF)（但 Trp53 LOF 或 Dnmt3aR878H CH 除外）的致动脉粥样硬化小鼠中，不间断的睡眠或运动会抑制克隆扩增。在携带 Jak2V617F 突变的 CH 中，睡眠和运动通过选择性地重新编程突变型（而非共生型野生型）造血祖细胞，通过调节骨髓巨噬细胞 - 造血祖细胞 IL-1β 信号转导，使其达到抗增殖和代谢健康的表型，从而减少克隆扩张。睡眠或运动还可以通过局部重编程突变血管巨噬细胞来减轻 Jak2V617F 驱动、Tet2 LOF 驱动和 Trp53 LOF 驱动的动脉粥样硬化，但不能减轻 Dnmt3aR878H 驱动的动脉粥样硬化，与外周克隆动态无关。在 Jak2V617F 中，但相邻的野生型主动脉巨噬细胞中，不间断的睡眠会减弱 CLEC4E 依赖性炎症小体的激活，从而减少病变。与此同时，运动会激活蓝斑中的 PAC1+ 神经元，提高外周去甲肾上腺素的水平，后者通过肾上腺发出信号</w:t>
      </w:r>
    </w:p>
    <w:p>
      <w:pPr>
        <w:spacing w:before="0" w:after="200" w:lineRule="auto" w:line="276"/>
      </w:pPr>
      <w:r>
        <w:rPr>
          <w:b/>
        </w:rPr>
        <w:t xml:space="preserve">Abstract (EN): </w:t>
      </w:r>
      <w:r>
        <w:t>Clonal haematopoiesis (CH) activates inflammation and increases the risk of atherosclerosis1,2. Whether lifestyle alters CH clone expansion or the phenotypic programming of CH mutant cells, thereby affecting atherosclerosis, is unknown. Here, in humans and mice and across mutations in Jak2, Tet2, Trp53 and Dnmt3a, we demonstrate mutation-dependent responses to sleep and exercise in CH and show that mutant cells are uniquely sensitive to lifestyle. In two human datasets, moderate-to-vigorous physical activity was associated with lower prevalence of non-DNMT3A-driven CH. In atherogenic mice with Jak2V617F or Tet2 loss of function (LOF), but not Trp53 LOF or Dnmt3aR878H CH, uninterrupted sleep or exercise curtails clone expansion. In CH with the Jak2V617F mutation, sleep and exercise reduces clone expansion by selectively reprogramming mutant, but not cohabitant wild type, haematopoietic progenitor cells towards antiproliferative and metabolically healthy phenotypes by tempering bone marrow macrophage–haematopoietic progenitor cell IL-1β signalling. Sleep or exercise also lessens Jak2V617F-driven, Tet2 LOF-driven and Trp53 LOF-driven, but not Dnmt3aR878H-driven, atherosclerosis by locally reprogramming mutant vascular macrophages, independent of peripheral clone dynamics. In Jak2V617F, but not adjacent wild type, aortic macrophages, uninterrupted sleep blunts CLEC4E-dependent inflammasome activation, consequently diminishing lesions. Exercise, meanwhile, activates PAC1+ neurons in the locus coeruleus, raising the levels of peripheral noradrenaline, which signals through adrenergic receptor β2 (ADRβ2) whose expression is preserved by exercise in Jak2V617F, but not cohabitant wild type, aortic macrophages, selectively repressing their inflammatory programming and atherosclerosis. Our findings establish that healthy lifestyles gene-specifically diminish CH and selectively reprogram mutant haematopoietic progenitor cells and macrophages to maintain cardiovascular health.</w:t>
      </w:r>
    </w:p>
    <w:p>
      <w:pPr>
        <w:spacing w:before="120" w:after="120"/>
      </w:pPr>
      <w:r>
        <w:rPr>
          <w:sz w:val="18"/>
        </w:rPr>
        <w:t>——————————————————————————————————————————————————————————————————————</w:t>
      </w:r>
    </w:p>
    <w:p>
      <w:pPr>
        <w:spacing w:before="160" w:after="40" w:line="240" w:lineRule="auto"/>
      </w:pPr>
      <w:r>
        <w:rPr>
          <w:b/>
        </w:rPr>
        <w:t xml:space="preserve">[256] </w:t>
      </w:r>
      <w:hyperlink r:id="rId794">
        <w:r>
          <w:rPr>
            <w:color w:val="1155CC"/>
            <w:u w:val="single"/>
          </w:rPr>
          <w:t>电子空穴双层中的双组分激子凝聚</w:t>
        </w:r>
      </w:hyperlink>
    </w:p>
    <w:p>
      <w:pPr>
        <w:spacing w:before="0" w:after="80"/>
      </w:pPr>
      <w:r>
        <w:rPr>
          <w:i/>
          <w:sz w:val="20"/>
        </w:rPr>
        <w:t>EN: Two-component exciton condensates in an electron–hole bilayer</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95">
        <w:r>
          <w:rPr>
            <w:color w:val="1155CC"/>
            <w:u w:val="single"/>
          </w:rPr>
          <w:t>10.1038/s41586-026-10636-y</w:t>
        </w:r>
      </w:hyperlink>
    </w:p>
    <w:p>
      <w:pPr>
        <w:spacing w:before="0" w:after="120"/>
      </w:pPr>
      <w:r>
        <w:rPr>
          <w:b/>
        </w:rPr>
        <w:t xml:space="preserve">Notes: </w:t>
      </w:r>
      <w:r>
        <w:t>abstract_source=nature_html</w:t>
      </w:r>
    </w:p>
    <w:p>
      <w:pPr>
        <w:spacing w:before="0" w:after="80" w:lineRule="auto" w:line="276"/>
      </w:pPr>
      <w:r>
        <w:rPr>
          <w:b/>
        </w:rPr>
        <w:t xml:space="preserve">摘要（ZH）: </w:t>
      </w:r>
      <w:r>
        <w:t>当玻色子凝聚成玻色-爱因斯坦凝聚体 (BEC)1,2,3,4,5 时，就会出现宏观量子相干性。激子是一种长期寻找的高温 BEC 固态途径，具有强相互作用、电可调性和潜在的多组分旋量顺序，但平衡凝聚的决定性证据仍然难以捉摸。在这里，我们通过探测组成电子和空穴的自旋谷敏感性，报告了 MoSe2/hBN/WSe2 电子空穴双层 6,7,8,9 中双组分激子 BEC 的证据。这种异质结构拥有具有四种自旋谷风味的平衡激子流体。稀释冰箱中的磁光光谱揭示了具有不同风味偏振的三个激子凝聚相。在零磁场下，多体基态是两个凝聚的谷内激子味道的相干叠加。在磁场作用下，谷内激子凝聚态首先在弱临界场处通过一阶量子相变转变为双组分谷间凝聚态，然后在高场处转变为完全极化的单组分凝聚态。凝聚态特征在密度-温度空间中形成圆顶，持续高达约 1.8 K。我们的结果将范德华电子-空穴双层确立为强相互作用、多组分激子 BEC 的通用平台。</w:t>
      </w:r>
    </w:p>
    <w:p>
      <w:pPr>
        <w:spacing w:before="0" w:after="200" w:lineRule="auto" w:line="276"/>
      </w:pPr>
      <w:r>
        <w:rPr>
          <w:b/>
        </w:rPr>
        <w:t xml:space="preserve">Abstract (EN): </w:t>
      </w:r>
      <w:r>
        <w:t>Macroscopic quantum coherence emerges when bosons condense into a Bose–Einstein condensate (BEC)1,2,3,4,5. Excitons are a long-sought solid-state route to high-temperature BECs with strong interactions, electrical tunability and potentially multicomponent spinor order, but conclusive evidence for equilibrium condensation has remained elusive. Here we report evidence for two-component exciton BECs in MoSe2/hBN/WSe2 electron–hole bilayers6,7,8,9 by probing the spin–valley susceptibility of constituent electrons and holes. This heterostructure hosts equilibrium exciton fluids with four spin–valley flavours. Magneto-optical spectroscopy in a dilution refrigerator reveals three exciton condensate phases with distinct flavour polarizations. At zero magnetic field, the many-body ground state is a coherent superposition of two condensed intravalley exciton flavours. Under a magnetic field, the intravalley exciton condensate first switches to a two-component intervalley condensate through a first-order quantum phase transition at a weak critical field and then turns into a fully polarized single-component condensate at high fields. The condensate signatures form a dome in density–temperature space, persisting up to approximately 1.8 K. Our results establish van der Waals electron–hole bilayers as a versatile platform for strongly interacting, multicomponent exciton BECs.</w:t>
      </w:r>
    </w:p>
    <w:p>
      <w:pPr>
        <w:spacing w:before="120" w:after="120"/>
      </w:pPr>
      <w:r>
        <w:rPr>
          <w:sz w:val="18"/>
        </w:rPr>
        <w:t>——————————————————————————————————————————————————————————————————————</w:t>
      </w:r>
    </w:p>
    <w:p>
      <w:pPr>
        <w:spacing w:before="160" w:after="40" w:line="240" w:lineRule="auto"/>
      </w:pPr>
      <w:r>
        <w:rPr>
          <w:b/>
        </w:rPr>
        <w:t xml:space="preserve">[257] </w:t>
      </w:r>
      <w:hyperlink r:id="rId796">
        <w:r>
          <w:rPr>
            <w:color w:val="1155CC"/>
            <w:u w:val="single"/>
          </w:rPr>
          <w:t>弥漫性中线神经胶质瘤的预后人脑网络</w:t>
        </w:r>
      </w:hyperlink>
    </w:p>
    <w:p>
      <w:pPr>
        <w:spacing w:before="0" w:after="80"/>
      </w:pPr>
      <w:r>
        <w:rPr>
          <w:i/>
          <w:sz w:val="20"/>
        </w:rPr>
        <w:t>EN: A prognostic human brain network for diffuse midline glioma</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97">
        <w:r>
          <w:rPr>
            <w:color w:val="1155CC"/>
            <w:u w:val="single"/>
          </w:rPr>
          <w:t>10.1038/s41586-026-10631-3</w:t>
        </w:r>
      </w:hyperlink>
    </w:p>
    <w:p>
      <w:pPr>
        <w:spacing w:before="0" w:after="120"/>
      </w:pPr>
      <w:r>
        <w:rPr>
          <w:b/>
        </w:rPr>
        <w:t xml:space="preserve">Notes: </w:t>
      </w:r>
      <w:r>
        <w:t>abstract_source=nature_html</w:t>
      </w:r>
    </w:p>
    <w:p>
      <w:pPr>
        <w:spacing w:before="0" w:after="80" w:lineRule="auto" w:line="276"/>
      </w:pPr>
      <w:r>
        <w:rPr>
          <w:b/>
        </w:rPr>
        <w:t xml:space="preserve">摘要（ZH）: </w:t>
      </w:r>
      <w:r>
        <w:t>弥漫性中线神经胶质瘤 (DMG) 是儿童中枢神经系统几乎普遍致命的肿瘤1,2。在动物模型中，DMG 通过神经元到神经胶质瘤突触 3、4、5、6 和神经胶质瘤到神经胶质瘤间隙连接耦合 3 形成全脑集成网络。这种广泛的连接通过旁分泌机制和直接的神经元-神经胶质瘤突触强有力地促进 DMG3,4,5,6,7,8,9 和其他神经胶质恶性肿瘤 10,11,12 的生长和侵袭。然而，这些连接在活人大脑中的组织和临床意义仍有待阐明。在这里，我们开发肿瘤网络图谱来计算 DMG 的全脑连接概况，定义与患者短期生存相关的跨脑桥和丘脑 DMG 的保守大脑网络（DMG 网络）。在两个外部验证队列中，肿瘤与 DMG 网络的功能连接可独立预测患者的总体生存率。肿瘤生长映射到 DMG 网络特定轨迹，并且发育过程中的网络内神经代谢峰值变化在时空上与 DMG 峰值年龄发生率一致。单核 RNA 测序数据的分析证实了高连接性 DMG 中多种突触基因的富集。引人注目的是，偶然手术切除高连接性丘脑 DMG 组织具有显着的生存优势。总的来说，这些数据定义了 DMG 儿童中一个保守且对预后重要的大脑网络，这与 DMG 利用其他健康的大脑回路促进肿瘤生长的假设一致。</w:t>
      </w:r>
    </w:p>
    <w:p>
      <w:pPr>
        <w:spacing w:before="0" w:after="200" w:lineRule="auto" w:line="276"/>
      </w:pPr>
      <w:r>
        <w:rPr>
          <w:b/>
        </w:rPr>
        <w:t xml:space="preserve">Abstract (EN): </w:t>
      </w:r>
      <w:r>
        <w:t>Diffuse midline gliomas (DMGs) are near-universally lethal tumours of the childhood central nervous system1,2. In animal models, DMGs form brain-wide integrated networks through neuron-to-glioma synapses3,4,5,6 and glioma-to-glioma gap junctional coupling3. This extensive connectivity robustly promotes the growth and invasion of DMG3,4,5,6,7,8,9 and other glial malignancies10,11,12 through paracrine mechanisms and direct neuron-to-glioma synapses. However, the organization and clinical implications of these connections in the living human brain remain to be elucidated. Here, we develop tumour network mapping to compute the brain-wide connectivity profile of DMG, defining a conserved brain network across pontine and thalamic DMG associated with patient short-term survival (DMG network). Tumour functional connectivity with the DMG network was independently predictive of patient overall survival across two external validation cohorts. Tumour growth mapped to DMG network-specific trajectories and peak in-network neurometabolic changes across development spatiotemporally aligned with the peak age incidence of DMG. Analyses of single-nucleus RNA sequencing data confirmed diverse synaptic gene enrichment in high-connectivity DMG. Strikingly, incidental surgical resection of high-connectivity thalamic DMG tissue conferred a significant survival advantage. Collectively, these data define a conserved and prognostically important brain network in children with DMG, consistent with the hypothesis that DMGs exploit otherwise healthy brain circuits to promote tumour growth.</w:t>
      </w:r>
    </w:p>
    <w:p>
      <w:pPr>
        <w:spacing w:before="120" w:after="120"/>
      </w:pPr>
      <w:r>
        <w:rPr>
          <w:sz w:val="18"/>
        </w:rPr>
        <w:t>——————————————————————————————————————————————————————————————————————</w:t>
      </w:r>
    </w:p>
    <w:p>
      <w:pPr>
        <w:spacing w:before="160" w:after="40" w:line="240" w:lineRule="auto"/>
      </w:pPr>
      <w:r>
        <w:rPr>
          <w:b/>
        </w:rPr>
        <w:t xml:space="preserve">[258] </w:t>
      </w:r>
      <w:hyperlink r:id="rId798">
        <w:r>
          <w:rPr>
            <w:color w:val="1155CC"/>
            <w:u w:val="single"/>
          </w:rPr>
          <w:t>原位纳米晶体限制高效蓝色钙钛矿 LED</w:t>
        </w:r>
      </w:hyperlink>
    </w:p>
    <w:p>
      <w:pPr>
        <w:spacing w:before="0" w:after="80"/>
      </w:pPr>
      <w:r>
        <w:rPr>
          <w:i/>
          <w:sz w:val="20"/>
        </w:rPr>
        <w:t>EN: In situ nanocrystal confinement for efficient blue perovskite LEDs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799">
        <w:r>
          <w:rPr>
            <w:color w:val="1155CC"/>
            <w:u w:val="single"/>
          </w:rPr>
          <w:t>10.1038/s41586-026-10596-3</w:t>
        </w:r>
      </w:hyperlink>
    </w:p>
    <w:p>
      <w:pPr>
        <w:spacing w:before="0" w:after="120"/>
      </w:pPr>
      <w:r>
        <w:rPr>
          <w:b/>
        </w:rPr>
        <w:t xml:space="preserve">Notes: </w:t>
      </w:r>
      <w:r>
        <w:t>abstract_source=nature_html</w:t>
      </w:r>
    </w:p>
    <w:p>
      <w:pPr>
        <w:spacing w:before="0" w:after="80" w:lineRule="auto" w:line="276"/>
      </w:pPr>
      <w:r>
        <w:rPr>
          <w:b/>
        </w:rPr>
        <w:t xml:space="preserve">摘要（ZH）: </w:t>
      </w:r>
      <w:r>
        <w:t>金属卤化物钙钛矿由于其优异的发光性能而成为有前途的发光二极管（LED）半导体1。然而，它们的性能仍然有限，这主要是由于在基底上原位合成钙钛矿纳米晶时“高结晶度”和“小尺寸”之间的固有矛盾。在此，我们报道了通过原位聚合驱动的纳米晶体限制合成由高质量纳米晶体组成的钙钛矿薄膜而实现的高效蓝色钙钛矿 LED (PeLED)。原位形成的聚合物网络在钙钛矿纳米晶体生长过程中施加了纳米级空间限制，使得纳米晶体具有小尺寸和高达83%的光致发光量子产率。此外，具有足够配位位点的可聚合单体允许钙钛矿簇的长时间晶格重排，从而促进纳米晶体的结晶度。合成的钙钛矿纳米晶体用于制造 PeLED，在 491 nm 处的外量子效率达到 21.8%，这是蓝色 PeLED 中最高性能之一。这项工作同时控制了钙钛矿结晶和有机配体反应的热动力学，有助于加深对配体工程对纳米晶体合成影响的理解，有利于高效PeLED和其他光电技术的发展。</w:t>
      </w:r>
    </w:p>
    <w:p>
      <w:pPr>
        <w:spacing w:before="0" w:after="200" w:lineRule="auto" w:line="276"/>
      </w:pPr>
      <w:r>
        <w:rPr>
          <w:b/>
        </w:rPr>
        <w:t xml:space="preserve">Abstract (EN): </w:t>
      </w:r>
      <w:r>
        <w:t>Metal halide perovskites have emerged as promising semiconductors for light-emitting diodes (LEDs) owing to their excellent luminescence properties1. However, their performance remains limited, primarily owing to the inherent contradiction between ‘high crystallinity’ and ‘small size’ in the in situ synthesis of perovskite nanocrystals on substrates. Here we report efficient blue perovskite LEDs (PeLEDs) achieved via in situ polymerization-driven nanocrystal confinement to synthesize perovskite films composed of high-quality nanocrystals. The in situ-formed polymer network imposes nanoscale spatial constraints during perovskite nanocrystal growth, enabling nanocrystals with small sizes and a high photoluminescence quantum yield of 83%. Furthermore, polymerizable monomers with sufficient coordination sites allow a prolonged lattice rearrangement of perovskite clusters, promoting the crystallinity of the nanocrystals. The synthesized perovskite nanocrystals are utilized in the fabrication of PeLEDs, resulting in an external quantum efficiency of 21.8% at 491 nm, which is among the highest performances in blue PeLEDs. This work simultaneously controls the thermal dynamics of perovskite crystallization and organic ligand reactions, which helps to advance understanding of the effect of ligand engineering on nanocrystal synthesis, benefiting the development of efficient PeLEDs and other optoelectronic technologies.</w:t>
      </w:r>
    </w:p>
    <w:p>
      <w:pPr>
        <w:spacing w:before="120" w:after="120"/>
      </w:pPr>
      <w:r>
        <w:rPr>
          <w:sz w:val="18"/>
        </w:rPr>
        <w:t>——————————————————————————————————————————————————————————————————————</w:t>
      </w:r>
    </w:p>
    <w:p>
      <w:pPr>
        <w:spacing w:before="160" w:after="40" w:line="240" w:lineRule="auto"/>
      </w:pPr>
      <w:r>
        <w:rPr>
          <w:b/>
        </w:rPr>
        <w:t xml:space="preserve">[259] </w:t>
      </w:r>
      <w:hyperlink r:id="rId800">
        <w:r>
          <w:rPr>
            <w:color w:val="1155CC"/>
            <w:u w:val="single"/>
          </w:rPr>
          <w:t>全基因组复制塑造了脊椎动物大脑中的细胞类型进化</w:t>
        </w:r>
      </w:hyperlink>
    </w:p>
    <w:p>
      <w:pPr>
        <w:spacing w:before="0" w:after="80"/>
      </w:pPr>
      <w:r>
        <w:rPr>
          <w:i/>
          <w:sz w:val="20"/>
        </w:rPr>
        <w:t>EN: Whole-genome duplication shaped cell-type evolution in the vertebrate brain</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801">
        <w:r>
          <w:rPr>
            <w:color w:val="1155CC"/>
            <w:u w:val="single"/>
          </w:rPr>
          <w:t>10.1038/s41586-026-10629-x</w:t>
        </w:r>
      </w:hyperlink>
    </w:p>
    <w:p>
      <w:pPr>
        <w:spacing w:before="0" w:after="120"/>
      </w:pPr>
      <w:r>
        <w:rPr>
          <w:b/>
        </w:rPr>
        <w:t xml:space="preserve">Notes: </w:t>
      </w:r>
      <w:r>
        <w:t>abstract_source=nature_html</w:t>
      </w:r>
    </w:p>
    <w:p>
      <w:pPr>
        <w:spacing w:before="0" w:after="80" w:lineRule="auto" w:line="276"/>
      </w:pPr>
      <w:r>
        <w:rPr>
          <w:b/>
        </w:rPr>
        <w:t xml:space="preserve">摘要（ZH）: </w:t>
      </w:r>
      <w:r>
        <w:t>脊椎动物复杂的大脑比其近亲的大脑拥有更多的细胞类型。全基因组复制（WGD）发生在早期脊椎动物进化过程中1，但尚不清楚复制的基因（同源物）是否促进了细胞类型的进化。在这里，使用来自五种脊索动物（人类2、小鼠3、蜥蜴4、七鳃鳗5和文昌鱼）的大脑单细胞转录组，我们报告说，脊椎动物中具有保守核心转录因子的许多细胞类型家族并不与文昌鱼表现出一对一的同源性。此外，对于脊椎动物细胞类型的进化，同源物，特别是来自第一次全基因组测序的同源物，比小规模复制旁系同源物更重要。为了探索ohnologues在这一过程中是否具有重要的机制，我们预测了祖先细胞类型的状态，并将它们与文昌鱼进行比较，并通过实验研究了大胶质细胞。研究结果表明，同源物在早期脊椎动物细胞类型多样化中发挥作用。此外，通过检查跨细胞类型和物种的旁系同源表达，我们发现表达变化主要是由剂量选择和亚功能化驱动的。我们还将同源物与不同解剖和细胞类型尺度的细胞多样性联系起来。我们的研究结果证明了全基因组测序对于早期脊椎动物大脑复杂性进化的重要性，并强调了由此产生的同源物在形成很长时间后仍继续促进细胞类型的进化。</w:t>
      </w:r>
    </w:p>
    <w:p>
      <w:pPr>
        <w:spacing w:before="0" w:after="200" w:lineRule="auto" w:line="276"/>
      </w:pPr>
      <w:r>
        <w:rPr>
          <w:b/>
        </w:rPr>
        <w:t xml:space="preserve">Abstract (EN): </w:t>
      </w:r>
      <w:r>
        <w:t>The complex brains of vertebrates have more cell types than those of their closest relatives. Whole-genome duplications (WGDs) occurred during early vertebrate evolution1, but it is unclear whether the duplicated genes (ohnologues) facilitated cell-type evolution. Here using brain single-cell transcriptomes from five chordates—human2, mouse3, lizard4, lamprey5 and amphioxus—we report that many cell-type families with conserved core transcription factors in vertebrates do not show one-to-one homology with amphioxus. Moreover, ohnologues, particularly those from the first WGD, were more important than small-scale duplication paralogues for vertebrate cell-type evolution. To explore whether ohnologues are mechanistically important for this process, we predicted ancestral cell-type states and compared them to amphioxus and experimentally investigated macroglia. The findings indicate that ohnologues had a role in early vertebrate cell-type diversification. Moreover, by examining paralogue expression across cell types and species, we show that expression changes were mainly driven by dosage selection and subfunctionalization. We also link ohnologues to cellular diversity at different anatomical and cell-type scales. Our findings demonstrate the importance of WGDs for the evolution of early vertebrate brain complexity and highlight that the resultant ohnologues continued to capacitate cell-type evolution long after they were formed.</w:t>
      </w:r>
    </w:p>
    <w:p>
      <w:pPr>
        <w:spacing w:before="120" w:after="120"/>
      </w:pPr>
      <w:r>
        <w:rPr>
          <w:sz w:val="18"/>
        </w:rPr>
        <w:t>——————————————————————————————————————————————————————————————————————</w:t>
      </w:r>
    </w:p>
    <w:p>
      <w:pPr>
        <w:spacing w:before="160" w:after="40" w:line="240" w:lineRule="auto"/>
      </w:pPr>
      <w:r>
        <w:rPr>
          <w:b/>
        </w:rPr>
        <w:t xml:space="preserve">[260] </w:t>
      </w:r>
      <w:hyperlink r:id="rId802">
        <w:r>
          <w:rPr>
            <w:color w:val="1155CC"/>
            <w:u w:val="single"/>
          </w:rPr>
          <w:t>基因祖先揭示了真核发生过程中不同的微生物关联</w:t>
        </w:r>
      </w:hyperlink>
    </w:p>
    <w:p>
      <w:pPr>
        <w:spacing w:before="0" w:after="80"/>
      </w:pPr>
      <w:r>
        <w:rPr>
          <w:i/>
          <w:sz w:val="20"/>
        </w:rPr>
        <w:t>EN: Gene ancestries reveal diverse microbial associations during eukaryogenesis</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803">
        <w:r>
          <w:rPr>
            <w:color w:val="1155CC"/>
            <w:u w:val="single"/>
          </w:rPr>
          <w:t>10.1038/s41586-026-10639-9</w:t>
        </w:r>
      </w:hyperlink>
    </w:p>
    <w:p>
      <w:pPr>
        <w:spacing w:before="0" w:after="120"/>
      </w:pPr>
      <w:r>
        <w:rPr>
          <w:b/>
        </w:rPr>
        <w:t xml:space="preserve">Notes: </w:t>
      </w:r>
      <w:r>
        <w:t>abstract_source=nature_html</w:t>
      </w:r>
    </w:p>
    <w:p>
      <w:pPr>
        <w:spacing w:before="0" w:after="80" w:lineRule="auto" w:line="276"/>
      </w:pPr>
      <w:r>
        <w:rPr>
          <w:b/>
        </w:rPr>
        <w:t xml:space="preserve">摘要（ZH）: </w:t>
      </w:r>
      <w:r>
        <w:t>真核生物的起源仍然是生物学中的一个中心谜团。关于α变形菌和阿斯加德古菌之间共生的关键作用，持续的争论已达成共识2,3。然而，其他潜在细菌伙伴的性质、时间和贡献4、5、6以及与病毒相互作用的作用7、8、9仍然存在争议。为了解决这些问题，我们使用了先进的系统发育学方法和涵盖已知的细胞生命和病毒多样性的综合数据集。我们的分析提供了最后一个真核共同祖先（LECA）蛋白质组的修订重建，其中我们追踪了每个蛋白质家族的系统发育起源。我们发现了来自不同细菌供体的多波水平基因转移的令人信服的证据，其中一些可能先于线粒体内共生。我们推断了主要捐赠者的合理特征及其对 LECA 的功能贡献。我们的研究结果支持水平基因转移对塑造前 LECA 祖先的蛋白质组的贡献，并表明核细胞病毒的促进作用。总而言之，我们的结果表明，古代真核生物可能起源于复杂的微生物生态系统，通过一系列不同的关联留下了水平转移基因的足迹。</w:t>
      </w:r>
    </w:p>
    <w:p>
      <w:pPr>
        <w:spacing w:before="0" w:after="200" w:lineRule="auto" w:line="276"/>
      </w:pPr>
      <w:r>
        <w:rPr>
          <w:b/>
        </w:rPr>
        <w:t xml:space="preserve">Abstract (EN): </w:t>
      </w:r>
      <w:r>
        <w:t>The origin of eukaryotes remains a central enigma in biology1. Continuing debates agree on the pivotal role of a symbiosis between an alphaproteobacterium and an Asgard archaeon2,3. However, the nature, timing and contributions of other potential bacterial partners4,5,6 and the role of interactions with viruses7,8,9 remain contentious. To address these questions, we used advanced phylogenomic approaches and comprehensive datasets spanning the known diversity of cellular life and viruses. Our analysis provided a revised reconstruction of the last eukaryotic common ancestor (LECA) proteome, in which we traced the phylogenetic origin of each protein family. We found compelling evidence for multiple waves of horizontal gene transfer from diverse bacterial donors, with some likely to have preceded mitochondrial endosymbiosis. We inferred plausible traits of the major donors and their functional contributions to the LECA. Our findings support a contribution of horizontal gene transfers to shaping the proteomes of pre-LECA ancestors and suggest a facilitating role of Nucleocytoviricota viruses. Taken together, our results suggest that ancient eukaryotes may have originated within complex microbial ecosystems through a succession of diverse associations that left a footprint of horizontally transferred genes.</w:t>
      </w:r>
    </w:p>
    <w:p>
      <w:pPr>
        <w:spacing w:before="120" w:after="120"/>
      </w:pPr>
      <w:r>
        <w:rPr>
          <w:sz w:val="18"/>
        </w:rPr>
        <w:t>——————————————————————————————————————————————————————————————————————</w:t>
      </w:r>
    </w:p>
    <w:p>
      <w:pPr>
        <w:spacing w:before="160" w:after="40" w:line="240" w:lineRule="auto"/>
      </w:pPr>
      <w:r>
        <w:rPr>
          <w:b/>
        </w:rPr>
        <w:t xml:space="preserve">[261] </w:t>
      </w:r>
      <w:hyperlink r:id="rId804">
        <w:r>
          <w:rPr>
            <w:color w:val="1155CC"/>
            <w:u w:val="single"/>
          </w:rPr>
          <w:t>迪亚曼蒂纳区拥有 530 万年前的深海鲸鱼墓地</w:t>
        </w:r>
      </w:hyperlink>
    </w:p>
    <w:p>
      <w:pPr>
        <w:spacing w:before="0" w:after="80"/>
      </w:pPr>
      <w:r>
        <w:rPr>
          <w:i/>
          <w:sz w:val="20"/>
        </w:rPr>
        <w:t>EN: A 5.3-million-year-old deep-sea whale necropolis in the Diamantina Zone</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805">
        <w:r>
          <w:rPr>
            <w:color w:val="1155CC"/>
            <w:u w:val="single"/>
          </w:rPr>
          <w:t>10.1038/s41586-026-10546-z</w:t>
        </w:r>
      </w:hyperlink>
    </w:p>
    <w:p>
      <w:pPr>
        <w:spacing w:before="0" w:after="120"/>
      </w:pPr>
      <w:r>
        <w:rPr>
          <w:b/>
        </w:rPr>
        <w:t xml:space="preserve">Notes: </w:t>
      </w:r>
      <w:r>
        <w:t>abstract_source=nature_html</w:t>
      </w:r>
    </w:p>
    <w:p>
      <w:pPr>
        <w:spacing w:before="0" w:after="80" w:lineRule="auto" w:line="276"/>
      </w:pPr>
      <w:r>
        <w:rPr>
          <w:b/>
        </w:rPr>
        <w:t xml:space="preserve">摘要（ZH）: </w:t>
      </w:r>
      <w:r>
        <w:t>鲸鱼瀑布是海底的生物多样性绿洲1,2,3,4,5,6，但来自海洋的记录仍然稀疏和零碎6,7。在此，我们报告在迪亚曼蒂纳区（深度 4,616 至 7,001 米）发现了一个巨大的鲸鱼墓地，该墓地沿着印度洋东南部海底延伸约 1,200 公里。该地区有深厚而广泛的沉积物，包括五个现代天然鲸落群落和记录的 476 种鲸目动物化石。我们表明，尸体上存在着以海蛇尾、钻骨蠕虫和基于化学合成的双壳类为主的专门群落，并且该地区的化石记录包括现存和灭绝的深潜喙鲸。同位素测年表明，该地区的鲸鱼坠落事件至少自 530 万年前就已发生。这些发现重塑了对鲸落生态系统的限制和生物地理学的理解，并建立了一些深海海底作为化石档案，用于追踪鲸类在地质时期的进化。</w:t>
      </w:r>
    </w:p>
    <w:p>
      <w:pPr>
        <w:spacing w:before="0" w:after="200" w:lineRule="auto" w:line="276"/>
      </w:pPr>
      <w:r>
        <w:rPr>
          <w:b/>
        </w:rPr>
        <w:t xml:space="preserve">Abstract (EN): </w:t>
      </w:r>
      <w:r>
        <w:t>Whale falls are biodiversity oases at seabeds1,2,3,4,5,6, yet their record from the oceans has remained sparse and fragmentary6,7. Here we report the discovery of a vast whale necropolis in the Diamantina Zone (4,616- to 7,001-m depth), extending about 1,200 km along the sea floor of the southeastern Indian Ocean. This area has a deep and extensive accumulation comprising five modern natural whale-fall communities and 476 fossil cetaceans recorded. We show that carcasses host specialized communities dominated by brittle stars, bone-boring worms and chemosynthesis-based bivalves and that the fossil record in this area comprises both extant and extinct deep-diving beaked whales. Isotopic dating shows that whale falls in this region have occurred since at least 5.3 million years ago. These findings reshape the understanding of the limits and biogeography of whale-fall ecosystems and establish some deep sea floors as a fossil archive for tracing cetacean evolution over geological time.</w:t>
      </w:r>
    </w:p>
    <w:p>
      <w:pPr>
        <w:spacing w:before="120" w:after="120"/>
      </w:pPr>
      <w:r>
        <w:rPr>
          <w:sz w:val="18"/>
        </w:rPr>
        <w:t>——————————————————————————————————————————————————————————————————————</w:t>
      </w:r>
    </w:p>
    <w:p>
      <w:pPr>
        <w:spacing w:before="160" w:after="40" w:line="240" w:lineRule="auto"/>
      </w:pPr>
      <w:r>
        <w:rPr>
          <w:b/>
        </w:rPr>
        <w:t xml:space="preserve">[262] </w:t>
      </w:r>
      <w:hyperlink r:id="rId806">
        <w:r>
          <w:rPr>
            <w:color w:val="1155CC"/>
            <w:u w:val="single"/>
          </w:rPr>
          <w:t>分子伴侣引导RNA诱导沉默复合物组装的结构基础</w:t>
        </w:r>
      </w:hyperlink>
    </w:p>
    <w:p>
      <w:pPr>
        <w:spacing w:before="0" w:after="80"/>
      </w:pPr>
      <w:r>
        <w:rPr>
          <w:i/>
          <w:sz w:val="20"/>
        </w:rPr>
        <w:t>EN: Structural basis for chaperone-guided assembly of RNA-induced silencing complex</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807">
        <w:r>
          <w:rPr>
            <w:color w:val="1155CC"/>
            <w:u w:val="single"/>
          </w:rPr>
          <w:t>10.1038/s41586-026-10640-2</w:t>
        </w:r>
      </w:hyperlink>
    </w:p>
    <w:p>
      <w:pPr>
        <w:spacing w:before="0" w:after="120"/>
      </w:pPr>
      <w:r>
        <w:rPr>
          <w:b/>
        </w:rPr>
        <w:t xml:space="preserve">Notes: </w:t>
      </w:r>
      <w:r>
        <w:t>abstract_source=nature_html</w:t>
      </w:r>
    </w:p>
    <w:p>
      <w:pPr>
        <w:spacing w:before="0" w:after="80" w:lineRule="auto" w:line="276"/>
      </w:pPr>
      <w:r>
        <w:rPr>
          <w:b/>
        </w:rPr>
        <w:t xml:space="preserve">摘要（ZH）: </w:t>
      </w:r>
      <w:r>
        <w:t>RNA 诱导沉默复合物 (RISC) 由 Argonaute (AGO) 蛋白和小 RNA 组成，是 RNA 沉默的核心效应器。小 RNA 在 HSP70 和 HSP90 依赖性过程中作为大双链体加载到 AGO 上1,2,3，但分子机制仍知之甚少。在这里，我们鉴定了人类 AGO-HSP90-p23 复合物，它捕获无 RNA 状态的 AGO，称为 AGO 成熟复合物 (AMC)。纯化的 AMC 能够进行 RNA 加载和 AGO 折叠，忠实地再现了从头 RISC 组装。使用低温电子显微镜，我们确定了与 microRNA 双链体结合的 AMC 的结构。与 RISC 中的构象相反，AGO 在 AMC 中采用高度开放的构象：N 结构域和 RNA 结合模块 (PAZ-MID-PIWI) 完全分离并锚定到 HSP90 二聚体的相对侧，仅通过未折叠的 L1 连接子连接。这种排列暴露了一个容纳 RNA 双链体的带正电荷的裂缝。 AGO 折叠是由含有 5' 末端磷酸盐的小 RNA 双链体促进的，但不是由单链 RNA 促进的，这揭示了 RNA 双链体作为指导 AGO 结构域组装的分子伴侣样辅助因子的作用。这些发现阐明了 RISC 组装机制，并将 AMC 确立为一种分子工具，用于探索最佳 RNA 特征和化学修饰，以合理设计小干扰 RNA 疗法。我们的研究还揭示了分子伴侣如何与配体一起指导客户蛋白的折叠。</w:t>
      </w:r>
    </w:p>
    <w:p>
      <w:pPr>
        <w:spacing w:before="0" w:after="200" w:lineRule="auto" w:line="276"/>
      </w:pPr>
      <w:r>
        <w:rPr>
          <w:b/>
        </w:rPr>
        <w:t xml:space="preserve">Abstract (EN): </w:t>
      </w:r>
      <w:r>
        <w:t>The RNA-induced silencing complex (RISC), comprising an Argonaute (AGO) protein and a small RNA, is the central effector in RNA silencing. Small RNAs are loaded onto AGO as bulky duplexes in an HSP70- and HSP90-dependent process1,2,3, but the molecular mechanism remains poorly understood. Here we identify the human AGO–HSP90–p23 complex, which captures AGO in an RNA-free state, termed the AGO maturation complex (AMC). The purified AMC enables RNA loading and AGO folding, faithfully recapitulating de novo RISC assembly. Using cryogenic electron microscopy, we determined the structure of AMC bound to a microRNA duplex. In contrast to its conformation in the RISC, AGO adopts a highly open conformation in the AMC: the N domain and the RNA-binding module (PAZ–MID–PIWI) are fully detached and anchored to opposite sides of the HSP90 dimer, connected solely by the unfolded L1 linker. This arrangement exposes a positively charged cleft that accommodates an RNA duplex. AGO folding is facilitated by a small RNA duplex containing a 5′-terminal phosphate—but not by single-stranded RNAs—revealing a role for the RNA duplex as a chaperone-like cofactor that directs AGO domain assembly. These findings elucidate the RISC assembly mechanism and establish the AMC as a molecular tool for probing optimal RNA features and chemical modifications for the rational design of small interfering RNA therapeutics. Our study also sheds light on how chaperones, together with ligands, can guide the folding of client proteins.</w:t>
      </w:r>
    </w:p>
    <w:p>
      <w:pPr>
        <w:spacing w:before="120" w:after="120"/>
      </w:pPr>
      <w:r>
        <w:rPr>
          <w:sz w:val="18"/>
        </w:rPr>
        <w:t>——————————————————————————————————————————————————————————————————————</w:t>
      </w:r>
    </w:p>
    <w:p>
      <w:pPr>
        <w:spacing w:before="160" w:after="40" w:line="240" w:lineRule="auto"/>
      </w:pPr>
      <w:r>
        <w:rPr>
          <w:b/>
        </w:rPr>
        <w:t xml:space="preserve">[263] </w:t>
      </w:r>
      <w:hyperlink r:id="rId808">
        <w:r>
          <w:rPr>
            <w:color w:val="1155CC"/>
            <w:u w:val="single"/>
          </w:rPr>
          <w:t>深海巨型甲壳类动物从细菌那里偷走了一招</w:t>
        </w:r>
      </w:hyperlink>
    </w:p>
    <w:p>
      <w:pPr>
        <w:spacing w:before="0" w:after="80"/>
      </w:pPr>
      <w:r>
        <w:rPr>
          <w:i/>
          <w:sz w:val="20"/>
        </w:rPr>
        <w:t>EN: Giant crustacean of the deep sea steals a trick from bacteria</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809">
        <w:r>
          <w:rPr>
            <w:color w:val="1155CC"/>
            <w:u w:val="single"/>
          </w:rPr>
          <w:t>10.1038/d41586-026-01832-x</w:t>
        </w:r>
      </w:hyperlink>
    </w:p>
    <w:p>
      <w:pPr>
        <w:spacing w:before="0" w:after="120"/>
      </w:pPr>
      <w:r>
        <w:rPr>
          <w:b/>
        </w:rPr>
        <w:t xml:space="preserve">Notes: </w:t>
      </w:r>
      <w:r>
        <w:t>abstract_source=nature_html</w:t>
      </w:r>
    </w:p>
    <w:p>
      <w:pPr>
        <w:spacing w:before="0" w:after="80" w:lineRule="auto" w:line="276"/>
      </w:pPr>
      <w:r>
        <w:rPr>
          <w:b/>
        </w:rPr>
        <w:t xml:space="preserve">摘要（ZH）: </w:t>
      </w:r>
      <w:r>
        <w:t>被称为深海生物的生物拥有一种细菌基因，可以帮助它们在寒冷的深处调节新陈代谢。被称为深海生物的生物拥有一种细菌基因，可以帮助它们在寒冷的深处调节新陈代谢。</w:t>
      </w:r>
    </w:p>
    <w:p>
      <w:pPr>
        <w:spacing w:before="0" w:after="200" w:lineRule="auto" w:line="276"/>
      </w:pPr>
      <w:r>
        <w:rPr>
          <w:b/>
        </w:rPr>
        <w:t xml:space="preserve">Abstract (EN): </w:t>
      </w:r>
      <w:r>
        <w:t>Organisms called bathynomids boast a bacterial gene that helps them to regulate their metabolism in the cold depths. Organisms called bathynomids boast a bacterial gene that helps them to regulate their metabolism in the cold depths.</w:t>
      </w:r>
    </w:p>
    <w:p>
      <w:pPr>
        <w:spacing w:before="120" w:after="120"/>
      </w:pPr>
      <w:r>
        <w:rPr>
          <w:sz w:val="18"/>
        </w:rPr>
        <w:t>——————————————————————————————————————————————————————————————————————</w:t>
      </w:r>
    </w:p>
    <w:p>
      <w:pPr>
        <w:spacing w:before="160" w:after="40" w:line="240" w:lineRule="auto"/>
      </w:pPr>
      <w:r>
        <w:rPr>
          <w:b/>
        </w:rPr>
        <w:t xml:space="preserve">[264] </w:t>
      </w:r>
      <w:hyperlink r:id="rId810">
        <w:r>
          <w:rPr>
            <w:color w:val="1155CC"/>
            <w:u w:val="single"/>
          </w:rPr>
          <w:t>基于可编程超表面的时空全息图</w:t>
        </w:r>
      </w:hyperlink>
    </w:p>
    <w:p>
      <w:pPr>
        <w:spacing w:before="0" w:after="80"/>
      </w:pPr>
      <w:r>
        <w:rPr>
          <w:i/>
          <w:sz w:val="20"/>
        </w:rPr>
        <w:t>EN: Space-time holograms based on programmable metasurfaces</w:t>
      </w:r>
    </w:p>
    <w:p>
      <w:pPr>
        <w:spacing w:before="0" w:after="120"/>
      </w:pPr>
      <w:r>
        <w:rPr>
          <w:b/>
        </w:rPr>
        <w:t xml:space="preserve">Source: </w:t>
      </w:r>
      <w:r>
        <w:t>Nature Electronics</w:t>
      </w:r>
      <w:r>
        <w:t xml:space="preserve">    </w:t>
      </w:r>
      <w:r>
        <w:rPr>
          <w:b/>
        </w:rPr>
        <w:t xml:space="preserve">Pub date: </w:t>
      </w:r>
      <w:r>
        <w:t>2026-06-10 00:00:00+00:00</w:t>
      </w:r>
      <w:r>
        <w:t xml:space="preserve">    </w:t>
      </w:r>
      <w:r>
        <w:rPr>
          <w:b/>
        </w:rPr>
        <w:t xml:space="preserve">DOI: </w:t>
      </w:r>
      <w:hyperlink r:id="rId811">
        <w:r>
          <w:rPr>
            <w:color w:val="1155CC"/>
            <w:u w:val="single"/>
          </w:rPr>
          <w:t>10.1038/s41928-026-01647-8</w:t>
        </w:r>
      </w:hyperlink>
    </w:p>
    <w:p>
      <w:pPr>
        <w:spacing w:before="0" w:after="120"/>
      </w:pPr>
      <w:r>
        <w:rPr>
          <w:b/>
        </w:rPr>
        <w:t xml:space="preserve">Notes: </w:t>
      </w:r>
      <w:r>
        <w:t>abstract_source=nature_html</w:t>
      </w:r>
    </w:p>
    <w:p>
      <w:pPr>
        <w:spacing w:before="0" w:after="80" w:lineRule="auto" w:line="276"/>
      </w:pPr>
      <w:r>
        <w:rPr>
          <w:b/>
        </w:rPr>
        <w:t xml:space="preserve">摘要（ZH）: </w:t>
      </w:r>
      <w:r>
        <w:t>可编程超表面可用于生成用于成像和传感应用的全息图。然而，创建可编程且具有高刷新率的大容量动态全息图仍然具有挑战性。在这里，我们报告基于可编程超表面的时空全息图。该方法提供了数千个独立的全息通道，它们在不同的谐波下同时工作。我们使用时空编码将单调注入波分成多谐波反射光束，并开发了一种快速收敛相位检索算法来操纵每个谐波的波前强度。使用具有 6,144 个元素的可编程超表面，我们通过实验证明该方法可以同时生成 62 个全息图像（数字和拉丁字母）。我们还表明，该平台可以创建具有点分布模式的 1,024 通道全息图，并且可用于多目标跟踪。</w:t>
      </w:r>
    </w:p>
    <w:p>
      <w:pPr>
        <w:spacing w:before="0" w:after="200" w:lineRule="auto" w:line="276"/>
      </w:pPr>
      <w:r>
        <w:rPr>
          <w:b/>
        </w:rPr>
        <w:t xml:space="preserve">Abstract (EN): </w:t>
      </w:r>
      <w:r>
        <w:t>Programmable metasurfaces can be used to generate holograms for imaging and sensing applications. However, creating high-capacity dynamic holograms that are programmable and have high refresh rates remains challenging. Here we report on space-time holograms based on programmable metasurfaces. The approach provides thousands of independent holographic channels working simultaneously at different harmonics. We use spatial-time coding to split a monotone injected wave into multi-harmonic reflected beams, and we develop a fast convergence phase-retrieval algorithm to manipulate the wavefront intensities at each harmonic. Using a programmable metasurface with 6,144 elements, we experimentally show that the approach can generate 62 holographic images (digits and Latin letters) simultaneously. We also show that the platform can create 1,024-channel holograms with spot distribution patterns and that it can be used for multi-target tracking.</w:t>
      </w:r>
    </w:p>
    <w:p>
      <w:pPr>
        <w:spacing w:before="120" w:after="120"/>
      </w:pPr>
      <w:r>
        <w:rPr>
          <w:sz w:val="18"/>
        </w:rPr>
        <w:t>——————————————————————————————————————————————————————————————————————</w:t>
      </w:r>
    </w:p>
    <w:p>
      <w:pPr>
        <w:spacing w:before="160" w:after="40" w:line="240" w:lineRule="auto"/>
      </w:pPr>
      <w:r>
        <w:rPr>
          <w:b/>
        </w:rPr>
        <w:t xml:space="preserve">[265] </w:t>
      </w:r>
      <w:hyperlink r:id="rId812">
        <w:r>
          <w:rPr>
            <w:color w:val="1155CC"/>
            <w:u w:val="single"/>
          </w:rPr>
          <w:t>用于理化监测和适应性治疗的应变不敏感湿组织粘附双相生物电子学</w:t>
        </w:r>
      </w:hyperlink>
    </w:p>
    <w:p>
      <w:pPr>
        <w:spacing w:before="0" w:after="80"/>
      </w:pPr>
      <w:r>
        <w:rPr>
          <w:i/>
          <w:sz w:val="20"/>
        </w:rPr>
        <w:t>EN: Strain-insensitive wet-tissue-adhesive biphasic bioelectronics for physicochemical monitoring and adaptive therapy</w:t>
      </w:r>
    </w:p>
    <w:p>
      <w:pPr>
        <w:spacing w:before="0" w:after="120"/>
      </w:pPr>
      <w:r>
        <w:rPr>
          <w:b/>
        </w:rPr>
        <w:t xml:space="preserve">Source: </w:t>
      </w:r>
      <w:r>
        <w:t>Nature Materials</w:t>
      </w:r>
      <w:r>
        <w:t xml:space="preserve">    </w:t>
      </w:r>
      <w:r>
        <w:rPr>
          <w:b/>
        </w:rPr>
        <w:t xml:space="preserve">Pub date: </w:t>
      </w:r>
      <w:r>
        <w:t>2026-06-10 00:00:00+00:00</w:t>
      </w:r>
      <w:r>
        <w:t xml:space="preserve">    </w:t>
      </w:r>
      <w:r>
        <w:rPr>
          <w:b/>
        </w:rPr>
        <w:t xml:space="preserve">DOI: </w:t>
      </w:r>
      <w:hyperlink r:id="rId813">
        <w:r>
          <w:rPr>
            <w:color w:val="1155CC"/>
            <w:u w:val="single"/>
          </w:rPr>
          <w:t>10.1038/s41563-026-02624-4</w:t>
        </w:r>
      </w:hyperlink>
    </w:p>
    <w:p>
      <w:pPr>
        <w:spacing w:before="0" w:after="120"/>
      </w:pPr>
      <w:r>
        <w:rPr>
          <w:b/>
        </w:rPr>
        <w:t xml:space="preserve">Notes: </w:t>
      </w:r>
      <w:r>
        <w:t>abstract_source=nature_html</w:t>
      </w:r>
    </w:p>
    <w:p>
      <w:pPr>
        <w:spacing w:before="0" w:after="80" w:lineRule="auto" w:line="276"/>
      </w:pPr>
      <w:r>
        <w:rPr>
          <w:b/>
        </w:rPr>
        <w:t xml:space="preserve">摘要（ZH）: </w:t>
      </w:r>
      <w:r>
        <w:t>植入式生物电子学正在迅速发展为能够实时监测和治疗干预的多功能平台。然而，设计与柔软、动态的生物组织稳定、长期整合的植入物，尤其是在应变或运动下，仍然具有挑战性。在这里，我们介绍了一种可拉伸、应变不敏感、湿组织粘合弹性体-水凝胶双相平台，用于跨功能生物电子学，可在体内同时进行物理传感、化学监测和神经调节。该平台被称为 ElHyX，具有分子集成的弹性体-水凝胶结构，通过导电填料进行功能化，以实现机械顺应性、强大的电气性能和强大的组织粘附力，无需缝合或额外的表面处理。使用直接墨水书写，我们制造了基于 ElHyX 的可定制设备，用于体内心电图监测、葡萄糖传感和神经刺激。还开发了一种用于大鼠糖尿病管理的闭环系统，其中实时生物信号检测自动触发神经调节来调节血糖水平。总体而言，我们的研究结果将 ElHyX 确立为下一代生物电子学的多功能、可扩展平台，能够在复杂的生物环境中进行连续的理化监测和自主治疗干预。</w:t>
      </w:r>
    </w:p>
    <w:p>
      <w:pPr>
        <w:spacing w:before="0" w:after="200" w:lineRule="auto" w:line="276"/>
      </w:pPr>
      <w:r>
        <w:rPr>
          <w:b/>
        </w:rPr>
        <w:t xml:space="preserve">Abstract (EN): </w:t>
      </w:r>
      <w:r>
        <w:t>Implantable bioelectronics are rapidly advancing towards multifunctional platforms capable of real-time monitoring and therapeutic intervention. However, designing implants with stable, long-term integration with soft, dynamic biological tissues, especially under strain or movement, is still challenging. Here we introduce a stretchable, strain-insensitive, wet-tissue-adhesive elastomer–hydrogel biphasic platform for cross-functional bioelectronics, enabling simultaneous physical sensing, chemical monitoring and neural modulation in vivo. This platform, termed ElHyX, features a molecularly integrated elastomer–hydrogel architecture, functionalized with conductive fillers to achieve mechanical compliance, robust electrical performance and strong tissue adhesion without the need for sutures or additional surface treatments. Using direct ink writing, we fabricated customizable ElHyX-based devices for in vivo electrocardiogram monitoring, glucose sensing and nerve stimulation. A closed-loop system for diabetic management in rats was also developed, where real-time biosignal detection autonomously triggered neuromodulation to regulate blood glucose levels. Overall, our findings establish ElHyX as a versatile, scalable platform for next-generation bioelectronics, capable of continuous physicochemical monitoring and autonomous therapeutic intervention in complex biological environments.</w:t>
      </w:r>
    </w:p>
    <w:p>
      <w:pPr>
        <w:spacing w:before="120" w:after="120"/>
      </w:pPr>
      <w:r>
        <w:rPr>
          <w:sz w:val="18"/>
        </w:rPr>
        <w:t>——————————————————————————————————————————————————————————————————————</w:t>
      </w:r>
    </w:p>
    <w:p>
      <w:pPr>
        <w:spacing w:before="160" w:after="40" w:line="240" w:lineRule="auto"/>
      </w:pPr>
      <w:r>
        <w:rPr>
          <w:b/>
        </w:rPr>
        <w:t xml:space="preserve">[266] </w:t>
      </w:r>
      <w:hyperlink r:id="rId814">
        <w:r>
          <w:rPr>
            <w:color w:val="1155CC"/>
            <w:u w:val="single"/>
          </w:rPr>
          <w:t>与细胞核相连的线粒体确保其能量供应</w:t>
        </w:r>
      </w:hyperlink>
    </w:p>
    <w:p>
      <w:pPr>
        <w:spacing w:before="0" w:after="80"/>
      </w:pPr>
      <w:r>
        <w:rPr>
          <w:i/>
          <w:sz w:val="20"/>
        </w:rPr>
        <w:t>EN: Mitochondria tethered to the nucleus secure its energy supply</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815">
        <w:r>
          <w:rPr>
            <w:color w:val="1155CC"/>
            <w:u w:val="single"/>
          </w:rPr>
          <w:t>10.1038/d41586-026-01587-5</w:t>
        </w:r>
      </w:hyperlink>
    </w:p>
    <w:p>
      <w:pPr>
        <w:spacing w:before="0" w:after="120"/>
      </w:pPr>
      <w:r>
        <w:rPr>
          <w:b/>
        </w:rPr>
        <w:t xml:space="preserve">Notes: </w:t>
      </w:r>
      <w:r>
        <w:t>abstract_source=nature_html</w:t>
      </w:r>
    </w:p>
    <w:p>
      <w:pPr>
        <w:spacing w:before="0" w:after="80" w:lineRule="auto" w:line="276"/>
      </w:pPr>
      <w:r>
        <w:rPr>
          <w:b/>
        </w:rPr>
        <w:t xml:space="preserve">摘要（ZH）: </w:t>
      </w:r>
      <w:r>
        <w:t>细胞动力室和核孔之间的直接相互作用可能会将能量直接引导到细胞核中，促进细胞分裂和分化。细胞动力室和核孔之间的直接相互作用可能会将能量直接引导到细胞核中，促进细胞分裂和分化。</w:t>
      </w:r>
    </w:p>
    <w:p>
      <w:pPr>
        <w:spacing w:before="0" w:after="200" w:lineRule="auto" w:line="276"/>
      </w:pPr>
      <w:r>
        <w:rPr>
          <w:b/>
        </w:rPr>
        <w:t xml:space="preserve">Abstract (EN): </w:t>
      </w:r>
      <w:r>
        <w:t>Direct interactions between the cell’s powerhouses and nuclear pores might channel energy straight into the nucleus, fuelling cell division and differentiation. Direct interactions between the cell’s powerhouses and nuclear pores might channel energy straight into the nucleus, fuelling cell division and differentiation.</w:t>
      </w:r>
    </w:p>
    <w:p>
      <w:pPr>
        <w:spacing w:before="120" w:after="120"/>
      </w:pPr>
      <w:r>
        <w:rPr>
          <w:sz w:val="18"/>
        </w:rPr>
        <w:t>——————————————————————————————————————————————————————————————————————</w:t>
      </w:r>
    </w:p>
    <w:p>
      <w:pPr>
        <w:spacing w:before="160" w:after="40" w:line="240" w:lineRule="auto"/>
      </w:pPr>
      <w:r>
        <w:rPr>
          <w:b/>
        </w:rPr>
        <w:t xml:space="preserve">[267] </w:t>
      </w:r>
      <w:hyperlink r:id="rId816">
        <w:r>
          <w:rPr>
            <w:color w:val="1155CC"/>
            <w:u w:val="single"/>
          </w:rPr>
          <w:t>实施生物多样性信贷以促进珊瑚礁管理和投资</w:t>
        </w:r>
      </w:hyperlink>
    </w:p>
    <w:p>
      <w:pPr>
        <w:spacing w:before="0" w:after="80"/>
      </w:pPr>
      <w:r>
        <w:rPr>
          <w:i/>
          <w:sz w:val="20"/>
        </w:rPr>
        <w:t>EN: Operationalizing biodiversity credits to catalyze coral reef management and investment</w:t>
      </w:r>
    </w:p>
    <w:p>
      <w:pPr>
        <w:spacing w:before="0" w:after="120"/>
      </w:pPr>
      <w:r>
        <w:rPr>
          <w:b/>
        </w:rPr>
        <w:t xml:space="preserve">Source: </w:t>
      </w:r>
      <w:r>
        <w:t>One Earth</w:t>
      </w:r>
      <w:r>
        <w:t xml:space="preserve">    </w:t>
      </w:r>
      <w:r>
        <w:rPr>
          <w:b/>
        </w:rPr>
        <w:t xml:space="preserve">Pub date: </w:t>
      </w:r>
      <w:r>
        <w:t>2026-06-10 00:00:00+00:00</w:t>
      </w:r>
      <w:r>
        <w:t xml:space="preserve">    </w:t>
      </w:r>
      <w:r>
        <w:rPr>
          <w:b/>
        </w:rPr>
        <w:t xml:space="preserve">DOI: </w:t>
      </w:r>
      <w:hyperlink r:id="rId817">
        <w:r>
          <w:rPr>
            <w:color w:val="1155CC"/>
            <w:u w:val="single"/>
          </w:rPr>
          <w:t>10.1016/j.oneear.2026.101715</w:t>
        </w:r>
      </w:hyperlink>
    </w:p>
    <w:p>
      <w:pPr>
        <w:spacing w:before="0" w:after="120"/>
      </w:pPr>
      <w:r>
        <w:rPr>
          <w:b/>
        </w:rPr>
        <w:t xml:space="preserve">Notes: </w:t>
      </w:r>
      <w:r>
        <w:t>abstract_source=openalex</w:t>
      </w:r>
    </w:p>
    <w:p>
      <w:pPr>
        <w:spacing w:before="0" w:after="80" w:lineRule="auto" w:line="276"/>
      </w:pPr>
      <w:r>
        <w:rPr>
          <w:b/>
        </w:rPr>
        <w:t xml:space="preserve">摘要（ZH）: </w:t>
      </w:r>
      <w:r>
        <w:t>珊瑚礁生态系统的有效生物多样性保护需要减缓气候变化和加强管理。目前的珊瑚礁管理规模以及由此带来的生态系统效益能力，因缺乏充足、可利用、可持续和可扩展的资金而受到限制。我们的观点探讨了新兴生物多样性框架和基于自然的融资工具（特别是生物多样性信用）的机遇和挑战，以促进扩大珊瑚礁保护的规模、性质和有效性所需的投资。建立高度完整的珊瑚礁生物多样性信用所需的基础工作正在进行中，包括制定与广泛的珊瑚礁栖息地和区域相关的稳健的生物多样性核算框架。明确关注生态系统的结构、组成和功能，为选择生物多样性核算的相关指标提供了明确的方向和理由。然而，需要持续进行有针对性的研究和创新，以提高珊瑚礁管理的效力和效率，同时适应不断变化的条件和需求。</w:t>
      </w:r>
    </w:p>
    <w:p>
      <w:pPr>
        <w:spacing w:before="0" w:after="200" w:lineRule="auto" w:line="276"/>
      </w:pPr>
      <w:r>
        <w:rPr>
          <w:b/>
        </w:rPr>
        <w:t xml:space="preserve">Abstract (EN): </w:t>
      </w:r>
      <w:r>
        <w:t>Effective biodiversity conservation for coral reef ecosystems requires both climate mitigation and enhanced management. The current scale of reef management, and the resulting capacity to deliver ecosystem benefits, is limited by a lack of adequate, accessible, sustainable, and scalable funding. Our perspective explores the opportunities and challenges of emerging biodiversity frameworks and nature-based funding instruments (especially biodiversity credits) to catalyze investments needed to increase the scale, nature, and effectiveness of coral reef conservation. Foundational work needed to establish high-integrity coral reef biodiversity credits is under way, including the development of a robust biodiversity accounting framework relevant across a broad range of coral reef habitats and regions. Explicit focus on ecosystem structure, composition, and functions provides a clear direction and rationale for selecting relevant metrics for biodiversity accounting. However, ongoing targeted research and innovation are needed to increase efficacy and efficiency of coral reef management while adapting to changing conditions and demands.</w:t>
      </w:r>
    </w:p>
    <w:p>
      <w:pPr>
        <w:spacing w:before="120" w:after="120"/>
      </w:pPr>
      <w:r>
        <w:rPr>
          <w:sz w:val="18"/>
        </w:rPr>
        <w:t>——————————————————————————————————————————————————————————————————————</w:t>
      </w:r>
    </w:p>
    <w:p>
      <w:pPr>
        <w:spacing w:before="160" w:after="40" w:line="240" w:lineRule="auto"/>
      </w:pPr>
      <w:r>
        <w:rPr>
          <w:b/>
        </w:rPr>
        <w:t xml:space="preserve">[268] </w:t>
      </w:r>
      <w:hyperlink r:id="rId818">
        <w:r>
          <w:rPr>
            <w:color w:val="1155CC"/>
            <w:u w:val="single"/>
          </w:rPr>
          <w:t>SIRT7 调节剂量补偿并保护女性 X 染色体</w:t>
        </w:r>
      </w:hyperlink>
    </w:p>
    <w:p>
      <w:pPr>
        <w:spacing w:before="0" w:after="80"/>
      </w:pPr>
      <w:r>
        <w:rPr>
          <w:i/>
          <w:sz w:val="20"/>
        </w:rPr>
        <w:t>EN: SIRT7 regulates dosage compensation and safeguards the female X chromosome</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819">
        <w:r>
          <w:rPr>
            <w:color w:val="1155CC"/>
            <w:u w:val="single"/>
          </w:rPr>
          <w:t>10.1038/s41586-026-10645-x</w:t>
        </w:r>
      </w:hyperlink>
    </w:p>
    <w:p>
      <w:pPr>
        <w:spacing w:before="0" w:after="120"/>
      </w:pPr>
      <w:r>
        <w:rPr>
          <w:b/>
        </w:rPr>
        <w:t xml:space="preserve">Notes: </w:t>
      </w:r>
      <w:r>
        <w:t>abstract_source=nature_html</w:t>
      </w:r>
    </w:p>
    <w:p>
      <w:pPr>
        <w:spacing w:before="0" w:after="80" w:lineRule="auto" w:line="276"/>
      </w:pPr>
      <w:r>
        <w:rPr>
          <w:b/>
        </w:rPr>
        <w:t xml:space="preserve">摘要（ZH）: </w:t>
      </w:r>
      <w:r>
        <w:t>Sirtuins 是一种脱乙酰酶，与哺乳动物的应激反应和长寿有关1,2。尽管人们已经注意到它们对两性疾病的不同影响3,4,5,6,7，但根本原因尚不清楚。在这里，我们使用 Sirt7 作为小鼠模型，研究了导致性别差异的机制，并发现 Sirt7−/− 雌性小鼠在其整个生命周期中健康状况都在下降。值得注意的是，SIRT7 优先定位于性染色体。在女性个体中，SIRT7 缺失会影响 X 染色体失活，这是平衡男性和女性之间 X 连锁基因表达的剂量补偿的第一部分8,9,10。 Xist 过度表达，基因沉默变得更加有效。然而，SIRT7 缺失对活跃 X (Xa) 染色体的影响最大。 Xa 染色体在组蛋白 H3 的 Lys36 处过度乙酰化，结构混乱，容易发生 DNA 损伤并过度表达。 Xa 染色体表达增加会导致基因组失衡并增强 X 染色体上调，这是平衡 X 染色体与常染色体基因表达的剂量补偿的第二个方面。这些数据揭示了 Sirtuins 和性染色体之间的重要串扰，SIRT7 保护 X 染色体的完整性以及与常染色体的剂量平衡。我们认为 SIRT7 生物学中的性别偏见可以部分解释为对性染色体的不平等影响。</w:t>
      </w:r>
    </w:p>
    <w:p>
      <w:pPr>
        <w:spacing w:before="0" w:after="200" w:lineRule="auto" w:line="276"/>
      </w:pPr>
      <w:r>
        <w:rPr>
          <w:b/>
        </w:rPr>
        <w:t xml:space="preserve">Abstract (EN): </w:t>
      </w:r>
      <w:r>
        <w:t>Sirtuins are deacetylases implicated in stress responses and longevity in mammals1,2. Although their differential impact on disease for the two sexes has been noted3,4,5,6,7, the underlying reasons are unclear. Here, using Sirt7 as a model in mice, we examine the mechanisms leading to sex differences and find that Sirt7−/− female mice have decreased fitness throughout their lifespan. Notably, SIRT7 preferentially localizes to the sex chromosomes. In female individuals, SIRT7 loss affects X-chromosome inactivation, the first arm of dosage compensation that equalizes X-linked gene expression between males and females8,9,10. Xist is overexpressed and gene silencing becomes more efficient. However, SIRT7 loss has greatest impact on the active X (Xa) chromosome. The Xa chromosome becomes hyperacetylated at Lys36 of histone H3, structurally disorganized, prone to DNA damage and overexpressed. Increased Xa-chromosome expression leads to genome imbalance and augmented X-chromosome upregulation—the second arm of dosage compensation that balances X-chromosome versus autosomal gene expression. These data reveal an essential crosstalk between sirtuins and the sex chromosomes, with SIRT7 safeguarding X-chromosome integrity and dosage balance with autosomes. We propose that the sex bias in SIRT7 biology can be explained in part by unequal effects on the sex chromosomes.</w:t>
      </w:r>
    </w:p>
    <w:p>
      <w:pPr>
        <w:spacing w:before="120" w:after="120"/>
      </w:pPr>
      <w:r>
        <w:rPr>
          <w:sz w:val="18"/>
        </w:rPr>
        <w:t>——————————————————————————————————————————————————————————————————————</w:t>
      </w:r>
    </w:p>
    <w:p>
      <w:pPr>
        <w:spacing w:before="160" w:after="40" w:line="240" w:lineRule="auto"/>
      </w:pPr>
      <w:r>
        <w:rPr>
          <w:b/>
        </w:rPr>
        <w:t xml:space="preserve">[269] </w:t>
      </w:r>
      <w:hyperlink r:id="rId820">
        <w:r>
          <w:rPr>
            <w:color w:val="1155CC"/>
            <w:u w:val="single"/>
          </w:rPr>
          <w:t>HuR 分子胶降解剂抑制 BRAF 突变结直肠癌</w:t>
        </w:r>
      </w:hyperlink>
    </w:p>
    <w:p>
      <w:pPr>
        <w:spacing w:before="0" w:after="80"/>
      </w:pPr>
      <w:r>
        <w:rPr>
          <w:i/>
          <w:sz w:val="20"/>
        </w:rPr>
        <w:t>EN: Molecular glue degraders of HuR suppress BRAF-mutant colorectal cancer</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821">
        <w:r>
          <w:rPr>
            <w:color w:val="1155CC"/>
            <w:u w:val="single"/>
          </w:rPr>
          <w:t>10.1038/s41586-026-10613-5</w:t>
        </w:r>
      </w:hyperlink>
    </w:p>
    <w:p>
      <w:pPr>
        <w:spacing w:before="0" w:after="120"/>
      </w:pPr>
      <w:r>
        <w:rPr>
          <w:b/>
        </w:rPr>
        <w:t xml:space="preserve">Notes: </w:t>
      </w:r>
      <w:r>
        <w:t>abstract_source=nature_html</w:t>
      </w:r>
    </w:p>
    <w:p>
      <w:pPr>
        <w:spacing w:before="0" w:after="80" w:lineRule="auto" w:line="276"/>
      </w:pPr>
      <w:r>
        <w:rPr>
          <w:b/>
        </w:rPr>
        <w:t xml:space="preserve">摘要（ZH）: </w:t>
      </w:r>
      <w:r>
        <w:t>BRAF 功能获得性突变，尤其是 BRAF(V600E)，影响大约 10% 的结直肠癌 (CRC) 患者，并且预示着治疗干预措施有限的预后不良。由于 BRAF 二聚化驱动的 MAPK 通路重新激活，BRAF 抑制剂（例如 encorafenib）无效。 BRAF 和 EGFR 的联合抑制虽然已获得批准，但会导致短期的生存获益以及频繁的治疗耐药和复发 1,2,3。在这里，通过合理的化学文库设计结合平行蛋白质组学筛选，我们确定 dHuR 是人类抗原 R (HuR) 的分子胶降解剂，HuR 是一种驱动肿瘤生长、侵袭和治疗抵抗的 RNA 结合蛋白。 dHuR 与 CRBN 泛素连接酶结合，形成独特的苯并呋喃系留复合表面，通过结合其 β-发夹 G 环降解决定子来招募 HuR 作为新底物，如三元复合物的冷冻电子显微镜结构所示。 dHuR 通过诱导其外显子 18 跳跃来消除 BRAF 表达，并表现出对 BRAF 突变的 CRC 肿瘤（包括对 BRAF 抑制剂产生耐药性的肿瘤）的卓越抑制作用。最后，我们进行了激酶组文库 CRISPR 筛选，发现 EGFR 或 MEK 失活增强了 dHuR 细胞毒性，从而建立了治疗难治性 BRAF 突变 CRC 患者的组合策略。</w:t>
      </w:r>
    </w:p>
    <w:p>
      <w:pPr>
        <w:spacing w:before="0" w:after="200" w:lineRule="auto" w:line="276"/>
      </w:pPr>
      <w:r>
        <w:rPr>
          <w:b/>
        </w:rPr>
        <w:t xml:space="preserve">Abstract (EN): </w:t>
      </w:r>
      <w:r>
        <w:t>BRAF gain-of-function mutations, particularly BRAF(V600E), affect roughly 10% of all patients with colorectal cancer (CRC), and portend poor prognosis with limited therapeutic interventions. BRAF inhibitors such as encorafenib are ineffective due to MAPK pathway reactivation driven by BRAF dimerization. Combined inhibition of BRAF and EGFR, although approved therapies, results in short survival benefits and frequent treatment resistance and relapse1,2,3. Here, through rational chemical library design coupled with parallel proteomic screening, we identified dHuR as a molecular glue degrader of human antigen R (HuR), an RNA-binding protein that drives tumour growth, invasion and therapy resistance. dHuR binds to the CRBN ubiquitin ligase to create a unique benzofuran-tethered composite surface to recruit HuR as a neosubstrate by engaging its β-hairpin G-loop degron, as revealed by the cryo-electron microscopy structure of the ternary complex. dHuR abrogated BRAF expression by inducing its exon 18 skipping, and demonstrated superior suppression of BRAF-mutant CRC tumours including those gaining resistance to BRAF inhibitors. Finally, we performed kinome library CRISPR screening and revealed that inactivation of EGFR or MEK enhanced dHuR cytotoxicity, thus establishing a combinatorial strategy to treat patients with refractory BRAF-mutant CRC.</w:t>
      </w:r>
    </w:p>
    <w:p>
      <w:pPr>
        <w:spacing w:before="120" w:after="120"/>
      </w:pPr>
      <w:r>
        <w:rPr>
          <w:sz w:val="18"/>
        </w:rPr>
        <w:t>——————————————————————————————————————————————————————————————————————</w:t>
      </w:r>
    </w:p>
    <w:p>
      <w:pPr>
        <w:spacing w:before="160" w:after="40" w:line="240" w:lineRule="auto"/>
      </w:pPr>
      <w:r>
        <w:rPr>
          <w:b/>
        </w:rPr>
        <w:t xml:space="preserve">[270] </w:t>
      </w:r>
      <w:hyperlink r:id="rId822">
        <w:r>
          <w:rPr>
            <w:color w:val="1155CC"/>
            <w:u w:val="single"/>
          </w:rPr>
          <w:t>张拉整体超材料的解耦和非易失性预应力编程可实现持久的机械功能</w:t>
        </w:r>
      </w:hyperlink>
    </w:p>
    <w:p>
      <w:pPr>
        <w:spacing w:before="0" w:after="80"/>
      </w:pPr>
      <w:r>
        <w:rPr>
          <w:i/>
          <w:sz w:val="20"/>
        </w:rPr>
        <w:t>EN: Decoupled and non-volatile prestress programming of tensegrity metamaterials enables persistent mechanical function</w:t>
      </w:r>
    </w:p>
    <w:p>
      <w:pPr>
        <w:spacing w:before="0" w:after="120"/>
      </w:pPr>
      <w:r>
        <w:rPr>
          <w:b/>
        </w:rPr>
        <w:t xml:space="preserve">Source: </w:t>
      </w:r>
      <w:r>
        <w:t>Matter</w:t>
      </w:r>
      <w:r>
        <w:t xml:space="preserve">    </w:t>
      </w:r>
      <w:r>
        <w:rPr>
          <w:b/>
        </w:rPr>
        <w:t xml:space="preserve">Pub date: </w:t>
      </w:r>
      <w:r>
        <w:t>2026-06-10 00:00:00+00:00</w:t>
      </w:r>
      <w:r>
        <w:t xml:space="preserve">    </w:t>
      </w:r>
      <w:r>
        <w:rPr>
          <w:b/>
        </w:rPr>
        <w:t xml:space="preserve">DOI: </w:t>
      </w:r>
      <w:hyperlink r:id="rId823">
        <w:r>
          <w:rPr>
            <w:color w:val="1155CC"/>
            <w:u w:val="single"/>
          </w:rPr>
          <w:t>10.1016/j.matt.2026.102870</w:t>
        </w:r>
      </w:hyperlink>
    </w:p>
    <w:p>
      <w:pPr>
        <w:spacing w:before="0" w:after="120"/>
      </w:pPr>
      <w:r>
        <w:rPr>
          <w:b/>
        </w:rPr>
        <w:t xml:space="preserve">Notes: </w:t>
      </w:r>
      <w:r>
        <w:t>abstract_source=rss_cell</w:t>
      </w:r>
    </w:p>
    <w:p>
      <w:pPr>
        <w:spacing w:before="0" w:after="80" w:lineRule="auto" w:line="276"/>
      </w:pPr>
      <w:r>
        <w:rPr>
          <w:b/>
        </w:rPr>
        <w:t xml:space="preserve">摘要（ZH）: </w:t>
      </w:r>
      <w:r>
        <w:t>于等人。开发一个受河豚启发的张拉整体平台，该平台使用湿度对内部预应力进行编程，并使用机械锁将其存储为非易失性存储器。一旦设定，该结构无需连续能量输入即可保持其机械状态，从而实现持久功能，包括定时释放、冲击保护和自适应承载。</w:t>
      </w:r>
    </w:p>
    <w:p>
      <w:pPr>
        <w:spacing w:before="0" w:after="200" w:lineRule="auto" w:line="276"/>
      </w:pPr>
      <w:r>
        <w:rPr>
          <w:b/>
        </w:rPr>
        <w:t xml:space="preserve">Abstract (EN): </w:t>
      </w:r>
      <w:r>
        <w:t>Yu et al. develop a pufferfish-inspired tensegrity platform that uses humidity to program internal prestress and a mechanical lock to store it as non-volatile memory. Once set, the structure maintains its mechanical state without continuous energy input, enabling persistent functions including timed release, impact protection, and adaptive load bearing.</w:t>
      </w:r>
    </w:p>
    <w:p>
      <w:pPr>
        <w:spacing w:before="120" w:after="120"/>
      </w:pPr>
      <w:r>
        <w:rPr>
          <w:sz w:val="18"/>
        </w:rPr>
        <w:t>——————————————————————————————————————————————————————————————————————</w:t>
      </w:r>
    </w:p>
    <w:p>
      <w:pPr>
        <w:spacing w:before="160" w:after="40" w:line="240" w:lineRule="auto"/>
      </w:pPr>
      <w:r>
        <w:rPr>
          <w:b/>
        </w:rPr>
        <w:t xml:space="preserve">[271] </w:t>
      </w:r>
      <w:hyperlink r:id="rId824">
        <w:r>
          <w:rPr>
            <w:color w:val="1155CC"/>
            <w:u w:val="single"/>
          </w:rPr>
          <w:t>碳纳米管在水中的光诱导量子摩擦</w:t>
        </w:r>
      </w:hyperlink>
    </w:p>
    <w:p>
      <w:pPr>
        <w:spacing w:before="0" w:after="80"/>
      </w:pPr>
      <w:r>
        <w:rPr>
          <w:i/>
          <w:sz w:val="20"/>
        </w:rPr>
        <w:t>EN: Light-induced quantum friction of carbon nanotubes in water</w:t>
      </w:r>
    </w:p>
    <w:p>
      <w:pPr>
        <w:spacing w:before="0" w:after="120"/>
      </w:pPr>
      <w:r>
        <w:rPr>
          <w:b/>
        </w:rPr>
        <w:t xml:space="preserve">Source: </w:t>
      </w:r>
      <w:r>
        <w:t>Nature</w:t>
      </w:r>
      <w:r>
        <w:t xml:space="preserve">    </w:t>
      </w:r>
      <w:r>
        <w:rPr>
          <w:b/>
        </w:rPr>
        <w:t xml:space="preserve">Pub date: </w:t>
      </w:r>
      <w:r>
        <w:t>2026-06-10 00:00:00+00:00</w:t>
      </w:r>
      <w:r>
        <w:t xml:space="preserve">    </w:t>
      </w:r>
      <w:r>
        <w:rPr>
          <w:b/>
        </w:rPr>
        <w:t xml:space="preserve">DOI: </w:t>
      </w:r>
      <w:hyperlink r:id="rId825">
        <w:r>
          <w:rPr>
            <w:color w:val="1155CC"/>
            <w:u w:val="single"/>
          </w:rPr>
          <w:t>10.1038/s41586-026-10632-2</w:t>
        </w:r>
      </w:hyperlink>
    </w:p>
    <w:p>
      <w:pPr>
        <w:spacing w:before="0" w:after="120"/>
      </w:pPr>
      <w:r>
        <w:rPr>
          <w:b/>
        </w:rPr>
        <w:t xml:space="preserve">Notes: </w:t>
      </w:r>
      <w:r>
        <w:t>abstract_source=nature_html</w:t>
      </w:r>
    </w:p>
    <w:p>
      <w:pPr>
        <w:spacing w:before="0" w:after="80" w:lineRule="auto" w:line="276"/>
      </w:pPr>
      <w:r>
        <w:rPr>
          <w:b/>
        </w:rPr>
        <w:t xml:space="preserve">摘要（ZH）: </w:t>
      </w:r>
      <w:r>
        <w:t>摩擦力会在宏观和微观尺度上减慢移动物体的速度1。在电子层面，量子摩擦描述了液体和固体电子之间动量的直接传递2。由于其微观性质，这种现象在实验上仍然难以捕获3。在这里，我们展示了近红外荧光单壁碳纳米管（SWCNT）在水中表现出光诱导的量子摩擦。它是通过观察水溶液中官能化 SWCNT 的扩散常数随激发功率线性下降约 50% 来测量的。当激子局域化时，这种效应就会消失，就像具有量子缺陷的单壁碳纳米管一样。我们进一步表明，通过增加或减少单壁碳纳米管荧光的分子对激子浓度的化学操纵也将扩散常数调节高达2倍。光泵太赫兹（THz）探针光谱显示出瞬时响应（约30 cm−1），我们将其归因于水德拜模式范围内的直接激子-水耦合。接下来是水氢键网络 (&gt;100 cm−1) 的分子间平移模式范围内的增加 (&gt;100 ps) 响应，类似于加热。经典分子动力学模拟进一步支持激子波动偶极矩产生摩擦力的机制。这些发现建立了单壁碳纳米管中的激子和水之间的光诱导量子摩擦，并表明电子激发可用于控制纳米级运动和流体特性。</w:t>
      </w:r>
    </w:p>
    <w:p>
      <w:pPr>
        <w:spacing w:before="0" w:after="200" w:lineRule="auto" w:line="276"/>
      </w:pPr>
      <w:r>
        <w:rPr>
          <w:b/>
        </w:rPr>
        <w:t xml:space="preserve">Abstract (EN): </w:t>
      </w:r>
      <w:r>
        <w:t>Friction slows down moving objects at both macroscopic and microscopic scales1. At the electronic level, quantum friction describes direct transfer of momentum between a liquid and the electrons of a solid2. Owing to its microscopic nature, this phenomenon remains experimentally challenging to capture3. Here we show that near-infrared fluorescent single-walled carbon nanotubes (SWCNTs) exhibit light-induced quantum friction in water. It is measured by observing an excitation-power-dependent linear decrease of around 50% in the diffusion constants of functionalized SWCNTs in aqueous solution. This effect disappears when excitons are localized, as in the case of SWCNTs with quantum defects. We further show that the chemical manipulation of exciton concentration by molecules that increase or decrease SWCNT fluorescence also modulates the diffusion constant by up to a factor of 2. Optical pump terahertz (THz) probe spectroscopy shows an instantaneous response (around 30 cm−1) that we assign to direct exciton–water coupling in the range of water Debye modes. It is followed by an increasing (&gt;100 ps) response in the range of intermolecular translational modes of the hydrogen bond network of water (&gt;100 cm−1), resembling heating. Classical molecular dynamics simulations further support a mechanism in which the fluctuating dipole moments of excitons create frictional forces. These findings establish light-induced quantum friction between excitons in SWCNTs and water and show that electronic excitations can be used to control nanoscale motion and fluid properties.</w:t>
      </w:r>
    </w:p>
    <w:p>
      <w:pPr>
        <w:spacing w:before="120" w:after="120"/>
      </w:pPr>
      <w:r>
        <w:rPr>
          <w:sz w:val="18"/>
        </w:rPr>
        <w:t>——————————————————————————————————————————————————————————————————————</w:t>
      </w:r>
    </w:p>
    <w:p>
      <w:pPr>
        <w:spacing w:before="160" w:after="40" w:line="240" w:lineRule="auto"/>
      </w:pPr>
      <w:r>
        <w:rPr>
          <w:b/>
        </w:rPr>
        <w:t xml:space="preserve">[272] </w:t>
      </w:r>
      <w:hyperlink r:id="rId826">
        <w:r>
          <w:rPr>
            <w:color w:val="1155CC"/>
            <w:u w:val="single"/>
          </w:rPr>
          <w:t>跟踪东南亚能源转型的进展和优先事项——区域能源转型指数和分析框架</w:t>
        </w:r>
      </w:hyperlink>
    </w:p>
    <w:p>
      <w:pPr>
        <w:spacing w:before="0" w:after="80"/>
      </w:pPr>
      <w:r>
        <w:rPr>
          <w:i/>
          <w:sz w:val="20"/>
        </w:rPr>
        <w:t>EN: Tracking southeast Asian's progress and priorities in the energy transition – A regional energy transition index and analysis framework</w:t>
      </w:r>
    </w:p>
    <w:p>
      <w:pPr>
        <w:spacing w:before="0" w:after="120"/>
      </w:pPr>
      <w:r>
        <w:rPr>
          <w:b/>
        </w:rPr>
        <w:t xml:space="preserve">Source: </w:t>
      </w:r>
      <w:r>
        <w:t>ScienceDirect Publication: Applied Energy</w:t>
      </w:r>
      <w:r>
        <w:t xml:space="preserve">    </w:t>
      </w:r>
      <w:r>
        <w:rPr>
          <w:b/>
        </w:rPr>
        <w:t xml:space="preserve">Pub date: </w:t>
      </w:r>
      <w:r>
        <w:t>2026-06-10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827">
        <w:r>
          <w:rPr>
            <w:color w:val="1155CC"/>
            <w:u w:val="single"/>
          </w:rPr>
          <w:t>5f金属掺入的2D簇吩：通过连续平面载流子迁移实现高效光催化</w:t>
        </w:r>
      </w:hyperlink>
    </w:p>
    <w:p>
      <w:pPr>
        <w:spacing w:before="0" w:after="80"/>
      </w:pPr>
      <w:r>
        <w:rPr>
          <w:i/>
          <w:sz w:val="20"/>
        </w:rPr>
        <w:t>EN: 5f metal-incorporated 2D clusterphene: Enabling high-efficiency photocatalysis through continuous planar carrier migration</w:t>
      </w:r>
    </w:p>
    <w:p>
      <w:pPr>
        <w:spacing w:before="0" w:after="120"/>
      </w:pPr>
      <w:r>
        <w:rPr>
          <w:b/>
        </w:rPr>
        <w:t xml:space="preserve">Source: </w:t>
      </w:r>
      <w:r>
        <w:t>Matter</w:t>
      </w:r>
      <w:r>
        <w:t xml:space="preserve">    </w:t>
      </w:r>
      <w:r>
        <w:rPr>
          <w:b/>
        </w:rPr>
        <w:t xml:space="preserve">Pub date: </w:t>
      </w:r>
      <w:r>
        <w:t>2026-06-10 00:00:00+00:00</w:t>
      </w:r>
      <w:r>
        <w:t xml:space="preserve">    </w:t>
      </w:r>
      <w:r>
        <w:rPr>
          <w:b/>
        </w:rPr>
        <w:t xml:space="preserve">DOI: </w:t>
      </w:r>
      <w:hyperlink r:id="rId828">
        <w:r>
          <w:rPr>
            <w:color w:val="1155CC"/>
            <w:u w:val="single"/>
          </w:rPr>
          <w:t>10.1016/j.matt.2026.102862</w:t>
        </w:r>
      </w:hyperlink>
    </w:p>
    <w:p>
      <w:pPr>
        <w:spacing w:before="0" w:after="120"/>
      </w:pPr>
      <w:r>
        <w:rPr>
          <w:b/>
        </w:rPr>
        <w:t xml:space="preserve">Notes: </w:t>
      </w:r>
      <w:r>
        <w:t>abstract_source=rss_cell</w:t>
      </w:r>
    </w:p>
    <w:p>
      <w:pPr>
        <w:spacing w:before="0" w:after="80" w:lineRule="auto" w:line="276"/>
      </w:pPr>
      <w:r>
        <w:rPr>
          <w:b/>
        </w:rPr>
        <w:t xml:space="preserve">摘要（ZH）: </w:t>
      </w:r>
      <w:r>
        <w:t>在亚纳米尺度上将铀酰单元与多氧铌酸盐集成，形成具有连续载流子迁移路径的2D UNbO簇吩，可最大限度地减少电子-空穴复合，实现高效的可见光驱动的烯烃裂解，并为先进的5f金属基异质光催化剂铺平道路。</w:t>
      </w:r>
    </w:p>
    <w:p>
      <w:pPr>
        <w:spacing w:before="0" w:after="200" w:lineRule="auto" w:line="276"/>
      </w:pPr>
      <w:r>
        <w:rPr>
          <w:b/>
        </w:rPr>
        <w:t xml:space="preserve">Abstract (EN): </w:t>
      </w:r>
      <w:r>
        <w:t>Integrating uranyl units with polyoxoniobates at the subnanoscale creates a 2D UNbO clusterphene with a continuous carrier-migration path that minimizes electron-hole recombination, enabling efficient visible-light-driven alkene cleavage and paving the way for advanced 5f metal-based heterogeneous photocatalysts.</w:t>
      </w:r>
    </w:p>
    <w:p>
      <w:pPr>
        <w:spacing w:before="120" w:after="120"/>
      </w:pPr>
      <w:r>
        <w:rPr>
          <w:sz w:val="18"/>
        </w:rPr>
        <w:t>——————————————————————————————————————————————————————————————————————</w:t>
      </w:r>
    </w:p>
    <w:p>
      <w:pPr>
        <w:spacing w:before="160" w:after="40" w:line="240" w:lineRule="auto"/>
      </w:pPr>
      <w:r>
        <w:rPr>
          <w:b/>
        </w:rPr>
        <w:t xml:space="preserve">[274] </w:t>
      </w:r>
      <w:hyperlink r:id="rId829">
        <w:r>
          <w:rPr>
            <w:color w:val="1155CC"/>
            <w:u w:val="single"/>
          </w:rPr>
          <w:t>H2S供体预处理的血管内皮细胞来源的细胞外囊泡用于多途径血管修复</w:t>
        </w:r>
      </w:hyperlink>
    </w:p>
    <w:p>
      <w:pPr>
        <w:spacing w:before="0" w:after="80"/>
      </w:pPr>
      <w:r>
        <w:rPr>
          <w:i/>
          <w:sz w:val="20"/>
        </w:rPr>
        <w:t>EN: H2S donor-pretreated vascular endothelial cell-derived extracellular vesicles for multi-pathway vascular repair</w:t>
      </w:r>
    </w:p>
    <w:p>
      <w:pPr>
        <w:spacing w:before="0" w:after="120"/>
      </w:pPr>
      <w:r>
        <w:rPr>
          <w:b/>
        </w:rPr>
        <w:t xml:space="preserve">Source: </w:t>
      </w:r>
      <w:r>
        <w:t>Matter</w:t>
      </w:r>
      <w:r>
        <w:t xml:space="preserve">    </w:t>
      </w:r>
      <w:r>
        <w:rPr>
          <w:b/>
        </w:rPr>
        <w:t xml:space="preserve">Pub date: </w:t>
      </w:r>
      <w:r>
        <w:t>2026-06-10 00:00:00+00:00</w:t>
      </w:r>
      <w:r>
        <w:t xml:space="preserve">    </w:t>
      </w:r>
      <w:r>
        <w:rPr>
          <w:b/>
        </w:rPr>
        <w:t xml:space="preserve">DOI: </w:t>
      </w:r>
      <w:hyperlink r:id="rId830">
        <w:r>
          <w:rPr>
            <w:color w:val="1155CC"/>
            <w:u w:val="single"/>
          </w:rPr>
          <w:t>10.1016/j.matt.2026.102868</w:t>
        </w:r>
      </w:hyperlink>
    </w:p>
    <w:p>
      <w:pPr>
        <w:spacing w:before="0" w:after="120"/>
      </w:pPr>
      <w:r>
        <w:rPr>
          <w:b/>
        </w:rPr>
        <w:t xml:space="preserve">Notes: </w:t>
      </w:r>
      <w:r>
        <w:t>abstract_source=rss_cell</w:t>
      </w:r>
    </w:p>
    <w:p>
      <w:pPr>
        <w:spacing w:before="0" w:after="80" w:lineRule="auto" w:line="276"/>
      </w:pPr>
      <w:r>
        <w:rPr>
          <w:b/>
        </w:rPr>
        <w:t xml:space="preserve">摘要（ZH）: </w:t>
      </w:r>
      <w:r>
        <w:t>我们报告了一种可翻译的 EV 纳米平台，通过在体外用硫化氢 (H2S) 供体简单地刺激血管内皮细胞来协调血管修复。这些 EV 以受损动脉为目标，减少局部炎症，抑制内膜增生，促进内皮再生，同时避免全身 H2S 输送的毒性风险。在大鼠颈动脉损伤模型中，这些EV实现了有效的血管修复和良好的生物安全性，为治疗血管疾病提供了一种有前途的策略。</w:t>
      </w:r>
    </w:p>
    <w:p>
      <w:pPr>
        <w:spacing w:before="0" w:after="200" w:lineRule="auto" w:line="276"/>
      </w:pPr>
      <w:r>
        <w:rPr>
          <w:b/>
        </w:rPr>
        <w:t xml:space="preserve">Abstract (EN): </w:t>
      </w:r>
      <w:r>
        <w:t>We report a translatable EVs nanoplatform for coordinated vascular repair by simply stimulating vascular endothelial cells with a hydrogen sulfide (H2S) donor in vitro. These EVs target injured arteries, reduce local inflammation, inhibit neointimal hyperplasia, and promote endothelial regeneration, while avoiding toxicity risks of systemic H2S delivery. In a rat carotid artery injury model, these EVs achieve effective vascular repair and good biosafety, offering a promising strategy for treating vascular diseases.</w:t>
      </w:r>
    </w:p>
    <w:p>
      <w:pPr>
        <w:spacing w:before="120" w:after="120"/>
      </w:pPr>
      <w:r>
        <w:rPr>
          <w:sz w:val="18"/>
        </w:rPr>
        <w:t>——————————————————————————————————————————————————————————————————————</w:t>
      </w:r>
    </w:p>
    <w:p>
      <w:pPr>
        <w:spacing w:before="160" w:after="40" w:line="240" w:lineRule="auto"/>
      </w:pPr>
      <w:r>
        <w:rPr>
          <w:b/>
        </w:rPr>
        <w:t xml:space="preserve">[275] </w:t>
      </w:r>
      <w:hyperlink r:id="rId831">
        <w:r>
          <w:rPr>
            <w:color w:val="1155CC"/>
            <w:u w:val="single"/>
          </w:rPr>
          <w:t>出乎意料的大熵势垒控制了玻璃体中的键重排</w:t>
        </w:r>
      </w:hyperlink>
    </w:p>
    <w:p>
      <w:pPr>
        <w:spacing w:before="0" w:after="80"/>
      </w:pPr>
      <w:r>
        <w:rPr>
          <w:i/>
          <w:sz w:val="20"/>
        </w:rPr>
        <w:t>EN: Unexpectedly large entropic barrier controls bond rearrangements in vitrimers</w:t>
      </w:r>
    </w:p>
    <w:p>
      <w:pPr>
        <w:spacing w:before="0" w:after="120"/>
      </w:pPr>
      <w:r>
        <w:rPr>
          <w:b/>
        </w:rPr>
        <w:t xml:space="preserve">Source: </w:t>
      </w:r>
      <w:r>
        <w:t>Matter</w:t>
      </w:r>
      <w:r>
        <w:t xml:space="preserve">    </w:t>
      </w:r>
      <w:r>
        <w:rPr>
          <w:b/>
        </w:rPr>
        <w:t xml:space="preserve">Pub date: </w:t>
      </w:r>
      <w:r>
        <w:t>2026-06-10 00:00:00+00:00</w:t>
      </w:r>
      <w:r>
        <w:t xml:space="preserve">    </w:t>
      </w:r>
      <w:r>
        <w:rPr>
          <w:b/>
        </w:rPr>
        <w:t xml:space="preserve">DOI: </w:t>
      </w:r>
      <w:hyperlink r:id="rId832">
        <w:r>
          <w:rPr>
            <w:color w:val="1155CC"/>
            <w:u w:val="single"/>
          </w:rPr>
          <w:t>10.1016/j.matt.2026.102869</w:t>
        </w:r>
      </w:hyperlink>
    </w:p>
    <w:p>
      <w:pPr>
        <w:spacing w:before="0" w:after="120"/>
      </w:pPr>
      <w:r>
        <w:rPr>
          <w:b/>
        </w:rPr>
        <w:t xml:space="preserve">Notes: </w:t>
      </w:r>
      <w:r>
        <w:t>abstract_source=rss_cell</w:t>
      </w:r>
    </w:p>
    <w:p>
      <w:pPr>
        <w:spacing w:before="0" w:after="80" w:lineRule="auto" w:line="276"/>
      </w:pPr>
      <w:r>
        <w:rPr>
          <w:b/>
        </w:rPr>
        <w:t xml:space="preserve">摘要（ZH）: </w:t>
      </w:r>
      <w:r>
        <w:t>这项工作揭示了罕见的、高度特异性的键几何形状为 vitrimer 中的键交换创造了主要的熵势垒，重新定义了动态网络重排的理解方式，并实现了动态材料的更具预测性的设计。</w:t>
      </w:r>
    </w:p>
    <w:p>
      <w:pPr>
        <w:spacing w:before="0" w:after="200" w:lineRule="auto" w:line="276"/>
      </w:pPr>
      <w:r>
        <w:rPr>
          <w:b/>
        </w:rPr>
        <w:t xml:space="preserve">Abstract (EN): </w:t>
      </w:r>
      <w:r>
        <w:t>This work reveals that rare, highly specific bond geometries create a dominant entropic barrier for bond exchange in vitrimers, redefining how dynamic network rearrangements are understood and enabling more predictive design of dynamic materials.</w:t>
      </w:r>
    </w:p>
    <w:p>
      <w:pPr>
        <w:spacing w:before="120" w:after="120"/>
      </w:pPr>
      <w:r>
        <w:rPr>
          <w:sz w:val="18"/>
        </w:rPr>
        <w:t>——————————————————————————————————————————————————————————————————————</w:t>
      </w:r>
    </w:p>
    <w:p>
      <w:pPr>
        <w:spacing w:before="160" w:after="40" w:line="240" w:lineRule="auto"/>
      </w:pPr>
      <w:r>
        <w:rPr>
          <w:b/>
        </w:rPr>
        <w:t xml:space="preserve">[276] </w:t>
      </w:r>
      <w:hyperlink r:id="rId833">
        <w:r>
          <w:rPr>
            <w:color w:val="1155CC"/>
            <w:u w:val="single"/>
          </w:rPr>
          <w:t>双面机械联锁使软刚性导电接口具有创纪录的高韧性，适用于柔性电子产品</w:t>
        </w:r>
      </w:hyperlink>
    </w:p>
    <w:p>
      <w:pPr>
        <w:spacing w:before="0" w:after="80"/>
      </w:pPr>
      <w:r>
        <w:rPr>
          <w:i/>
          <w:sz w:val="20"/>
        </w:rPr>
        <w:t>EN: Double‐Sided Mechanical Interlocking Enables Soft‐Rigid Conductive Interfaces With a Record High Toughness for Flexible Electronics</w:t>
      </w:r>
    </w:p>
    <w:p>
      <w:pPr>
        <w:spacing w:before="0" w:after="120"/>
      </w:pPr>
      <w:r>
        <w:rPr>
          <w:b/>
        </w:rPr>
        <w:t xml:space="preserve">Source: </w:t>
      </w:r>
      <w:r>
        <w:t>Wiley: Advanced Materials: Table of Contents</w:t>
      </w:r>
      <w:r>
        <w:t xml:space="preserve">    </w:t>
      </w:r>
      <w:r>
        <w:rPr>
          <w:b/>
        </w:rPr>
        <w:t xml:space="preserve">Pub date: </w:t>
      </w:r>
      <w:r>
        <w:t>2026-06-10 05:03:28+00:00</w:t>
      </w:r>
      <w:r>
        <w:t xml:space="preserve">    </w:t>
      </w:r>
      <w:r>
        <w:rPr>
          <w:b/>
        </w:rPr>
        <w:t xml:space="preserve">DOI: </w:t>
      </w:r>
      <w:hyperlink r:id="rId834">
        <w:r>
          <w:rPr>
            <w:color w:val="1155CC"/>
            <w:u w:val="single"/>
          </w:rPr>
          <w:t>10.1002/adma.73649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电极和金属部件之间的明显不匹配阻碍了牢固电接触的形成。虽然大多数方法依赖化学设计来加强界面相互作用，但我们提出了一种双面机械联锁策略，可提供稳定性和适应性。导电织物支架桥接聚合物和金属，两侧依次涂有粘合剂。粘合剂渗透并封装支架纤维，形成螺纹孔粘附，这种粘附只能通过整体破坏来破坏。该机制实现了 730 J m 的创纪录高界面韧性</w:t>
      </w:r>
      <w:r>
        <w:t xml:space="preserve"> </w:t>
      </w:r>
      <w:r>
        <w:t>-</w:t>
      </w:r>
      <w:r>
        <w:rPr>
          <w:vertAlign w:val="subscript"/>
        </w:rPr>
        <w:t>2</w:t>
      </w:r>
      <w:r>
        <w:t>使用商业银浆在导电弹性体和铜之间进行连接。剥离测试显示银浆和铜之间发生分层，表明性能更好的导电胶产品可以获得更高的韧性。值得注意的是，界面稳定性超过了电极本身，即使电极失效也能保持完好。该设计与弹性体或水凝胶基质以及各种商业粘合剂广泛兼容。它能够构建可靠的表皮电子设备和基于水凝胶的设备。总体而言，这种互锁策略为在混合电子系统中集成软导体和硬导体提供了一个多功能平台。</w:t>
      </w:r>
    </w:p>
    <w:p>
      <w:pPr>
        <w:spacing w:before="0" w:after="200" w:lineRule="auto" w:line="276"/>
      </w:pPr>
      <w:r>
        <w:rPr>
          <w:b/>
        </w:rPr>
        <w:t xml:space="preserve">Abstract (EN): </w:t>
      </w:r>
      <w:r>
        <w:t>The pronounced mismatch between polymeric electrodes and metallic components hinders the formation of robust electrical contacts. While most approaches rely on chemical design to strengthen interfacial interactions, we present a double‐sided mechanical interlocking strategy that provides both stability and adaptability. A conductive fabric scaffold bridges polymers and metals, with adhesives sequentially applied to both sides. The adhesive infiltrates and encapsulates scaffold fibers, forming a thread–hole adhesion that can only be disrupted by bulk failure. This mechanism achieves a record high interfacial toughness of 730 J m</w:t>
      </w:r>
      <w:r>
        <w:t xml:space="preserve"> </w:t>
      </w:r>
      <w:r>
        <w:t>−</w:t>
      </w:r>
      <w:r>
        <w:rPr>
          <w:vertAlign w:val="subscript"/>
        </w:rPr>
        <w:t>2</w:t>
      </w:r>
      <w:r>
        <w:t>between conductive elastomer and copper using commercial silver pastes. Peeling tests show delamination occurs between silver paste and copper, indicating even higher toughness could be obtained with better‐performing products of conductive adhesive. Notably, the interface stability surpasses that of the electrode itself, remaining intact even when the electrode fails. The design is broadly compatible with elastomeric or hydrogel matrices and with diverse commercial adhesives. It enables the construction of reliable epidermal electronics and hydrogel‐based devices. Overall, this interlocking strategy provides a versatile platform for integrating soft and rigid conductors in hybrid electronic systems.</w:t>
      </w:r>
    </w:p>
    <w:p>
      <w:pPr>
        <w:spacing w:before="120" w:after="120"/>
      </w:pPr>
      <w:r>
        <w:rPr>
          <w:sz w:val="18"/>
        </w:rPr>
        <w:t>——————————————————————————————————————————————————————————————————————</w:t>
      </w:r>
    </w:p>
    <w:p>
      <w:pPr>
        <w:spacing w:before="160" w:after="40" w:line="240" w:lineRule="auto"/>
      </w:pPr>
      <w:r>
        <w:rPr>
          <w:b/>
        </w:rPr>
        <w:t xml:space="preserve">[277] </w:t>
      </w:r>
      <w:hyperlink r:id="rId835">
        <w:r>
          <w:rPr>
            <w:color w:val="1155CC"/>
            <w:u w:val="single"/>
          </w:rPr>
          <w:t>钙钛矿光伏的结晶路径优化和高折射率面稳定</w:t>
        </w:r>
      </w:hyperlink>
    </w:p>
    <w:p>
      <w:pPr>
        <w:spacing w:before="0" w:after="80"/>
      </w:pPr>
      <w:r>
        <w:rPr>
          <w:i/>
          <w:sz w:val="20"/>
        </w:rPr>
        <w:t>EN: Crystallization Pathway Optimization and High‐Index Facet Stabilization for Perovskite Photovoltaics</w:t>
      </w:r>
    </w:p>
    <w:p>
      <w:pPr>
        <w:spacing w:before="0" w:after="120"/>
      </w:pPr>
      <w:r>
        <w:rPr>
          <w:b/>
        </w:rPr>
        <w:t xml:space="preserve">Source: </w:t>
      </w:r>
      <w:r>
        <w:t>Wiley: Advanced Materials: Table of Contents</w:t>
      </w:r>
      <w:r>
        <w:t xml:space="preserve">    </w:t>
      </w:r>
      <w:r>
        <w:rPr>
          <w:b/>
        </w:rPr>
        <w:t xml:space="preserve">Pub date: </w:t>
      </w:r>
      <w:r>
        <w:t>2026-06-10 05:06:01+00:00</w:t>
      </w:r>
      <w:r>
        <w:t xml:space="preserve">    </w:t>
      </w:r>
      <w:r>
        <w:rPr>
          <w:b/>
        </w:rPr>
        <w:t xml:space="preserve">DOI: </w:t>
      </w:r>
      <w:hyperlink r:id="rId836">
        <w:r>
          <w:rPr>
            <w:color w:val="1155CC"/>
            <w:u w:val="single"/>
          </w:rPr>
          <w:t>10.1002/adma.73663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在平衡高功率转换效率（PCE）与运行稳定性方面面临着严峻的挑战，这在很大程度上取决于钙钛矿薄膜的结晶动力学和晶面配置。在这里，我们报告了一种由构象预组织大分子调节剂纤维素2,4,6-三氯苯基氨基甲酸酯（3Cl-NC）介导的动力学分段结晶策略。通过多齿配位，3Cl-NC 建立了局部富含前体的微环境，促进异质成核。在热退火过程中，这种缔合转变为热激活的动态配位态，延迟了长程前体传输，同时保持受控晶体生长的局部可用性。这种分段调节抑制亚稳态δ相积累并促进光敏α相形成。此外，3Cl-NC 热力学稳定了高米勒指数 (210) 取向，建立了一种协同结构，从本质上增强了晶格结构稳定性。因此，所得钙钛矿薄膜表现出更高的相纯度、减轻的残余应力和抑制的离子迁移，使器件能够实现 26.59%（认证为 26.29%）的冠军 PCE，并提高长期稳定性。</w:t>
      </w:r>
    </w:p>
    <w:p>
      <w:pPr>
        <w:spacing w:before="0" w:after="200" w:lineRule="auto" w:line="276"/>
      </w:pPr>
      <w:r>
        <w:rPr>
          <w:b/>
        </w:rPr>
        <w:t xml:space="preserve">Abstract (EN): </w:t>
      </w:r>
      <w:r>
        <w:t>Perovskite solar cells (PSCs) face a critical challenge in balancing high power conversion efficiency (PCE) with operational stability, largely governed by the crystallization kinetics and facet configuration of perovskite films. Here, we report a kinetically segmented crystallization strategy mediated by a conformationally preorganized macromolecular regulator, cellulose 2,4,6‐trichlorophenylcarbamate (3Cl‐NC). Through multidentate coordination, 3Cl‐NC establishes localized precursor‐rich microenvironments that promote heterogeneous nucleation. During thermal annealing, this association transitions into a thermally activated dynamic coordination state that retards long‐range precursor transport while maintaining local availability for controlled crystal growth. This segmented regulation suppresses metastable δ‐phase accumulation and facilitates photoactive α‐phase formation. Furthermore, 3Cl‐NC thermodynamically stabilizes the high‐Miller‐index (210) orientation, establishing a synergistic architecture that intrinsically enhances lattice structural stability. Consequently, the resulting perovskite films exhibit higher phase purity, relieved residual stress, and suppressed ion migration, enabling devices to achieve a champion PCE of 26.59% (certified 26.29%) with improved long‐term stability.</w:t>
      </w:r>
    </w:p>
    <w:p>
      <w:pPr>
        <w:spacing w:before="120" w:after="120"/>
      </w:pPr>
      <w:r>
        <w:rPr>
          <w:sz w:val="18"/>
        </w:rPr>
        <w:t>——————————————————————————————————————————————————————————————————————</w:t>
      </w:r>
    </w:p>
    <w:p>
      <w:pPr>
        <w:spacing w:before="160" w:after="40" w:line="240" w:lineRule="auto"/>
      </w:pPr>
      <w:r>
        <w:rPr>
          <w:b/>
        </w:rPr>
        <w:t xml:space="preserve">[278] </w:t>
      </w:r>
      <w:hyperlink r:id="rId837">
        <w:r>
          <w:rPr>
            <w:color w:val="1155CC"/>
            <w:u w:val="single"/>
          </w:rPr>
          <w:t>可扩展的分层纺织纤维用于个性化可穿戴大气水收集</w:t>
        </w:r>
      </w:hyperlink>
    </w:p>
    <w:p>
      <w:pPr>
        <w:spacing w:before="0" w:after="80"/>
      </w:pPr>
      <w:r>
        <w:rPr>
          <w:i/>
          <w:sz w:val="20"/>
        </w:rPr>
        <w:t>EN: Scalable hierarchical textile fibers toward personalized wearable atmospheric water harvesting</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38">
        <w:r>
          <w:rPr>
            <w:color w:val="1155CC"/>
            <w:u w:val="single"/>
          </w:rPr>
          <w:t>10.1126/sciadv.aed9949</w:t>
        </w:r>
      </w:hyperlink>
    </w:p>
    <w:p>
      <w:pPr>
        <w:spacing w:before="0" w:after="120"/>
      </w:pPr>
      <w:r>
        <w:rPr>
          <w:b/>
        </w:rPr>
        <w:t xml:space="preserve">Notes: </w:t>
      </w:r>
      <w:r>
        <w:t>abstract_source=crossref</w:t>
      </w:r>
    </w:p>
    <w:p>
      <w:pPr>
        <w:spacing w:before="0" w:after="80" w:lineRule="auto" w:line="276"/>
      </w:pPr>
      <w:r>
        <w:rPr>
          <w:b/>
        </w:rPr>
        <w:t xml:space="preserve">摘要（ZH）: </w:t>
      </w:r>
      <w:r>
        <w:t>基于吸附的大气水收集 (AWH) 为全球淡水短缺问题提供了一种分散的、可持续的解决方案，从而在不同的环境中提供清洁水。然而，将小尺寸材料的理想吸附特性转化为实际的大规模系统面临着关键的动力学挑战。在这里，我们概念化了用于可穿戴 AWH 的分层纺织纤维，解决了传统吸附剂的缩放限制。这些纤维具有开孔表面拓扑结构和内部分层孔隙结构，可加速表面蒸气液化和随后的水传输，在不同的相对湿度 (RH) 下表现出出色的吸水性和快速吸附动力学。当编织成纺织品时，纤维通过其大孔、透气的结构保持有效的蒸汽扩散，与传统吸附剂相比，在规模上实现了 3 至 10 倍的改进。我们设计了一款将 AWH 纺织品与便携式收集器相结合的可穿戴原型，容量达到 3.76 至 7.45 升</w:t>
      </w:r>
      <w:r>
        <w:t xml:space="preserve"> </w:t>
      </w:r>
      <w:r>
        <w:t>水</w:t>
      </w:r>
      <w:r>
        <w:t xml:space="preserve"> </w:t>
      </w:r>
      <w:r>
        <w:t>每公斤</w:t>
      </w:r>
      <w:r>
        <w:t xml:space="preserve"> </w:t>
      </w:r>
      <w:r>
        <w:t>吸附剂</w:t>
      </w:r>
      <w:r>
        <w:t xml:space="preserve"> </w:t>
      </w:r>
      <w:r>
        <w:t>每天收集 410 至 894 毫升，相对湿度为 20% 至 80%。通过克服动力学限制，我们的研究将 AWH 推向可扩展性和耐磨性，并对全球水的可持续性产生影响。</w:t>
      </w:r>
    </w:p>
    <w:p>
      <w:pPr>
        <w:spacing w:before="0" w:after="200" w:lineRule="auto" w:line="276"/>
      </w:pPr>
      <w:r>
        <w:rPr>
          <w:b/>
        </w:rPr>
        <w:t xml:space="preserve">Abstract (EN): </w:t>
      </w:r>
      <w:r>
        <w:t>Sorption-based atmospheric water harvesting (AWH) offers a decentralized, sustainable solution to global freshwater scarcity, enabling clean water in diverse environments. However, translating ideal sorption properties of small-scale materials into practical, large-scale systems faces critical kinetic challenges. Here, we conceptualize a hierarchical textile fiber for wearable AWH, addressing the scaling limitations of traditional sorbents. These fibers feature an open-pore surface topology and internal hierarchical pore structures, which accelerate surface vapor liquefaction and subsequent water transport, demonstrating exceptional water uptake and rapid sorption kinetics across varying relative humidity (RH). When woven into textiles, the fibers maintain efficient vapor diffusion through their macroporous, breathable architecture, achieving a 3- to 10-fold improvement over traditional sorbents at scale. We engineered a wearable prototype combining the AWH textile with a portable collector, achieving 3.76 to 7.45 liters</w:t>
      </w:r>
      <w:r>
        <w:t xml:space="preserve"> </w:t>
      </w:r>
      <w:r>
        <w:t>water</w:t>
      </w:r>
      <w:r>
        <w:t xml:space="preserve"> </w:t>
      </w:r>
      <w:r>
        <w:t>per kilogram</w:t>
      </w:r>
      <w:r>
        <w:t xml:space="preserve"> </w:t>
      </w:r>
      <w:r>
        <w:t>sorbent</w:t>
      </w:r>
      <w:r>
        <w:t xml:space="preserve"> </w:t>
      </w:r>
      <w:r>
        <w:t>per day and collecting 410 to 894 milliliters across 20 to 80% RH. By overcoming kinetic limitations, our study advances AWH toward scalability and wearability with implications for global water sustainability.</w:t>
      </w:r>
    </w:p>
    <w:p>
      <w:pPr>
        <w:spacing w:before="120" w:after="120"/>
      </w:pPr>
      <w:r>
        <w:rPr>
          <w:sz w:val="18"/>
        </w:rPr>
        <w:t>——————————————————————————————————————————————————————————————————————</w:t>
      </w:r>
    </w:p>
    <w:p>
      <w:pPr>
        <w:spacing w:before="160" w:after="40" w:line="240" w:lineRule="auto"/>
      </w:pPr>
      <w:r>
        <w:rPr>
          <w:b/>
        </w:rPr>
        <w:t xml:space="preserve">[279] </w:t>
      </w:r>
      <w:hyperlink r:id="rId839">
        <w:r>
          <w:rPr>
            <w:color w:val="1155CC"/>
            <w:u w:val="single"/>
          </w:rPr>
          <w:t>远红叶绿素 d 簇将光系统 I 吸收扩展到红色极限</w:t>
        </w:r>
      </w:hyperlink>
    </w:p>
    <w:p>
      <w:pPr>
        <w:spacing w:before="0" w:after="80"/>
      </w:pPr>
      <w:r>
        <w:rPr>
          <w:i/>
          <w:sz w:val="20"/>
        </w:rPr>
        <w:t>EN: Far-red chlorophyll d clusters extend photosystem I absorption toward the red limit</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40">
        <w:r>
          <w:rPr>
            <w:color w:val="1155CC"/>
            <w:u w:val="single"/>
          </w:rPr>
          <w:t>10.1126/sciadv.aed7355</w:t>
        </w:r>
      </w:hyperlink>
    </w:p>
    <w:p>
      <w:pPr>
        <w:spacing w:before="0" w:after="120"/>
      </w:pPr>
      <w:r>
        <w:rPr>
          <w:b/>
        </w:rPr>
        <w:t xml:space="preserve">Notes: </w:t>
      </w:r>
      <w:r>
        <w:t>abstract_source=crossref</w:t>
      </w:r>
    </w:p>
    <w:p>
      <w:pPr>
        <w:spacing w:before="0" w:after="80" w:lineRule="auto" w:line="276"/>
      </w:pPr>
      <w:r>
        <w:rPr>
          <w:b/>
        </w:rPr>
        <w:t xml:space="preserve">摘要（ZH）: </w:t>
      </w:r>
      <w:r>
        <w:t>产氧光合作用通常仅限于可见光，但海洋蓝藻</w:t>
      </w:r>
      <w:r>
        <w:t xml:space="preserve"> </w:t>
      </w:r>
      <w:r>
        <w:t>滨螨螨</w:t>
      </w:r>
      <w:r>
        <w:t xml:space="preserve"> </w:t>
      </w:r>
      <w:r>
        <w:t>通过用叶绿素 d 收集远红光子来突破这一界限。研究最充分的菌株 MBIC11017 出人意料地在光系统 I 中缺乏低能叶绿素（“红色形式”），限制了 740 纳米以上的吸收。在这里，我们展示了另一种菌株，</w:t>
      </w:r>
      <w:r>
        <w:t xml:space="preserve"> </w:t>
      </w:r>
      <w:r>
        <w:t>A. 玛丽娜</w:t>
      </w:r>
      <w:r>
        <w:t xml:space="preserve"> </w:t>
      </w:r>
      <w:r>
        <w:t>NIES-2412 已经发展出一种吸收高达 760 纳米远红光子的策略。将时间分辨荧光光谱与 2.64 埃分辨率的冷冻电子显微镜相结合，我们在其光系统 I 中识别出两类不同类型的叶绿素 d 红色形式。一类源自经典的电荷转移激子混合，而另一类纯粹由激子相互作用产生。绘制所有 96 种叶绿素 d 的图谱揭示了造成这些远红状态的精确色素。我们还发现了一个以前未报道的亚基 PsaX2，它可以稳定光系统 I 复合物并塑造颜料几何形状和能量，从而能够形成红色形式。最后，我们表明负责结合和调节这些红色形式的蛋白质修饰在整个人类中广泛存在。</w:t>
      </w:r>
      <w:r>
        <w:t xml:space="preserve"> </w:t>
      </w:r>
      <w:r>
        <w:t>螨绿藻</w:t>
      </w:r>
      <w:r>
        <w:t xml:space="preserve"> </w:t>
      </w:r>
      <w:r>
        <w:t>属但不在模型 MBIC11017 菌株内。远红光子接近含氧光合作用的能量极限；因此，它们的有效利用需要对光合机制进行微调。据我们所知，我们的发现提供了结构和机制基础</w:t>
      </w:r>
    </w:p>
    <w:p>
      <w:pPr>
        <w:spacing w:before="0" w:after="200" w:lineRule="auto" w:line="276"/>
      </w:pPr>
      <w:r>
        <w:rPr>
          <w:b/>
        </w:rPr>
        <w:t xml:space="preserve">Abstract (EN): </w:t>
      </w:r>
      <w:r>
        <w:t>Oxygenic photosynthesis is usually limited to visible light, but the marine cyanobacterium</w:t>
      </w:r>
      <w:r>
        <w:t xml:space="preserve"> </w:t>
      </w:r>
      <w:r>
        <w:t>Acaryochloris marina</w:t>
      </w:r>
      <w:r>
        <w:t xml:space="preserve"> </w:t>
      </w:r>
      <w:r>
        <w:t>pushes this boundary by harvesting far-red photons with chlorophyll d. The best-studied strain, MBIC11017, unexpectedly lacks low-energy chlorophylls (“red forms”) in photosystem I, limiting absorption beyond 740 nanometers. Here, we show that another strain,</w:t>
      </w:r>
      <w:r>
        <w:t xml:space="preserve"> </w:t>
      </w:r>
      <w:r>
        <w:t>A. marina</w:t>
      </w:r>
      <w:r>
        <w:t xml:space="preserve"> </w:t>
      </w:r>
      <w:r>
        <w:t>NIES-2412, has evolved a strategy to absorb far-red photons up to 760 nanometers. Combining time-resolved fluorescence spectroscopy with cryo–electron microscopy at 2.64-angstrom resolution, we identify two distinct classes of chlorophyll d red forms in its photosystem I. One class originates from classical charge-transfer–exciton mixing, while the other arises purely from excitonic interactions. Mapping all 96 chlorophylls d reveals the precise pigments responsible for these far-red states. We also uncover a previously unreported subunit, PsaX2, which stabilizes the photosystem I complex and shapes pigment geometry and energetics to enable the formation of red forms. Last, we show that the protein modifications responsible for binding and tuning these red forms are widespread across the</w:t>
      </w:r>
      <w:r>
        <w:t xml:space="preserve"> </w:t>
      </w:r>
      <w:r>
        <w:t>Acaryochloris</w:t>
      </w:r>
      <w:r>
        <w:t xml:space="preserve"> </w:t>
      </w:r>
      <w:r>
        <w:t>genus but not within the model MBIC11017 strain. Far-red photons lie close to the energetic limit of oxygenic photosynthesis; their efficient use therefore requires fine-tuning of the photosynthetic machinery. To our knowledge, our findings provide the structural and mechanistic basis of one of the most red-shifted photosystem I complexes identified to date, highlighting a distinct adaptive strategy in far-red light environments and offering design principles for extending photosynthesis in crops into the infrared.</w:t>
      </w:r>
    </w:p>
    <w:p>
      <w:pPr>
        <w:spacing w:before="120" w:after="120"/>
      </w:pPr>
      <w:r>
        <w:rPr>
          <w:sz w:val="18"/>
        </w:rPr>
        <w:t>——————————————————————————————————————————————————————————————————————</w:t>
      </w:r>
    </w:p>
    <w:p>
      <w:pPr>
        <w:spacing w:before="160" w:after="40" w:line="240" w:lineRule="auto"/>
      </w:pPr>
      <w:r>
        <w:rPr>
          <w:b/>
        </w:rPr>
        <w:t xml:space="preserve">[280] </w:t>
      </w:r>
      <w:hyperlink r:id="rId841">
        <w:r>
          <w:rPr>
            <w:color w:val="1155CC"/>
            <w:u w:val="single"/>
          </w:rPr>
          <w:t>美国 PM2.5 空气污染不平等（按部门和州划分）：过去的轨迹和未来的方向</w:t>
        </w:r>
      </w:hyperlink>
    </w:p>
    <w:p>
      <w:pPr>
        <w:spacing w:before="0" w:after="80"/>
      </w:pPr>
      <w:r>
        <w:rPr>
          <w:i/>
          <w:sz w:val="20"/>
        </w:rPr>
        <w:t>EN: PM2.5 air pollution inequities in the US by sector and state: Past trajectories and future directions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42">
        <w:r>
          <w:rPr>
            <w:color w:val="1155CC"/>
            <w:u w:val="single"/>
          </w:rPr>
          <w:t>10.1126/sciadv.aed7425</w:t>
        </w:r>
      </w:hyperlink>
    </w:p>
    <w:p>
      <w:pPr>
        <w:spacing w:before="0" w:after="120"/>
      </w:pPr>
      <w:r>
        <w:rPr>
          <w:b/>
        </w:rPr>
        <w:t xml:space="preserve">Notes: </w:t>
      </w:r>
      <w:r>
        <w:t>abstract_source=crossref</w:t>
      </w:r>
    </w:p>
    <w:p>
      <w:pPr>
        <w:spacing w:before="0" w:after="80" w:lineRule="auto" w:line="276"/>
      </w:pPr>
      <w:r>
        <w:rPr>
          <w:b/>
        </w:rPr>
        <w:t xml:space="preserve">摘要（ZH）: </w:t>
      </w:r>
      <w:r>
        <w:t>平均而言，在美国，低收入社区和有色人种社区面临着不成比例的空气污染负担和相关的健康影响。减少这些差异的大部分努力需要在州一级进行，通过针对特定的排放源和暴露进行。我们首次对美国的暴露差异进行了分析，系统地调查了按经济部门和州分类的时间趋势。我们的方法将最近发布的时间序列（2002 年至 2019 年）排放清单 (EQUATES) 与计算高效的空气污染模型（InMAP 源-受体矩阵）相结合，以预测环境 PM 的年平均暴露量</w:t>
      </w:r>
      <w:r>
        <w:t xml:space="preserve"> </w:t>
      </w:r>
      <w:r>
        <w:t>2.5</w:t>
      </w:r>
      <w:r>
        <w:t xml:space="preserve"> </w:t>
      </w:r>
      <w:r>
        <w:t>美国本土每个人口普查区的数据，按排放部门分类。我们发现，总体而言，绝对差距有所缩小，但相对差距基本保持不变。这种模式适用于某些行业（例如交通和电力），但不适用于其他行业（例如，农业排放的差距基本上没有变化，而住宅和烹饪排放的差距通常在增加）。一些国有部门组合表现出不同的模式（例如，纽约最近的差距主要是烹饪，而佛罗里达州的差距主要是建筑）。在所有部门中，工业排放的暴露量最大，暴露差异也最大。农业和住宅能源使用也是造成最近差异的重要因素，这凸显了历史上受限制的部门中持续存在不平等现象。</w:t>
      </w:r>
    </w:p>
    <w:p>
      <w:pPr>
        <w:spacing w:before="0" w:after="200" w:lineRule="auto" w:line="276"/>
      </w:pPr>
      <w:r>
        <w:rPr>
          <w:b/>
        </w:rPr>
        <w:t xml:space="preserve">Abstract (EN): </w:t>
      </w:r>
      <w:r>
        <w:t>On average in the United States (US), low-income communities and communities of color face disproportionate burdens of air pollution and associated health impacts. Much of the effort to reduce these disparities will need to occur at the state level, through the targeting of specific emission sources and exposures. We present the first analysis of exposure disparities in the US that systematically investigates temporal trends, disaggregated by economic sector and state. Our approach combines a recently released time-series (2002 to 2019) emission inventory (EQUATES) with a computationally efficient air pollution model (InMAP Source-Receptor Matrix) to predict annual average exposure to ambient PM</w:t>
      </w:r>
      <w:r>
        <w:t xml:space="preserve"> </w:t>
      </w:r>
      <w:r>
        <w:t>2.5</w:t>
      </w:r>
      <w:r>
        <w:t xml:space="preserve"> </w:t>
      </w:r>
      <w:r>
        <w:t>in each census tract in the contiguous US, disaggregated by emission sector. We find that, in general, absolute disparities have decreased, but relative disparities remain largely unchanged. This pattern holds for some sectors (e.g., transportation and electricity) but not others (e.g., disparities are largely unchanged for agriculture emissions and are generally increasing for residential and cooking emissions). Some state-sector combinations exhibit distinct patterns (e.g., most-recent disparities in New York are dominated by cooking and in Florida by construction). Of all sectors, industrial emissions contribute the largest exposures and the greatest exposure disparities. Agriculture and residential energy use are also large contributors to most-recent disparities, underscoring that inequities persist in sectors historically subject to less regulatory focus. Overall, our findings reveal how disparities have changed during 2002 to 2019 for each sector-state combination and elucidate which sectors each state should focus on to address recent disparities.</w:t>
      </w:r>
    </w:p>
    <w:p>
      <w:pPr>
        <w:spacing w:before="120" w:after="120"/>
      </w:pPr>
      <w:r>
        <w:rPr>
          <w:sz w:val="18"/>
        </w:rPr>
        <w:t>——————————————————————————————————————————————————————————————————————</w:t>
      </w:r>
    </w:p>
    <w:p>
      <w:pPr>
        <w:spacing w:before="160" w:after="40" w:line="240" w:lineRule="auto"/>
      </w:pPr>
      <w:r>
        <w:rPr>
          <w:b/>
        </w:rPr>
        <w:t xml:space="preserve">[281] </w:t>
      </w:r>
      <w:hyperlink r:id="rId843">
        <w:r>
          <w:rPr>
            <w:color w:val="1155CC"/>
            <w:u w:val="single"/>
          </w:rPr>
          <w:t>淋巴结微环境重塑解锁局部抗体介导的 B 细胞耗竭</w:t>
        </w:r>
      </w:hyperlink>
    </w:p>
    <w:p>
      <w:pPr>
        <w:spacing w:before="0" w:after="80"/>
      </w:pPr>
      <w:r>
        <w:rPr>
          <w:i/>
          <w:sz w:val="20"/>
        </w:rPr>
        <w:t>EN: Lymph node microenvironment remodeling unlocks local antibody-mediated B cell depletion</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44">
        <w:r>
          <w:rPr>
            <w:color w:val="1155CC"/>
            <w:u w:val="single"/>
          </w:rPr>
          <w:t>10.1126/sciadv.aed8962</w:t>
        </w:r>
      </w:hyperlink>
    </w:p>
    <w:p>
      <w:pPr>
        <w:spacing w:before="0" w:after="120"/>
      </w:pPr>
      <w:r>
        <w:rPr>
          <w:b/>
        </w:rPr>
        <w:t xml:space="preserve">Notes: </w:t>
      </w:r>
      <w:r>
        <w:t>abstract_source=crossref</w:t>
      </w:r>
    </w:p>
    <w:p>
      <w:pPr>
        <w:spacing w:before="0" w:after="80" w:lineRule="auto" w:line="276"/>
      </w:pPr>
      <w:r>
        <w:rPr>
          <w:b/>
        </w:rPr>
        <w:t xml:space="preserve">摘要（ZH）: </w:t>
      </w:r>
      <w:r>
        <w:t>淋巴结 (LN) 可充当 CD20 的储存库</w:t>
      </w:r>
      <w:r>
        <w:t xml:space="preserve"> </w:t>
      </w:r>
      <w:r>
        <w:t>+</w:t>
      </w:r>
      <w:r>
        <w:t xml:space="preserve"> </w:t>
      </w:r>
      <w:r>
        <w:t>B细胞恶性肿瘤和自身免疫性疾病。尽管抗 CD20 单克隆抗体 (mAb) 显着改善了患者的治疗效果，但复发和疾病进展仍然频繁，这凸显了限制其全部治疗潜力的关键局限性。在这里，我们揭示了 LN 微环境是抗 CD20 mAb 功效的重要调节剂。在 LN 内，恶性 B 细胞可以表现出固着、组织保留的行为，这限制了它们进入有效的全身抗体介导的细胞耗竭所需的血液循环。尽管 LNB 细胞与 FcγR 在空间上分离</w:t>
      </w:r>
      <w:r>
        <w:t xml:space="preserve"> </w:t>
      </w:r>
      <w:r>
        <w:t>+</w:t>
      </w:r>
      <w:r>
        <w:t xml:space="preserve"> </w:t>
      </w:r>
      <w:r>
        <w:t>效应细胞，通过辐射重塑 LN 微环境，从而实现抗 CD20 mAb 介导的 B 细胞耗竭。我们的研究结果将淋巴结结构确定为消耗抗体疗法的结构障碍，并强调组织重塑是增强淋巴器官内治疗反应的策略。</w:t>
      </w:r>
    </w:p>
    <w:p>
      <w:pPr>
        <w:spacing w:before="0" w:after="200" w:lineRule="auto" w:line="276"/>
      </w:pPr>
      <w:r>
        <w:rPr>
          <w:b/>
        </w:rPr>
        <w:t xml:space="preserve">Abstract (EN): </w:t>
      </w:r>
      <w:r>
        <w:t>Lymph nodes (LNs) can act as reservoirs in CD20</w:t>
      </w:r>
      <w:r>
        <w:t xml:space="preserve"> </w:t>
      </w:r>
      <w:r>
        <w:t>+</w:t>
      </w:r>
      <w:r>
        <w:t xml:space="preserve"> </w:t>
      </w:r>
      <w:r>
        <w:t>B cell malignancies and autoimmune diseases. Although anti-CD20 monoclonal antibodies (mAbs) have substantially improved patient outcomes, relapse and disease progression remain frequent, underscoring critical limitations that constrain their full therapeutic potential. Here, we reveal that the LN microenvironment is an important modulator of anti-CD20 mAb efficacy. Within LNs, malignant B cells can exhibit a sessile, tissue-retained behavior, which limits their access to the blood circulation required for efficient systemic antibody-mediated cell depletion. Although LN B cells are spatially segregated from FcγR</w:t>
      </w:r>
      <w:r>
        <w:t xml:space="preserve"> </w:t>
      </w:r>
      <w:r>
        <w:t>+</w:t>
      </w:r>
      <w:r>
        <w:t xml:space="preserve"> </w:t>
      </w:r>
      <w:r>
        <w:t>effector cells, remodeling of the LN microenvironment through irradiation enabled anti-CD20 mAb-mediated B cell depletion. Our findings identify LN architecture as a structural barrier to depleting antibody-based therapies and highlight tissue remodeling as a strategy to enhance therapeutic responses within lymphoid organs.</w:t>
      </w:r>
    </w:p>
    <w:p>
      <w:pPr>
        <w:spacing w:before="120" w:after="120"/>
      </w:pPr>
      <w:r>
        <w:rPr>
          <w:sz w:val="18"/>
        </w:rPr>
        <w:t>——————————————————————————————————————————————————————————————————————</w:t>
      </w:r>
    </w:p>
    <w:p>
      <w:pPr>
        <w:spacing w:before="160" w:after="40" w:line="240" w:lineRule="auto"/>
      </w:pPr>
      <w:r>
        <w:rPr>
          <w:b/>
        </w:rPr>
        <w:t xml:space="preserve">[282] </w:t>
      </w:r>
      <w:hyperlink r:id="rId845">
        <w:r>
          <w:rPr>
            <w:color w:val="1155CC"/>
            <w:u w:val="single"/>
          </w:rPr>
          <w:t>用葡萄糖驱动的共生生物可吸收绷带恢复内源电场以促进糖尿病伤口愈合</w:t>
        </w:r>
      </w:hyperlink>
    </w:p>
    <w:p>
      <w:pPr>
        <w:spacing w:before="0" w:after="80"/>
      </w:pPr>
      <w:r>
        <w:rPr>
          <w:i/>
          <w:sz w:val="20"/>
        </w:rPr>
        <w:t>EN: Restoration of endogenous electric fields with a glucose-powered symbiotic bioabsorbable bandage for diabetic wound healing</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46">
        <w:r>
          <w:rPr>
            <w:color w:val="1155CC"/>
            <w:u w:val="single"/>
          </w:rPr>
          <w:t>10.1126/sciadv.aed9445</w:t>
        </w:r>
      </w:hyperlink>
    </w:p>
    <w:p>
      <w:pPr>
        <w:spacing w:before="0" w:after="120"/>
      </w:pPr>
      <w:r>
        <w:rPr>
          <w:b/>
        </w:rPr>
        <w:t xml:space="preserve">Notes: </w:t>
      </w:r>
      <w:r>
        <w:t>abstract_source=crossref</w:t>
      </w:r>
    </w:p>
    <w:p>
      <w:pPr>
        <w:spacing w:before="0" w:after="80" w:lineRule="auto" w:line="276"/>
      </w:pPr>
      <w:r>
        <w:rPr>
          <w:b/>
        </w:rPr>
        <w:t xml:space="preserve">摘要（ZH）: </w:t>
      </w:r>
      <w:r>
        <w:t>内源电场（EF）对于组织再生至关重要，但在高血糖条件下会减弱，从而阻碍糖尿病伤口愈合。在这里，我们报告了一种可生物降解的、葡萄糖驱动的电子织物绷带（GEB），它可以恢复伤口边缘电场并实现闭环伤口愈合。为了避免影响临床适用性，我们将所有组件集成到柔软、轻便、透气的绷带设计中，以取代传统笨重的电刺激器设计。我们还展示了糖尿病伤口模型中跨物种和器官的电子绷带的通用葡萄糖供电发电和治疗功能。在糖尿病小鼠伤口、猪皮肤缺损和肠道损伤中，该绷带利用内源性葡萄糖发电，从而降低局部葡萄糖水平并恢复引导细胞迁移、重新编程巨噬细胞极化和促进血管生成的内源性EF，从而加速伤口愈合。这些发现应该为下一代生物电子医学建立“内源性葡萄糖驱动的共生生物电子学”范例。</w:t>
      </w:r>
    </w:p>
    <w:p>
      <w:pPr>
        <w:spacing w:before="0" w:after="200" w:lineRule="auto" w:line="276"/>
      </w:pPr>
      <w:r>
        <w:rPr>
          <w:b/>
        </w:rPr>
        <w:t xml:space="preserve">Abstract (EN): </w:t>
      </w:r>
      <w:r>
        <w:t>Endogenous electric fields (EFs) are essential for tissue regeneration but are diminished under hyperglycemia conditions, thereby impeding diabetic wound healing. Here, we report a biodegradable, glucose-powered electronic fabric bandage (GEB) that restores wound-edge electrical fields and enables closed-loop wound healing. To avoid compromising clinical applicability, we integrated all components into a soft, lightweight, and breathable bandage design to replace the traditional bulky electrical stimulator design. We also show the universal glucose-powered electricity generation and therapeutic functions of the electronic bandage across species and organs in diabetic wound models. In diabetic mouse wounds, porcine skin defects, and intestinal injury, the bandage uses endogenous glucose for power generation, thereby reducing local glucose levels and restoring the endogenous EF that guided cell migration, reprogrammed macrophage polarization, and promoted angiogenesis, to accelerate wound healing. These findings should establish an “endogenous glucose-powered symbiotic bioelectronics” paradigm for next-generation bioelectronic medicine.</w:t>
      </w:r>
    </w:p>
    <w:p>
      <w:pPr>
        <w:spacing w:before="120" w:after="120"/>
      </w:pPr>
      <w:r>
        <w:rPr>
          <w:sz w:val="18"/>
        </w:rPr>
        <w:t>——————————————————————————————————————————————————————————————————————</w:t>
      </w:r>
    </w:p>
    <w:p>
      <w:pPr>
        <w:spacing w:before="160" w:after="40" w:line="240" w:lineRule="auto"/>
      </w:pPr>
      <w:r>
        <w:rPr>
          <w:b/>
        </w:rPr>
        <w:t xml:space="preserve">[283] </w:t>
      </w:r>
      <w:hyperlink r:id="rId847">
        <w:r>
          <w:rPr>
            <w:color w:val="1155CC"/>
            <w:u w:val="single"/>
          </w:rPr>
          <w:t>细菌细胞外囊泡促进膜修复和对多粘菌素 B 的耐受性</w:t>
        </w:r>
      </w:hyperlink>
    </w:p>
    <w:p>
      <w:pPr>
        <w:spacing w:before="0" w:after="80"/>
      </w:pPr>
      <w:r>
        <w:rPr>
          <w:i/>
          <w:sz w:val="20"/>
        </w:rPr>
        <w:t>EN: Bacterial extracellular vesicles promote membrane repair and tolerance to polymyxin B</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48">
        <w:r>
          <w:rPr>
            <w:color w:val="1155CC"/>
            <w:u w:val="single"/>
          </w:rPr>
          <w:t>10.1126/sciadv.adx6378</w:t>
        </w:r>
      </w:hyperlink>
    </w:p>
    <w:p>
      <w:pPr>
        <w:spacing w:before="0" w:after="120"/>
      </w:pPr>
      <w:r>
        <w:rPr>
          <w:b/>
        </w:rPr>
        <w:t xml:space="preserve">Notes: </w:t>
      </w:r>
      <w:r>
        <w:t>abstract_source=crossref</w:t>
      </w:r>
    </w:p>
    <w:p>
      <w:pPr>
        <w:spacing w:before="0" w:after="80" w:lineRule="auto" w:line="276"/>
      </w:pPr>
      <w:r>
        <w:rPr>
          <w:b/>
        </w:rPr>
        <w:t xml:space="preserve">摘要（ZH）: </w:t>
      </w:r>
      <w:r>
        <w:t>细菌细胞外囊泡（EV）是在压力下释放的纳米级脂质结构，但它们与抗生素的相互作用仍然知之甚少。我们跟踪了之间的实时互动</w:t>
      </w:r>
      <w:r>
        <w:t xml:space="preserve"> </w:t>
      </w:r>
      <w:r>
        <w:t>大肠杆菌</w:t>
      </w:r>
      <w:r>
        <w:t xml:space="preserve"> </w:t>
      </w:r>
      <w:r>
        <w:t>、EV 和荧光多粘菌素 B (Pmb)，使用单细胞成像和细胞计数方法。 EV 可以快速隔离 Pmb，促进其从细菌包膜中去除，并通过粘附或与受损位点融合来充当塞子。 Pmb 触发早期 Cpx/σE 和 Rcs 依赖性应激反应，与细胞表面积减少约 25%、囊泡形成增加约 50 倍以及膜特性重塑有关。经过适应性滞后阶段后，持续的 EV 释放支持解毒和包膜修复，从而实现生长恢复和对 Pmb 的短暂耐受。总之，这些发现揭示了 EV 在膜修复和对膜活性抗生素的耐受性方面以前未被认识的功能。</w:t>
      </w:r>
    </w:p>
    <w:p>
      <w:pPr>
        <w:spacing w:before="0" w:after="200" w:lineRule="auto" w:line="276"/>
      </w:pPr>
      <w:r>
        <w:rPr>
          <w:b/>
        </w:rPr>
        <w:t xml:space="preserve">Abstract (EN): </w:t>
      </w:r>
      <w:r>
        <w:t>Bacterial extracellular vesicles (EVs) are nanosized lipid structures released under stress, yet their interactions with antibiotics remain poorly understood. We tracked real-time interactions between</w:t>
      </w:r>
      <w:r>
        <w:t xml:space="preserve"> </w:t>
      </w:r>
      <w:r>
        <w:t>Escherichia coli</w:t>
      </w:r>
      <w:r>
        <w:t xml:space="preserve"> </w:t>
      </w:r>
      <w:r>
        <w:t>, EVs, and fluorescent polymyxin B (Pmb) using single-cell imaging and cytometric approaches. EVs rapidly sequester Pmb, facilitating its removal from bacterial envelopes, and act as plugs by adhering to or fusing with damaged sites. Pmb triggers early Cpx/σE- and Rcs-dependent stress responses, linked to a ∼25% reduction in cell surface area, a ∼50-fold increase in vesiculation, and remodeling of membrane properties. After an adaptive lag phase, sustained EV release supports detoxification and envelope repair, enabling growth recovery and transient tolerance to Pmb. Together, these findings reveal previously unrecognized functions of EVs in membrane repair and tolerance to membrane-active antibiotics.</w:t>
      </w:r>
    </w:p>
    <w:p>
      <w:pPr>
        <w:spacing w:before="120" w:after="120"/>
      </w:pPr>
      <w:r>
        <w:rPr>
          <w:sz w:val="18"/>
        </w:rPr>
        <w:t>——————————————————————————————————————————————————————————————————————</w:t>
      </w:r>
    </w:p>
    <w:p>
      <w:pPr>
        <w:spacing w:before="160" w:after="40" w:line="240" w:lineRule="auto"/>
      </w:pPr>
      <w:r>
        <w:rPr>
          <w:b/>
        </w:rPr>
        <w:t xml:space="preserve">[284] </w:t>
      </w:r>
      <w:hyperlink r:id="rId849">
        <w:r>
          <w:rPr>
            <w:color w:val="1155CC"/>
            <w:u w:val="single"/>
          </w:rPr>
          <w:t>支持超表面的天文偏振测量</w:t>
        </w:r>
      </w:hyperlink>
    </w:p>
    <w:p>
      <w:pPr>
        <w:spacing w:before="0" w:after="80"/>
      </w:pPr>
      <w:r>
        <w:rPr>
          <w:i/>
          <w:sz w:val="20"/>
        </w:rPr>
        <w:t>EN: Metasurface-enabled astronomical polarimetry</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50">
        <w:r>
          <w:rPr>
            <w:color w:val="1155CC"/>
            <w:u w:val="single"/>
          </w:rPr>
          <w:t>10.1126/sciadv.aee8035</w:t>
        </w:r>
      </w:hyperlink>
    </w:p>
    <w:p>
      <w:pPr>
        <w:spacing w:before="0" w:after="120"/>
      </w:pPr>
      <w:r>
        <w:rPr>
          <w:b/>
        </w:rPr>
        <w:t xml:space="preserve">Notes: </w:t>
      </w:r>
      <w:r>
        <w:t>abstract_source=crossref</w:t>
      </w:r>
    </w:p>
    <w:p>
      <w:pPr>
        <w:spacing w:before="0" w:after="80" w:lineRule="auto" w:line="276"/>
      </w:pPr>
      <w:r>
        <w:rPr>
          <w:b/>
        </w:rPr>
        <w:t xml:space="preserve">摘要（ZH）: </w:t>
      </w:r>
      <w:r>
        <w:t>在过去十年左右的时间里，超表面光学元件引起了科学和工业界的广泛关注。超表面提供的小型化尤其有利于天文学，这是超表面经常被引用的潜在应用领域。然而，很少有开发的例子表明超表面组件为天文仪器提供了独特的好处（通过科学数据的产生得到证实）。在这里，我们推出了太阳成像超表面偏振计 (SIMPol)，这是一款用于太阳快照成像偏振测量的同类望远镜，由高性能超表面偏振分析光栅实现，可提供单元件快照成像偏振测量。我们展示了 SIMPol 与主要天文望远镜设施的集成以及太阳磁性塞曼特征的表征。这项工作是第一个展示超表面光学在天文仪器实际应用中所带来的优势的工作，预示着超表面和新兴纳米光子技术在天文学中更广泛的应用。</w:t>
      </w:r>
    </w:p>
    <w:p>
      <w:pPr>
        <w:spacing w:before="0" w:after="200" w:lineRule="auto" w:line="276"/>
      </w:pPr>
      <w:r>
        <w:rPr>
          <w:b/>
        </w:rPr>
        <w:t xml:space="preserve">Abstract (EN): </w:t>
      </w:r>
      <w:r>
        <w:t>In the past decade or so, metasurface optical components have received considerable scientific and industrial interest. The miniaturization afforded by metasurfaces could benefit astronomy in particular, which is an often-cited potential application area for metasurfaces. However, few developed examples in which metasurface components offer a unique benefit to astronomical instrumentation—substantiated by the production of scientific data—have been shown. Here, we present the Solar Imaging Metasurface Polarimeter (SIMPol), a first-of-its-kind telescope for snapshot imaging polarimetry of the sun enabled by a high-performance metasurface polarization-analyzing grating, which provides for single element, snapshot imaging polarimetry. We demonstrate SIMPol’s integration into a major observatory telescope facility and the characterization of Zeeman signatures of solar magnetism. This work—among the first to demonstrate an advantage presented by metasurface optics to a real application in astronomical instrumentation—heralds the application of metasurfaces and emergent nanophotonic technologies in astronomy more broadly.</w:t>
      </w:r>
    </w:p>
    <w:p>
      <w:pPr>
        <w:spacing w:before="120" w:after="120"/>
      </w:pPr>
      <w:r>
        <w:rPr>
          <w:sz w:val="18"/>
        </w:rPr>
        <w:t>——————————————————————————————————————————————————————————————————————</w:t>
      </w:r>
    </w:p>
    <w:p>
      <w:pPr>
        <w:spacing w:before="160" w:after="40" w:line="240" w:lineRule="auto"/>
      </w:pPr>
      <w:r>
        <w:rPr>
          <w:b/>
        </w:rPr>
        <w:t xml:space="preserve">[285] </w:t>
      </w:r>
      <w:hyperlink r:id="rId851">
        <w:r>
          <w:rPr>
            <w:color w:val="1155CC"/>
            <w:u w:val="single"/>
          </w:rPr>
          <w:t>针对高血糖和高尿酸血症代谢性疾病的多器官靶向肽治疗的程序化口服给药</w:t>
        </w:r>
      </w:hyperlink>
    </w:p>
    <w:p>
      <w:pPr>
        <w:spacing w:before="0" w:after="80"/>
      </w:pPr>
      <w:r>
        <w:rPr>
          <w:i/>
          <w:sz w:val="20"/>
        </w:rPr>
        <w:t>EN: Programmed oral delivery of peptide therapeutics for multiorgan targeting in metabolic disorders of hyperglycemia and hyperuricemia</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52">
        <w:r>
          <w:rPr>
            <w:color w:val="1155CC"/>
            <w:u w:val="single"/>
          </w:rPr>
          <w:t>10.1126/sciadv.aef3323</w:t>
        </w:r>
      </w:hyperlink>
    </w:p>
    <w:p>
      <w:pPr>
        <w:spacing w:before="0" w:after="120"/>
      </w:pPr>
      <w:r>
        <w:rPr>
          <w:b/>
        </w:rPr>
        <w:t xml:space="preserve">Notes: </w:t>
      </w:r>
      <w:r>
        <w:t>abstract_source=crossref</w:t>
      </w:r>
    </w:p>
    <w:p>
      <w:pPr>
        <w:spacing w:before="0" w:after="80" w:lineRule="auto" w:line="276"/>
      </w:pPr>
      <w:r>
        <w:rPr>
          <w:b/>
        </w:rPr>
        <w:t xml:space="preserve">摘要（ZH）: </w:t>
      </w:r>
      <w:r>
        <w:t>糖尿病和高尿酸血症等全身代谢性疾病需要多器官治疗干预，但单靶点治疗往往无法恢复体内平衡。在这里，我们提出了一种口服多级靶向纳米平台（P1P2NP），用于将治疗肽顺序递送到不同的器官。 P1P2NPs由生物响应性聚合物聚(β-氨基酯)-二硫键-聚(羧基甜菜碱)(PAE-SS-PCB)、1,2-二硬脂酰-</w:t>
      </w:r>
      <w:r>
        <w:t>锡</w:t>
      </w:r>
      <w:r>
        <w:t xml:space="preserve"> </w:t>
      </w:r>
      <w:r>
        <w:t>-甘油-3-磷酸乙醇胺嵌段聚羧基甜菜碱 (DSPE-PCB) 和 Eudragit L100-55，旨在在肠道中释放肽 P2 (Val-Pro-Tyr-Pro-Gln) 以抑制二肽基肽酶-IV (DPP-IV)，同时在肝脏中选择性地释放靶向肝脏的肽 P1(Pro-Pro-Lys-Asn-Trp) 以抑制黄嘌呤氧化酶（XOD）。 P1P2NPs 通过顺序乳化和逐层组装制成，具有对药物释放的时空控制，能够精确调节肠道和肝脏代谢途径。在糖尿病高尿酸血症合并症的小鼠模型中，纳米平台通过多器官靶向使葡萄糖和尿酸水平正常化，表现出协同功效。这项工作建立了空间控制肽递送的范例，为治疗复杂的代谢疾病提供了一种多功能策略。</w:t>
      </w:r>
    </w:p>
    <w:p>
      <w:pPr>
        <w:spacing w:before="0" w:after="200" w:lineRule="auto" w:line="276"/>
      </w:pPr>
      <w:r>
        <w:rPr>
          <w:b/>
        </w:rPr>
        <w:t xml:space="preserve">Abstract (EN): </w:t>
      </w:r>
      <w:r>
        <w:t>Systemic metabolic disorders such as diabetes and hyperuricemia demand multiorgan therapeutic intervention, yet single-target therapies often fail to restore homeostasis. Here, we present an orally administered, multistage-targeted nanoplatform (P1P2NPs) for the sequential delivery of therapeutic peptides to distinct organs. P1P2NPs is composed of a bioresponsive polymer poly(β-amino ester)-disulfide bond-poly(carboxybetaine) (PAE-SS-PCB), 1,2-distearoyl-</w:t>
      </w:r>
      <w:r>
        <w:t>sn</w:t>
      </w:r>
      <w:r>
        <w:t xml:space="preserve"> </w:t>
      </w:r>
      <w:r>
        <w:t>-glycero-3-phosphoethanolamine-block poly(carboxybetaine) (DSPE-PCB) and Eudragit L100-55, designed to release peptide P2 (Val-Pro-Tyr-Pro-Gln) in the intestine for dipeptidyl peptidase-IV (DPP-IV) inhibition, while hepatic-targeted peptide P1(Pro-Pro-Lys-Asn-Trp) is selectively liberated in the liver to suppress xanthine oxidase (XOD). Fabricated through sequential emulsification and layer-by-layer assembly, P1P2NPs exhibit spatiotemporal control over drug release, enabling precise modulation of intestinal and hepatic metabolic pathways. In a murine model of diabetic-hyperuricemia comorbidity, the nanoplatform demonstrated synergistic efficacy by normalizing glucose and uric acid levels through multiorgan targeting. This work establishes a paradigm for spatially controlled peptide delivery, offering a versatile strategy for treating complex metabolic diseases.</w:t>
      </w:r>
    </w:p>
    <w:p>
      <w:pPr>
        <w:spacing w:before="120" w:after="120"/>
      </w:pPr>
      <w:r>
        <w:rPr>
          <w:sz w:val="18"/>
        </w:rPr>
        <w:t>——————————————————————————————————————————————————————————————————————</w:t>
      </w:r>
    </w:p>
    <w:p>
      <w:pPr>
        <w:spacing w:before="160" w:after="40" w:line="240" w:lineRule="auto"/>
      </w:pPr>
      <w:r>
        <w:rPr>
          <w:b/>
        </w:rPr>
        <w:t xml:space="preserve">[286] </w:t>
      </w:r>
      <w:hyperlink r:id="rId853">
        <w:r>
          <w:rPr>
            <w:color w:val="1155CC"/>
            <w:u w:val="single"/>
          </w:rPr>
          <w:t>海洋种群遗传推论揭示了原生生物比古质体（植物）和后生动物（动物）更强的海洋结构</w:t>
        </w:r>
      </w:hyperlink>
    </w:p>
    <w:p>
      <w:pPr>
        <w:spacing w:before="0" w:after="80"/>
      </w:pPr>
      <w:r>
        <w:rPr>
          <w:i/>
          <w:sz w:val="20"/>
        </w:rPr>
        <w:t>EN: Marine population-genetic inferences reveal stronger oceanic structure in protists than Archaeplastida (plants) and Metazoa (animals)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54">
        <w:r>
          <w:rPr>
            <w:color w:val="1155CC"/>
            <w:u w:val="single"/>
          </w:rPr>
          <w:t>10.1126/sciadv.adz7158</w:t>
        </w:r>
      </w:hyperlink>
    </w:p>
    <w:p>
      <w:pPr>
        <w:spacing w:before="0" w:after="120"/>
      </w:pPr>
      <w:r>
        <w:rPr>
          <w:b/>
        </w:rPr>
        <w:t xml:space="preserve">Notes: </w:t>
      </w:r>
      <w:r>
        <w:t>abstract_source=crossref</w:t>
      </w:r>
    </w:p>
    <w:p>
      <w:pPr>
        <w:spacing w:before="0" w:after="80" w:lineRule="auto" w:line="276"/>
      </w:pPr>
      <w:r>
        <w:rPr>
          <w:b/>
        </w:rPr>
        <w:t xml:space="preserve">摘要（ZH）: </w:t>
      </w:r>
      <w:r>
        <w:t>虽然动物和植物的生物地理模式已经明确，但微生物真核世界的分布仍然存在争议。传统上，原生生物被认为是世界性的，分散在各地，几乎没有地理限制。我们通过汇编 88 项海洋细胞色素氧化酶亚基 I 元条形码研究来进行全球群体遗传分析，从而检验了这一假设。我们发现了一个基本的生物地理鸿沟：大多数动物（后生动物）和植物（古质体）门具有严格集中在特定海洋盆地内的单倍型多样性，而大多数原生生物门在多个遥远的海洋中共享相同的单倍型。原生生物的大地理范围与适度的海洋间遗传分化相结合，与严格的历史世界主义不一致，并且与高连通性和范围扩张动态相容，包括但不限于最近的殖民事件。我们的研究结果为海洋真核生物地理学提供了统一的种群遗传视角，并完善了当前对海洋盆地尺度微生物扩散的看法。</w:t>
      </w:r>
    </w:p>
    <w:p>
      <w:pPr>
        <w:spacing w:before="0" w:after="200" w:lineRule="auto" w:line="276"/>
      </w:pPr>
      <w:r>
        <w:rPr>
          <w:b/>
        </w:rPr>
        <w:t xml:space="preserve">Abstract (EN): </w:t>
      </w:r>
      <w:r>
        <w:t>While the biogeographic patterns of animals and plants are well defined, the distribution of the microbial eukaryotic world remains contentious. Classically, protists were assumed to be cosmopolitan, dispersing everywhere with little geographic constraint. We tested this hypothesis by compiling 88 marine cytochrome oxidase subunit I metabarcoding studies to perform a global population-genetic analysis. We uncovered a fundamental biogeographic divide: most animal (Metazoa) and plant (Archaeplastida) phyla have haplotype diversity that is strictly concentrated within specific ocean basins, while most protist phyla share identical haplotypes across multiple, distant oceans. The combination of large geographic ranges with moderate among-ocean genetic differentiation in protists is inconsistent with strict historical cosmopolitanism and is compatible with high connectivity and range expansion dynamics, including, but not limited to, recent colonization events. Our findings provide a unified population-genetic perspective on marine eukaryotic biogeography and refine current views of microbial dispersal at ocean-basin scales.</w:t>
      </w:r>
    </w:p>
    <w:p>
      <w:pPr>
        <w:spacing w:before="120" w:after="120"/>
      </w:pPr>
      <w:r>
        <w:rPr>
          <w:sz w:val="18"/>
        </w:rPr>
        <w:t>——————————————————————————————————————————————————————————————————————</w:t>
      </w:r>
    </w:p>
    <w:p>
      <w:pPr>
        <w:spacing w:before="160" w:after="40" w:line="240" w:lineRule="auto"/>
      </w:pPr>
      <w:r>
        <w:rPr>
          <w:b/>
        </w:rPr>
        <w:t xml:space="preserve">[287] </w:t>
      </w:r>
      <w:hyperlink r:id="rId855">
        <w:r>
          <w:rPr>
            <w:color w:val="1155CC"/>
            <w:u w:val="single"/>
          </w:rPr>
          <w:t>脓毒症中红细胞唾液酸的丢失破坏了抑制性 Siglec 相互作用，导致中性粒细胞过度激活和 NET 扩散</w:t>
        </w:r>
      </w:hyperlink>
    </w:p>
    <w:p>
      <w:pPr>
        <w:spacing w:before="0" w:after="80"/>
      </w:pPr>
      <w:r>
        <w:rPr>
          <w:i/>
          <w:sz w:val="20"/>
        </w:rPr>
        <w:t>EN: Loss of erythrocyte sialic acid in sepsis disrupts inhibitory Siglec interactions, driving neutrophil hyperactivation and NET outspread</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856">
        <w:r>
          <w:rPr>
            <w:color w:val="1155CC"/>
            <w:u w:val="single"/>
          </w:rPr>
          <w:t>10.1073/pnas.2536989123</w:t>
        </w:r>
      </w:hyperlink>
    </w:p>
    <w:p>
      <w:pPr>
        <w:spacing w:before="0" w:after="120"/>
      </w:pPr>
      <w:r>
        <w:rPr>
          <w:b/>
        </w:rPr>
        <w:t xml:space="preserve">Notes: </w:t>
      </w:r>
      <w:r>
        <w:t>abstract_source=crossref</w:t>
      </w:r>
    </w:p>
    <w:p>
      <w:pPr>
        <w:spacing w:before="0" w:after="80" w:lineRule="auto" w:line="276"/>
      </w:pPr>
      <w:r>
        <w:rPr>
          <w:b/>
        </w:rPr>
        <w:t xml:space="preserve">摘要（ZH）: </w:t>
      </w:r>
      <w:r>
        <w:t>全身炎症伴随着压倒性的中性粒细胞活化，导致中性粒细胞胞外陷阱（NET）的广泛形成。尽管 NET 有利于病原体捕获，但它们也会变得有害。因此，它们的内源性调节对于生存至关重要。在这种情况下，值得注意的是健康个体的红细胞 (RBC) 可以抑制脂多糖 (LPS) 引发的中性粒细胞诱导的 NET 形成。然而，在全身炎症过程中，尽管中性粒细胞不断暴露于红细胞，但脉管系统中的 NET 形成却很强烈。在此，我们发现，对于来自脓毒症个体（而非局部炎症个体）的红细胞和中性粒细胞，相互作用停止并且 NET 抑制被消除。即使只有一种细胞类型源自发炎个体，也会观察到这种情况，并且在人类和小鼠细胞中都会发生。此外，脓毒症诱导（小鼠）或诊断（人类）后6至10天，在炎症消退期间，相互作用恢复，因此在炎症的关键阶段失效。从机制上讲，这并不是由于红细胞被动吸收脂多糖，这会限制中性粒细胞对其的利用。相反，NET 抑制的停止是由于炎症诱导的 RBC 去唾液酸化（去除 α2,3 连接的唾液酸）以及中性粒细胞上抑制性 Siglec-E/9 和 -G 的表达减少，但不是 Siglec-F/5。因此，同时添加外源性聚唾液酸 (PolySia) 和药物控制 Siglec 分子在中性粒细胞上的积累可以保留</w:t>
      </w:r>
    </w:p>
    <w:p>
      <w:pPr>
        <w:spacing w:before="0" w:after="200" w:lineRule="auto" w:line="276"/>
      </w:pPr>
      <w:r>
        <w:rPr>
          <w:b/>
        </w:rPr>
        <w:t xml:space="preserve">Abstract (EN): </w:t>
      </w:r>
      <w:r>
        <w:t>Systemic inflammation is accompanied by overwhelming neutrophil activation, resulting in extensive formation of neutrophil extracellular traps (NETs). Although NETs are beneficial for pathogen entrapment, they become detrimental; therefore, their endogenous regulation is pivotal for survival. In this context, the observation that healthy individuals’ red blood cells (RBCs) can inhibit NET formation induced by lipopolysaccharide (LPS)-primed neutrophils is noteworthy. However, during systemic inflammation, NET formation in the vasculature is robust despite constant neutrophil exposure to RBCs. Herein, we reveal that for RBCs and neutrophils from septic individuals, but not from those with local inflammation, interactions cease and NET inhibition is abolished. This is observed even if only one cell type originates from an inflamed individual, and occurs in both human and murine cells. Moreover, 6 to 10 d post–sepsis induction (mice) or diagnosis (humans), during the resolution of inflammation, interactions are restored and hence fail during the critical stages of inflammation. Mechanistically, this is not due to passive LPS absorption by RBCs, which would limit its availability for neutrophils. In contrast, the cessation of NET inhibition is due to inflammation-induced RBC desialylation (removal of α2,3-linked sialic acids) and decreased expression of inhibitory Siglec-E/9 and -G, but not Siglec-F/5, on neutrophils. Accordingly, concurrent addition of exogenous polysialic acid (PolySia) and pharmacologically controlled accumulation of Siglec molecules on neutrophils preserves the ability of erythrocytes to inhibit PAD4-dependent NET formation upon interaction with neutrophils of endotoxemic mice. These findings open avenues for clinically controlling NET formation during systemic inflammation, given the abundance of erythrocytes in the blood.</w:t>
      </w:r>
    </w:p>
    <w:p>
      <w:pPr>
        <w:spacing w:before="120" w:after="120"/>
      </w:pPr>
      <w:r>
        <w:rPr>
          <w:sz w:val="18"/>
        </w:rPr>
        <w:t>——————————————————————————————————————————————————————————————————————</w:t>
      </w:r>
    </w:p>
    <w:p>
      <w:pPr>
        <w:spacing w:before="160" w:after="40" w:line="240" w:lineRule="auto"/>
      </w:pPr>
      <w:r>
        <w:rPr>
          <w:b/>
        </w:rPr>
        <w:t xml:space="preserve">[288] </w:t>
      </w:r>
      <w:hyperlink r:id="rId857">
        <w:r>
          <w:rPr>
            <w:color w:val="1155CC"/>
            <w:u w:val="single"/>
          </w:rPr>
          <w:t>骨骼肌 NOX4 的下降会破坏运动引起的适应性稳态并加剧生物衰老</w:t>
        </w:r>
      </w:hyperlink>
    </w:p>
    <w:p>
      <w:pPr>
        <w:spacing w:before="0" w:after="80"/>
      </w:pPr>
      <w:r>
        <w:rPr>
          <w:i/>
          <w:sz w:val="20"/>
        </w:rPr>
        <w:t>EN: A decline in skeletal muscle NOX4 abrogates exercise-induced adaptive homeostasis and exacerbates biological aging</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58">
        <w:r>
          <w:rPr>
            <w:color w:val="1155CC"/>
            <w:u w:val="single"/>
          </w:rPr>
          <w:t>10.1126/sciadv.adz1953</w:t>
        </w:r>
      </w:hyperlink>
    </w:p>
    <w:p>
      <w:pPr>
        <w:spacing w:before="0" w:after="120"/>
      </w:pPr>
      <w:r>
        <w:rPr>
          <w:b/>
        </w:rPr>
        <w:t xml:space="preserve">Notes: </w:t>
      </w:r>
      <w:r>
        <w:t>abstract_source=crossref</w:t>
      </w:r>
    </w:p>
    <w:p>
      <w:pPr>
        <w:spacing w:before="0" w:after="80" w:lineRule="auto" w:line="276"/>
      </w:pPr>
      <w:r>
        <w:rPr>
          <w:b/>
        </w:rPr>
        <w:t xml:space="preserve">摘要（ZH）: </w:t>
      </w:r>
      <w:r>
        <w:t>核因子红细胞 2 相关因子 2 (NFE2L2) 协调的适应性稳态和氧化应激的下降被认为是衰老的关键特征。在收缩骨骼肌时，产生活性氧的酶 NADPH 氧化酶 4 (NOX4) 是 NFE2L2 适应性稳态的有效诱导剂。在此，我们报告老年小鼠和人类骨骼肌 NOX4 水平下降，导致 NFE2L2 适应性稳态被破坏、蛋白质氧化损伤增加和肌肉功能下降。我们发现，删除骨骼肌中的 NOX4 会加剧与衰老相关的生理衰退，导致老年小鼠出现明显的肌肉减少症和虚弱，其特征是缺乏身体活动、肥胖增加、全身炎症、全身胰岛素抵抗和晚期肝病。老年骨骼肌 NOX4 缺陷小鼠的系统性生理衰退可以通过使用病毒方法恢复 NOX4 或用萝卜硫素激活下游 NFE2L2 并恢复由运动引起的适应性稳态反应来纠正。我们的研究结果为了解 NFE2L2 协调的适应性稳态下降的基础提供了重要的见解，这种下降伴随着身体不活动随着年龄的增长而下降，并确定了运动可以促进健康衰老的关键机制。</w:t>
      </w:r>
    </w:p>
    <w:p>
      <w:pPr>
        <w:spacing w:before="0" w:after="200" w:lineRule="auto" w:line="276"/>
      </w:pPr>
      <w:r>
        <w:rPr>
          <w:b/>
        </w:rPr>
        <w:t xml:space="preserve">Abstract (EN): </w:t>
      </w:r>
      <w:r>
        <w:t>A decline in nuclear factor erythroid 2–related factor 2 (NFE2L2)–orchestrated adaptive homeostasis and oxidative distress are thought to be key features of aging. In contracting skeletal muscle, the reactive oxygen species–producing enzyme NADPH oxidase 4 (NOX4) is a potent inducer of NFE2L2 adaptive homeostasis. Here, we report that skeletal muscle NOX4 levels decline in aged mice and humans, resulting in abrogated NFE2L2 adaptive homeostasis, increased protein oxidative damage, and decreased muscle function. We show that deleting NOX4 in skeletal muscle exacerbates the physiological decline associated with aging, resulting in overt sarcopenia and frailty, characterized by physical inactivity, increased adiposity, systemic inflammation, whole-body insulin resistance, and advanced liver disease in aged chow-fed mice. The systems-wide physiological decline in aged skeletal muscle NOX4-deficient mice could be corrected by restoring NOX4 using viral approaches or activating NFE2L2 downstream with sulforaphane and reinstating adaptive homeostatic responses otherwise induced by exercise. Our findings provide important insights into the basis for the decline in NFE2L2-orchestrated adaptive homeostasis that accompanies physical inactivity with age and identify key mechanisms by which exercise may promote healthy aging.</w:t>
      </w:r>
    </w:p>
    <w:p>
      <w:pPr>
        <w:spacing w:before="120" w:after="120"/>
      </w:pPr>
      <w:r>
        <w:rPr>
          <w:sz w:val="18"/>
        </w:rPr>
        <w:t>——————————————————————————————————————————————————————————————————————</w:t>
      </w:r>
    </w:p>
    <w:p>
      <w:pPr>
        <w:spacing w:before="160" w:after="40" w:line="240" w:lineRule="auto"/>
      </w:pPr>
      <w:r>
        <w:rPr>
          <w:b/>
        </w:rPr>
        <w:t xml:space="preserve">[289] </w:t>
      </w:r>
      <w:hyperlink r:id="rId859">
        <w:r>
          <w:rPr>
            <w:color w:val="1155CC"/>
            <w:u w:val="single"/>
          </w:rPr>
          <w:t>实验违反因果顺序的贝尔式不等式</w:t>
        </w:r>
      </w:hyperlink>
    </w:p>
    <w:p>
      <w:pPr>
        <w:spacing w:before="0" w:after="80"/>
      </w:pPr>
      <w:r>
        <w:rPr>
          <w:i/>
          <w:sz w:val="20"/>
        </w:rPr>
        <w:t>EN: Experimental violation of a Bell-like inequality for causal order</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60">
        <w:r>
          <w:rPr>
            <w:color w:val="1155CC"/>
            <w:u w:val="single"/>
          </w:rPr>
          <w:t>10.1126/sciadv.aee2912</w:t>
        </w:r>
      </w:hyperlink>
    </w:p>
    <w:p>
      <w:pPr>
        <w:spacing w:before="0" w:after="120"/>
      </w:pPr>
      <w:r>
        <w:rPr>
          <w:b/>
        </w:rPr>
        <w:t xml:space="preserve">Notes: </w:t>
      </w:r>
      <w:r>
        <w:t>abstract_source=crossref</w:t>
      </w:r>
    </w:p>
    <w:p>
      <w:pPr>
        <w:spacing w:before="0" w:after="80" w:lineRule="auto" w:line="276"/>
      </w:pPr>
      <w:r>
        <w:rPr>
          <w:b/>
        </w:rPr>
        <w:t xml:space="preserve">摘要（ZH）: </w:t>
      </w:r>
      <w:r>
        <w:t>量子力学与物理过程以不确定顺序发生的场景兼容。理论上，这一特征可以通过违反观察到的相关性的不等式来检测，类似于贝尔不等式。然而，由于所需设置的复杂性，直到最近才对此类违规行为进行实验演示。在这里，我们报告了一种对贝尔式不等式的实验违反，涉及四方的相关性，其中一方与其他方之间是空间分离的。我们的演示使用 3 公里长的光纤线轴来模拟类空间分离，并在光子时间仓编码、纳秒同步和精确的温度稳定方面实现高速操作。这些实验性进展使得违反 5.7 SD 成为可能，并为在保证与现有最先进设备进行类空间分离的条件下进行无限序认证开辟了道路。然而，该认证并不是独立于设备的，因为它依赖于有关排除双向信号传输的设置的知识——这是经典非循环时空中实现固有的漏洞，可能会在未来的量子时空测试中得到解决。</w:t>
      </w:r>
    </w:p>
    <w:p>
      <w:pPr>
        <w:spacing w:before="0" w:after="200" w:lineRule="auto" w:line="276"/>
      </w:pPr>
      <w:r>
        <w:rPr>
          <w:b/>
        </w:rPr>
        <w:t xml:space="preserve">Abstract (EN): </w:t>
      </w:r>
      <w:r>
        <w:t>Quantum mechanics is compatible with scenarios where physical processes happen in an indefinite order. In theory, this feature could be detected through violations of inequalities on the observed correlations, analogous to Bell inequalities. However, experimental demonstrations of such violations have been missing until recently due to the complexity of the required setup. Here, we report an experimental violation of a Bell-like inequality involving the correlations of four parties, one of which is spacelike separated from the others. Our demonstration uses 3-kilometer fiber spools to simulate spacelike separation and achieves high-speed operations in photonic time-bin encoding, nanosecond synchronization, and accurate temperature stabilization. These experimental advances enable a violation by 5.7 SDs and open a path toward a certification of indefinite order in conditions that guarantee spacelike separation with existing state-of-the-art devices. However, the certification is not device independent, as it relies on knowledge about the setup to exclude bidirectional signaling—a loophole inherent to implementations in classical acyclic spacetimes, which may be resolved in future quantum-spacetime tests.</w:t>
      </w:r>
    </w:p>
    <w:p>
      <w:pPr>
        <w:spacing w:before="120" w:after="120"/>
      </w:pPr>
      <w:r>
        <w:rPr>
          <w:sz w:val="18"/>
        </w:rPr>
        <w:t>——————————————————————————————————————————————————————————————————————</w:t>
      </w:r>
    </w:p>
    <w:p>
      <w:pPr>
        <w:spacing w:before="160" w:after="40" w:line="240" w:lineRule="auto"/>
      </w:pPr>
      <w:r>
        <w:rPr>
          <w:b/>
        </w:rPr>
        <w:t xml:space="preserve">[290] </w:t>
      </w:r>
      <w:hyperlink r:id="rId861">
        <w:r>
          <w:rPr>
            <w:color w:val="1155CC"/>
            <w:u w:val="single"/>
          </w:rPr>
          <w:t>油浸致密木单板具有纳米级油通道带来的高电绝缘性</w:t>
        </w:r>
      </w:hyperlink>
    </w:p>
    <w:p>
      <w:pPr>
        <w:spacing w:before="0" w:after="80"/>
      </w:pPr>
      <w:r>
        <w:rPr>
          <w:i/>
          <w:sz w:val="20"/>
        </w:rPr>
        <w:t>EN: Oil-impregnated densified wood veneer with high electrical insulation enabled by nanosized oil channels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62">
        <w:r>
          <w:rPr>
            <w:color w:val="1155CC"/>
            <w:u w:val="single"/>
          </w:rPr>
          <w:t>10.1126/sciadv.aed5744</w:t>
        </w:r>
      </w:hyperlink>
    </w:p>
    <w:p>
      <w:pPr>
        <w:spacing w:before="0" w:after="120"/>
      </w:pPr>
      <w:r>
        <w:rPr>
          <w:b/>
        </w:rPr>
        <w:t xml:space="preserve">Notes: </w:t>
      </w:r>
      <w:r>
        <w:t>abstract_source=crossref</w:t>
      </w:r>
    </w:p>
    <w:p>
      <w:pPr>
        <w:spacing w:before="0" w:after="80" w:lineRule="auto" w:line="276"/>
      </w:pPr>
      <w:r>
        <w:rPr>
          <w:b/>
        </w:rPr>
        <w:t xml:space="preserve">摘要（ZH）: </w:t>
      </w:r>
      <w:r>
        <w:t>不断增长的能源需求和可再生能源并网给老化的电网基础设施带来了压力。木质纤维素油浸纸广泛用于电力变压器，但存在严重的局限性，例如介电强度、机械强度和导热性低，导致变压器过早失效。在这里，我们展示了一种卓越的电绝缘油浸纸设计，利用致密木单板的自然各向异性结构来实现纳米级的油通道，从而有效地破坏电击穿路径。开发的油浸致密木材 (ODW) 可产生具有 166 ± 87 纳米油纳米通道的排列纤维素纤维，实现每毫米 105 kV 的创纪录介电强度。该结构还具有高达 384 兆帕的机械强度和每米每开尔文 0.33 瓦的导热率，从而能够在热老化测试中延长使用寿命。 ODW 可以取代传统的变压器绝缘材料，以增强电力变压器的性能并延长使用寿命。此外，其各向异性充油纳米通道设计为中压和高压应用中的混合电介质提供了通用策略。</w:t>
      </w:r>
    </w:p>
    <w:p>
      <w:pPr>
        <w:spacing w:before="0" w:after="200" w:lineRule="auto" w:line="276"/>
      </w:pPr>
      <w:r>
        <w:rPr>
          <w:b/>
        </w:rPr>
        <w:t xml:space="preserve">Abstract (EN): </w:t>
      </w:r>
      <w:r>
        <w:t>Growing energy demands and renewable integration are stressing the aging power grid infrastructure. Lignocellulosic oil-impregnated paper is widely used in power transformers but suffers from critical limitations, such as low dielectric strength, mechanical strength, and thermal conductivity, causing premature transformer failures. Here, we demonstrate a superior electrically insulating oil-impregnated paper design using the naturally anisotropic structure of densified wood veneer to achieve nanosized channels of oil that efficiently disrupt electrical breakdown pathways. The developed oil-impregnated densified wood (ODW) creates aligned cellulose fibers with 166 ± 87–nanometer oil nanochannels, achieving record dielectric strength of 105 kilovolts per millimeter. The structure also delivers a mechanical strength of up to 384 megapascals and a thermal conductivity of 0.33 watts per meter per kelvin, enabling enhanced longevity upon thermal aging tests. The ODW could replace conventional transformer insulation to enhance power transformer performance and improve lifetime. Moreover, its anisotropic oil-filled nanochannel design offers a general strategy for hybrid dielectrics in medium- and high-voltage applications.</w:t>
      </w:r>
    </w:p>
    <w:p>
      <w:pPr>
        <w:spacing w:before="120" w:after="120"/>
      </w:pPr>
      <w:r>
        <w:rPr>
          <w:sz w:val="18"/>
        </w:rPr>
        <w:t>——————————————————————————————————————————————————————————————————————</w:t>
      </w:r>
    </w:p>
    <w:p>
      <w:pPr>
        <w:spacing w:before="160" w:after="40" w:line="240" w:lineRule="auto"/>
      </w:pPr>
      <w:r>
        <w:rPr>
          <w:b/>
        </w:rPr>
        <w:t xml:space="preserve">[291] </w:t>
      </w:r>
      <w:hyperlink r:id="rId863">
        <w:r>
          <w:rPr>
            <w:color w:val="1155CC"/>
            <w:u w:val="single"/>
          </w:rPr>
          <w:t>小鼠在隔膜中产生中间神经元，作为对厌恶经历和抗抑郁治疗的反应</w:t>
        </w:r>
      </w:hyperlink>
    </w:p>
    <w:p>
      <w:pPr>
        <w:spacing w:before="0" w:after="80"/>
      </w:pPr>
      <w:r>
        <w:rPr>
          <w:i/>
          <w:sz w:val="20"/>
        </w:rPr>
        <w:t>EN: Mice produce interneurons in the septum as a response to aversive experiences and antidepressant treatment</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64">
        <w:r>
          <w:rPr>
            <w:color w:val="1155CC"/>
            <w:u w:val="single"/>
          </w:rPr>
          <w:t>10.1126/sciadv.aed3625</w:t>
        </w:r>
      </w:hyperlink>
    </w:p>
    <w:p>
      <w:pPr>
        <w:spacing w:before="0" w:after="120"/>
      </w:pPr>
      <w:r>
        <w:rPr>
          <w:b/>
        </w:rPr>
        <w:t xml:space="preserve">Notes: </w:t>
      </w:r>
      <w:r>
        <w:t>abstract_source=crossref</w:t>
      </w:r>
    </w:p>
    <w:p>
      <w:pPr>
        <w:spacing w:before="0" w:after="80" w:lineRule="auto" w:line="276"/>
      </w:pPr>
      <w:r>
        <w:rPr>
          <w:b/>
        </w:rPr>
        <w:t xml:space="preserve">摘要（ZH）: </w:t>
      </w:r>
      <w:r>
        <w:t>成年神经发生维持嗅觉功能，促进新记忆的获得，并为小鼠提供抵抗抑郁的能力。神经干细胞（NSC）对不同的生理和病理刺激产生选择性反应，从而调节神经元的产生。在这里，我们表明，恐惧调节通过激活背隔（dsNSC）中的神经干细胞来刺激成年小鼠脑中隔的神经发生，该神经干细胞位于源自中缝核神经元的血清素能轴突丛附近，而中缝核神经元是情绪、焦虑和应激反应的关键调节因子。抗抑郁药和抗焦虑药氟西汀提高血清素 (5HT) 水平同样促进 dsNSC 增殖和神经发生。成年出生的 GABA 能中间神经元整合到间隔核中。这些发现表明，小鼠对压力诱发的厌恶经历和成体隔膜中 5HT 升高存在潜在的适应性反应。</w:t>
      </w:r>
    </w:p>
    <w:p>
      <w:pPr>
        <w:spacing w:before="0" w:after="200" w:lineRule="auto" w:line="276"/>
      </w:pPr>
      <w:r>
        <w:rPr>
          <w:b/>
        </w:rPr>
        <w:t xml:space="preserve">Abstract (EN): </w:t>
      </w:r>
      <w:r>
        <w:t>Adult neurogenesis sustains olfactory function, facilitates the acquisition of new memories, and provides resilience against depression in mice. Neural stem cells (NSCs) elicit selective responses to different physiological and pathological stimuli, thereby modulating neuron production. Here, we show that fear conditioning stimulates neurogenesis in the adult mouse brain septum by activating NSCs in the dorsal septum (dsNSCs) situated near a plexus of serotonergic axons originating from raphe nucleus neurons—key regulators of mood, anxiety, and stress responses. Elevation of serotonin (5HT) levels with the antidepressant and anxiolytic drug fluoxetine similarly promoted dsNSC proliferation and neurogenesis. The adult-born GABAergic interneurons integrate into septal nuclei. These findings suggest a potential adaptive response in mice to stress-inducing aversive experiences and elevated 5HT in the adult septum.</w:t>
      </w:r>
    </w:p>
    <w:p>
      <w:pPr>
        <w:spacing w:before="120" w:after="120"/>
      </w:pPr>
      <w:r>
        <w:rPr>
          <w:sz w:val="18"/>
        </w:rPr>
        <w:t>——————————————————————————————————————————————————————————————————————</w:t>
      </w:r>
    </w:p>
    <w:p>
      <w:pPr>
        <w:spacing w:before="160" w:after="40" w:line="240" w:lineRule="auto"/>
      </w:pPr>
      <w:r>
        <w:rPr>
          <w:b/>
        </w:rPr>
        <w:t xml:space="preserve">[292] </w:t>
      </w:r>
      <w:hyperlink r:id="rId865">
        <w:r>
          <w:rPr>
            <w:color w:val="1155CC"/>
            <w:u w:val="single"/>
          </w:rPr>
          <w:t>PathTIGR：用于免疫治疗反应预测的通路拓扑信息图表示学习框架</w:t>
        </w:r>
      </w:hyperlink>
    </w:p>
    <w:p>
      <w:pPr>
        <w:spacing w:before="0" w:after="80"/>
      </w:pPr>
      <w:r>
        <w:rPr>
          <w:i/>
          <w:sz w:val="20"/>
        </w:rPr>
        <w:t>EN: PathTIGR: A pathway topology-informed graph representation learning framework for immunotherapy response prediction</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66">
        <w:r>
          <w:rPr>
            <w:color w:val="1155CC"/>
            <w:u w:val="single"/>
          </w:rPr>
          <w:t>10.1126/sciadv.aed6373</w:t>
        </w:r>
      </w:hyperlink>
    </w:p>
    <w:p>
      <w:pPr>
        <w:spacing w:before="0" w:after="120"/>
      </w:pPr>
      <w:r>
        <w:rPr>
          <w:b/>
        </w:rPr>
        <w:t xml:space="preserve">Notes: </w:t>
      </w:r>
      <w:r>
        <w:t>abstract_source=pubmed</w:t>
      </w:r>
    </w:p>
    <w:p>
      <w:pPr>
        <w:spacing w:before="0" w:after="80" w:lineRule="auto" w:line="276"/>
      </w:pPr>
      <w:r>
        <w:rPr>
          <w:b/>
        </w:rPr>
        <w:t xml:space="preserve">摘要（ZH）: </w:t>
      </w:r>
      <w:r>
        <w:t>免疫疗法彻底改变了癌症治疗，但患者间反应的显着异质性限制了特定患者亚群的治疗益处。在这里，我们提出了 PathTIGR，一种基于通路拓扑的图表示学习框架，它系统地将生物通路网络拓扑知识与基因组变异信息相结合，用于免疫治疗反应预测。 PathTIGR 采用三组件设计：(i) 具有多头注意力的通路图编码器，将通路拓扑知识和癌症基因组变异嵌入到通路表示中，(ii) 转换器模块捕获通路调节依赖性，以及 (iii) 多层感知器合成通路级表示以预测免疫治疗反应。这种架构使 PathTIGR 能够捕获免疫治疗反应背后的复杂分子相互作用。多个独立免疫治疗队列的综合验证表明，与现有的生物标志物和最先进的深度学习方法相比，PathTIGR 实现了卓越的预测性能，同时通过识别反应异质性背后的关键特征来保持生物可解释性。 PathTIGR 代表了一种可解释的基于图的学​​习框架，可增强免疫治疗反应预测并阐明治疗效果的分子决定因素，从而促进精准癌症免疫治疗的进步。</w:t>
      </w:r>
    </w:p>
    <w:p>
      <w:pPr>
        <w:spacing w:before="0" w:after="200" w:lineRule="auto" w:line="276"/>
      </w:pPr>
      <w:r>
        <w:rPr>
          <w:b/>
        </w:rPr>
        <w:t xml:space="preserve">Abstract (EN): </w:t>
      </w:r>
      <w:r>
        <w:t>Immunotherapy has revolutionized cancer treatment, yet substantial inter-patient response heterogeneity limits therapeutic benefit to specific patient subsets. Here, we present PathTIGR, a pathway topology-informed graph representation learning framework that systematically integrates biological pathway network topology knowledge with genome variation information for immunotherapy response prediction. PathTIGR uses a three-component design: (i) pathway graph encoder with multihead attention embeding pathway topology knowledge and cancer genomic variants to pathway representation, (ii) transformer module capturing pathway regulatory dependencies, and (iii) multilayer perceptron synthesizing pathway-level representations to predict immunotherapy response. This architecture enables PathTIGR to capture complex molecular interactions underlying immunotherapy response. Comprehensive validation across multiple independent immunotherapy cohorts demonstrates that PathTIGR achieves superior predictive performance compared to established biomarkers and state-of-the-art deep learning approaches while maintaining biological interpretability through identification of key signatures underlying response heterogeneity. PathTIGR represents an interpretable graph-based learning framework that enhances immunotherapy response prediction and elucidates molecular determinants of therapeutic efficacy, thereby facilitating the advancement of precision cancer immunotherapy.</w:t>
      </w:r>
    </w:p>
    <w:p>
      <w:pPr>
        <w:spacing w:before="120" w:after="120"/>
      </w:pPr>
      <w:r>
        <w:rPr>
          <w:sz w:val="18"/>
        </w:rPr>
        <w:t>——————————————————————————————————————————————————————————————————————</w:t>
      </w:r>
    </w:p>
    <w:p>
      <w:pPr>
        <w:spacing w:before="160" w:after="40" w:line="240" w:lineRule="auto"/>
      </w:pPr>
      <w:r>
        <w:rPr>
          <w:b/>
        </w:rPr>
        <w:t xml:space="preserve">[293] </w:t>
      </w:r>
      <w:hyperlink r:id="rId867">
        <w:r>
          <w:rPr>
            <w:color w:val="1155CC"/>
            <w:u w:val="single"/>
          </w:rPr>
          <w:t>手性纳米粒子驱动干细胞的对映体特异性成骨分化并加速骨再生</w:t>
        </w:r>
      </w:hyperlink>
    </w:p>
    <w:p>
      <w:pPr>
        <w:spacing w:before="0" w:after="80"/>
      </w:pPr>
      <w:r>
        <w:rPr>
          <w:i/>
          <w:sz w:val="20"/>
        </w:rPr>
        <w:t>EN: Chiral nanoparticles drive enantiomer-specific osteogenic differentiation of stem cells and accelerate bone regeneration</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68">
        <w:r>
          <w:rPr>
            <w:color w:val="1155CC"/>
            <w:u w:val="single"/>
          </w:rPr>
          <w:t>10.1126/sciadv.aea3822</w:t>
        </w:r>
      </w:hyperlink>
    </w:p>
    <w:p>
      <w:pPr>
        <w:spacing w:before="0" w:after="120"/>
      </w:pPr>
      <w:r>
        <w:rPr>
          <w:b/>
        </w:rPr>
        <w:t xml:space="preserve">Notes: </w:t>
      </w:r>
      <w:r>
        <w:t>abstract_source=crossref</w:t>
      </w:r>
    </w:p>
    <w:p>
      <w:pPr>
        <w:spacing w:before="0" w:after="80" w:lineRule="auto" w:line="276"/>
      </w:pPr>
      <w:r>
        <w:rPr>
          <w:b/>
        </w:rPr>
        <w:t xml:space="preserve">摘要（ZH）: </w:t>
      </w:r>
      <w:r>
        <w:t>精确控制干细胞分化对于再生医学至关重要，例如基于干细胞的骨修复。手性纳米颗粒（NP）与干细胞表现出对映异构体依赖性相互作用，为指导细胞行为提供了一种有前途的策略。在这里，我们研究了手性纳米颗粒在调节干细胞成骨分化中的作用。合成了具有可控纳米级手性的L-CF-NP、D-CF-NP和A-CF-NP，以研究对映选择性对干细胞命运的影响。在体外，L-CF-NP 通过网格蛋白介导的整合素参与的内吞作用导致最高的细胞摄取。这导致成骨标志物表达、矿化（通过 MAPK/JNK/ERK）和血管生成标志物表达最显着的上调。在体内，包含 L-CF-NP 的体积 3D 生物打印支架在临界尺寸骨缺损的大鼠模型中实现了最快的骨再生。这项工作将纳米级手性确立为生物材料的设计参数，为骨骼和其他组织的再生提供了一种有前景的方法。</w:t>
      </w:r>
    </w:p>
    <w:p>
      <w:pPr>
        <w:spacing w:before="0" w:after="200" w:lineRule="auto" w:line="276"/>
      </w:pPr>
      <w:r>
        <w:rPr>
          <w:b/>
        </w:rPr>
        <w:t xml:space="preserve">Abstract (EN): </w:t>
      </w:r>
      <w:r>
        <w:t>Precise control over stem cell differentiation is of crucial importance in regenerative medicine, such as stem cell–based bone repair. Chiral nanoparticles (NPs) exhibit enantiomer-dependent interactions with stem cells, providing a promising strategy for guiding cell behaviors. Here, we investigated the role of chiral NPs in modulating osteogenic differentiation of stem cells. L-CF-NPs, D-CF-NPs, and A-CF-NPs with controllable nanoscale chirality were synthesized to investigate the effect of enantioselectivity on stem cell fate. In vitro, L-CF-NPs resulted in the highest cellular uptake through clathrin-mediated, integrin-involved endocytosis. This led to the most pronounced up-regulation of osteogenic marker expression, mineralization (via MAPK/JNK/ERK), and angiogenic marker expression. In vivo, volumetric 3D-bioprinted scaffolds incorporating L-CF-NPs resulted in the fastest bone regeneration in a rat model of critical-size bone defects. This work establishes nanoscale chirality as a design parameter for biomaterials, offering a promising approach to regenerating bone and other tissues.</w:t>
      </w:r>
    </w:p>
    <w:p>
      <w:pPr>
        <w:spacing w:before="120" w:after="120"/>
      </w:pPr>
      <w:r>
        <w:rPr>
          <w:sz w:val="18"/>
        </w:rPr>
        <w:t>——————————————————————————————————————————————————————————————————————</w:t>
      </w:r>
    </w:p>
    <w:p>
      <w:pPr>
        <w:spacing w:before="160" w:after="40" w:line="240" w:lineRule="auto"/>
      </w:pPr>
      <w:r>
        <w:rPr>
          <w:b/>
        </w:rPr>
        <w:t xml:space="preserve">[294] </w:t>
      </w:r>
      <w:hyperlink r:id="rId869">
        <w:r>
          <w:rPr>
            <w:color w:val="1155CC"/>
            <w:u w:val="single"/>
          </w:rPr>
          <w:t>Rpd3L 通过 H3K4 甲基化依赖和独立染色质机制调节转录复制冲突</w:t>
        </w:r>
      </w:hyperlink>
    </w:p>
    <w:p>
      <w:pPr>
        <w:spacing w:before="0" w:after="80"/>
      </w:pPr>
      <w:r>
        <w:rPr>
          <w:i/>
          <w:sz w:val="20"/>
        </w:rPr>
        <w:t>EN: Rpd3L regulates transcription-replication conflict via H3K4 methylation–dependent and –independent chromatin mechanisms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70">
        <w:r>
          <w:rPr>
            <w:color w:val="1155CC"/>
            <w:u w:val="single"/>
          </w:rPr>
          <w:t>10.1126/sciadv.adz7842</w:t>
        </w:r>
      </w:hyperlink>
    </w:p>
    <w:p>
      <w:pPr>
        <w:spacing w:before="0" w:after="120"/>
      </w:pPr>
      <w:r>
        <w:rPr>
          <w:b/>
        </w:rPr>
        <w:t xml:space="preserve">Notes: </w:t>
      </w:r>
      <w:r>
        <w:t>abstract_source=crossref</w:t>
      </w:r>
    </w:p>
    <w:p>
      <w:pPr>
        <w:spacing w:before="0" w:after="80" w:lineRule="auto" w:line="276"/>
      </w:pPr>
      <w:r>
        <w:rPr>
          <w:b/>
        </w:rPr>
        <w:t xml:space="preserve">摘要（ZH）: </w:t>
      </w:r>
      <w:r>
        <w:t>忠实的基因组复制需要转录和复制之间的协调。这种协调的破坏会导致转录复制冲突（TRC），从而导致复制压力和基因组不稳定。染色质调节因子如何调节这些过程仍不清楚。在这里，我们表明 Rpd3L 组蛋白脱乙酰酶复合物动态调节染色质状态以控制复制叉进展并缓冲 TRC</w:t>
      </w:r>
      <w:r>
        <w:t xml:space="preserve"> </w:t>
      </w:r>
      <w:r>
        <w:t>酿酒酵母</w:t>
      </w:r>
      <w:r>
        <w:t xml:space="preserve"> </w:t>
      </w:r>
      <w:r>
        <w:t>。 Rpd3L 通过组蛋白 H3 赖氨酸 4 甲基化依赖性招募和复制应激下的甲基化独立机制来靶向。 H3K4 甲基化或 Rpd3L 功能的丧失会促进组蛋白乙酰化，加速转录区域的分叉进展，并增加转录相关的基因组不稳定性。需要多个组蛋白赖氨酸的平衡乙酰化来稳定应激下的复制叉。虽然组蛋白脱乙酰酶复合物与修复受损的分叉有关，但我们的研究结果表明，Rpd3L 在 TRC 期间先发制人地调节染色质状态和复制动态，定义了一种基于染色质的机制，可保障基因组稳定性。</w:t>
      </w:r>
    </w:p>
    <w:p>
      <w:pPr>
        <w:spacing w:before="0" w:after="200" w:lineRule="auto" w:line="276"/>
      </w:pPr>
      <w:r>
        <w:rPr>
          <w:b/>
        </w:rPr>
        <w:t xml:space="preserve">Abstract (EN): </w:t>
      </w:r>
      <w:r>
        <w:t>Faithful genome duplication requires coordination between transcription and replication. Disruption of this coordination causes transcription-replication conflicts (TRCs), leading to replication stress and genome instability. How chromatin regulators modulate these processes remains unclear. Here, we show that the Rpd3L histone deacetylase complex dynamically modulates chromatin state to control replication fork progression and buffer TRCs in</w:t>
      </w:r>
      <w:r>
        <w:t xml:space="preserve"> </w:t>
      </w:r>
      <w:r>
        <w:t>Saccharomyces cerevisiae</w:t>
      </w:r>
      <w:r>
        <w:t xml:space="preserve"> </w:t>
      </w:r>
      <w:r>
        <w:t>. Rpd3L is targeted through both histone H3 lysine 4 methylation–dependent recruitment and methylation-independent mechanisms engaged under replication stress. Loss of H3K4 methylation or Rpd3L function promotes histone acetylation, accelerates fork progression through transcribed regions, and increases transcription-associated genome instability. Balanced acetylation at multiple histone lysines is required to stabilize replication forks under stress. While histone deacetylase complexes have been implicated in repairing damaged forks, our findings reveal that Rpd3L acts preemptively to modulate chromatin state and replication dynamics during TRCs, defining a chromatin-based mechanism that safeguards genome stability.</w:t>
      </w:r>
    </w:p>
    <w:p>
      <w:pPr>
        <w:spacing w:before="120" w:after="120"/>
      </w:pPr>
      <w:r>
        <w:rPr>
          <w:sz w:val="18"/>
        </w:rPr>
        <w:t>——————————————————————————————————————————————————————————————————————</w:t>
      </w:r>
    </w:p>
    <w:p>
      <w:pPr>
        <w:spacing w:before="160" w:after="40" w:line="240" w:lineRule="auto"/>
      </w:pPr>
      <w:r>
        <w:rPr>
          <w:b/>
        </w:rPr>
        <w:t xml:space="preserve">[295] </w:t>
      </w:r>
      <w:hyperlink r:id="rId871">
        <w:r>
          <w:rPr>
            <w:color w:val="1155CC"/>
            <w:u w:val="single"/>
          </w:rPr>
          <w:t>通过自组装核壳纳米颗粒 3D 打印坚固且耐腐蚀的钢</w:t>
        </w:r>
      </w:hyperlink>
    </w:p>
    <w:p>
      <w:pPr>
        <w:spacing w:before="0" w:after="80"/>
      </w:pPr>
      <w:r>
        <w:rPr>
          <w:i/>
          <w:sz w:val="20"/>
        </w:rPr>
        <w:t>EN: Strong and corrosion-resistant 3D-printed steel by self-assembled core-shell nanoparticles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72">
        <w:r>
          <w:rPr>
            <w:color w:val="1155CC"/>
            <w:u w:val="single"/>
          </w:rPr>
          <w:t>10.1126/sciadv.aea5057</w:t>
        </w:r>
      </w:hyperlink>
    </w:p>
    <w:p>
      <w:pPr>
        <w:spacing w:before="0" w:after="120"/>
      </w:pPr>
      <w:r>
        <w:rPr>
          <w:b/>
        </w:rPr>
        <w:t xml:space="preserve">Notes: </w:t>
      </w:r>
      <w:r>
        <w:t>abstract_source=crossref</w:t>
      </w:r>
    </w:p>
    <w:p>
      <w:pPr>
        <w:spacing w:before="0" w:after="80" w:lineRule="auto" w:line="276"/>
      </w:pPr>
      <w:r>
        <w:rPr>
          <w:b/>
        </w:rPr>
        <w:t xml:space="preserve">摘要（ZH）: </w:t>
      </w:r>
      <w:r>
        <w:t>金属增材制造经常产生粗大的柱状晶和元素偏析，导致机械性能各向异性和耐腐蚀性下降。我们提出了一种使用多组分碳化物 (MCC) 的粉末混合策略来克服 316L 不锈钢的这些限制。溶解后，MCC 会驱动均匀分布的核-壳氮氧化物-碳化物纳米颗粒的自组装，从而隔离有害的氮/氧杂质，并将奥氏体晶粒尺寸从 43.9 微米显着细化至 2.1 微米。这种独特的微观结构控制实现了强度和延展性的完美结合。至关重要的是，通过钨、铌和钽分配到晶胞边界来抑制铬偏析，并促进富含三氧化钨的保护性钝化膜的形成，从而增强耐腐蚀性。这项工作为金属增材制造建立了一个指导性范例，展示了 MCC 的引入如何定制纳米沉淀、晶粒结构和合金化学，以同时提高结构合金的强度和耐腐蚀性。</w:t>
      </w:r>
    </w:p>
    <w:p>
      <w:pPr>
        <w:spacing w:before="0" w:after="200" w:lineRule="auto" w:line="276"/>
      </w:pPr>
      <w:r>
        <w:rPr>
          <w:b/>
        </w:rPr>
        <w:t xml:space="preserve">Abstract (EN): </w:t>
      </w:r>
      <w:r>
        <w:t>Metal additive manufacturing often produces coarse columnar grains and elemental segregation, resulting in anisotropic mechanical properties and degraded corrosion resistance. We present a powder blending strategy using multicomponent carbides (MCCs) to overcome these limitations in 316L stainless steel. Upon dissolution, MCCs drive the self-assembly of uniformly distributed core-shell oxynitride-carbide nanoparticles, which sequester detrimental nitrogen/oxygen impurities and markedly refine austenite grain size from 43.9 to 2.1 micrometers. This unique microstructure control yields an excellent combination of strength and ductility. Crucially, the corrosion resistance is enhanced by suppressing chromium segregation via tungsten, niobium, and tantalum partitioning to the cell boundaries and facilitating the formation of a protective tungsten trioxide–rich passive film. This work establishes an instructive paradigm for metal additive manufacturing, demonstrating how MCCs’ introduction can tailor nanoprecipitations, grain structure, and alloy chemistry to simultaneously improve strength and corrosion resistance in structural alloys.</w:t>
      </w:r>
    </w:p>
    <w:p>
      <w:pPr>
        <w:spacing w:before="120" w:after="120"/>
      </w:pPr>
      <w:r>
        <w:rPr>
          <w:sz w:val="18"/>
        </w:rPr>
        <w:t>——————————————————————————————————————————————————————————————————————</w:t>
      </w:r>
    </w:p>
    <w:p>
      <w:pPr>
        <w:spacing w:before="160" w:after="40" w:line="240" w:lineRule="auto"/>
      </w:pPr>
      <w:r>
        <w:rPr>
          <w:b/>
        </w:rPr>
        <w:t xml:space="preserve">[296] </w:t>
      </w:r>
      <w:hyperlink r:id="rId873">
        <w:r>
          <w:rPr>
            <w:color w:val="1155CC"/>
            <w:u w:val="single"/>
          </w:rPr>
          <w:t>用于设计具有自由变形形状的仿生机器人的分层激光编程软执行器</w:t>
        </w:r>
      </w:hyperlink>
    </w:p>
    <w:p>
      <w:pPr>
        <w:spacing w:before="0" w:after="80"/>
      </w:pPr>
      <w:r>
        <w:rPr>
          <w:i/>
          <w:sz w:val="20"/>
        </w:rPr>
        <w:t>EN: Hierarchical laser-programmed soft actuators for designing bionic robots with freeform morphing shapes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74">
        <w:r>
          <w:rPr>
            <w:color w:val="1155CC"/>
            <w:u w:val="single"/>
          </w:rPr>
          <w:t>10.1126/sciadv.aeb1989</w:t>
        </w:r>
      </w:hyperlink>
    </w:p>
    <w:p>
      <w:pPr>
        <w:spacing w:before="0" w:after="120"/>
      </w:pPr>
      <w:r>
        <w:rPr>
          <w:b/>
        </w:rPr>
        <w:t xml:space="preserve">Notes: </w:t>
      </w:r>
      <w:r>
        <w:t>abstract_source=crossref</w:t>
      </w:r>
    </w:p>
    <w:p>
      <w:pPr>
        <w:spacing w:before="0" w:after="80" w:lineRule="auto" w:line="276"/>
      </w:pPr>
      <w:r>
        <w:rPr>
          <w:b/>
        </w:rPr>
        <w:t xml:space="preserve">摘要（ZH）: </w:t>
      </w:r>
      <w:r>
        <w:t>仿生形状变形结构对于具有前所未有的适应性的下一代软机器人至关重要，需要能够进行复杂且可配置的三维运动的执行器。通过克服传统的刺激响应策略面临制造简单性和运动学复杂性之间的权衡，在这里，我们引入了一种空间差异化激光编程技术，用于数字制造具有自由变形功能的激光诱导石墨烯软执行器（LIG-SA）。通过激光能量和划线方向的跨尺度控制，可以同时调整材料异质性和结构层次，以引入解耦的电热分布和刚度各向异性，从而用四种典型的运动单元编码LIG-SA：直弯曲、定向卷曲、刚性支撑和软连接。通过将多模态变形单元任意分组为具体化设备，这种方法进一步增强了仿生机器人的自由设计能力，包括章鱼般的触手和尺蠖/海豹般的爬行者，以实现保形抓取、路径导航和避障等多任务运动。该框架将数字设计与物理智能联系起来，解锁了软机器人以前未知的途径来创建复杂的可编程形态。</w:t>
      </w:r>
    </w:p>
    <w:p>
      <w:pPr>
        <w:spacing w:before="0" w:after="200" w:lineRule="auto" w:line="276"/>
      </w:pPr>
      <w:r>
        <w:rPr>
          <w:b/>
        </w:rPr>
        <w:t xml:space="preserve">Abstract (EN): </w:t>
      </w:r>
      <w:r>
        <w:t>Bio-inspired shape-morphing structures, essential for next-generation soft robotics with unprecedented adaptability, demand actuators capable of complex and configurable three-dimensional motions. By overcoming traditional stimulus-responsive strategies facing the trade-off between manufacturing simplicity and kinematic sophistication, here, we introduce a spatially differentiated laser-programming technology for digital manufacturing laser-induced graphene-based soft actuators (LIG-SAs) with freeform morphing capabilities. Via cross-scale control of lasing energy and scribing direction, material heterogeneity and structural hierarchy can be tuned simultaneously for introducing decoupled electrothermal distribution and stiffness anisotropy, thus encoding LIG-SAs with four typical motion units: straight bending, directional curling, rigid supporting, and soft connecting. By arbitrarily grouping multimodal morphing units into concretized devices, this approach further empowers freeform design of bionic robots including octopus-like tentacles and inchworm/seal–like crawlers toward multitask locomotion of conformal grasping, path navigation, and obstacle avoidance. This framework bridges digital design with physical intelligence, unlocking previously unidentified avenues of soft robots for creating sophisticated and programmable morphologies.</w:t>
      </w:r>
    </w:p>
    <w:p>
      <w:pPr>
        <w:spacing w:before="120" w:after="120"/>
      </w:pPr>
      <w:r>
        <w:rPr>
          <w:sz w:val="18"/>
        </w:rPr>
        <w:t>——————————————————————————————————————————————————————————————————————</w:t>
      </w:r>
    </w:p>
    <w:p>
      <w:pPr>
        <w:spacing w:before="160" w:after="40" w:line="240" w:lineRule="auto"/>
      </w:pPr>
      <w:r>
        <w:rPr>
          <w:b/>
        </w:rPr>
        <w:t xml:space="preserve">[297] </w:t>
      </w:r>
      <w:hyperlink r:id="rId875">
        <w:r>
          <w:rPr>
            <w:color w:val="1155CC"/>
            <w:u w:val="single"/>
          </w:rPr>
          <w:t>单核分析揭示了早期雷特综合征的核心疾病特征和细胞类型特异性脆弱性</w:t>
        </w:r>
      </w:hyperlink>
    </w:p>
    <w:p>
      <w:pPr>
        <w:spacing w:before="0" w:after="80"/>
      </w:pPr>
      <w:r>
        <w:rPr>
          <w:i/>
          <w:sz w:val="20"/>
        </w:rPr>
        <w:t>EN: Single-nucleus profiling reveals a core disease signature and cell type–specific vulnerabilities in early Rett syndrome</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76">
        <w:r>
          <w:rPr>
            <w:color w:val="1155CC"/>
            <w:u w:val="single"/>
          </w:rPr>
          <w:t>10.1126/sciadv.aeb4265</w:t>
        </w:r>
      </w:hyperlink>
    </w:p>
    <w:p>
      <w:pPr>
        <w:spacing w:before="0" w:after="120"/>
      </w:pPr>
      <w:r>
        <w:rPr>
          <w:b/>
        </w:rPr>
        <w:t xml:space="preserve">Notes: </w:t>
      </w:r>
      <w:r>
        <w:t>abstract_source=crossref</w:t>
      </w:r>
    </w:p>
    <w:p>
      <w:pPr>
        <w:spacing w:before="0" w:after="80" w:lineRule="auto" w:line="276"/>
      </w:pPr>
      <w:r>
        <w:rPr>
          <w:b/>
        </w:rPr>
        <w:t xml:space="preserve">摘要（ZH）: </w:t>
      </w:r>
      <w:r>
        <w:t>Rett 综合征 (RTT) 是一种 X 连锁神经系统疾病，由以下原因引起：</w:t>
      </w:r>
      <w:r>
        <w:t xml:space="preserve"> </w:t>
      </w:r>
      <w:r>
        <w:t>MECP2</w:t>
      </w:r>
      <w:r>
        <w:t xml:space="preserve"> </w:t>
      </w:r>
      <w:r>
        <w:t>突变，在女性（马赛克）和男性（非马赛克）中创造出不同的细胞环境。尽管女性患者占大多数病例，但镶嵌现象如何在分子水平上影响 RTT 发病机制，特别是在症状前阶段，仍然知之甚少。为了解决这个问题，我们使用批量和单核 RNA 测序分析了年轻雌性和雄性 RTT 小鼠的海马转录组。我们仅在 MeCP2 中发现了持续失调基因的核心疾病特征</w:t>
      </w:r>
      <w:r>
        <w:t xml:space="preserve"> </w:t>
      </w:r>
      <w:r>
        <w:t>-</w:t>
      </w:r>
      <w:r>
        <w:t>跨RTT模型的细胞。此外，我们仅在女性 MeCP2 中发现了非细胞自主效应</w:t>
      </w:r>
      <w:r>
        <w:t xml:space="preserve"> </w:t>
      </w:r>
      <w:r>
        <w:t>+</w:t>
      </w:r>
      <w:r>
        <w:t xml:space="preserve"> </w:t>
      </w:r>
      <w:r>
        <w:t>兴奋性神经元，表明这些回路在马赛克 RTT 环境的早期更容易受到攻击。单核数据还揭示了一个被低估的 MeCP2</w:t>
      </w:r>
      <w:r>
        <w:t xml:space="preserve"> </w:t>
      </w:r>
      <w:r>
        <w:t>-</w:t>
      </w:r>
      <w:r>
        <w:t>在男性和女性 RTT 海马中转录失调最严重的中间神经元亚型。总之，这些数据强调了 MeCP2 丢失对早期 RTT 发病机制中镶嵌和非镶嵌环境之间的兴奋和抑制回路的不同影响。</w:t>
      </w:r>
    </w:p>
    <w:p>
      <w:pPr>
        <w:spacing w:before="0" w:after="200" w:lineRule="auto" w:line="276"/>
      </w:pPr>
      <w:r>
        <w:rPr>
          <w:b/>
        </w:rPr>
        <w:t xml:space="preserve">Abstract (EN): </w:t>
      </w:r>
      <w:r>
        <w:t>Rett syndrome (RTT) is an X-linked neurological disorder caused by</w:t>
      </w:r>
      <w:r>
        <w:t xml:space="preserve"> </w:t>
      </w:r>
      <w:r>
        <w:t>MECP2</w:t>
      </w:r>
      <w:r>
        <w:t xml:space="preserve"> </w:t>
      </w:r>
      <w:r>
        <w:t>mutations, creating distinct cellular environments in females (mosaic) versus males (nonmosaic). Despite female patients representing most cases, how mosaicism contributes molecularly to RTT pathogenesis, particularly in presymptomatic stages, remains poorly understood. To address this question, we profiled hippocampal transcriptomes of young female and male RTT mice using bulk and single-nucleus RNA sequencing. We identified a core disease signature of consistently dysregulated genes only in MeCP2</w:t>
      </w:r>
      <w:r>
        <w:t xml:space="preserve"> </w:t>
      </w:r>
      <w:r>
        <w:t>−</w:t>
      </w:r>
      <w:r>
        <w:t>cells across RTT models. Moreover, we uncovered non–cell autonomous effects exclusively in female MeCP2</w:t>
      </w:r>
      <w:r>
        <w:t xml:space="preserve"> </w:t>
      </w:r>
      <w:r>
        <w:t>+</w:t>
      </w:r>
      <w:r>
        <w:t xml:space="preserve"> </w:t>
      </w:r>
      <w:r>
        <w:t>excitatory neurons, suggesting that these circuits are more vulnerable early in the mosaic RTT environment. The single-nuclei data also revealed an underappreciated MeCP2</w:t>
      </w:r>
      <w:r>
        <w:t xml:space="preserve"> </w:t>
      </w:r>
      <w:r>
        <w:t>−</w:t>
      </w:r>
      <w:r>
        <w:t>interneuron subtype that had the most transcriptional dysregulation in both male and female RTT hippocampi. Together, these data highlight the different effects of MeCP2 loss on excitatory and inhibitory circuits between the mosaic and nonmosaic environments in early RTT pathogenesis.</w:t>
      </w:r>
    </w:p>
    <w:p>
      <w:pPr>
        <w:spacing w:before="120" w:after="120"/>
      </w:pPr>
      <w:r>
        <w:rPr>
          <w:sz w:val="18"/>
        </w:rPr>
        <w:t>——————————————————————————————————————————————————————————————————————</w:t>
      </w:r>
    </w:p>
    <w:p>
      <w:pPr>
        <w:spacing w:before="160" w:after="40" w:line="240" w:lineRule="auto"/>
      </w:pPr>
      <w:r>
        <w:rPr>
          <w:b/>
        </w:rPr>
        <w:t xml:space="preserve">[298] </w:t>
      </w:r>
      <w:hyperlink r:id="rId877">
        <w:r>
          <w:rPr>
            <w:color w:val="1155CC"/>
            <w:u w:val="single"/>
          </w:rPr>
          <w:t>不同的基因组结构，但相同的基因是植物超基因趋同进化的基础</w:t>
        </w:r>
      </w:hyperlink>
    </w:p>
    <w:p>
      <w:pPr>
        <w:spacing w:before="0" w:after="80"/>
      </w:pPr>
      <w:r>
        <w:rPr>
          <w:i/>
          <w:sz w:val="20"/>
        </w:rPr>
        <w:t>EN: Distinct genomic architectures but the same gene underlie the convergent evolution of a plant supergene</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78">
        <w:r>
          <w:rPr>
            <w:color w:val="1155CC"/>
            <w:u w:val="single"/>
          </w:rPr>
          <w:t>10.1126/sciadv.aec1996</w:t>
        </w:r>
      </w:hyperlink>
    </w:p>
    <w:p>
      <w:pPr>
        <w:spacing w:before="0" w:after="120"/>
      </w:pPr>
      <w:r>
        <w:rPr>
          <w:b/>
        </w:rPr>
        <w:t xml:space="preserve">Notes: </w:t>
      </w:r>
      <w:r>
        <w:t>abstract_source=crossref</w:t>
      </w:r>
    </w:p>
    <w:p>
      <w:pPr>
        <w:spacing w:before="0" w:after="80" w:lineRule="auto" w:line="276"/>
      </w:pPr>
      <w:r>
        <w:rPr>
          <w:b/>
        </w:rPr>
        <w:t xml:space="preserve">摘要（ZH）: </w:t>
      </w:r>
      <w:r>
        <w:t>进化反映了创新和约束之间的平衡，通常在新的环境中重新利用现有的组件。趋同进化例证了这种相互作用，相似的性状在不同物种中独立进化，但实现这种可重复性的基因组机制仍然知之甚少。在这里，通过分析 10 个染色体规模的基因组组装体（其中包括 7 个新生成的基因组组装体），我们发现</w:t>
      </w:r>
      <w:r>
        <w:t xml:space="preserve"> </w:t>
      </w:r>
      <w:r>
        <w:t>S</w:t>
      </w:r>
      <w:r>
        <w:t xml:space="preserve"> </w:t>
      </w:r>
      <w:r>
        <w:t>-位点超基因（一组紧密相连的基因，控制称为 distyly 的花二态性）在报春花科（达尔文研究 distyly 的标志性系统）中多次独立出现。在每种情况下，相同的基因都被独立复制和增选。然而，由此产生的基因组结构有所不同，从半合子（存在于一个染色体拷贝上）到杂合子（存在于两个拷贝上），挑战了半合子是染色体固有的普遍观点。</w:t>
      </w:r>
      <w:r>
        <w:t xml:space="preserve"> </w:t>
      </w:r>
      <w:r>
        <w:t>S</w:t>
      </w:r>
      <w:r>
        <w:t xml:space="preserve"> </w:t>
      </w:r>
      <w:r>
        <w:t>-位点并提出了远超基因形成的替代进化路线。通过揭示超基因起源的多种机制，我们的工作展示了趋同进化如何通过重复使用相同的遗传构建块同时探索不同的基因组配置来产生相似的表型。</w:t>
      </w:r>
    </w:p>
    <w:p>
      <w:pPr>
        <w:spacing w:before="0" w:after="200" w:lineRule="auto" w:line="276"/>
      </w:pPr>
      <w:r>
        <w:rPr>
          <w:b/>
        </w:rPr>
        <w:t xml:space="preserve">Abstract (EN): </w:t>
      </w:r>
      <w:r>
        <w:t>Evolution reflects a balance between innovation and constraint, often repurposing existing components in new contexts. Convergent evolution exemplifies this interplay, with similar traits evolving independently in different species, yet the genomic mechanisms enabling this repeatability remain poorly understood. Here, by analyzing 10 chromosome-scale genome assemblies, including seven newly generated, we found that the</w:t>
      </w:r>
      <w:r>
        <w:t xml:space="preserve"> </w:t>
      </w:r>
      <w:r>
        <w:t>S</w:t>
      </w:r>
      <w:r>
        <w:t xml:space="preserve"> </w:t>
      </w:r>
      <w:r>
        <w:t>-locus supergene (a cluster of tightly linked genes controlling a floral dimorphism called distyly) arose independently multiple times within the primrose family, Darwin’s iconic system for studying distyly. In each case, the same gene was independently duplicated and co-opted. However, the resulting genomic architectures differed, ranging from hemizygous (present on one chromosome copy) to heterozygous (on both copies), challenging the prevailing view that hemizygosity is intrinsic to</w:t>
      </w:r>
      <w:r>
        <w:t xml:space="preserve"> </w:t>
      </w:r>
      <w:r>
        <w:t>S</w:t>
      </w:r>
      <w:r>
        <w:t xml:space="preserve"> </w:t>
      </w:r>
      <w:r>
        <w:t>-loci and suggesting alternative evolutionary routes to distyly supergene formation. By uncovering multiple mechanisms for supergene origins, our work shows how convergent evolution can produce similar phenotypes by reusing the same genetic building blocks while exploring distinct genomic configurations.</w:t>
      </w:r>
    </w:p>
    <w:p>
      <w:pPr>
        <w:spacing w:before="120" w:after="120"/>
      </w:pPr>
      <w:r>
        <w:rPr>
          <w:sz w:val="18"/>
        </w:rPr>
        <w:t>——————————————————————————————————————————————————————————————————————</w:t>
      </w:r>
    </w:p>
    <w:p>
      <w:pPr>
        <w:spacing w:before="160" w:after="40" w:line="240" w:lineRule="auto"/>
      </w:pPr>
      <w:r>
        <w:rPr>
          <w:b/>
        </w:rPr>
        <w:t xml:space="preserve">[299] </w:t>
      </w:r>
      <w:hyperlink r:id="rId879">
        <w:r>
          <w:rPr>
            <w:color w:val="1155CC"/>
            <w:u w:val="single"/>
          </w:rPr>
          <w:t>深度学习揭示历史人为强迫下 ENSO 的可预测性增强</w:t>
        </w:r>
      </w:hyperlink>
    </w:p>
    <w:p>
      <w:pPr>
        <w:spacing w:before="0" w:after="80"/>
      </w:pPr>
      <w:r>
        <w:rPr>
          <w:i/>
          <w:sz w:val="20"/>
        </w:rPr>
        <w:t>EN: Deep learning reveals enhanced ENSO predictability under historical anthropogenic forcing</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80">
        <w:r>
          <w:rPr>
            <w:color w:val="1155CC"/>
            <w:u w:val="single"/>
          </w:rPr>
          <w:t>10.1126/sciadv.aec9518</w:t>
        </w:r>
      </w:hyperlink>
    </w:p>
    <w:p>
      <w:pPr>
        <w:spacing w:before="0" w:after="120"/>
      </w:pPr>
      <w:r>
        <w:rPr>
          <w:b/>
        </w:rPr>
        <w:t xml:space="preserve">Notes: </w:t>
      </w:r>
      <w:r>
        <w:t>abstract_source=crossref</w:t>
      </w:r>
    </w:p>
    <w:p>
      <w:pPr>
        <w:spacing w:before="0" w:after="80" w:lineRule="auto" w:line="276"/>
      </w:pPr>
      <w:r>
        <w:rPr>
          <w:b/>
        </w:rPr>
        <w:t xml:space="preserve">摘要（ZH）: </w:t>
      </w:r>
      <w:r>
        <w:t>了解 ENSO 的可预测性如何应对气候变化对于改善未来气候预测至关重要。在本研究中，我们将深度学习模型——具有留一模型策略的卷积神经网络应用于耦合模型比对项目第 6 阶段 (CMIP6) 历史和前工业控制模拟。我们发现，在历史人为强迫作用下，厄尔尼诺-南方涛动 (ENSO) 可预测性在统计上增强了 14.0 ± 1.8%。这种改进与关键海洋大气反馈的变化有关。在历史强迫作用下，赤道太平洋出现温跃层浅滩。结果，海洋表层对风力变得更加敏感，地下温度对温跃层变化变得更加敏感。这些过程增强了三维平流和温跃层反馈，共同增强了 ENSO 的可预测性。这些发现凸显了人为强迫在气候变暖中塑造 ENSO 可预测性方面的重要性。</w:t>
      </w:r>
    </w:p>
    <w:p>
      <w:pPr>
        <w:spacing w:before="0" w:after="200" w:lineRule="auto" w:line="276"/>
      </w:pPr>
      <w:r>
        <w:rPr>
          <w:b/>
        </w:rPr>
        <w:t xml:space="preserve">Abstract (EN): </w:t>
      </w:r>
      <w:r>
        <w:t>Understanding how ENSO predictability responds to climate change is essential for improving future climate projections. In this study, we apply a deep learning model—convolutional neural network with a leave-one-out model strategy to Coupled Model Intercomparison Project Phase 6 (CMIP6) historical and preindustrial control simulations. We find that El Niño–Southern Oscillation (ENSO) predictability is statistically enhanced by 14.0 ± 1.8% enhancement under historical anthropogenic forcing. This improvement is linked to changes in key ocean-atmosphere feedbacks. Under historical forcing, the equatorial Pacific shows a shoaling of the thermocline. As a result, the surface ocean becomes more sensitive to wind forcing, and subsurface temperature becomes more responsive to thermocline variations. These processes strengthen the three-dimensional advective and thermocline feedbacks, which together enhance ENSO predictability. These findings highlight the importance of anthropogenic forcing in shaping ENSO predictability in a warming climate.</w:t>
      </w:r>
    </w:p>
    <w:p>
      <w:pPr>
        <w:spacing w:before="120" w:after="120"/>
      </w:pPr>
      <w:r>
        <w:rPr>
          <w:sz w:val="18"/>
        </w:rPr>
        <w:t>——————————————————————————————————————————————————————————————————————</w:t>
      </w:r>
    </w:p>
    <w:p>
      <w:pPr>
        <w:spacing w:before="160" w:after="40" w:line="240" w:lineRule="auto"/>
      </w:pPr>
      <w:r>
        <w:rPr>
          <w:b/>
        </w:rPr>
        <w:t xml:space="preserve">[300] </w:t>
      </w:r>
      <w:hyperlink r:id="rId881">
        <w:r>
          <w:rPr>
            <w:color w:val="1155CC"/>
            <w:u w:val="single"/>
          </w:rPr>
          <w:t>由实体瘤标志门控的超声启动来指导 CAR-T 治疗</w:t>
        </w:r>
      </w:hyperlink>
    </w:p>
    <w:p>
      <w:pPr>
        <w:spacing w:before="0" w:after="80"/>
      </w:pPr>
      <w:r>
        <w:rPr>
          <w:i/>
          <w:sz w:val="20"/>
        </w:rPr>
        <w:t>EN: Ultrasound priming gated by solid tumor hallmarks to guide CAR-T therapy</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82">
        <w:r>
          <w:rPr>
            <w:color w:val="1155CC"/>
            <w:u w:val="single"/>
          </w:rPr>
          <w:t>10.1126/sciadv.aed0666</w:t>
        </w:r>
      </w:hyperlink>
    </w:p>
    <w:p>
      <w:pPr>
        <w:spacing w:before="0" w:after="120"/>
      </w:pPr>
      <w:r>
        <w:rPr>
          <w:b/>
        </w:rPr>
        <w:t xml:space="preserve">Notes: </w:t>
      </w:r>
      <w:r>
        <w:t>abstract_source=crossref</w:t>
      </w:r>
    </w:p>
    <w:p>
      <w:pPr>
        <w:spacing w:before="0" w:after="80" w:lineRule="auto" w:line="276"/>
      </w:pPr>
      <w:r>
        <w:rPr>
          <w:b/>
        </w:rPr>
        <w:t xml:space="preserve">摘要（ZH）: </w:t>
      </w:r>
      <w:r>
        <w:t>CAR-T疗法在血液系统恶性肿瘤中非常有效，但在实体瘤中仍然具有挑战性。为了应对这一挑战，我们在这里开发了 SHIFTERS（实体瘤标志可诱导、聚焦超声触发增强重编程系统），这是一种与门电路，可在聚焦超声 (FUS) 控制下将肿瘤标志重新连接到临床验证的抗原 CD19 中。 SHIFTERS 使用分裂的 Gal4-VP64 转录因子，其中一个模块由缺氧响应启动子驱动，另一个模块由 FUS 诱导的热休克启动子驱动，将 CD19 诱导限制在超声处理的标志阳性区域。这种设计能够实现稳健、持续的局部 CD19 表达，以激活和训练 CD19 synNotch CAR-T 细胞。在 3D 球体和体内模型中，缺氧门控 SHIFTERS 与 synNotch CAR-T 细胞相结合，实现了强大的肿瘤抑制，支持 FUS 引导的局部激活。 SHIFTERS 是模块化的，可以适应肿瘤类型特异性启动子，例如肝细胞癌中的 enAFP，以实现空间和细胞类型特异性靶向。 SHIFTERS 共同提供了一个模块化、肿瘤受限、超声可控的平台，以提高实体瘤 CAR-T 疗法的精度和疗效。</w:t>
      </w:r>
    </w:p>
    <w:p>
      <w:pPr>
        <w:spacing w:before="0" w:after="200" w:lineRule="auto" w:line="276"/>
      </w:pPr>
      <w:r>
        <w:rPr>
          <w:b/>
        </w:rPr>
        <w:t xml:space="preserve">Abstract (EN): </w:t>
      </w:r>
      <w:r>
        <w:t>CAR-T therapy is highly effective in hematologic malignancies but remains challenging in solid tumors. To address this challenge, here, we developed SHIFTERS (solid-tumor hallmark inducible, focused-ultrasound triggered enhanced reprogramming system), an AND-gated circuit that rewires tumor hallmarks into the clinically validated antigen CD19 under focused-ultrasound (FUS) control. SHIFTERS uses a split Gal4-VP64 transcription factor with one module driven by a hypoxia-responsive promoter and the other by a FUS-inducible heat-shock promoter, restricting CD19 induction to sonicated, hallmark-positive regions. This design enables robust, sustained local CD19 expression to activate and train CD19 synNotch CAR-T cells. In 3D spheroids and in vivo models, hypoxia-gated SHIFTERS combined with synNotch CAR-T cells achieved strong tumor suppression, supporting FUS-guided, localized activation. SHIFTERS is modular and can be adapted to tumor-type–specific promoters such as enAFP in hepatocellular carcinoma to enable both spatial and cell type–specific targeting. Together, SHIFTERS provides a modular, tumor-constrained, ultrasound-controllable platform to improve the precision and efficacy of CAR-T therapy for solid tumors.</w:t>
      </w:r>
    </w:p>
    <w:p>
      <w:pPr>
        <w:spacing w:before="120" w:after="120"/>
      </w:pPr>
      <w:r>
        <w:rPr>
          <w:sz w:val="18"/>
        </w:rPr>
        <w:t>——————————————————————————————————————————————————————————————————————</w:t>
      </w:r>
    </w:p>
    <w:p>
      <w:pPr>
        <w:spacing w:before="160" w:after="40" w:line="240" w:lineRule="auto"/>
      </w:pPr>
      <w:r>
        <w:rPr>
          <w:b/>
        </w:rPr>
        <w:t xml:space="preserve">[301] </w:t>
      </w:r>
      <w:hyperlink r:id="rId883">
        <w:r>
          <w:rPr>
            <w:color w:val="1155CC"/>
            <w:u w:val="single"/>
          </w:rPr>
          <w:t>自适应 Spo11 RNA 编辑门优化减数分裂 I 速度和有丝分裂增殖，同时保留子囊孢子形成</w:t>
        </w:r>
      </w:hyperlink>
    </w:p>
    <w:p>
      <w:pPr>
        <w:spacing w:before="0" w:after="80"/>
      </w:pPr>
      <w:r>
        <w:rPr>
          <w:i/>
          <w:sz w:val="20"/>
        </w:rPr>
        <w:t>EN: Adaptive Spo11 RNA editing gate optimizes meiosis I pace and mitotic proliferation while preserving ascospore formation</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84">
        <w:r>
          <w:rPr>
            <w:color w:val="1155CC"/>
            <w:u w:val="single"/>
          </w:rPr>
          <w:t>10.1126/sciadv.adu7607</w:t>
        </w:r>
      </w:hyperlink>
    </w:p>
    <w:p>
      <w:pPr>
        <w:spacing w:before="0" w:after="120"/>
      </w:pPr>
      <w:r>
        <w:rPr>
          <w:b/>
        </w:rPr>
        <w:t xml:space="preserve">Notes: </w:t>
      </w:r>
      <w:r>
        <w:t>abstract_source=crossref</w:t>
      </w:r>
    </w:p>
    <w:p>
      <w:pPr>
        <w:spacing w:before="0" w:after="80" w:lineRule="auto" w:line="276"/>
      </w:pPr>
      <w:r>
        <w:rPr>
          <w:b/>
        </w:rPr>
        <w:t xml:space="preserve">摘要（ZH）: </w:t>
      </w:r>
      <w:r>
        <w:t>Spo11 介导的 DNA 双链断裂 (DSB) 对于减数分裂重组至关重要，但 Spo11 活性在有丝分裂和真菌发育过程中如何暂时调节仍不清楚。在真菌植物病原体中</w:t>
      </w:r>
      <w:r>
        <w:t xml:space="preserve"> </w:t>
      </w:r>
      <w:r>
        <w:t>禾谷镰刀菌</w:t>
      </w:r>
      <w:r>
        <w:t xml:space="preserve"> </w:t>
      </w:r>
      <w:r>
        <w:t>，我们发现 FgSpo11 具有延迟减数分裂 I 的 DSB 独立作用，以及对子囊孢子发生过程中减数分裂后有丝分裂至关重要的 DSB 依赖性作用。 FgSpo11 的缺失会加速减数分裂 I 并导致减数分裂后过度分裂，最终导致子囊孢子流产。仅在有性生殖过程中，通过腺苷至肌苷 RNA 编辑将过早终止密码子 (TAG) 纠正为色氨酸 (TGG)，从而实现全长蛋白质合成。绕过这种编辑的基因组“校正”等位基因保留了子囊孢子的形成，但导致减数分裂和营养有丝分裂缺陷。除了其开关功能外，这种编辑还充当可调变阻器，在减数分裂期间微调 FgSpo11 剂量。进化分析揭示了这种编辑的反复增益和损失，强调了 Spo11 部署的自适应调制。这项研究揭示了控制关键减数分裂调节因子的单位点 RNA 编辑门，并说明了转录组可塑性在协调真核病原体生命周期需求中的作用。</w:t>
      </w:r>
    </w:p>
    <w:p>
      <w:pPr>
        <w:spacing w:before="0" w:after="200" w:lineRule="auto" w:line="276"/>
      </w:pPr>
      <w:r>
        <w:rPr>
          <w:b/>
        </w:rPr>
        <w:t xml:space="preserve">Abstract (EN): </w:t>
      </w:r>
      <w:r>
        <w:t>Spo11-mediated DNA double-strand breaks (DSBs) are essential for meiotic recombination, yet how Spo11 activity is temporally regulated during mitosis and fungal development remains unclear. In the fungal plant pathogen</w:t>
      </w:r>
      <w:r>
        <w:t xml:space="preserve"> </w:t>
      </w:r>
      <w:r>
        <w:t>Fusarium graminearum</w:t>
      </w:r>
      <w:r>
        <w:t xml:space="preserve"> </w:t>
      </w:r>
      <w:r>
        <w:t>, we found that FgSpo11 has a DSB-independent role delaying meiosis I and a DSB-dependent role critical for postmeiotic mitoses during ascosporogenesis. Loss of FgSpo11 accelerates meiosis I and causes excessive postmeiotic divisions, ultimately causing aborted ascospores. A premature stop codon (TAG) is corrected to tryptophan (TGG) by adenosine-to-inosine RNA editing exclusively during sexual reproduction, enabling full-length protein synthesis. A genomically “corrected” allele bypassing this editing preserves ascospore formation but causes meiotic and vegetative mitotic defects. Beyond its on-switch function, this editing acts as a tunable rheostat fine-tuning FgSpo11 dosage during meiosis. Evolutionary analyses reveal recurrent gain and loss of this editing, highlighting adaptive modulation of Spo11 deployment. This study uncovers a single-site RNA editing gate controlling a key meiotic regulator and illustrates transcriptome plasticity in reconciling life cycle demands in eukaryotic pathogens.</w:t>
      </w:r>
    </w:p>
    <w:p>
      <w:pPr>
        <w:spacing w:before="120" w:after="120"/>
      </w:pPr>
      <w:r>
        <w:rPr>
          <w:sz w:val="18"/>
        </w:rPr>
        <w:t>——————————————————————————————————————————————————————————————————————</w:t>
      </w:r>
    </w:p>
    <w:p>
      <w:pPr>
        <w:spacing w:before="160" w:after="40" w:line="240" w:lineRule="auto"/>
      </w:pPr>
      <w:r>
        <w:rPr>
          <w:b/>
        </w:rPr>
        <w:t xml:space="preserve">[302] </w:t>
      </w:r>
      <w:hyperlink r:id="rId885">
        <w:r>
          <w:rPr>
            <w:color w:val="1155CC"/>
            <w:u w:val="single"/>
          </w:rPr>
          <w:t>窄带磷光发射器实现超稳定绿色顶发射 OLED 接近 BT.2020</w:t>
        </w:r>
      </w:hyperlink>
    </w:p>
    <w:p>
      <w:pPr>
        <w:spacing w:before="0" w:after="80"/>
      </w:pPr>
      <w:r>
        <w:rPr>
          <w:i/>
          <w:sz w:val="20"/>
        </w:rPr>
        <w:t>EN: Ultrastable green top-emitting OLEDs approaching BT.2020 enabled by narrowband phosphorescent emitters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86">
        <w:r>
          <w:rPr>
            <w:color w:val="1155CC"/>
            <w:u w:val="single"/>
          </w:rPr>
          <w:t>10.1126/sciadv.aed4859</w:t>
        </w:r>
      </w:hyperlink>
    </w:p>
    <w:p>
      <w:pPr>
        <w:spacing w:before="0" w:after="120"/>
      </w:pPr>
      <w:r>
        <w:rPr>
          <w:b/>
        </w:rPr>
        <w:t xml:space="preserve">Notes: </w:t>
      </w:r>
      <w:r>
        <w:t>abstract_source=crossref</w:t>
      </w:r>
    </w:p>
    <w:p>
      <w:pPr>
        <w:spacing w:before="0" w:after="80" w:lineRule="auto" w:line="276"/>
      </w:pPr>
      <w:r>
        <w:rPr>
          <w:b/>
        </w:rPr>
        <w:t xml:space="preserve">摘要（ZH）: </w:t>
      </w:r>
      <w:r>
        <w:t>高度稳定、高效且具有高色纯度的有机发光二极管 (OLED) 对于超高清显示应用至关重要。然而，实现这些特性受到发射极带宽和器件稳定性的阻碍。在此，我们提出了通过扩展 π 共轭和大体积取代基具有刚性三维结构的四齿绿色 Pt(II) 发射体的设计。这种分子工程方法可有效抑制激发态几何畸变，从而在甲苯中产生 16.4 纳米的小半峰全宽 (FWHM)。当发射器用于微腔增强顶发射器件时，通过控制相长和相消干涉，半峰宽进一步降低至 14.8 纳米。顶部发射器件显示广播服务电视 2020 (BT.2020) 绿色 [国际照明委员会 (CIE)：0.22，0.75] 和高达每安培 174 坎德拉的高电流效率。最值得注意的是，该器件表现出破纪录的运行稳定性，超过了商业 LED/OLED/MicroLED（微型发光二极管）标准，在每平方米 1000 坎德拉的亮度下，实现了前所未有的寿命，达到初始亮度 540,100 小时的 90%。</w:t>
      </w:r>
    </w:p>
    <w:p>
      <w:pPr>
        <w:spacing w:before="0" w:after="200" w:lineRule="auto" w:line="276"/>
      </w:pPr>
      <w:r>
        <w:rPr>
          <w:b/>
        </w:rPr>
        <w:t xml:space="preserve">Abstract (EN): </w:t>
      </w:r>
      <w:r>
        <w:t>Highly stable and efficient organic light-emitting diodes (OLEDs) with high color purity are critical for ultrahigh-definition display applications. However, achieving these characteristics is hindered by the emitter bandwidth and device stability. Herein, we present the design of tetradentate green Pt(II) emitters with a rigid three-dimensional structure via extended π-conjugation and bulky substituents. This molecular engineering approach effectively suppresses excited-state geometric distortion, resulting in a small full width at half-maximum (FWHM) of 16.4 nanometers in toluene. When the emitters were used in a microcavity-enhanced top-emitting device, the FWHM was further reduced to 14.8 nanometers by controlling constructive and destructive interferences. The top-emitting device showed a Broadcast Service Television 2020 (BT.2020) green color [Commission Internationale de l’Éclairage (CIE): 0.22, 0.75] and a high current efficiency of up to 174 candelas per ampere. Most notably, the device exhibited a record-breaking operational stability, exceeding that of the commercial LED/OLED/MicroLED (micro–light-emitting diode) standard, achieving an unprecedented lifetime to 90% of the initial luminance of 540,100 hours at 1000 candelas per square meter.</w:t>
      </w:r>
    </w:p>
    <w:p>
      <w:pPr>
        <w:spacing w:before="120" w:after="120"/>
      </w:pPr>
      <w:r>
        <w:rPr>
          <w:sz w:val="18"/>
        </w:rPr>
        <w:t>——————————————————————————————————————————————————————————————————————</w:t>
      </w:r>
    </w:p>
    <w:p>
      <w:pPr>
        <w:spacing w:before="160" w:after="40" w:line="240" w:lineRule="auto"/>
      </w:pPr>
      <w:r>
        <w:rPr>
          <w:b/>
        </w:rPr>
        <w:t xml:space="preserve">[303] </w:t>
      </w:r>
      <w:hyperlink r:id="rId887">
        <w:r>
          <w:rPr>
            <w:color w:val="1155CC"/>
            <w:u w:val="single"/>
          </w:rPr>
          <w:t>酪氨酸磷酸酶 STEP 是突触发生的发育抑制因子</w:t>
        </w:r>
      </w:hyperlink>
    </w:p>
    <w:p>
      <w:pPr>
        <w:spacing w:before="0" w:after="80"/>
      </w:pPr>
      <w:r>
        <w:rPr>
          <w:i/>
          <w:sz w:val="20"/>
        </w:rPr>
        <w:t>EN: The tyrosine phosphatase STEP is a developmental suppressor of synaptogenesis</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888">
        <w:r>
          <w:rPr>
            <w:color w:val="1155CC"/>
            <w:u w:val="single"/>
          </w:rPr>
          <w:t>10.1073/pnas.2424788123</w:t>
        </w:r>
      </w:hyperlink>
    </w:p>
    <w:p>
      <w:pPr>
        <w:spacing w:before="0" w:after="120"/>
      </w:pPr>
      <w:r>
        <w:rPr>
          <w:b/>
        </w:rPr>
        <w:t xml:space="preserve">Notes: </w:t>
      </w:r>
      <w:r>
        <w:t>abstract_source=crossref</w:t>
      </w:r>
    </w:p>
    <w:p>
      <w:pPr>
        <w:spacing w:before="0" w:after="80" w:lineRule="auto" w:line="276"/>
      </w:pPr>
      <w:r>
        <w:rPr>
          <w:b/>
        </w:rPr>
        <w:t xml:space="preserve">摘要（ZH）: </w:t>
      </w:r>
      <w:r>
        <w:t>纹状体富含蛋白酪氨酸磷酸酶（STEP）通过使突触后底物去磷酸化来限制突触增强，但其突触前作用仍不清楚。在这里，我们发现了 STEP 在调节轴突分化和突触组装方面以前未被认识的功能。 STEP 体内和体外的遗传和药理学操作表明，STEP 通过限制突触小泡蛋白沿发育中的海马轴突聚集来限制突触前成熟。使用重构的片上电路，我们发现突触前STEP的损失足以显着增加轴突突触的数量。功能成像进一步揭示，在 STEP KO 神经元中观察到的突触点增加，主动进行去极化诱发的囊泡胞吐作用，代表真正的功能性突触。多电极阵列记录显示，STEP 缺失增加了神经元兴奋性和网络同步性，这是增强突触前功效的标志。从机制上讲，这些效应反映了 STEP 的持续磷酸化促进突触前组装和释放能力。重要的是，抑制 STEP 还可以挽救突触前分化缺陷</w:t>
      </w:r>
      <w:r>
        <w:t xml:space="preserve"> </w:t>
      </w:r>
      <w:r>
        <w:t>FMR1</w:t>
      </w:r>
      <w:r>
        <w:t xml:space="preserve"> </w:t>
      </w:r>
      <w:r>
        <w:t>KO 神经元，暗示脆性 X 相关突触病理学中异常的 STEP 信号传导。因此，STEP 作为磷酸酶看门人，抑制突触前分化和神经传递，其抑制可能为纠正脆性 X 综合征的突触缺陷提供一种治疗策略。</w:t>
      </w:r>
    </w:p>
    <w:p>
      <w:pPr>
        <w:spacing w:before="0" w:after="200" w:lineRule="auto" w:line="276"/>
      </w:pPr>
      <w:r>
        <w:rPr>
          <w:b/>
        </w:rPr>
        <w:t xml:space="preserve">Abstract (EN): </w:t>
      </w:r>
      <w:r>
        <w:t>Striatal-Enriched Protein Tyrosine Phosphatase (STEP) constrains synaptic potentiation by dephosphorylating postsynaptic substrates, but its presynaptic role has remained unclear. Here, we identify a previously unrecognized function of STEP in regulating axonal differentiation and synapse assembly. Genetic and pharmacological manipulation of STEP in vivo and in vitro show that STEP limits presynaptic maturation by restricting synaptic vesicle protein clustering along developing hippocampal axons. Using a reconstituted circuit-on-a-chip we show that loss of presynaptic STEP is sufficient to significantly increase the number of axodendritic synapses. Functional imaging further revealed that the increased synaptic puncta observed in STEP KO neurons actively undergo depolarization-evoked vesicle exocytosis, representing bona fide functional synapses. Multielectrode array recordings reveal that STEP deletion increases neuronal excitability, and network synchrony, hallmarks of enhanced presynaptic efficacy. Mechanistically, these effects reflect sustained phosphorylation of STEP promoting presynaptic assembly and release competence. Importantly, inhibiting STEP also rescues presynaptic differentiation defects in</w:t>
      </w:r>
      <w:r>
        <w:t xml:space="preserve"> </w:t>
      </w:r>
      <w:r>
        <w:t>Fmr1</w:t>
      </w:r>
      <w:r>
        <w:t xml:space="preserve"> </w:t>
      </w:r>
      <w:r>
        <w:t>KO neurons, implicating aberrant STEP signaling in Fragile X–associated synaptic pathology. Thus, STEP serves as a phosphatase gatekeeper that restrains presynaptic differentiation and neurotransmission, and its inhibition may offer a therapeutic strategy to correct synaptic deficits in Fragile X Syndrome.</w:t>
      </w:r>
    </w:p>
    <w:p>
      <w:pPr>
        <w:spacing w:before="120" w:after="120"/>
      </w:pPr>
      <w:r>
        <w:rPr>
          <w:sz w:val="18"/>
        </w:rPr>
        <w:t>——————————————————————————————————————————————————————————————————————</w:t>
      </w:r>
    </w:p>
    <w:p>
      <w:pPr>
        <w:spacing w:before="160" w:after="40" w:line="240" w:lineRule="auto"/>
      </w:pPr>
      <w:r>
        <w:rPr>
          <w:b/>
        </w:rPr>
        <w:t xml:space="preserve">[304] </w:t>
      </w:r>
      <w:hyperlink r:id="rId889">
        <w:r>
          <w:rPr>
            <w:color w:val="1155CC"/>
            <w:u w:val="single"/>
          </w:rPr>
          <w:t>特细胞源性五聚蛋白 3 使血管修剪成为婴儿血管瘤消退的关键驱动因素</w:t>
        </w:r>
      </w:hyperlink>
    </w:p>
    <w:p>
      <w:pPr>
        <w:spacing w:before="0" w:after="80"/>
      </w:pPr>
      <w:r>
        <w:rPr>
          <w:i/>
          <w:sz w:val="20"/>
        </w:rPr>
        <w:t>EN: Telocyte-derived pentraxin 3 enables vascular pruning as a key driver in infantile hemangioma regression</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890">
        <w:r>
          <w:rPr>
            <w:color w:val="1155CC"/>
            <w:u w:val="single"/>
          </w:rPr>
          <w:t>10.1073/pnas.2526271123</w:t>
        </w:r>
      </w:hyperlink>
    </w:p>
    <w:p>
      <w:pPr>
        <w:spacing w:before="0" w:after="120"/>
      </w:pPr>
      <w:r>
        <w:rPr>
          <w:b/>
        </w:rPr>
        <w:t xml:space="preserve">Notes: </w:t>
      </w:r>
      <w:r>
        <w:t>abstract_source=crossref</w:t>
      </w:r>
    </w:p>
    <w:p>
      <w:pPr>
        <w:spacing w:before="0" w:after="80" w:lineRule="auto" w:line="276"/>
      </w:pPr>
      <w:r>
        <w:rPr>
          <w:b/>
        </w:rPr>
        <w:t xml:space="preserve">摘要（ZH）: </w:t>
      </w:r>
      <w:r>
        <w:t>婴儿血管瘤（IH）是一种良性血管婴儿肿瘤，其自然病程的特点是营养不良的毛细血管最初快速增殖，随后是自发的或由一线治疗普萘洛尔诱导的消退期。尽管内皮细胞一直是大多数研究的中心，但基质细胞在血管重塑中的作用仍不清楚。特洛细胞是普萘洛尔可能靶向的基质细胞，参与组织组织和血管生成，表明它们在 IH 消退过程中的血管重塑中发挥作用。为了评估 IH 血管结构的变化和特细胞的作用，我们使用 Skin-iDISCO</w:t>
      </w:r>
      <w:r>
        <w:t xml:space="preserve"> </w:t>
      </w:r>
      <w:r>
        <w:t>+</w:t>
      </w:r>
      <w:r>
        <w:t xml:space="preserve"> </w:t>
      </w:r>
      <w:r>
        <w:t>3 维 (3D) 样本成像和源自患者的特细胞的体外模型。血管周围特细胞在回归过程中表现出树突状增加，表明它们被激活。特洛细胞分泌组分析揭示了一个复杂的抑制程序，其中正五聚蛋白 3 (PTX3) 成为中央效应器。 3D 多细胞疾病模型证明了旁分泌效应通过 FGF2-PTX3 相互作用阻断内皮成纤维细胞生长因子受体 (FGFR) 信号传导，从而强烈调节内皮增殖、出芽和激活。体外机制研究和 IV 型胶原染色分析表明，血管退化至少部分归因于血管修剪。这些发现强调了特细胞在 IH 回归过程中协调血管重塑中的关键作用，为 IH 回归的治疗开辟了前景。</w:t>
      </w:r>
    </w:p>
    <w:p>
      <w:pPr>
        <w:spacing w:before="0" w:after="200" w:lineRule="auto" w:line="276"/>
      </w:pPr>
      <w:r>
        <w:rPr>
          <w:b/>
        </w:rPr>
        <w:t xml:space="preserve">Abstract (EN): </w:t>
      </w:r>
      <w:r>
        <w:t>The natural course of infantile hemangioma (IH), a benign vascular infantile tumor, is marked by the initial rapid proliferation of dystrophic capillaries, followed by a regression phase, which is either spontaneous or induced by the first line treatment propranolol. Although endothelial cells have been at the center of most studies, the role of stromal cells in this vascular remodeling has remained unclear. Telocytes, which are stromal cells that may be targeted by propranolol, are involved in tissue organization and angiogenesis, suggesting their role in vascular remodeling during the regression of IH. To assess changes in vascular architecture of IH and the role of telocytes, we used Skin-iDISCO</w:t>
      </w:r>
      <w:r>
        <w:t xml:space="preserve"> </w:t>
      </w:r>
      <w:r>
        <w:t>+</w:t>
      </w:r>
      <w:r>
        <w:t xml:space="preserve"> </w:t>
      </w:r>
      <w:r>
        <w:t>3-Dimensions (3D) sample imaging and in vitro models with patient-derived telocytes. Perivascular telocytes exhibited increased dendricity during regression, indicating their activation. Telocytes secretome profiling revealed a complex inhibitory program, with pentraxin 3 (PTX3) emerging as a central effector. 3D multicellular disease models demonstrated a paracrine effect blocking endothelial fibroblast growth factor receptors (FGFR) signaling via FGF2–PTX3 interaction, thereby strongly regulating endothelial proliferation, sprouting, and activation. In vitro mechanistic study and collagen IV staining analysis revealed that vascular regression is at least partially due to vascular pruning. These findings highlight the pivotal role of telocytes in orchestrating vascular remodeling during IH regression, opening therapeutic perspectives for inducing vascular normalization in pathological angiogenesis, including cancer.</w:t>
      </w:r>
    </w:p>
    <w:p>
      <w:pPr>
        <w:spacing w:before="120" w:after="120"/>
      </w:pPr>
      <w:r>
        <w:rPr>
          <w:sz w:val="18"/>
        </w:rPr>
        <w:t>——————————————————————————————————————————————————————————————————————</w:t>
      </w:r>
    </w:p>
    <w:p>
      <w:pPr>
        <w:spacing w:before="160" w:after="40" w:line="240" w:lineRule="auto"/>
      </w:pPr>
      <w:r>
        <w:rPr>
          <w:b/>
        </w:rPr>
        <w:t xml:space="preserve">[305] </w:t>
      </w:r>
      <w:hyperlink r:id="rId891">
        <w:r>
          <w:rPr>
            <w:color w:val="1155CC"/>
            <w:u w:val="single"/>
          </w:rPr>
          <w:t>社会免疫可能是社会进化的结果和原因</w:t>
        </w:r>
      </w:hyperlink>
    </w:p>
    <w:p>
      <w:pPr>
        <w:spacing w:before="0" w:after="80"/>
      </w:pPr>
      <w:r>
        <w:rPr>
          <w:i/>
          <w:sz w:val="20"/>
        </w:rPr>
        <w:t>EN: Social immunity can be a consequence and cause of social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892">
        <w:r>
          <w:rPr>
            <w:color w:val="1155CC"/>
            <w:u w:val="single"/>
          </w:rPr>
          <w:t>10.1073/pnas.2518957123</w:t>
        </w:r>
      </w:hyperlink>
    </w:p>
    <w:p>
      <w:pPr>
        <w:spacing w:before="0" w:after="120"/>
      </w:pPr>
      <w:r>
        <w:rPr>
          <w:b/>
        </w:rPr>
        <w:t xml:space="preserve">Notes: </w:t>
      </w:r>
      <w:r>
        <w:t>abstract_source=crossref</w:t>
      </w:r>
    </w:p>
    <w:p>
      <w:pPr>
        <w:spacing w:before="0" w:after="80" w:lineRule="auto" w:line="276"/>
      </w:pPr>
      <w:r>
        <w:rPr>
          <w:b/>
        </w:rPr>
        <w:t xml:space="preserve">摘要（ZH）: </w:t>
      </w:r>
      <w:r>
        <w:t>许多社会性昆虫对病原体的反应方式是减少病原体在其社会群体内的传播，例如梳理或清除受感染的个体。群体内的这种“社会免疫”可与多细胞生物体的免疫反应进行比较。然而，我们缺乏一个理论框架来理解社会免疫可能的进化起源和后果。社会免疫最初演化的条件有多大限制？我们是否会期望社会免疫力会影响甚至与社会复杂性的其他方面（例如群体规模或种姓数量）共同进化？我们开发了一个理论框架来研究可能将社会免疫和社会进化联系起来的进化情景。我们发现：（1）在相对简单的社会系统中，群体成员之间的相关性可能会有所不同，社会免疫力可能会受到青睐； (2) 社会免疫力可以与群体成熟年龄共同进化，导致群体在开始繁殖之前生长更长时间； （3）社会免疫力往往会导致更大的群体的进化，从而可以选择更多的工人种姓。这些结果表明，社会免疫既可以是社会进化的结果，也可以是社会进化的原因。</w:t>
      </w:r>
    </w:p>
    <w:p>
      <w:pPr>
        <w:spacing w:before="0" w:after="200" w:lineRule="auto" w:line="276"/>
      </w:pPr>
      <w:r>
        <w:rPr>
          <w:b/>
        </w:rPr>
        <w:t xml:space="preserve">Abstract (EN): </w:t>
      </w:r>
      <w:r>
        <w:t>Many social insects respond to pathogens in ways that reduce pathogen transmission within their social groups, with behaviors such as grooming or removing infected individuals. This “social immunity” within a group has been compared to the immune response of multicellular organisms. However, we lack a theoretical framework for understanding both the possible evolutionary origins and consequences of social immunity. How restrictive are the conditions for the initial evolution of social immunity? Would we expect social immunity to influence or even coevolve with other aspects of social complexity, such as colony size or the number of castes? We developed a theoretical framework for examining the evolutionary scenarios that may link social immunity and social evolution. We found that: (1) social immunity can be favored in relatively simple social systems, where relatedness between group members can vary; (2) social immunity can coevolve with the age of colony maturation, leading to colonies that grow for a longer period before they start reproducing; and (3) social immunity often leads to the evolution of larger colonies, which can then select for more worker castes. These results suggest that social immunity can be both a consequence and a cause of social evolution.</w:t>
      </w:r>
    </w:p>
    <w:p>
      <w:pPr>
        <w:spacing w:before="120" w:after="120"/>
      </w:pPr>
      <w:r>
        <w:rPr>
          <w:sz w:val="18"/>
        </w:rPr>
        <w:t>——————————————————————————————————————————————————————————————————————</w:t>
      </w:r>
    </w:p>
    <w:p>
      <w:pPr>
        <w:spacing w:before="160" w:after="40" w:line="240" w:lineRule="auto"/>
      </w:pPr>
      <w:r>
        <w:rPr>
          <w:b/>
        </w:rPr>
        <w:t xml:space="preserve">[306] </w:t>
      </w:r>
      <w:hyperlink r:id="rId893">
        <w:r>
          <w:rPr>
            <w:color w:val="1155CC"/>
            <w:u w:val="single"/>
          </w:rPr>
          <w:t>Drp1驱动的巩膜线粒体碎片促进近视发展</w:t>
        </w:r>
      </w:hyperlink>
    </w:p>
    <w:p>
      <w:pPr>
        <w:spacing w:before="0" w:after="80"/>
      </w:pPr>
      <w:r>
        <w:rPr>
          <w:i/>
          <w:sz w:val="20"/>
        </w:rPr>
        <w:t>EN: Drp1-driven fragmentation of scleral mitochondria promotes myopia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894">
        <w:r>
          <w:rPr>
            <w:color w:val="1155CC"/>
            <w:u w:val="single"/>
          </w:rPr>
          <w:t>10.1073/pnas.2511427123</w:t>
        </w:r>
      </w:hyperlink>
    </w:p>
    <w:p>
      <w:pPr>
        <w:spacing w:before="0" w:after="120"/>
      </w:pPr>
      <w:r>
        <w:rPr>
          <w:b/>
        </w:rPr>
        <w:t xml:space="preserve">Notes: </w:t>
      </w:r>
      <w:r>
        <w:t>abstract_source=crossref</w:t>
      </w:r>
    </w:p>
    <w:p>
      <w:pPr>
        <w:spacing w:before="0" w:after="80" w:lineRule="auto" w:line="276"/>
      </w:pPr>
      <w:r>
        <w:rPr>
          <w:b/>
        </w:rPr>
        <w:t xml:space="preserve">摘要（ZH）: </w:t>
      </w:r>
      <w:r>
        <w:t>全球近视流行已成为全球日益严重的公共卫生问题。近视发展的特点是通过成纤维细胞-肌成纤维细胞转分化（FMT）和细胞外基质（ECM）降解引起的病理性巩膜重塑。由于近视是渐进性的，因此开发可持续且安全的预防干预措施势在必行。虽然线粒体动力学关键地调节其他器官的纤维化过程，但它们在巩膜稳态中的作用仍未被探索。在这里，我们确定由线粒体裂变增加引起的病理性线粒体碎片是近视进展的关键驱动因素。使用两种哺乳动物模型，我们证明线粒体裂变（诱导线粒体断裂）的遗传和药理学增强会加剧胶原蛋白损失并加速眼轴伸长，而线粒体裂变的遗传和药理学抑制可防止胶原蛋白降解并减弱近视进展。在培养的人巩膜成纤维细胞 (HSF) 中，缺氧诱导的 FMT 需要激活线粒体裂变，这表明活性氧 (ROS) 的过量产生是 HSF 和两种动物模型的下游效应物。我们的多层次分析确定线粒体裂变-ROS 轴是连接巩膜缺氧与 ECM 重塑的关键途径。番茄红素是一种天然存在的类胡萝卜素抗氧化剂，可显着降低巩膜 ROS 水平，并被发现适合长期使用，凸显了其作为控制近视治疗剂的潜力。科莱</w:t>
      </w:r>
    </w:p>
    <w:p>
      <w:pPr>
        <w:spacing w:before="0" w:after="200" w:lineRule="auto" w:line="276"/>
      </w:pPr>
      <w:r>
        <w:rPr>
          <w:b/>
        </w:rPr>
        <w:t xml:space="preserve">Abstract (EN): </w:t>
      </w:r>
      <w:r>
        <w:t>The global epidemic of myopia constitutes a growing public health concern worldwide. Myopia development is characterized by pathological scleral remodeling through fibroblast-myofibroblast transdifferentiation (FMT) and extracellular matrix (ECM) degradation. Since myopia is progressive, the development of sustainable and safe preventive interventions is imperative. While mitochondrial dynamics critically regulate fibrotic processes in other organs, their role in scleral homeostasis has remained unexplored. Here, we identify pathological mitochondrial fragmentation, caused by increased mitochondrial fission, as a key driver of myopia progression. Using two mammalian animal models, we demonstrate that both genetic and pharmacological enhancement of mitochondrial fission (inducing mitochondrial fragmentation) exacerbates collagen loss and accelerates axial elongation, whereas genetic and pharmacological inhibition of mitochondrial fission prevents collagen degradation and attenuates myopia progression. Hypoxia-induced FMT in cultured human scleral fibroblasts (HSFs) requires activation of mitochondrial fission, revealing overproduction of reactive oxygen species (ROS) as the downstream effector on HSFs and in both animal models. Our multilevel analyses identify the mitochondrial fission-ROS axis as a key pathway linking scleral hypoxia to ECM remodeling. Lycopene, a naturally occurring carotenoid antioxidant, significantly attenuated scleral ROS levels and was found suitable for long-term application, highlighting its potential as a therapeutic agent for myopia control. Collectively, these findings have identified a therapeutic target and agent for controlling myopia progression.</w:t>
      </w:r>
    </w:p>
    <w:p>
      <w:pPr>
        <w:spacing w:before="120" w:after="120"/>
      </w:pPr>
      <w:r>
        <w:rPr>
          <w:sz w:val="18"/>
        </w:rPr>
        <w:t>——————————————————————————————————————————————————————————————————————</w:t>
      </w:r>
    </w:p>
    <w:p>
      <w:pPr>
        <w:spacing w:before="160" w:after="40" w:line="240" w:lineRule="auto"/>
      </w:pPr>
      <w:r>
        <w:rPr>
          <w:b/>
        </w:rPr>
        <w:t xml:space="preserve">[307] </w:t>
      </w:r>
      <w:hyperlink r:id="rId895">
        <w:r>
          <w:rPr>
            <w:color w:val="1155CC"/>
            <w:u w:val="single"/>
          </w:rPr>
          <w:t>探索表面电子量子限制的三维</w:t>
        </w:r>
      </w:hyperlink>
    </w:p>
    <w:p>
      <w:pPr>
        <w:spacing w:before="0" w:after="80"/>
      </w:pPr>
      <w:r>
        <w:rPr>
          <w:i/>
          <w:sz w:val="20"/>
        </w:rPr>
        <w:t>EN: Exploring the third dimension in quantum confinement of surface electrons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96">
        <w:r>
          <w:rPr>
            <w:color w:val="1155CC"/>
            <w:u w:val="single"/>
          </w:rPr>
          <w:t>10.1126/sciadv.aed3926</w:t>
        </w:r>
      </w:hyperlink>
    </w:p>
    <w:p>
      <w:pPr>
        <w:spacing w:before="0" w:after="120"/>
      </w:pPr>
      <w:r>
        <w:rPr>
          <w:b/>
        </w:rPr>
        <w:t xml:space="preserve">Notes: </w:t>
      </w:r>
      <w:r>
        <w:t>abstract_source=crossref</w:t>
      </w:r>
    </w:p>
    <w:p>
      <w:pPr>
        <w:spacing w:before="0" w:after="80" w:lineRule="auto" w:line="276"/>
      </w:pPr>
      <w:r>
        <w:rPr>
          <w:b/>
        </w:rPr>
        <w:t xml:space="preserve">摘要（ZH）: </w:t>
      </w:r>
      <w:r>
        <w:t>二维金属有机网络中表面电子的量子限制为量子和自旋电子技术的电子态设计提供了一条强大的途径。在这里，我们证明了表面电势垂直变化对表面电子量子限制的关键作用。我们研究了 Cu(111) 上 Cu-T4PT 网络中肖克利表面态和像势态电子及其独特垂直电子密度分布的限制。我们发现图像态的带质量发生了实质性的重正化，而肖克利态几乎保持不变。这种显着的分歧源于 Cu-T4PT 网络独特的三维势能景观，在分子主链的垂直位置和 Cu 配位球下方的泄漏通道处具有很强的排斥势。我们的研究结果证明了垂直势工程在设计量子限制态中的重要作用，从而推进对纳米尺度电子特性和量子现象的控制。</w:t>
      </w:r>
    </w:p>
    <w:p>
      <w:pPr>
        <w:spacing w:before="0" w:after="200" w:lineRule="auto" w:line="276"/>
      </w:pPr>
      <w:r>
        <w:rPr>
          <w:b/>
        </w:rPr>
        <w:t xml:space="preserve">Abstract (EN): </w:t>
      </w:r>
      <w:r>
        <w:t>Quantum confinement of surface electrons in two-dimensional metal-organic networks offers a powerful route to engineer electronic states for quantum and spintronic technologies. Here, we demonstrate the pivotal role of vertical variations in the surface potential on the quantum confinement of surface electrons. We investigate the confinement of both Shockley surface state and image-potential state electrons with their distinct vertical electron density distributions in a Cu-T4PT network on Cu(111). We find a substantial renormalization of the band mass of the image state, whereas the Shockley state remains almost unchanged. This notable divergence arises from the distinct three-dimensional potential landscape of the Cu-T4PT network, with a strong repulsive potential at the vertical position of the molecular backbone and leaky channels beneath the Cu coordination spheres. Our findings demonstrate the essential role of vertical potential engineering in designing quantum-confined states, thereby advancing control over electronic properties and quantum phenomena at the nanoscale.</w:t>
      </w:r>
    </w:p>
    <w:p>
      <w:pPr>
        <w:spacing w:before="120" w:after="120"/>
      </w:pPr>
      <w:r>
        <w:rPr>
          <w:sz w:val="18"/>
        </w:rPr>
        <w:t>——————————————————————————————————————————————————————————————————————</w:t>
      </w:r>
    </w:p>
    <w:p>
      <w:pPr>
        <w:spacing w:before="160" w:after="40" w:line="240" w:lineRule="auto"/>
      </w:pPr>
      <w:r>
        <w:rPr>
          <w:b/>
        </w:rPr>
        <w:t xml:space="preserve">[308] </w:t>
      </w:r>
      <w:hyperlink r:id="rId897">
        <w:r>
          <w:rPr>
            <w:color w:val="1155CC"/>
            <w:u w:val="single"/>
          </w:rPr>
          <w:t>精准医学的盲点：重新平衡证据基础以反映女性健康</w:t>
        </w:r>
      </w:hyperlink>
    </w:p>
    <w:p>
      <w:pPr>
        <w:spacing w:before="0" w:after="80"/>
      </w:pPr>
      <w:r>
        <w:rPr>
          <w:i/>
          <w:sz w:val="20"/>
        </w:rPr>
        <w:t>EN: Precision medicine’s blind spot: Rebalancing the evidence base to reflect women’s health</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898">
        <w:r>
          <w:rPr>
            <w:color w:val="1155CC"/>
            <w:u w:val="single"/>
          </w:rPr>
          <w:t>10.1126/sciadv.aei0515</w:t>
        </w:r>
      </w:hyperlink>
    </w:p>
    <w:p>
      <w:pPr>
        <w:spacing w:before="0" w:after="120"/>
      </w:pPr>
      <w:r>
        <w:rPr>
          <w:b/>
        </w:rPr>
        <w:t xml:space="preserve">Notes: </w:t>
      </w:r>
      <w:r>
        <w:t>abstract_source=crossref</w:t>
      </w:r>
    </w:p>
    <w:p>
      <w:pPr>
        <w:spacing w:before="0" w:after="80" w:lineRule="auto" w:line="276"/>
      </w:pPr>
      <w:r>
        <w:rPr>
          <w:b/>
        </w:rPr>
        <w:t xml:space="preserve">摘要（ZH）: </w:t>
      </w:r>
      <w:r>
        <w:t>精准医学需要反映女性生物学的证据基础，要求在资金、研究设计和按性别分类的报告方面进行改革。</w:t>
      </w:r>
    </w:p>
    <w:p>
      <w:pPr>
        <w:spacing w:before="0" w:after="200" w:lineRule="auto" w:line="276"/>
      </w:pPr>
      <w:r>
        <w:rPr>
          <w:b/>
        </w:rPr>
        <w:t xml:space="preserve">Abstract (EN): </w:t>
      </w:r>
      <w:r>
        <w:t>Precision medicine requires an evidence base that reflects women’s biology, demanding reforms in funding, study design, and sex-disaggregated reporting.</w:t>
      </w:r>
    </w:p>
    <w:p>
      <w:pPr>
        <w:spacing w:before="120" w:after="120"/>
      </w:pPr>
      <w:r>
        <w:rPr>
          <w:sz w:val="18"/>
        </w:rPr>
        <w:t>——————————————————————————————————————————————————————————————————————</w:t>
      </w:r>
    </w:p>
    <w:p>
      <w:pPr>
        <w:spacing w:before="160" w:after="40" w:line="240" w:lineRule="auto"/>
      </w:pPr>
      <w:r>
        <w:rPr>
          <w:b/>
        </w:rPr>
        <w:t xml:space="preserve">[309] </w:t>
      </w:r>
      <w:hyperlink r:id="rId899">
        <w:r>
          <w:rPr>
            <w:color w:val="1155CC"/>
            <w:u w:val="single"/>
          </w:rPr>
          <w:t>4.1 Ga 火星陨石 Teghaza 001 中的诺亚水圈组成部分</w:t>
        </w:r>
      </w:hyperlink>
    </w:p>
    <w:p>
      <w:pPr>
        <w:spacing w:before="0" w:after="80"/>
      </w:pPr>
      <w:r>
        <w:rPr>
          <w:i/>
          <w:sz w:val="20"/>
        </w:rPr>
        <w:t>EN: A Noachian hydrosphere component in the 4.1-Ga Martian meteorite Teghaza 001</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900">
        <w:r>
          <w:rPr>
            <w:color w:val="1155CC"/>
            <w:u w:val="single"/>
          </w:rPr>
          <w:t>10.1126/sciadv.aea3420</w:t>
        </w:r>
      </w:hyperlink>
    </w:p>
    <w:p>
      <w:pPr>
        <w:spacing w:before="0" w:after="120"/>
      </w:pPr>
      <w:r>
        <w:rPr>
          <w:b/>
        </w:rPr>
        <w:t xml:space="preserve">Notes: </w:t>
      </w:r>
      <w:r>
        <w:t>abstract_source=crossref</w:t>
      </w:r>
    </w:p>
    <w:p>
      <w:pPr>
        <w:spacing w:before="0" w:after="80" w:lineRule="auto" w:line="276"/>
      </w:pPr>
      <w:r>
        <w:rPr>
          <w:b/>
        </w:rPr>
        <w:t xml:space="preserve">摘要（ZH）: </w:t>
      </w:r>
      <w:r>
        <w:t>最近发现了 41 亿年 (Ga) 火星辉长闪长岩，可以对早期火星的水库进行评估。 H 的测量</w:t>
      </w:r>
      <w:r>
        <w:rPr>
          <w:vertAlign w:val="subscript"/>
        </w:rPr>
        <w:t>2</w:t>
      </w:r>
      <w:r>
        <w:t>火成磷酸钙中的 O 和 D/H 记录了贫 D 岩浆水和富含 D 成分之间的混合，保留了古代火星水圈的印记。不同年龄和地幔来源的火星岩浆中岩浆水的D/H比值相似，表明早期的分化过程并未对原始火星地幔中的H同位素进行分馏。富含 D 的成分被迁移的岩浆同化，这些岩浆与水蚀玄武岩地壳相互作用。我们对火星水圈 D/H 比的最小限制为 4.1 Ga（约是地球海水 D/H 比的 2 倍），支持 H 从火星年轻大气层快速流失到太空的模型。</w:t>
      </w:r>
    </w:p>
    <w:p>
      <w:pPr>
        <w:spacing w:before="0" w:after="200" w:lineRule="auto" w:line="276"/>
      </w:pPr>
      <w:r>
        <w:rPr>
          <w:b/>
        </w:rPr>
        <w:t xml:space="preserve">Abstract (EN): </w:t>
      </w:r>
      <w:r>
        <w:t>The recent discovery of a 4.1-billion-year-old (Ga) Martian gabbroic diorite enables an assessment of water reservoirs on early Mars. Measurements of H</w:t>
      </w:r>
      <w:r>
        <w:rPr>
          <w:vertAlign w:val="subscript"/>
        </w:rPr>
        <w:t>2</w:t>
      </w:r>
      <w:r>
        <w:t>O and D/H in igneous Ca-phosphates record mixing between D-poor magmatic water and a D-rich component that retains an imprint of the ancient Martian hydrosphere. The D/H ratio of magmatic water is similar in Martian magmas with different ages and mantle sources, indicating that early differentiation processes did not fractionate H isotopes in the primordial Martian mantle. The D-rich component was assimilated by migrating magmas that interacted with aqueously altered basaltic crust. Our minimum bound on the D/H ratio of the Martian hydrosphere at 4.1 Ga (~2× the D/H ratio of Earth seawater) supports models of rapid H loss to space from Mars’ juvenile atmosphere.</w:t>
      </w:r>
    </w:p>
    <w:p>
      <w:pPr>
        <w:spacing w:before="120" w:after="120"/>
      </w:pPr>
      <w:r>
        <w:rPr>
          <w:sz w:val="18"/>
        </w:rPr>
        <w:t>——————————————————————————————————————————————————————————————————————</w:t>
      </w:r>
    </w:p>
    <w:p>
      <w:pPr>
        <w:spacing w:before="160" w:after="40" w:line="240" w:lineRule="auto"/>
      </w:pPr>
      <w:r>
        <w:rPr>
          <w:b/>
        </w:rPr>
        <w:t xml:space="preserve">[310] </w:t>
      </w:r>
      <w:hyperlink r:id="rId901">
        <w:r>
          <w:rPr>
            <w:color w:val="1155CC"/>
            <w:u w:val="single"/>
          </w:rPr>
          <w:t>人为造成的海平面上升导致 21 世纪全球水位极端</w:t>
        </w:r>
      </w:hyperlink>
    </w:p>
    <w:p>
      <w:pPr>
        <w:spacing w:before="0" w:after="80"/>
      </w:pPr>
      <w:r>
        <w:rPr>
          <w:i/>
          <w:sz w:val="20"/>
        </w:rPr>
        <w:t>EN: Human-caused sea level rise drives 21st-century worldwide water level extremes</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902">
        <w:r>
          <w:rPr>
            <w:color w:val="1155CC"/>
            <w:u w:val="single"/>
          </w:rPr>
          <w:t>10.1126/sciadv.adz3595</w:t>
        </w:r>
      </w:hyperlink>
    </w:p>
    <w:p>
      <w:pPr>
        <w:spacing w:before="0" w:after="120"/>
      </w:pPr>
      <w:r>
        <w:rPr>
          <w:b/>
        </w:rPr>
        <w:t xml:space="preserve">Notes: </w:t>
      </w:r>
      <w:r>
        <w:t>abstract_source=crossref</w:t>
      </w:r>
    </w:p>
    <w:p>
      <w:pPr>
        <w:spacing w:before="0" w:after="80" w:lineRule="auto" w:line="276"/>
      </w:pPr>
      <w:r>
        <w:rPr>
          <w:b/>
        </w:rPr>
        <w:t xml:space="preserve">摘要（ZH）: </w:t>
      </w:r>
      <w:r>
        <w:t>世界各地海平面上升的速度和影响差异很大，但人为气候变化对当地和区域洪水风险增加的影响尚未得到系统探讨。由于此类信息对于当地决策、法律程序以及损失和损害的确定至关重要，因此我们使用基于预算的半经验模型方法量化了人为气候变化对全球各地海平面上升的影响。结果显示，在 519 个验潮站中，97% 的人为海平面上升是可量化的，并且造成了 2000 年至 2018 年期间观测到的每日极端水位超标的 58%（44% 至 65%）。平均而言，自 20 世纪 70 年代以来，人为造成的海平面上升已导致可归因的超标天数增加了近两倍。</w:t>
      </w:r>
    </w:p>
    <w:p>
      <w:pPr>
        <w:spacing w:before="0" w:after="200" w:lineRule="auto" w:line="276"/>
      </w:pPr>
      <w:r>
        <w:rPr>
          <w:b/>
        </w:rPr>
        <w:t xml:space="preserve">Abstract (EN): </w:t>
      </w:r>
      <w:r>
        <w:t>The rate and impacts of sea level rise vary considerably around the world, but the contribution of human-caused climate change to increases in local and regional flood risks has not yet been systematically explored. Because such information is critical to local decision making, legal proceedings, and loss and damage determinations, we quantify human-caused climate change’s contributions to sea level rise at worldwide locations using budget-based and semiempirical model methods. Results show that human-caused sea level rise is quantifiable at 97% of 519 tide gauge sites and is responsible for 58% (44 to 65%) of the observed daily extreme water level exceedances over 2000–2018. On average, human-caused sea level rise has caused a near-tripling in the number of days with attributable exceedances since the 1970s.</w:t>
      </w:r>
    </w:p>
    <w:p>
      <w:pPr>
        <w:spacing w:before="120" w:after="120"/>
      </w:pPr>
      <w:r>
        <w:rPr>
          <w:sz w:val="18"/>
        </w:rPr>
        <w:t>——————————————————————————————————————————————————————————————————————</w:t>
      </w:r>
    </w:p>
    <w:p>
      <w:pPr>
        <w:spacing w:before="160" w:after="40" w:line="240" w:lineRule="auto"/>
      </w:pPr>
      <w:r>
        <w:rPr>
          <w:b/>
        </w:rPr>
        <w:t xml:space="preserve">[311] </w:t>
      </w:r>
      <w:hyperlink r:id="rId903">
        <w:r>
          <w:rPr>
            <w:color w:val="1155CC"/>
            <w:u w:val="single"/>
          </w:rPr>
          <w:t>保守的双相静脉重塑程序控制斑马鱼下腔静脉的形成</w:t>
        </w:r>
      </w:hyperlink>
    </w:p>
    <w:p>
      <w:pPr>
        <w:spacing w:before="0" w:after="80"/>
      </w:pPr>
      <w:r>
        <w:rPr>
          <w:i/>
          <w:sz w:val="20"/>
        </w:rPr>
        <w:t>EN: A conserved biphasic venous remodeling program governs inferior vena cava formation in zebrafish</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904">
        <w:r>
          <w:rPr>
            <w:color w:val="1155CC"/>
            <w:u w:val="single"/>
          </w:rPr>
          <w:t>10.1126/sciadv.ady3541</w:t>
        </w:r>
      </w:hyperlink>
    </w:p>
    <w:p>
      <w:pPr>
        <w:spacing w:before="0" w:after="120"/>
      </w:pPr>
      <w:r>
        <w:rPr>
          <w:b/>
        </w:rPr>
        <w:t xml:space="preserve">Notes: </w:t>
      </w:r>
      <w:r>
        <w:t>abstract_source=crossref</w:t>
      </w:r>
    </w:p>
    <w:p>
      <w:pPr>
        <w:spacing w:before="0" w:after="80" w:lineRule="auto" w:line="276"/>
      </w:pPr>
      <w:r>
        <w:rPr>
          <w:b/>
        </w:rPr>
        <w:t xml:space="preserve">摘要（ZH）: </w:t>
      </w:r>
      <w:r>
        <w:t>下腔静脉 (IVC) 是人类最大的静脉，是通过替换胚胎主静脉 (CV) 发育而成的，这是一个容易出现先天性异常的复杂过程，具有重大的临床意义。然而，IVC 形成的机制仍不清楚。在这里，我们鉴定了斑马鱼 IVC，它在变态过程中出现并取代胚胎 CV，遵循与哺乳动物中描述的类似的双相序列。使用纵向成像和克隆谱系追踪，我们证明 IVC 完全源自预先存在的静脉内皮细胞。出乎意料的是，遗传和药理学扰动表明 IVC 形成独立于 Vegfc/Vegfr3 信号传导，而是涉及 Vegfa 依赖性静脉芽。最后，我们证明从 CV 到 IVC 的转变标志着从多功能胚胎静脉到适合大容量血液运输的专门成人导管的转变。总的来说，我们确定了类似于哺乳动物下腔静脉形成的静脉形态发生程序，为研究静脉异常提供了基础。</w:t>
      </w:r>
    </w:p>
    <w:p>
      <w:pPr>
        <w:spacing w:before="0" w:after="200" w:lineRule="auto" w:line="276"/>
      </w:pPr>
      <w:r>
        <w:rPr>
          <w:b/>
        </w:rPr>
        <w:t xml:space="preserve">Abstract (EN): </w:t>
      </w:r>
      <w:r>
        <w:t>The Inferior Vena Cava (IVC), the largest vein in humans, develops through replacement of the embryonic cardinal veins (CVs), a complex process prone to congenital anomalies, with major clinical implications. Yet, the mechanisms underlying IVC formation remain unclear. Here, we identify the zebrafish IVC, which emerges during metamorphosis and replaces the embryonic CVs, following a biphasic sequence similar to that described in mammals. Using longitudinal imaging and clonal lineage tracing, we demonstrate that the IVC originates exclusively from preexisting venous endothelial cells. Unexpectedly, genetic and pharmacological perturbations reveal that IVC formation proceeds independently of Vegfc/Vegfr3 signaling and instead involves Vegfa-dependent venous sprouting. Last, we demonstrate that the transition from CV to IVC marks a shift from a multifunctional embryonic vein to a specialized adult conduit adapted for high-volume blood transport. Overall, we identify a venous morphogenesis program akin to the mammalian IVC formation, providing a foundation for investigating venous anomalies.</w:t>
      </w:r>
    </w:p>
    <w:p>
      <w:pPr>
        <w:spacing w:before="120" w:after="120"/>
      </w:pPr>
      <w:r>
        <w:rPr>
          <w:sz w:val="18"/>
        </w:rPr>
        <w:t>——————————————————————————————————————————————————————————————————————</w:t>
      </w:r>
    </w:p>
    <w:p>
      <w:pPr>
        <w:spacing w:before="160" w:after="40" w:line="240" w:lineRule="auto"/>
      </w:pPr>
      <w:r>
        <w:rPr>
          <w:b/>
        </w:rPr>
        <w:t xml:space="preserve">[312] </w:t>
      </w:r>
      <w:hyperlink r:id="rId905">
        <w:r>
          <w:rPr>
            <w:color w:val="1155CC"/>
            <w:u w:val="single"/>
          </w:rPr>
          <w:t>恢复因睡眠不足而中断的长期社会认可记忆</w:t>
        </w:r>
      </w:hyperlink>
    </w:p>
    <w:p>
      <w:pPr>
        <w:spacing w:before="0" w:after="80"/>
      </w:pPr>
      <w:r>
        <w:rPr>
          <w:i/>
          <w:sz w:val="20"/>
        </w:rPr>
        <w:t>EN: Restoring access to long-term social recognition memories disrupted by sleep deprivation</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906">
        <w:r>
          <w:rPr>
            <w:color w:val="1155CC"/>
            <w:u w:val="single"/>
          </w:rPr>
          <w:t>10.1126/sciadv.adu9805</w:t>
        </w:r>
      </w:hyperlink>
    </w:p>
    <w:p>
      <w:pPr>
        <w:spacing w:before="0" w:after="120"/>
      </w:pPr>
      <w:r>
        <w:rPr>
          <w:b/>
        </w:rPr>
        <w:t xml:space="preserve">Notes: </w:t>
      </w:r>
      <w:r>
        <w:t>abstract_source=crossref</w:t>
      </w:r>
    </w:p>
    <w:p>
      <w:pPr>
        <w:spacing w:before="0" w:after="80" w:lineRule="auto" w:line="276"/>
      </w:pPr>
      <w:r>
        <w:rPr>
          <w:b/>
        </w:rPr>
        <w:t xml:space="preserve">摘要（ZH）: </w:t>
      </w:r>
      <w:r>
        <w:t>长期的社交记忆对于建立和维持关系至关重要，而社交健忘症会扰乱日常生活。使用一种新的范式来研究这些依赖于海马体的记忆，我们发现小鼠可以区分多种社会经历，即使它们在几天内发生在相同的环境中。社交后立即剥夺睡眠会破坏记忆巩固，导致社交健忘症。在睡眠剥夺期间使用美国食品和药物管理局批准的 4 型磷酸二酯酶抑制剂罗氟司特进行治疗可保护记忆巩固，而在测试前立即服用可暂时逆转社交遗忘症。齿状回印迹细胞的光遗传学重新激活可以恢复社会记忆访问并能够选择性检索个体记忆。此外，使用两种基于 cFos 的印迹标记策略，我们发现睡眠剥夺选择性地影响特定经历印迹的重新激活，而不影响印迹形成或重叠。这些结果表明，受损的印迹重新激活会导致睡眠剥夺引起的社交遗忘症，并强调海马齿状回在维持和区分单一环境中的社交体验方面的作用。</w:t>
      </w:r>
    </w:p>
    <w:p>
      <w:pPr>
        <w:spacing w:before="0" w:after="200" w:lineRule="auto" w:line="276"/>
      </w:pPr>
      <w:r>
        <w:rPr>
          <w:b/>
        </w:rPr>
        <w:t xml:space="preserve">Abstract (EN): </w:t>
      </w:r>
      <w:r>
        <w:t>Long-term social memories are vital for forming and maintaining relationships, and social amnesia can disrupt daily life. Using a new paradigm to study these hippocampus-dependent memories, we show that mice can distinguish between multiple social experiences even when they occur in the same context across days. Sleep deprivation immediately after socialization disrupts memory consolidation, leading to social amnesia. Treatment with the Food and Drug Administration–approved phosphodiesterase type 4 inhibitor roflumilast during sleep deprivation protects memory consolidation, while administration immediately before testing reverses social amnesia temporarily. Optogenetic reactivation of dentate gyrus engram cells restores social memory access and enables selective retrieval of individual memories. In addition, using two cFos-based engram-tagging strategies, we find that sleep deprivation selectively affects reactivation of experience-specific engrams while not affecting engram formation or overlap. These results suggest that impaired engram reactivation contributes to sleep deprivation–induced social amnesia and highlights the role of the hippocampal dentate gyrus in maintaining and distinguishing social experiences in a single context.</w:t>
      </w:r>
    </w:p>
    <w:p>
      <w:pPr>
        <w:spacing w:before="120" w:after="120"/>
      </w:pPr>
      <w:r>
        <w:rPr>
          <w:sz w:val="18"/>
        </w:rPr>
        <w:t>——————————————————————————————————————————————————————————————————————</w:t>
      </w:r>
    </w:p>
    <w:p>
      <w:pPr>
        <w:spacing w:before="160" w:after="40" w:line="240" w:lineRule="auto"/>
      </w:pPr>
      <w:r>
        <w:rPr>
          <w:b/>
        </w:rPr>
        <w:t xml:space="preserve">[313] </w:t>
      </w:r>
      <w:hyperlink r:id="rId907">
        <w:r>
          <w:rPr>
            <w:color w:val="1155CC"/>
            <w:u w:val="single"/>
          </w:rPr>
          <w:t>家鸡超快速 MC1R 蛋白及相关羽毛颜色演化</w:t>
        </w:r>
      </w:hyperlink>
    </w:p>
    <w:p>
      <w:pPr>
        <w:spacing w:before="0" w:after="80"/>
      </w:pPr>
      <w:r>
        <w:rPr>
          <w:i/>
          <w:sz w:val="20"/>
        </w:rPr>
        <w:t>EN: Ultrarapid MC1R protein and associated plumage color evolution in the domestic chicken</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08">
        <w:r>
          <w:rPr>
            <w:color w:val="1155CC"/>
            <w:u w:val="single"/>
          </w:rPr>
          <w:t>10.1073/pnas.2605288123</w:t>
        </w:r>
      </w:hyperlink>
    </w:p>
    <w:p>
      <w:pPr>
        <w:spacing w:before="0" w:after="120"/>
      </w:pPr>
      <w:r>
        <w:rPr>
          <w:b/>
        </w:rPr>
        <w:t xml:space="preserve">Notes: </w:t>
      </w:r>
      <w:r>
        <w:t>abstract_source=crossref</w:t>
      </w:r>
    </w:p>
    <w:p>
      <w:pPr>
        <w:spacing w:before="0" w:after="80" w:lineRule="auto" w:line="276"/>
      </w:pPr>
      <w:r>
        <w:rPr>
          <w:b/>
        </w:rPr>
        <w:t xml:space="preserve">摘要（ZH）: </w:t>
      </w:r>
      <w:r>
        <w:t>家鸡表现出极高的羽毛多样性，与其野生祖先红原鸡均匀的羽毛表型形成鲜明对比。的</w:t>
      </w:r>
      <w:r>
        <w:t xml:space="preserve"> </w:t>
      </w:r>
      <w:r>
        <w:t>黑皮质素-1受体</w:t>
      </w:r>
      <w:r>
        <w:t xml:space="preserve"> </w:t>
      </w:r>
      <w:r>
        <w:t>（</w:t>
      </w:r>
      <w:r>
        <w:t xml:space="preserve"> </w:t>
      </w:r>
      <w:r>
        <w:t>MC1R</w:t>
      </w:r>
      <w:r>
        <w:t xml:space="preserve"> </w:t>
      </w:r>
      <w:r>
        <w:t>)基因座是家鸡中变化最大的色素沉着基因座。在这里，我们分析了 10,026 只鸟类的全基因组序列数据，其中包括红原鸡和 393 个家鸡种群。我们记录了 18 的超快速演化</w:t>
      </w:r>
      <w:r>
        <w:t xml:space="preserve"> </w:t>
      </w:r>
      <w:r>
        <w:t>MC1R</w:t>
      </w:r>
      <w:r>
        <w:t xml:space="preserve"> </w:t>
      </w:r>
      <w:r>
        <w:t>等位基因，由于 9 个错义突变的累积以及单个序列变异体的重新洗牌</w:t>
      </w:r>
      <w:r>
        <w:t xml:space="preserve"> </w:t>
      </w:r>
      <w:r>
        <w:t>MC1R</w:t>
      </w:r>
      <w:r>
        <w:t xml:space="preserve"> </w:t>
      </w:r>
      <w:r>
        <w:t>外显子。缺乏连锁不平衡</w:t>
      </w:r>
      <w:r>
        <w:t xml:space="preserve"> </w:t>
      </w:r>
      <w:r>
        <w:t>MC1R</w:t>
      </w:r>
      <w:r>
        <w:t xml:space="preserve"> </w:t>
      </w:r>
      <w:r>
        <w:t>位点强烈表明这种组合等位基因多样性是由等位基因间基因转换产生的，可能是由于其高鸟嘌呤-胞嘧啶含量而促进的。使用第二信使和生物发光共振能量转移测定以及同源建模对转染细胞中表达的 MC1R 变体进行功能分析，证明大多数错义突变对 MC1R 信号传导具有显着影响，包括激活和抑制变化。一种常见的</w:t>
      </w:r>
      <w:r>
        <w:t xml:space="preserve"> </w:t>
      </w:r>
      <w:r>
        <w:t>MC1R</w:t>
      </w:r>
      <w:r>
        <w:t xml:space="preserve"> </w:t>
      </w:r>
      <w:r>
        <w:t>等位基因与最密切相关的等位基因有多达三个功能相关的错义突变的差异</w:t>
      </w:r>
      <w:r>
        <w:t xml:space="preserve"> </w:t>
      </w:r>
      <w:r>
        <w:t>野生型</w:t>
      </w:r>
      <w:r>
        <w:t xml:space="preserve"> </w:t>
      </w:r>
      <w:r>
        <w:t>等位基因，其表型反映了它们的综合效应。全基因组分析</w:t>
      </w:r>
    </w:p>
    <w:p>
      <w:pPr>
        <w:spacing w:before="0" w:after="200" w:lineRule="auto" w:line="276"/>
      </w:pPr>
      <w:r>
        <w:rPr>
          <w:b/>
        </w:rPr>
        <w:t xml:space="preserve">Abstract (EN): </w:t>
      </w:r>
      <w:r>
        <w:t>The domestic chicken exhibits extraordinarily high plumage diversity in sharp contrast to the uniform plumage phenotype in its wild ancestor, the red junglefowl. The</w:t>
      </w:r>
      <w:r>
        <w:t xml:space="preserve"> </w:t>
      </w:r>
      <w:r>
        <w:t>melanocortin-1 receptor</w:t>
      </w:r>
      <w:r>
        <w:t xml:space="preserve"> </w:t>
      </w:r>
      <w:r>
        <w:t>(</w:t>
      </w:r>
      <w:r>
        <w:t xml:space="preserve"> </w:t>
      </w:r>
      <w:r>
        <w:t>MC1R</w:t>
      </w:r>
      <w:r>
        <w:t xml:space="preserve"> </w:t>
      </w:r>
      <w:r>
        <w:t>) locus is the most variable pigmentation locus in domestic chicken. Here we have analyzed whole-genome sequence data from 10,026 birds, including red junglefowls and 393 populations of domestic chicken. We document ultrarapid evolution of 18</w:t>
      </w:r>
      <w:r>
        <w:t xml:space="preserve"> </w:t>
      </w:r>
      <w:r>
        <w:t>MC1R</w:t>
      </w:r>
      <w:r>
        <w:t xml:space="preserve"> </w:t>
      </w:r>
      <w:r>
        <w:t>alleles, due to the accumulation of 9 missense mutations combined with reshuffling of sequence variants within the single</w:t>
      </w:r>
      <w:r>
        <w:t xml:space="preserve"> </w:t>
      </w:r>
      <w:r>
        <w:t>MC1R</w:t>
      </w:r>
      <w:r>
        <w:t xml:space="preserve"> </w:t>
      </w:r>
      <w:r>
        <w:t>exon. The lack of linkage disequilibrium at the</w:t>
      </w:r>
      <w:r>
        <w:t xml:space="preserve"> </w:t>
      </w:r>
      <w:r>
        <w:t>MC1R</w:t>
      </w:r>
      <w:r>
        <w:t xml:space="preserve"> </w:t>
      </w:r>
      <w:r>
        <w:t>locus strongly suggests that this combinatorial allele diversity is generated by interallelic gene conversion, possibly promoted by its high guanine–cytosine content. Functional analyses of MC1R variants expressed in transfected cells, using second-messenger and bioluminescence resonance energy transfer assays together with homology modeling, demonstrate that most missense mutations have significant effects on MC1R signaling and include both activating and inhibitory changes. One common</w:t>
      </w:r>
      <w:r>
        <w:t xml:space="preserve"> </w:t>
      </w:r>
      <w:r>
        <w:t>MC1R</w:t>
      </w:r>
      <w:r>
        <w:t xml:space="preserve"> </w:t>
      </w:r>
      <w:r>
        <w:t>allele differs by as many as three functionally relevant missense mutations from the most closely related</w:t>
      </w:r>
      <w:r>
        <w:t xml:space="preserve"> </w:t>
      </w:r>
      <w:r>
        <w:t>wild-type</w:t>
      </w:r>
      <w:r>
        <w:t xml:space="preserve"> </w:t>
      </w:r>
      <w:r>
        <w:t>allele, and its phenotype reflects their combined effects. Genome-wide analyses further show that</w:t>
      </w:r>
      <w:r>
        <w:t xml:space="preserve"> </w:t>
      </w:r>
      <w:r>
        <w:t>MC1R</w:t>
      </w:r>
      <w:r>
        <w:t xml:space="preserve"> </w:t>
      </w:r>
      <w:r>
        <w:t>acts as a modifier of dominant white and recessive white phenotypes caused by mutations in</w:t>
      </w:r>
      <w:r>
        <w:t xml:space="preserve"> </w:t>
      </w:r>
      <w:r>
        <w:t>premelanosome protein</w:t>
      </w:r>
      <w:r>
        <w:t xml:space="preserve"> </w:t>
      </w:r>
      <w:r>
        <w:t>and</w:t>
      </w:r>
      <w:r>
        <w:t xml:space="preserve"> </w:t>
      </w:r>
      <w:r>
        <w:t>tyrosinase</w:t>
      </w:r>
      <w:r>
        <w:t xml:space="preserve"> </w:t>
      </w:r>
      <w:r>
        <w:t>, respectively. In both cases,</w:t>
      </w:r>
      <w:r>
        <w:t xml:space="preserve"> </w:t>
      </w:r>
      <w:r>
        <w:t>MC1R</w:t>
      </w:r>
      <w:r>
        <w:t xml:space="preserve"> </w:t>
      </w:r>
      <w:r>
        <w:t>alleles promote a pure white phenotype, either by enhancing eumelanin pigmentation (dominant white) or inhibiting eumelanin pigmentation (recessive white).</w:t>
      </w:r>
    </w:p>
    <w:p>
      <w:pPr>
        <w:spacing w:before="120" w:after="120"/>
      </w:pPr>
      <w:r>
        <w:rPr>
          <w:sz w:val="18"/>
        </w:rPr>
        <w:t>——————————————————————————————————————————————————————————————————————</w:t>
      </w:r>
    </w:p>
    <w:p>
      <w:pPr>
        <w:spacing w:before="160" w:after="40" w:line="240" w:lineRule="auto"/>
      </w:pPr>
      <w:r>
        <w:rPr>
          <w:b/>
        </w:rPr>
        <w:t xml:space="preserve">[314] </w:t>
      </w:r>
      <w:hyperlink r:id="rId909">
        <w:r>
          <w:rPr>
            <w:color w:val="1155CC"/>
            <w:u w:val="single"/>
          </w:rPr>
          <w:t>基础物种的遗产塑造死后的生命</w:t>
        </w:r>
      </w:hyperlink>
    </w:p>
    <w:p>
      <w:pPr>
        <w:spacing w:before="0" w:after="80"/>
      </w:pPr>
      <w:r>
        <w:rPr>
          <w:i/>
          <w:sz w:val="20"/>
        </w:rPr>
        <w:t>EN: Legacies of foundation species shape life after death</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910">
        <w:r>
          <w:rPr>
            <w:color w:val="1155CC"/>
            <w:u w:val="single"/>
          </w:rPr>
          <w:t>10.1126/sciadv.aef9983</w:t>
        </w:r>
      </w:hyperlink>
    </w:p>
    <w:p>
      <w:pPr>
        <w:spacing w:before="0" w:after="120"/>
      </w:pPr>
      <w:r>
        <w:rPr>
          <w:b/>
        </w:rPr>
        <w:t xml:space="preserve">Notes: </w:t>
      </w:r>
      <w:r>
        <w:t>abstract_source=crossref</w:t>
      </w:r>
    </w:p>
    <w:p>
      <w:pPr>
        <w:spacing w:before="0" w:after="80" w:lineRule="auto" w:line="276"/>
      </w:pPr>
      <w:r>
        <w:rPr>
          <w:b/>
        </w:rPr>
        <w:t xml:space="preserve">摘要（ZH）: </w:t>
      </w:r>
      <w:r>
        <w:t>生态系统通过生物体的物质遗骸携带记忆。基础物种——树木、草、珊瑚和牡蛎——在活着时是生态系统结构的核心，这些生物体的遗骸在死亡后继续影响生态过程。据我们所知，我们利用美国长期生态研究网络 10 个生态系统（5 个陆地生态系统和 5 个海洋生态系统）的长期实验和观察（2 至 32 年），对死亡的基础物种如何影响活着的同种物种进行了首次大陆规模的探索。我们发现，物质遗产通常会改变人口统计过程，范围从减少 50% 到增加 12 倍。这些尸检效应的普遍存在揭示了生态记忆的一个未被充分认识的维度，它塑造了生态系统恢复力、重组和崩溃的途径，在干扰和气候驱动的死亡事件日益增加的时代提供了关键的管理工具。</w:t>
      </w:r>
    </w:p>
    <w:p>
      <w:pPr>
        <w:spacing w:before="0" w:after="200" w:lineRule="auto" w:line="276"/>
      </w:pPr>
      <w:r>
        <w:rPr>
          <w:b/>
        </w:rPr>
        <w:t xml:space="preserve">Abstract (EN): </w:t>
      </w:r>
      <w:r>
        <w:t>Ecosystems carry memory through the material remains of organisms. Foundation species—trees, grasses, corals, and oysters—while alive are central to ecosystem structure, and the remains of these organisms continue to influence ecological processes after death. We conducted, to our knowldge, the first continental-scale exploration of how dead foundation species influence living conspecifics, leveraging long-term experiments and observations (2 to 32 years) from 10 ecosystems (five terrestrial and five marine) across the US Long Term Ecological Research Network. We found that material legacies commonly alter demographic processes, ranging from a 50% reduction to a 12-fold increase. The ubiquity of these postmortem effects reveals an underappreciated dimension of ecological memory that shapes pathways of ecosystem resilience, reorganization, and collapse, providing a critical management tool in an era of increasing disturbance- and climate-driven mortality events.</w:t>
      </w:r>
    </w:p>
    <w:p>
      <w:pPr>
        <w:spacing w:before="120" w:after="120"/>
      </w:pPr>
      <w:r>
        <w:rPr>
          <w:sz w:val="18"/>
        </w:rPr>
        <w:t>——————————————————————————————————————————————————————————————————————</w:t>
      </w:r>
    </w:p>
    <w:p>
      <w:pPr>
        <w:spacing w:before="160" w:after="40" w:line="240" w:lineRule="auto"/>
      </w:pPr>
      <w:r>
        <w:rPr>
          <w:b/>
        </w:rPr>
        <w:t xml:space="preserve">[315] </w:t>
      </w:r>
      <w:hyperlink r:id="rId911">
        <w:r>
          <w:rPr>
            <w:color w:val="1155CC"/>
            <w:u w:val="single"/>
          </w:rPr>
          <w:t>修正 Forrest 等人的《人属进化过程中稳定且灵活的觅食生态位的早期证据》</w:t>
        </w:r>
      </w:hyperlink>
    </w:p>
    <w:p>
      <w:pPr>
        <w:spacing w:before="0" w:after="80"/>
      </w:pPr>
      <w:r>
        <w:rPr>
          <w:i/>
          <w:sz w:val="20"/>
        </w:rPr>
        <w:t>EN: Correction for Forrest et al., Early evidence for a stable and flexible foraging niche in the evolution of Homo</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12">
        <w:r>
          <w:rPr>
            <w:color w:val="1155CC"/>
            <w:u w:val="single"/>
          </w:rPr>
          <w:t>10.1073/pnas.2617803123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[316] </w:t>
      </w:r>
      <w:hyperlink r:id="rId913">
        <w:r>
          <w:rPr>
            <w:color w:val="1155CC"/>
            <w:u w:val="single"/>
          </w:rPr>
          <w:t>表观遗传的睾丸起源独立于精子线粒体 DNA 和附睾暴露</w:t>
        </w:r>
      </w:hyperlink>
    </w:p>
    <w:p>
      <w:pPr>
        <w:spacing w:before="0" w:after="80"/>
      </w:pPr>
      <w:r>
        <w:rPr>
          <w:i/>
          <w:sz w:val="20"/>
        </w:rPr>
        <w:t>EN: Testicular origin of epigenetic inheritance independent of sperm mitochondrial DNA and epididymal exposure</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14">
        <w:r>
          <w:rPr>
            <w:color w:val="1155CC"/>
            <w:u w:val="single"/>
          </w:rPr>
          <w:t>10.1073/pnas.2611096123</w:t>
        </w:r>
      </w:hyperlink>
    </w:p>
    <w:p>
      <w:pPr>
        <w:spacing w:before="0" w:after="120"/>
      </w:pPr>
      <w:r>
        <w:rPr>
          <w:b/>
        </w:rPr>
        <w:t xml:space="preserve">Notes: </w:t>
      </w:r>
      <w:r>
        <w:t>abstract_source=crossref</w:t>
      </w:r>
    </w:p>
    <w:p>
      <w:pPr>
        <w:spacing w:before="0" w:after="80" w:lineRule="auto" w:line="276"/>
      </w:pPr>
      <w:r>
        <w:rPr>
          <w:b/>
        </w:rPr>
        <w:t xml:space="preserve">摘要（ZH）: </w:t>
      </w:r>
      <w:r>
        <w:t>父系表观遗传在机制上仍未得到解决。最近的研究表明，环境暴露会在附睾转运过程中诱导精子中线粒体 DNA (mtDNA) 依赖性转录，从而改变小 RNA 含量和后代表型。在这里，我们证明成熟的小鼠精子实际上缺乏 mtDNA，从而排除了 mtDNA 依赖性转录，并且精子携带的线粒体 RNA 起源于精子发生过程。睾丸精子传递饮食诱导的代谢特征的效率与附睾精子一样有效，并且在大多数群体中比附睾精子更有效。这些发现证实睾丸遗传独立于精子 mtDNA 转录和附睾暴露。</w:t>
      </w:r>
    </w:p>
    <w:p>
      <w:pPr>
        <w:spacing w:before="0" w:after="200" w:lineRule="auto" w:line="276"/>
      </w:pPr>
      <w:r>
        <w:rPr>
          <w:b/>
        </w:rPr>
        <w:t xml:space="preserve">Abstract (EN): </w:t>
      </w:r>
      <w:r>
        <w:t>Paternal epigenetic inheritance remains mechanistically unresolved. Recent studies propose that environmental exposures induce mitochondrial DNA (mtDNA)-dependent transcription in sperm during epididymal transit, altering small RNA content and offspring phenotypes. Here, we show that mature murine sperm are effectively devoid of mtDNA, precluding mtDNA-dependent transcription, and that sperm-borne mitochondrial RNAs originate during spermatogenesis. Testicular sperm transmitted diet-induced metabolic traits as efficiently as, and in most cohorts more efficiently than, epididymal sperm. These findings establish testicular inheritance independent of sperm mtDNA transcription and epididymal exposure.</w:t>
      </w:r>
    </w:p>
    <w:p>
      <w:pPr>
        <w:spacing w:before="120" w:after="120"/>
      </w:pPr>
      <w:r>
        <w:rPr>
          <w:sz w:val="18"/>
        </w:rPr>
        <w:t>——————————————————————————————————————————————————————————————————————</w:t>
      </w:r>
    </w:p>
    <w:p>
      <w:pPr>
        <w:spacing w:before="160" w:after="40" w:line="240" w:lineRule="auto"/>
      </w:pPr>
      <w:r>
        <w:rPr>
          <w:b/>
        </w:rPr>
        <w:t xml:space="preserve">[317] </w:t>
      </w:r>
      <w:hyperlink r:id="rId915">
        <w:r>
          <w:rPr>
            <w:color w:val="1155CC"/>
            <w:u w:val="single"/>
          </w:rPr>
          <w:t>超薄膜中射弹穿透能的一般反立方厚度缩放</w:t>
        </w:r>
      </w:hyperlink>
    </w:p>
    <w:p>
      <w:pPr>
        <w:spacing w:before="0" w:after="80"/>
      </w:pPr>
      <w:r>
        <w:rPr>
          <w:i/>
          <w:sz w:val="20"/>
        </w:rPr>
        <w:t>EN: General inverse-cube thickness scaling of projectile penetration energy in ultrathin films</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16">
        <w:r>
          <w:rPr>
            <w:color w:val="1155CC"/>
            <w:u w:val="single"/>
          </w:rPr>
          <w:t>10.1073/pnas.2609202123</w:t>
        </w:r>
      </w:hyperlink>
    </w:p>
    <w:p>
      <w:pPr>
        <w:spacing w:before="0" w:after="120"/>
      </w:pPr>
      <w:r>
        <w:rPr>
          <w:b/>
        </w:rPr>
        <w:t xml:space="preserve">Notes: </w:t>
      </w:r>
      <w:r>
        <w:t>abstract_source=crossref</w:t>
      </w:r>
    </w:p>
    <w:p>
      <w:pPr>
        <w:spacing w:before="0" w:after="80" w:lineRule="auto" w:line="276"/>
      </w:pPr>
      <w:r>
        <w:rPr>
          <w:b/>
        </w:rPr>
        <w:t xml:space="preserve">摘要（ZH）: </w:t>
      </w:r>
      <w:r>
        <w:t>由多种不同材料制成的超薄膜在高速冲击下表现出显着增强的弹丸穿透阻力。尽管进行了大量的模拟和实验，但统一的物理解释仍然难以捉摸。在这里，我们证明比穿透能遵循一般的反立方标度定律，</w:t>
      </w:r>
      <w:r>
        <w:t xml:space="preserve"> </w:t>
      </w:r>
      <w:r>
        <w:t>乙</w:t>
      </w:r>
      <w:r>
        <w:t xml:space="preserve"> </w:t>
      </w:r>
      <w:r>
        <w:t>p</w:t>
      </w:r>
      <w:r>
        <w:t xml:space="preserve"> </w:t>
      </w:r>
      <w:r>
        <w:t>*</w:t>
      </w:r>
      <w:r>
        <w:t xml:space="preserve"> </w:t>
      </w:r>
      <w:r>
        <w:t>（</w:t>
      </w:r>
      <w:r>
        <w:t xml:space="preserve"> </w:t>
      </w:r>
      <w:r>
        <w:t>小时</w:t>
      </w:r>
      <w:r>
        <w:t xml:space="preserve"> </w:t>
      </w:r>
      <w:r>
        <w:t>）</w:t>
      </w:r>
      <w:r>
        <w:t xml:space="preserve"> </w:t>
      </w:r>
      <w:r>
        <w:t>=</w:t>
      </w:r>
      <w:r>
        <w:t xml:space="preserve"> </w:t>
      </w:r>
      <w:r>
        <w:t>乙</w:t>
      </w:r>
      <w:r>
        <w:t xml:space="preserve"> </w:t>
      </w:r>
      <w:r>
        <w:t>p</w:t>
      </w:r>
      <w:r>
        <w:t xml:space="preserve"> </w:t>
      </w:r>
      <w:r>
        <w:t>,</w:t>
      </w:r>
      <w:r>
        <w:t xml:space="preserve"> </w:t>
      </w:r>
      <w:r>
        <w:t>无穷大</w:t>
      </w:r>
      <w:r>
        <w:t xml:space="preserve"> </w:t>
      </w:r>
      <w:r>
        <w:t>*</w:t>
      </w:r>
      <w:r>
        <w:t xml:space="preserve"> </w:t>
      </w:r>
      <w:r>
        <w:t>+</w:t>
      </w:r>
      <w:r>
        <w:t xml:space="preserve"> </w:t>
      </w:r>
      <w:r>
        <w:t>乙</w:t>
      </w:r>
      <w:r>
        <w:t xml:space="preserve"> </w:t>
      </w:r>
      <w:r>
        <w:t>小时</w:t>
      </w:r>
      <w:r>
        <w:t xml:space="preserve"> </w:t>
      </w:r>
      <w:r>
        <w:t>-</w:t>
      </w:r>
      <w:r>
        <w:rPr>
          <w:vertAlign w:val="subscript"/>
        </w:rPr>
        <w:t>3</w:t>
      </w:r>
      <w:r>
        <w:t xml:space="preserve"> </w:t>
      </w:r>
      <w:r>
        <w:t>，跨越化学和结构不同的系统。逆立方缩放可追溯到对长波长非仿射模式的抑制所引起的有效剪切模量的有限尺寸校正。该比例描述了多层颗粒的影响数据</w:t>
      </w:r>
    </w:p>
    <w:p>
      <w:pPr>
        <w:spacing w:before="0" w:after="200" w:lineRule="auto" w:line="276"/>
      </w:pPr>
      <w:r>
        <w:rPr>
          <w:b/>
        </w:rPr>
        <w:t xml:space="preserve">Abstract (EN): </w:t>
      </w:r>
      <w:r>
        <w:t>Ultrathin films of widely different materials exhibit a dramatic enhancement of projectile penetration resistance under high–velocity impact. Despite extensive simulations and experiments, a unifying physical explanation has remained elusive. Here we show that the specific penetration energy follows a general inverse-cube scaling law,</w:t>
      </w:r>
      <w:r>
        <w:t xml:space="preserve"> </w:t>
      </w:r>
      <w:r>
        <w:t>E</w:t>
      </w:r>
      <w:r>
        <w:t xml:space="preserve"> </w:t>
      </w:r>
      <w:r>
        <w:t>p</w:t>
      </w:r>
      <w:r>
        <w:t xml:space="preserve"> </w:t>
      </w:r>
      <w:r>
        <w:t>∗</w:t>
      </w:r>
      <w:r>
        <w:t xml:space="preserve"> </w:t>
      </w:r>
      <w:r>
        <w:t>(</w:t>
      </w:r>
      <w:r>
        <w:t xml:space="preserve"> </w:t>
      </w:r>
      <w:r>
        <w:t>h</w:t>
      </w:r>
      <w:r>
        <w:t xml:space="preserve"> </w:t>
      </w:r>
      <w:r>
        <w:t>)</w:t>
      </w:r>
      <w:r>
        <w:t xml:space="preserve"> </w:t>
      </w:r>
      <w:r>
        <w:t>=</w:t>
      </w:r>
      <w:r>
        <w:t xml:space="preserve"> </w:t>
      </w:r>
      <w:r>
        <w:t>E</w:t>
      </w:r>
      <w:r>
        <w:t xml:space="preserve"> </w:t>
      </w:r>
      <w:r>
        <w:t>p</w:t>
      </w:r>
      <w:r>
        <w:t xml:space="preserve"> </w:t>
      </w:r>
      <w:r>
        <w:t>,</w:t>
      </w:r>
      <w:r>
        <w:t xml:space="preserve"> </w:t>
      </w:r>
      <w:r>
        <w:t>∞</w:t>
      </w:r>
      <w:r>
        <w:t xml:space="preserve"> </w:t>
      </w:r>
      <w:r>
        <w:t>∗</w:t>
      </w:r>
      <w:r>
        <w:t xml:space="preserve"> </w:t>
      </w:r>
      <w:r>
        <w:t>+</w:t>
      </w:r>
      <w:r>
        <w:t xml:space="preserve"> </w:t>
      </w:r>
      <w:r>
        <w:t>B</w:t>
      </w:r>
      <w:r>
        <w:t xml:space="preserve"> </w:t>
      </w:r>
      <w:r>
        <w:t>h</w:t>
      </w:r>
      <w:r>
        <w:t xml:space="preserve"> </w:t>
      </w:r>
      <w:r>
        <w:t>−</w:t>
      </w:r>
      <w:r>
        <w:rPr>
          <w:vertAlign w:val="subscript"/>
        </w:rPr>
        <w:t>3</w:t>
      </w:r>
      <w:r>
        <w:t xml:space="preserve"> </w:t>
      </w:r>
      <w:r>
        <w:t>, across chemically and structurally distinct systems. The inverse–cube scaling is traced to a finite–size correction to the effective shear modulus caused by suppression of long–wavelength nonaffine modes. The scaling describes impact data for multilayer graphene, graphene oxide, and polymer thin films, revealing a common elastic contribution to nanoscale impact resistance.</w:t>
      </w:r>
    </w:p>
    <w:p>
      <w:pPr>
        <w:spacing w:before="120" w:after="120"/>
      </w:pPr>
      <w:r>
        <w:rPr>
          <w:sz w:val="18"/>
        </w:rPr>
        <w:t>——————————————————————————————————————————————————————————————————————</w:t>
      </w:r>
    </w:p>
    <w:p>
      <w:pPr>
        <w:spacing w:before="160" w:after="40" w:line="240" w:lineRule="auto"/>
      </w:pPr>
      <w:r>
        <w:rPr>
          <w:b/>
        </w:rPr>
        <w:t xml:space="preserve">[318] </w:t>
      </w:r>
      <w:hyperlink r:id="rId917">
        <w:r>
          <w:rPr>
            <w:color w:val="1155CC"/>
            <w:u w:val="single"/>
          </w:rPr>
          <w:t>基于熵惩罚法的非线性 Hamilton-Jacobi 方程粘度解的量子算法</w:t>
        </w:r>
      </w:hyperlink>
    </w:p>
    <w:p>
      <w:pPr>
        <w:spacing w:before="0" w:after="80"/>
      </w:pPr>
      <w:r>
        <w:rPr>
          <w:i/>
          <w:sz w:val="20"/>
        </w:rPr>
        <w:t>EN: Quantum algorithms for viscosity solutions to nonlinear Hamilton–Jacobi equations based on an entropy penalization method</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18">
        <w:r>
          <w:rPr>
            <w:color w:val="1155CC"/>
            <w:u w:val="single"/>
          </w:rPr>
          <w:t>10.1073/pnas.2607144123</w:t>
        </w:r>
      </w:hyperlink>
    </w:p>
    <w:p>
      <w:pPr>
        <w:spacing w:before="0" w:after="120"/>
      </w:pPr>
      <w:r>
        <w:rPr>
          <w:b/>
        </w:rPr>
        <w:t xml:space="preserve">Notes: </w:t>
      </w:r>
      <w:r>
        <w:t>abstract_source=crossref</w:t>
      </w:r>
    </w:p>
    <w:p>
      <w:pPr>
        <w:spacing w:before="0" w:after="80" w:lineRule="auto" w:line="276"/>
      </w:pPr>
      <w:r>
        <w:rPr>
          <w:b/>
        </w:rPr>
        <w:t xml:space="preserve">摘要（ZH）: </w:t>
      </w:r>
      <w:r>
        <w:t>我们提出了一个有效提取具有凸哈密顿量的非线性汉密尔顿-雅可比方程粘度解的框架。这些粘度解决方案在前向传播、平均场博弈、最优控制、机器学习以及强制伯格斯方程的直接应用等领域发挥着核心作用。我们的方法基于熵惩罚方法，该方法将科尔-霍普夫变换从二次哈密顿量推广到一般凸哈密顿量，允许通过离散时间线性动力学来近似粘性汉密尔顿-雅可比动力学，该离散时间线性动力学近似线性热抛物线方程，因此也可以扩展到连续时间动力学。这使得该方法适合量子模拟。这些结果的有效性适用于与凸哈密顿量相对应的任意非线性，并且适用于任意长时间，从而消除了大多数非线性偏微分方程量子算法中的主要障碍。我们提供模拟和数字量子算法，用于在粘度解的最小值处提取点值、梯度、最小值和函数评估，而不需要非线性更新或全状态重建。</w:t>
      </w:r>
    </w:p>
    <w:p>
      <w:pPr>
        <w:spacing w:before="0" w:after="200" w:lineRule="auto" w:line="276"/>
      </w:pPr>
      <w:r>
        <w:rPr>
          <w:b/>
        </w:rPr>
        <w:t xml:space="preserve">Abstract (EN): </w:t>
      </w:r>
      <w:r>
        <w:t>We present a framework for efficient extraction of the viscosity solutions of nonlinear Hamilton–Jacobi equations with convex Hamiltonians. These viscosity solutions play a central role in areas such as front propagation, mean-field games, optimal control, machine learning, and a direct application to the forced Burgers’ equation. Our method is based on an entropy penalization method which generalizes the Cole–Hopf transform from quadratic to general convex Hamiltonians, allowing an approximation of viscous Hamilton–Jacobi dynamics by a discrete-time linear dynamics which approximates a linear heat-like parabolic equation, and thus can also extend to continuous-time dynamics. This makes the method suitable for quantum simulation. The validity of these results hold for arbitrary nonlinearity that correspond to convex Hamiltonians, and for arbitrarily long times, thus obviating a chief obstacle in most quantum algorithms for nonlinear partial differential equations. We provide quantum algorithms—both analog and digital—for extracting pointwise values, gradients, minima, and function evaluations at the minimizer of the viscosity solution, without requiring nonlinear updates or full state reconstruction.</w:t>
      </w:r>
    </w:p>
    <w:p>
      <w:pPr>
        <w:spacing w:before="120" w:after="120"/>
      </w:pPr>
      <w:r>
        <w:rPr>
          <w:sz w:val="18"/>
        </w:rPr>
        <w:t>——————————————————————————————————————————————————————————————————————</w:t>
      </w:r>
    </w:p>
    <w:p>
      <w:pPr>
        <w:spacing w:before="160" w:after="40" w:line="240" w:lineRule="auto"/>
      </w:pPr>
      <w:r>
        <w:rPr>
          <w:b/>
        </w:rPr>
        <w:t xml:space="preserve">[319] </w:t>
      </w:r>
      <w:hyperlink r:id="rId919">
        <w:r>
          <w:rPr>
            <w:color w:val="1155CC"/>
            <w:u w:val="single"/>
          </w:rPr>
          <w:t>全球轮流森林的自适应自组织</w:t>
        </w:r>
      </w:hyperlink>
    </w:p>
    <w:p>
      <w:pPr>
        <w:spacing w:before="0" w:after="80"/>
      </w:pPr>
      <w:r>
        <w:rPr>
          <w:i/>
          <w:sz w:val="20"/>
        </w:rPr>
        <w:t>EN: Adaptive self-organization of global swidden forests</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20">
        <w:r>
          <w:rPr>
            <w:color w:val="1155CC"/>
            <w:u w:val="single"/>
          </w:rPr>
          <w:t>10.1073/pnas.2606552123</w:t>
        </w:r>
      </w:hyperlink>
    </w:p>
    <w:p>
      <w:pPr>
        <w:spacing w:before="0" w:after="120"/>
      </w:pPr>
      <w:r>
        <w:rPr>
          <w:b/>
        </w:rPr>
        <w:t xml:space="preserve">Notes: </w:t>
      </w:r>
      <w:r>
        <w:t>abstract_source=crossref</w:t>
      </w:r>
    </w:p>
    <w:p>
      <w:pPr>
        <w:spacing w:before="0" w:after="80" w:lineRule="auto" w:line="276"/>
      </w:pPr>
      <w:r>
        <w:rPr>
          <w:b/>
        </w:rPr>
        <w:t xml:space="preserve">摘要（ZH）: </w:t>
      </w:r>
      <w:r>
        <w:t>轮耕农业，一种典型的人类与自然耦合系统，是否表现出一种适应性自组织的过程，其中文化实践通过适应性反馈来平衡环境约束？在这里，我们研究了是否可以在由来自全球热带和亚热带地区的 18 张旋转马赛克遥感图像中的 18,000 多个连续旋转斑块组成的数据集中检测到自适应自组织的定量特征。我们发现 18 个旋转区域中的 16 个区域的斑块大小分布呈现幂律模式，缩放指数约为 1，相关距离约为 548 m。为了解释这些模式，我们开发了一个基于人种学知识的合理的劳动力交换、土地使用和轮换选址模型，其中可持续和不可持续的资源利用都可以从个人或家庭之间的互动中产生。通过分析模型，我们将轮换地点的空间同步确定为幂律形成的驱动力，而轮换劳动的社会规范可以引导系统达到景观干扰的中间水平。这两种机制都需要保持高水平的收成和生态系统生产力。我们的模型推进了对轮耕农业社会生态动力学的理论理解，并支持适应性自组织可能是人类与自然系统耦合的一般特征的假设。</w:t>
      </w:r>
    </w:p>
    <w:p>
      <w:pPr>
        <w:spacing w:before="0" w:after="200" w:lineRule="auto" w:line="276"/>
      </w:pPr>
      <w:r>
        <w:rPr>
          <w:b/>
        </w:rPr>
        <w:t xml:space="preserve">Abstract (EN): </w:t>
      </w:r>
      <w:r>
        <w:t>Does swidden agriculture, a prototypical coupled human and natural system, exhibit a process of adaptive self-organization in which cultural practices balance environmental constraints through adaptive feedback? Here, we investigate whether quantitative signatures of adaptive self-organization can be detected in a dataset consisting of 18,000+ contiguous swidden patches in 18 remote sensing images of swidden mosaics from tropical and subtropical regions globally. We find that the distributions of patch sizes in 16 of 18 swidden areas exhibit power law patterns with scaling exponents ≈1, and correlation distances of ≈548 m. To account for these patterns, we develop a plausible ethnographically informed agent-based model of labor exchange, land use, and swidden site selection in which both sustainable and unsustainable resource uses can emerge out of interactions among individuals or households. By analyzing the model, we identify spatial synchronization of swidden sites as the driver of power law formation, while social norms of swidden labor can guide the system to an intermediate level of landscape disturbance. Both mechanisms are required to maintain harvests and ecosystem productivity at high levels. Our model advances theoretical understanding of the socioecological dynamics of swidden agriculture, and supports the hypothesis that adaptive self-organization may be a general characteristic of coupled human and natural systems.</w:t>
      </w:r>
    </w:p>
    <w:p>
      <w:pPr>
        <w:spacing w:before="120" w:after="120"/>
      </w:pPr>
      <w:r>
        <w:rPr>
          <w:sz w:val="18"/>
        </w:rPr>
        <w:t>——————————————————————————————————————————————————————————————————————</w:t>
      </w:r>
    </w:p>
    <w:p>
      <w:pPr>
        <w:spacing w:before="160" w:after="40" w:line="240" w:lineRule="auto"/>
      </w:pPr>
      <w:r>
        <w:rPr>
          <w:b/>
        </w:rPr>
        <w:t xml:space="preserve">[320] </w:t>
      </w:r>
      <w:hyperlink r:id="rId921">
        <w:r>
          <w:rPr>
            <w:color w:val="1155CC"/>
            <w:u w:val="single"/>
          </w:rPr>
          <w:t>在气候变化的推动下，干湿之间的突然波动会造成“水文鞭打”</w:t>
        </w:r>
      </w:hyperlink>
    </w:p>
    <w:p>
      <w:pPr>
        <w:spacing w:before="0" w:after="80"/>
      </w:pPr>
      <w:r>
        <w:rPr>
          <w:i/>
          <w:sz w:val="20"/>
        </w:rPr>
        <w:t>EN: Driven by climate change, sudden swings between wet and dry create “hydrologic whiplash”</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22">
        <w:r>
          <w:rPr>
            <w:color w:val="1155CC"/>
            <w:u w:val="single"/>
          </w:rPr>
          <w:t>10.1073/pnas.2617960123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[321] </w:t>
      </w:r>
      <w:hyperlink r:id="rId923">
        <w:r>
          <w:rPr>
            <w:color w:val="1155CC"/>
            <w:u w:val="single"/>
          </w:rPr>
          <w:t>高通量筛选确定了 SPOP-PABPC1 轴在肺腺癌进展中的关键作用</w:t>
        </w:r>
      </w:hyperlink>
    </w:p>
    <w:p>
      <w:pPr>
        <w:spacing w:before="0" w:after="80"/>
      </w:pPr>
      <w:r>
        <w:rPr>
          <w:i/>
          <w:sz w:val="20"/>
        </w:rPr>
        <w:t>EN: High-throughput screening identifies a critical role of the SPOP–PABPC1 axis in lung adenocarcinoma progression</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24">
        <w:r>
          <w:rPr>
            <w:color w:val="1155CC"/>
            <w:u w:val="single"/>
          </w:rPr>
          <w:t>10.1073/pnas.2602470123</w:t>
        </w:r>
      </w:hyperlink>
    </w:p>
    <w:p>
      <w:pPr>
        <w:spacing w:before="0" w:after="120"/>
      </w:pPr>
      <w:r>
        <w:rPr>
          <w:b/>
        </w:rPr>
        <w:t xml:space="preserve">Notes: </w:t>
      </w:r>
      <w:r>
        <w:t>abstract_source=crossref</w:t>
      </w:r>
    </w:p>
    <w:p>
      <w:pPr>
        <w:spacing w:before="0" w:after="80" w:lineRule="auto" w:line="276"/>
      </w:pPr>
      <w:r>
        <w:rPr>
          <w:b/>
        </w:rPr>
        <w:t xml:space="preserve">摘要（ZH）: </w:t>
      </w:r>
      <w:r>
        <w:t>肺腺癌（LUAD）是最常见和致命的肺癌亚型，治疗选择有限且预后不良。泛素化是一种重要的翻译后修饰 (PTM)，可控制蛋白质周转、定位和相互作用。泛素化机制失调是癌症的一个标志，有助于肿瘤的发展。鉴定 LUAD 中关键的 E3 泛素连接酶和去泛素酶可能会带来新的生物标志物和治疗方法。通过 RNA 测序、生物信息学和临床研究，SPOP 已被确定为 LUAD 中一个有前途的 E3 连接酶靶点。 SPOP 在 LUAD 样本中表达下调，并与较差的患者预后相关。功能分析表明，SPOP 抑制 LUAD 细胞迁移、增殖和体内肿瘤生长。从机制上讲，SPOP 靶向多聚腺苷酸结合蛋白胞质 1 (PABPC1) 进行非蛋白水解泛素化，导致其核保留并抑制整体蛋白质合成，从而抑制 PABPC1 的致癌作用。此外，去泛素酶 HAUSP 能够抵消 SPOP 介导的 PABPC1 泛素化，增强其在 LUAD 细胞中的致癌作用。总的来说，我们的研究结果揭示了 LUAD 中的 SPOP/HAUSP-PABPC1 调控轴，其中 SPOP 和 HAUSP 反向调节 PABPC1 泛素化以控制 LUAD 细胞增殖和迁移。该轴代表了 LUAD 中一个有前途的治疗靶点。</w:t>
      </w:r>
    </w:p>
    <w:p>
      <w:pPr>
        <w:spacing w:before="0" w:after="200" w:lineRule="auto" w:line="276"/>
      </w:pPr>
      <w:r>
        <w:rPr>
          <w:b/>
        </w:rPr>
        <w:t xml:space="preserve">Abstract (EN): </w:t>
      </w:r>
      <w:r>
        <w:t>Lung adenocarcinoma (LUAD) is the most common and deadly subtype of lung cancer, with limited therapeutic options and poor prognosis. Ubiquitination is an important posttranslational modification (PTM) that controls protein turnover, localization and interaction. The dysregulated ubiquitination machinery is a hallmark of cancer, contributing to tumor development. Identifying key E3 ubiquitin ligases and deubiquitinases in LUAD could lead to new biomarkers and treatments. Through RNA sequencing, bioinformatics, and clinical studies, SPOP has been identified as a promising E3 ligase target in LUAD. SPOP is downregulated in LUAD samples and associated with poorer patient outcomes. Functional analyses demonstrate that SPOP suppresses LUAD cell migration, proliferation, and in vivo tumor growth. Mechanistically, SPOP targets poly(A)-binding protein cytoplasmic 1 (PABPC1) for nonproteolytic ubiquitination, leading to its nuclear retention and inhibition of global protein synthesis, thereby suppressing the oncogenic effects of PABPC1. Furthermore, the deubiquitinase HAUSP is able to counteract SPOP-mediated ubiquitination of PABPC1, enhancing its oncogenic role in LUAD cells. Collectively, our findings reveal a SPOP/HAUSP-PABPC1 regulatory axis in LUAD, where SPOP and HAUSP oppositely modulate PABPC1 ubiquitination to control LUAD cell proliferation and migration. This axis represents a promising therapeutic target in LUAD.</w:t>
      </w:r>
    </w:p>
    <w:p>
      <w:pPr>
        <w:spacing w:before="120" w:after="120"/>
      </w:pPr>
      <w:r>
        <w:rPr>
          <w:sz w:val="18"/>
        </w:rPr>
        <w:t>——————————————————————————————————————————————————————————————————————</w:t>
      </w:r>
    </w:p>
    <w:p>
      <w:pPr>
        <w:spacing w:before="160" w:after="40" w:line="240" w:lineRule="auto"/>
      </w:pPr>
      <w:r>
        <w:rPr>
          <w:b/>
        </w:rPr>
        <w:t xml:space="preserve">[322] </w:t>
      </w:r>
      <w:hyperlink r:id="rId925">
        <w:r>
          <w:rPr>
            <w:color w:val="1155CC"/>
            <w:u w:val="single"/>
          </w:rPr>
          <w:t>Nf2 协调偏向 β-arrestin2 的 PTH1R 信号传导，将骨量与骨骼完整性结合起来</w:t>
        </w:r>
      </w:hyperlink>
    </w:p>
    <w:p>
      <w:pPr>
        <w:spacing w:before="0" w:after="80"/>
      </w:pPr>
      <w:r>
        <w:rPr>
          <w:i/>
          <w:sz w:val="20"/>
        </w:rPr>
        <w:t>EN: Nf2 orchestrates β-arrestin2-biased PTH1R signaling to couple bone mass with skeletal integrity</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26">
        <w:r>
          <w:rPr>
            <w:color w:val="1155CC"/>
            <w:u w:val="single"/>
          </w:rPr>
          <w:t>10.1073/pnas.2524671123</w:t>
        </w:r>
      </w:hyperlink>
    </w:p>
    <w:p>
      <w:pPr>
        <w:spacing w:before="0" w:after="120"/>
      </w:pPr>
      <w:r>
        <w:rPr>
          <w:b/>
        </w:rPr>
        <w:t xml:space="preserve">Notes: </w:t>
      </w:r>
      <w:r>
        <w:t>abstract_source=crossref</w:t>
      </w:r>
    </w:p>
    <w:p>
      <w:pPr>
        <w:spacing w:before="0" w:after="80" w:lineRule="auto" w:line="276"/>
      </w:pPr>
      <w:r>
        <w:rPr>
          <w:b/>
        </w:rPr>
        <w:t xml:space="preserve">摘要（ZH）: </w:t>
      </w:r>
      <w:r>
        <w:t>通过甲状旁腺激素受体 1 (PTH1R) 精确时空调节甲状旁腺激素 (PTH) 和 PTH 相关肽信号传导是骨骼发育和代谢性骨重塑的基础，但微调这种信号传导的细胞内机制仍然是一个尚未解答的核心问题。在这里，我们确定神经纤维蛋白 2 (Nf2) 是 PTH1R 运输和信号转导的重要调节因子。有条件淘汰</w:t>
      </w:r>
      <w:r>
        <w:t xml:space="preserve"> </w:t>
      </w:r>
      <w:r>
        <w:t>NF2</w:t>
      </w:r>
      <w:r>
        <w:t xml:space="preserve"> </w:t>
      </w:r>
      <w:r>
        <w:t>软骨细胞中的短肢侏儒症，生长板组织破坏，软骨细胞增殖和肥大受到抑制，以及以小梁过度增殖和皮质变薄为特征的矛盾骨表型。从机制上讲，Nf2 与 PTH1R C 末端结构域 (464-591 aa) 结合，通过 β-arrestin2 促进选择性受体内化，而不改变 G 蛋白偶联受体激酶介导的 PTH1R 磷酸化。损失</w:t>
      </w:r>
      <w:r>
        <w:t xml:space="preserve"> </w:t>
      </w:r>
      <w:r>
        <w:t>NF2</w:t>
      </w:r>
      <w:r>
        <w:t xml:space="preserve"> </w:t>
      </w:r>
      <w:r>
        <w:t>将 PTH1R 与 β-arrestin2 介导的内吞作用解耦，从而通过 cAMP-CREB-pSOX9 (S181) 和 VEGF 轴产生持续且放大的信号传导。因此，</w:t>
      </w:r>
      <w:r>
        <w:t xml:space="preserve"> </w:t>
      </w:r>
      <w:r>
        <w:t>NF2</w:t>
      </w:r>
      <w:r>
        <w:t xml:space="preserve"> </w:t>
      </w:r>
      <w:r>
        <w:t>-缺陷小鼠表现出与 PTH1R 激动剂 abaloparatide 诱导的骨骼变化类似的变化。这些发现确立了 Nf2 作为 PTH1R 信号传导的软骨细胞内在看门人，并通过靶向 Nf2 介导的 β-arrestin2 募集揭示了骨稳态的细胞机制。</w:t>
      </w:r>
    </w:p>
    <w:p>
      <w:pPr>
        <w:spacing w:before="0" w:after="200" w:lineRule="auto" w:line="276"/>
      </w:pPr>
      <w:r>
        <w:rPr>
          <w:b/>
        </w:rPr>
        <w:t xml:space="preserve">Abstract (EN): </w:t>
      </w:r>
      <w:r>
        <w:t>Precise spatiotemporal regulation of parathyroid hormone (PTH) and PTH-related peptide signaling through the parathyroid hormone receptor 1 (PTH1R) is fundamental to skeletal development and metabolic bone remodeling, yet the intracellular mechanisms that fine-tune this signaling remain a central unanswered question. Here, we identify neurofibromin 2 (Nf2) as an essential regulator of PTH1R trafficking and signaling. Conditional knockout of</w:t>
      </w:r>
      <w:r>
        <w:t xml:space="preserve"> </w:t>
      </w:r>
      <w:r>
        <w:t>Nf2</w:t>
      </w:r>
      <w:r>
        <w:t xml:space="preserve"> </w:t>
      </w:r>
      <w:r>
        <w:t>in chondrocytes results in short-limbed dwarfism, disrupted growth plate organization, and suppressed chondrocyte proliferation and hypertrophy, and a paradoxical bone phenotype marked by trabecular hyperproliferation and cortical thinning. Mechanistically, Nf2 binds to the PTH1R C-terminal domain (464–591 aa) to promote selective receptor internalization via β-arrestin2 without altering G protein–coupled receptor kinase-mediated PTH1R phosphorylation. Loss of</w:t>
      </w:r>
      <w:r>
        <w:t xml:space="preserve"> </w:t>
      </w:r>
      <w:r>
        <w:t>Nf2</w:t>
      </w:r>
      <w:r>
        <w:t xml:space="preserve"> </w:t>
      </w:r>
      <w:r>
        <w:t>decouples PTH1R from β-arrestin2‐mediated endocytosis, leading to sustained and amplified signaling through the cAMP‐CREB‐pSOX9 (S181) and VEGF axis. Consequently,</w:t>
      </w:r>
      <w:r>
        <w:t xml:space="preserve"> </w:t>
      </w:r>
      <w:r>
        <w:t>Nf2</w:t>
      </w:r>
      <w:r>
        <w:t xml:space="preserve"> </w:t>
      </w:r>
      <w:r>
        <w:t>-deficient mice exhibited bone changes similar to those induced by the PTH1R agonist abaloparatide. These findings establish Nf2 as a chondrocyte‐intrinsic gatekeeper of PTH1R signaling and uncover a cellular mechanism for bone homeostasis by targeting Nf2‐mediated β-arrestin2 recruitment.</w:t>
      </w:r>
    </w:p>
    <w:p>
      <w:pPr>
        <w:spacing w:before="120" w:after="120"/>
      </w:pPr>
      <w:r>
        <w:rPr>
          <w:sz w:val="18"/>
        </w:rPr>
        <w:t>——————————————————————————————————————————————————————————————————————</w:t>
      </w:r>
    </w:p>
    <w:p>
      <w:pPr>
        <w:spacing w:before="160" w:after="40" w:line="240" w:lineRule="auto"/>
      </w:pPr>
      <w:r>
        <w:rPr>
          <w:b/>
        </w:rPr>
        <w:t xml:space="preserve">[323] </w:t>
      </w:r>
      <w:hyperlink r:id="rId927">
        <w:r>
          <w:rPr>
            <w:color w:val="1155CC"/>
            <w:u w:val="single"/>
          </w:rPr>
          <w:t>黑暗多样性框架解决了达尔文关于淡水鱼入侵的归化难题</w:t>
        </w:r>
      </w:hyperlink>
    </w:p>
    <w:p>
      <w:pPr>
        <w:spacing w:before="0" w:after="80"/>
      </w:pPr>
      <w:r>
        <w:rPr>
          <w:i/>
          <w:sz w:val="20"/>
        </w:rPr>
        <w:t>EN: Dark diversity framework reconciles Darwin’s naturalization conundrum for freshwater fish invasions</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28">
        <w:r>
          <w:rPr>
            <w:color w:val="1155CC"/>
            <w:u w:val="single"/>
          </w:rPr>
          <w:t>10.1073/pnas.2604929123</w:t>
        </w:r>
      </w:hyperlink>
    </w:p>
    <w:p>
      <w:pPr>
        <w:spacing w:before="0" w:after="120"/>
      </w:pPr>
      <w:r>
        <w:rPr>
          <w:b/>
        </w:rPr>
        <w:t xml:space="preserve">Notes: </w:t>
      </w:r>
      <w:r>
        <w:t>abstract_source=crossref</w:t>
      </w:r>
    </w:p>
    <w:p>
      <w:pPr>
        <w:spacing w:before="0" w:after="80" w:lineRule="auto" w:line="276"/>
      </w:pPr>
      <w:r>
        <w:rPr>
          <w:b/>
        </w:rPr>
        <w:t xml:space="preserve">摘要（ZH）: </w:t>
      </w:r>
      <w:r>
        <w:t>入侵物种的蔓延对全球生物多样性构成了重大威胁，但预测外来物种在新环境中成功定居仍然具有挑战性。达尔文的归化难题是一个长期存在的争论，即与本土群落关系密切或关系较远的外来物种是否更有可能成功。尽管其历史悠久，但实证研究仍然得出相互矛盾的证据。在这里，我们引入暗多样性概念，它指的是理论上可以栖息在某个地点但目前不存在的物种。与观察到的多样性相结合，暗多样性整合了有关常驻群落的潜在多样性（特定地点物种库大小）以及该库在当地存在的完整性（群落完整性）的信息。通过分析瑞典 516 个湖泊 340 年来成功和失败的鱼类引入记录，我们发现系统发育相关性对入侵结果的影响取决于暗多样性背景。与常住物种密切相关的外来物种更有可能在物种库较小且完整性较高的群落中建立，而系统发育上距离较远的外来物种在物种库较大且完整性较低的群落中更成功。观察到物种丰富度的模型获得的支持要少得多。因此，整合暗多样性框架阐明了系统发育相关性对入侵结果的对比影响，并有助于解决这个 160 年前的难题。</w:t>
      </w:r>
    </w:p>
    <w:p>
      <w:pPr>
        <w:spacing w:before="0" w:after="200" w:lineRule="auto" w:line="276"/>
      </w:pPr>
      <w:r>
        <w:rPr>
          <w:b/>
        </w:rPr>
        <w:t xml:space="preserve">Abstract (EN): </w:t>
      </w:r>
      <w:r>
        <w:t>The spread of invasive species poses a major threat to global biodiversity, yet predicting successful establishment of exotic species in novel environments remains challenging. Darwin’s naturalization conundrum is a longstanding debate over whether exotic species closely or distantly related to native communities are more likely to succeed. Despite its long history, empirical studies continue to yield conflicting evidence. Here, we introduce the dark diversity concept, which refers to species that could theoretically inhabit a site but are currently absent. Combined with observed diversity, dark diversity integrates information on the potential diversity (site-specific species pool size) of the resident community and how completely that pool is locally present (community completeness). Analyzing a 340-y record of successful and failed fish introductions across 516 Swedish lakes, we showed that the effect of phylogenetic relatedness on invasion outcome depends on dark diversity context. Exotics closely related to resident species were more likely to establish in communities with smaller species pools and higher completeness, whereas phylogenetically distant exotic species were more successful in communities with larger species pools and lower completeness. Models with observed species richness obtained considerably less support. Thus, integrating the dark diversity framework clarifies the contrasting effects of phylogenetic relatedness on invasion outcomes, and helps reconcile this 160-y-old conundrum.</w:t>
      </w:r>
    </w:p>
    <w:p>
      <w:pPr>
        <w:spacing w:before="120" w:after="120"/>
      </w:pPr>
      <w:r>
        <w:rPr>
          <w:sz w:val="18"/>
        </w:rPr>
        <w:t>——————————————————————————————————————————————————————————————————————</w:t>
      </w:r>
    </w:p>
    <w:p>
      <w:pPr>
        <w:spacing w:before="160" w:after="40" w:line="240" w:lineRule="auto"/>
      </w:pPr>
      <w:r>
        <w:rPr>
          <w:b/>
        </w:rPr>
        <w:t xml:space="preserve">[324] </w:t>
      </w:r>
      <w:hyperlink r:id="rId929">
        <w:r>
          <w:rPr>
            <w:color w:val="1155CC"/>
            <w:u w:val="single"/>
          </w:rPr>
          <w:t>新形成的少突胶质细胞中 TFEB 信号传导和自噬的破坏导致中枢神经系统髓磷脂的异常生成</w:t>
        </w:r>
      </w:hyperlink>
    </w:p>
    <w:p>
      <w:pPr>
        <w:spacing w:before="0" w:after="80"/>
      </w:pPr>
      <w:r>
        <w:rPr>
          <w:i/>
          <w:sz w:val="20"/>
        </w:rPr>
        <w:t>EN: Disruption to TFEB signaling and autophagy in newly formed oligodendrocytes leads to aberrant generation of CNS myelin</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30">
        <w:r>
          <w:rPr>
            <w:color w:val="1155CC"/>
            <w:u w:val="single"/>
          </w:rPr>
          <w:t>10.1073/pnas.2528668123</w:t>
        </w:r>
      </w:hyperlink>
    </w:p>
    <w:p>
      <w:pPr>
        <w:spacing w:before="0" w:after="120"/>
      </w:pPr>
      <w:r>
        <w:rPr>
          <w:b/>
        </w:rPr>
        <w:t xml:space="preserve">Notes: </w:t>
      </w:r>
      <w:r>
        <w:t>abstract_source=crossref</w:t>
      </w:r>
    </w:p>
    <w:p>
      <w:pPr>
        <w:spacing w:before="0" w:after="80" w:lineRule="auto" w:line="276"/>
      </w:pPr>
      <w:r>
        <w:rPr>
          <w:b/>
        </w:rPr>
        <w:t xml:space="preserve">摘要（ZH）: </w:t>
      </w:r>
      <w:r>
        <w:t>髓磷脂是脊椎动物神经系统的一个决定性特征，但控制其完整性的细胞和分子机制仍然知之甚少。在这里，我们使用体积电子显微镜和针对新形成的少突胶质细胞的敲入小鼠系，重建了早期视神经髓鞘形成并检查了视网膜神经节细胞轴突鞘。我们观察到新形成的髓鞘表现出膜突起和偶尔的退变髓鞘“螺纹”。新形成的少突胶质细胞中转录因子 EB (TFEB)-自噬途径的条件性破坏显着增加了这些异常髓磷脂结构的丰度，表明该途径是正常髓磷脂形成和完整性所必需的。重要的是，该通路的作用独立于 TFEB 抑制髓鞘生长的既定功能。总之，我们的研究结果确定了 TFEB 依赖性自噬在发育过程中建立适当髓磷脂结构的作用，为了解调节髓磷脂完整性的少突胶质细胞内在机制提供了见解。</w:t>
      </w:r>
    </w:p>
    <w:p>
      <w:pPr>
        <w:spacing w:before="0" w:after="200" w:lineRule="auto" w:line="276"/>
      </w:pPr>
      <w:r>
        <w:rPr>
          <w:b/>
        </w:rPr>
        <w:t xml:space="preserve">Abstract (EN): </w:t>
      </w:r>
      <w:r>
        <w:t>Myelin is a defining feature of the vertebrate nervous system, yet the cellular and molecular mechanisms governing its integrity remain poorly understood. Here, using volume electron microscopy and a knock-in mouse line targeting newly formed oligodendrocytes, we reconstruct early optic nerve myelination and examine retinal ganglion cell axon ensheathment. We observe that newly formed myelin sheaths exhibit membrane protrusions and occasional degenerative myelin “whorls.” Conditional disruption of the transcription factor EB (TFEB)-autophagy pathway in newly formed oligodendrocytes significantly increases the abundance of these aberrant myelin structures, indicating that this pathway is required for proper myelin formation and integrity. Importantly, this pathway acts independently of the well-established function of TFEB that represses myelin sheath growth. Together, our findings identify a role for TFEB-dependent autophagy in establishing proper myelin structure during development, providing insights into the oligodendrocyte-intrinsic mechanisms that regulate myelin integrity.</w:t>
      </w:r>
    </w:p>
    <w:p>
      <w:pPr>
        <w:spacing w:before="120" w:after="120"/>
      </w:pPr>
      <w:r>
        <w:rPr>
          <w:sz w:val="18"/>
        </w:rPr>
        <w:t>——————————————————————————————————————————————————————————————————————</w:t>
      </w:r>
    </w:p>
    <w:p>
      <w:pPr>
        <w:spacing w:before="160" w:after="40" w:line="240" w:lineRule="auto"/>
      </w:pPr>
      <w:r>
        <w:rPr>
          <w:b/>
        </w:rPr>
        <w:t xml:space="preserve">[325] </w:t>
      </w:r>
      <w:hyperlink r:id="rId931">
        <w:r>
          <w:rPr>
            <w:color w:val="1155CC"/>
            <w:u w:val="single"/>
          </w:rPr>
          <w:t>长程转录-翻译耦合的结构基础</w:t>
        </w:r>
      </w:hyperlink>
    </w:p>
    <w:p>
      <w:pPr>
        <w:spacing w:before="0" w:after="80"/>
      </w:pPr>
      <w:r>
        <w:rPr>
          <w:i/>
          <w:sz w:val="20"/>
        </w:rPr>
        <w:t>EN: Structural basis of long-range transcription–translation coupling</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32">
        <w:r>
          <w:rPr>
            <w:color w:val="1155CC"/>
            <w:u w:val="single"/>
          </w:rPr>
          <w:t>10.1073/pnas.2528970123</w:t>
        </w:r>
      </w:hyperlink>
    </w:p>
    <w:p>
      <w:pPr>
        <w:spacing w:before="0" w:after="120"/>
      </w:pPr>
      <w:r>
        <w:rPr>
          <w:b/>
        </w:rPr>
        <w:t xml:space="preserve">Notes: </w:t>
      </w:r>
      <w:r>
        <w:t>abstract_source=crossref</w:t>
      </w:r>
    </w:p>
    <w:p>
      <w:pPr>
        <w:spacing w:before="0" w:after="80" w:lineRule="auto" w:line="276"/>
      </w:pPr>
      <w:r>
        <w:rPr>
          <w:b/>
        </w:rPr>
        <w:t xml:space="preserve">摘要（ZH）: </w:t>
      </w:r>
      <w:r>
        <w:t>最近报道了介导转录-翻译耦合的分子组装体的结构</w:t>
      </w:r>
      <w:r>
        <w:t xml:space="preserve"> </w:t>
      </w:r>
      <w:r>
        <w:t>大肠杆菌</w:t>
      </w:r>
      <w:r>
        <w:t xml:space="preserve"> </w:t>
      </w:r>
      <w:r>
        <w:t>。在这些被称为“偶联转录-翻译复合物”或“TTC-B”的分子组装体中，RNA聚合酶（RNAP）直接与核糖体相互作用，转录延伸因子NusG或其旁系同源物RfaH在RNAP和核糖体之间形成桥梁，并且转录延伸因子NusA任选地在RNAP和核糖体之间形成第二个桥梁。在这里，我们报道了转录-翻译偶联复合物的结构，其RNAP和核糖体之间的mRNA间隔比与TTC-B的形成相容的最大长度mRNA间隔更长。结果定义了一类偶联的转录-翻译复合体，称为“TTC-LC”，其中“LC”表示“长程偶联”。 TTC-LC 与 TTC-B 的不同之处在于 RNAP 相对于核糖体有约 60° 旋转和约 70 Å 平移，导致 RNAP 和核糖体之间直接相互作用的丧失，并在 RNAP 和核糖体之间产生约 70 Å 间隙。 TTC-LC 通过从 RNAP 和核糖体之间的间隙环出 mRNA 来容纳长 mRNA 间隔区。我们提供的证据表明，TTC-LC 是组装和分解 TTC-B 的功能中间体，在核糖体赶上 RNAP 之前介导 TTC-B 前转录-翻译偶联，并在核糖体停止移动且 RNAP 继续移动后介导 TTC-B 后转录-翻译偶联。我们发现 TTC-B（而非 TTC-LC）在 RNA 发夹依赖性转录终止子方面存在严重缺陷。</w:t>
      </w:r>
    </w:p>
    <w:p>
      <w:pPr>
        <w:spacing w:before="0" w:after="200" w:lineRule="auto" w:line="276"/>
      </w:pPr>
      <w:r>
        <w:rPr>
          <w:b/>
        </w:rPr>
        <w:t xml:space="preserve">Abstract (EN): </w:t>
      </w:r>
      <w:r>
        <w:t>Structures recently have been reported of molecular assemblies that mediate transcription–translation coupling in</w:t>
      </w:r>
      <w:r>
        <w:t xml:space="preserve"> </w:t>
      </w:r>
      <w:r>
        <w:t>Escherichia coli</w:t>
      </w:r>
      <w:r>
        <w:t xml:space="preserve"> </w:t>
      </w:r>
      <w:r>
        <w:t>. In these molecular assemblies, termed “coupled transcription–translation complexes” or “TTC-B,” RNA polymerase (RNAP) directly interacts with the ribosome, the transcription elongation factor NusG or its paralog RfaH forms a bridge between RNAP and ribosome, and the transcription elongation factor NusA optionally forms a second bridge between RNAP and ribosome. Here, we report structures of coupled transcription–translation complexes having mRNA spacers between RNAP and ribosome longer than the maximum-length mRNA spacer compatible with formation of TTC-B. The results define a class of coupled transcription–translation complex, termed “TTC-LC,” where “LC” denotes “long-range coupling.” TTC-LC differs from TTC-B by a ~60° rotation and ~70 Å translation of RNAP relative to ribosome, resulting in loss of direct interactions between RNAP and ribosome and creation of a ~70 Å gap between RNAP and ribosome. TTC-LC accommodates long mRNA spacers by looping out mRNA from the gap between RNAP and ribosome. We present evidence that TTC-LC is a functional intermediate in assembling and disassembling TTC-B, mediating pre-TTC-B transcription–translation coupling before a ribosome catches up to RNAP, and mediating post-TTC-B transcription–translation coupling after a ribosome stops moving and RNAP continues moving. We show that TTC-B, but not TTC-LC, is severely defective in RNA-hairpin-dependent transcription termination, and that both TTC-B and TTC-LC are severely defective in Rho-dependent transcription termination.</w:t>
      </w:r>
    </w:p>
    <w:p>
      <w:pPr>
        <w:spacing w:before="120" w:after="120"/>
      </w:pPr>
      <w:r>
        <w:rPr>
          <w:sz w:val="18"/>
        </w:rPr>
        <w:t>——————————————————————————————————————————————————————————————————————</w:t>
      </w:r>
    </w:p>
    <w:p>
      <w:pPr>
        <w:spacing w:before="160" w:after="40" w:line="240" w:lineRule="auto"/>
      </w:pPr>
      <w:r>
        <w:rPr>
          <w:b/>
        </w:rPr>
        <w:t xml:space="preserve">[326] </w:t>
      </w:r>
      <w:hyperlink r:id="rId933">
        <w:r>
          <w:rPr>
            <w:color w:val="1155CC"/>
            <w:u w:val="single"/>
          </w:rPr>
          <w:t>GREM1/FGFR1激活的肌成纤维细胞诱导免疫抑制并加速高级别浆液性卵巢癌的转移</w:t>
        </w:r>
      </w:hyperlink>
    </w:p>
    <w:p>
      <w:pPr>
        <w:spacing w:before="0" w:after="80"/>
      </w:pPr>
      <w:r>
        <w:rPr>
          <w:i/>
          <w:sz w:val="20"/>
        </w:rPr>
        <w:t>EN: GREM1/FGFR1-activated myofibroblasts induce immunosuppression and accelerate metastasis in high-grade serous ovarian cancer</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34">
        <w:r>
          <w:rPr>
            <w:color w:val="1155CC"/>
            <w:u w:val="single"/>
          </w:rPr>
          <w:t>10.1073/pnas.2529786123</w:t>
        </w:r>
      </w:hyperlink>
    </w:p>
    <w:p>
      <w:pPr>
        <w:spacing w:before="0" w:after="120"/>
      </w:pPr>
      <w:r>
        <w:rPr>
          <w:b/>
        </w:rPr>
        <w:t xml:space="preserve">Notes: </w:t>
      </w:r>
      <w:r>
        <w:t>abstract_source=crossref</w:t>
      </w:r>
    </w:p>
    <w:p>
      <w:pPr>
        <w:spacing w:before="0" w:after="80" w:lineRule="auto" w:line="276"/>
      </w:pPr>
      <w:r>
        <w:rPr>
          <w:b/>
        </w:rPr>
        <w:t xml:space="preserve">摘要（ZH）: </w:t>
      </w:r>
      <w:r>
        <w:t>癌症相关成纤维细胞 (CAF) 和调节性 T 细胞 (Treg) 的联合作用可以驱动高级别浆液性卵巢癌 (HGSOC) 的免疫抑制，从而促进肿瘤转移并限制 PD-1/PD-L1 阻断的临床益处。然而，CAF 和 Tregs 之间的机制串扰仍不清楚。通过将批量 RNA-seq、单细胞 RNA-seq 数据集和空间转录组数据集与功能分析相结合，我们鉴定了一组 TGF-β1 驱动的 Gremlin1 (GREM1)</w:t>
      </w:r>
      <w:r>
        <w:t xml:space="preserve"> </w:t>
      </w:r>
      <w:r>
        <w:t>+</w:t>
      </w:r>
      <w:r>
        <w:t xml:space="preserve"> </w:t>
      </w:r>
      <w:r>
        <w:t>肌纤维母细胞 CAF (myCAF) 在 HGSOC 转移灶中富集。这些GREM1</w:t>
      </w:r>
      <w:r>
        <w:t xml:space="preserve"> </w:t>
      </w:r>
      <w:r>
        <w:t>+</w:t>
      </w:r>
      <w:r>
        <w:t xml:space="preserve"> </w:t>
      </w:r>
      <w:r>
        <w:t>myCAFs通过自分泌信号激活FGFR1-MAPKs-NFκB-TDO2-犬尿氨酸轴，促进肿瘤生长、转移和以CD4浸润为特征的免疫逃避</w:t>
      </w:r>
      <w:r>
        <w:t xml:space="preserve"> </w:t>
      </w:r>
      <w:r>
        <w:t>+</w:t>
      </w:r>
      <w:r>
        <w:t xml:space="preserve"> </w:t>
      </w:r>
      <w:r>
        <w:t>Tregs 和功能失调的 CD8</w:t>
      </w:r>
      <w:r>
        <w:t xml:space="preserve"> </w:t>
      </w:r>
      <w:r>
        <w:t>+</w:t>
      </w:r>
      <w:r>
        <w:t xml:space="preserve"> </w:t>
      </w:r>
      <w:r>
        <w:t>T细胞。 GREM1 敲低可抑制肿瘤转移、恢复抗肿瘤 T 细胞反应、重塑 CAF 亚型组成并增强抗 PD-1 治疗功效。这项研究强调了 GREM1 的促转移作用</w:t>
      </w:r>
      <w:r>
        <w:t xml:space="preserve"> </w:t>
      </w:r>
      <w:r>
        <w:t>+</w:t>
      </w:r>
      <w:r>
        <w:t xml:space="preserve"> </w:t>
      </w:r>
      <w:r>
        <w:t>myCAF 跨越多个肿瘤，并为结合抗 PD-1 疗法治疗转移性 HGSOC 提供了理论基础。</w:t>
      </w:r>
    </w:p>
    <w:p>
      <w:pPr>
        <w:spacing w:before="0" w:after="200" w:lineRule="auto" w:line="276"/>
      </w:pPr>
      <w:r>
        <w:rPr>
          <w:b/>
        </w:rPr>
        <w:t xml:space="preserve">Abstract (EN): </w:t>
      </w:r>
      <w:r>
        <w:t>Joint effect of cancer-associated fibroblasts (CAFs) and regulatory T cells (Tregs) can drive immunosuppression in high-grade serous ovarian cancer (HGSOC), thereby promoting tumor metastasis and limiting the clinical benefit of PD-1/PD-L1 blockade. However, the mechanistic crosstalk between CAFs and Tregs remains unclear. By integrating bulk RNA-seq, single-cell RNA-seq datasets, and spatial transcriptomics datasets with functional assays, we identified a population of TGF-β1-driven Gremlin1 (GREM1)</w:t>
      </w:r>
      <w:r>
        <w:t xml:space="preserve"> </w:t>
      </w:r>
      <w:r>
        <w:t>+</w:t>
      </w:r>
      <w:r>
        <w:t xml:space="preserve"> </w:t>
      </w:r>
      <w:r>
        <w:t>myofibroblastic CAFs (myCAFs) enriched in HGSOC metastatic lesions. These GREM1</w:t>
      </w:r>
      <w:r>
        <w:t xml:space="preserve"> </w:t>
      </w:r>
      <w:r>
        <w:t>+</w:t>
      </w:r>
      <w:r>
        <w:t xml:space="preserve"> </w:t>
      </w:r>
      <w:r>
        <w:t>myCAFs activated the FGFR1-MAPKs-NFκB-TDO2-kynurenine axis via autocrine signaling, promoting tumor growth, metastasis, and immune evasion characterized by the infiltration of CD4</w:t>
      </w:r>
      <w:r>
        <w:t xml:space="preserve"> </w:t>
      </w:r>
      <w:r>
        <w:t>+</w:t>
      </w:r>
      <w:r>
        <w:t xml:space="preserve"> </w:t>
      </w:r>
      <w:r>
        <w:t>Tregs and dysfunctional CD8</w:t>
      </w:r>
      <w:r>
        <w:t xml:space="preserve"> </w:t>
      </w:r>
      <w:r>
        <w:t>+</w:t>
      </w:r>
      <w:r>
        <w:t xml:space="preserve"> </w:t>
      </w:r>
      <w:r>
        <w:t>T cells. GREM1 knockdown suppressed tumor metastasis, restored antitumor T cells response, remodeled CAF subtype composition and potentiated anti-PD-1 therapy efficacy. This study highlights the pro-metastatic role of GREM1</w:t>
      </w:r>
      <w:r>
        <w:t xml:space="preserve"> </w:t>
      </w:r>
      <w:r>
        <w:t>+</w:t>
      </w:r>
      <w:r>
        <w:t xml:space="preserve"> </w:t>
      </w:r>
      <w:r>
        <w:t>myCAFs across multiple tumors and provides a rationale for combining anti-PD-1 therapy for metastatic HGSOC.</w:t>
      </w:r>
    </w:p>
    <w:p>
      <w:pPr>
        <w:spacing w:before="120" w:after="120"/>
      </w:pPr>
      <w:r>
        <w:rPr>
          <w:sz w:val="18"/>
        </w:rPr>
        <w:t>——————————————————————————————————————————————————————————————————————</w:t>
      </w:r>
    </w:p>
    <w:p>
      <w:pPr>
        <w:spacing w:before="160" w:after="40" w:line="240" w:lineRule="auto"/>
      </w:pPr>
      <w:r>
        <w:rPr>
          <w:b/>
        </w:rPr>
        <w:t xml:space="preserve">[327] </w:t>
      </w:r>
      <w:hyperlink r:id="rId935">
        <w:r>
          <w:rPr>
            <w:color w:val="1155CC"/>
            <w:u w:val="single"/>
          </w:rPr>
          <w:t>通过循环途径增强美国磷供应弹性的机会</w:t>
        </w:r>
      </w:hyperlink>
    </w:p>
    <w:p>
      <w:pPr>
        <w:spacing w:before="0" w:after="80"/>
      </w:pPr>
      <w:r>
        <w:rPr>
          <w:i/>
          <w:sz w:val="20"/>
        </w:rPr>
        <w:t>EN: Opportunities to strengthen US phosphorus supply resilience through circular pathways</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36">
        <w:r>
          <w:rPr>
            <w:color w:val="1155CC"/>
            <w:u w:val="single"/>
          </w:rPr>
          <w:t>10.1073/pnas.2530690123</w:t>
        </w:r>
      </w:hyperlink>
    </w:p>
    <w:p>
      <w:pPr>
        <w:spacing w:before="0" w:after="120"/>
      </w:pPr>
      <w:r>
        <w:rPr>
          <w:b/>
        </w:rPr>
        <w:t xml:space="preserve">Notes: </w:t>
      </w:r>
      <w:r>
        <w:t>abstract_source=crossref</w:t>
      </w:r>
    </w:p>
    <w:p>
      <w:pPr>
        <w:spacing w:before="0" w:after="80" w:lineRule="auto" w:line="276"/>
      </w:pPr>
      <w:r>
        <w:rPr>
          <w:b/>
        </w:rPr>
        <w:t xml:space="preserve">摘要（ZH）: </w:t>
      </w:r>
      <w:r>
        <w:t>随着优质磷矿的供应量不断减少，供应不确定性不断增加，提高磷 (P) 的回收、循环利用和减少废物已成为维持农业生产的关键。我们开发了一个综合磷循环和土壤动力学模型，利用 1866 年至 2050 年 3,142 个县的 91 种主要作物和 20 种牲畜类型的数据，量化了美国减少矿物磷需求的 7 种循环策略。我们表明，土壤残留磷再利用在减少美国矿物磷需求方面具有最大的潜力。到 2023 年，土壤磷储量总量已累积至 99 Tg，相当于 1866 年至 2023 年期间矿物磷投入的约 68%。对于 2024-2050 年，各种社会经济情景下的预测表明，仅土壤残留磷再利用就可能供应美国预计矿物磷需求的约 2.4 至 5.1 倍，农田和牧场土壤中积累了大量残留磷库存。污水污泥、牲畜和农作物副产品的回收可以总共额外抵消约 0.5 至 1.0 倍的矿物磷需求，而减少食物垃圾则可以减少约 0.3 倍的需求。空间分析进一步凸显了循环磷供应量与农田磷需求之间的不匹配，高矿产磷规避潜力集中在南部和西部，但中西部大多数县的循环磷供应与预计矿产磷需求的比率相对较低。这些发现为 P str 的循环方式提供了空间明确且与决策相关的见解</w:t>
      </w:r>
    </w:p>
    <w:p>
      <w:pPr>
        <w:spacing w:before="0" w:after="200" w:lineRule="auto" w:line="276"/>
      </w:pPr>
      <w:r>
        <w:rPr>
          <w:b/>
        </w:rPr>
        <w:t xml:space="preserve">Abstract (EN): </w:t>
      </w:r>
      <w:r>
        <w:t>With diminishing availability of high-quality phosphate rock and increasing supply uncertainties, improving phosphorus (P) recovery, recycling, and waste reduction has become critical for sustaining agricultural production. We developed an integrated P cycling and soil dynamics model to quantify 7 circular strategies for reducing mineral P demand in the United States, using data for 91 major crops and 20 livestock types across 3,142 counties from 1866 to 2050. We show that soil residual P reuse has the largest potential to reduce mineral P demand in the United States. By 2023, total soil P stocks had accumulated to 99 Tg, equivalent to approximately 68% of mineral P inputs over 1866–2023. For 2024–2050, projections under various socioeconomic scenarios indicate that soil residual P reuse alone could potentially supply approximately 2.4 to 5.1 times projected US mineral P demand, with substantial residual P stocks accumulated in both cropland and pastureland soils. Recycling from sewage sludge and livestock and crop by-products could collectively offset an additional approximately 0.5 to 1.0 times mineral P demand, while food waste reduction could reduce requirements by approximately 0.3 times. Spatial analyses further highlight a mismatch between circular P availability and cropland P demand, with high mineral P avoidance potential concentrated in the South and West, but relatively low ratios of circular P supply to projected mineral P demand across most counties in the Midwest. These findings provide spatially explicit and decision-relevant insights into how circular P strategies can enhance the stability and resilience of US food systems under future resource constraints.</w:t>
      </w:r>
    </w:p>
    <w:p>
      <w:pPr>
        <w:spacing w:before="120" w:after="120"/>
      </w:pPr>
      <w:r>
        <w:rPr>
          <w:sz w:val="18"/>
        </w:rPr>
        <w:t>——————————————————————————————————————————————————————————————————————</w:t>
      </w:r>
    </w:p>
    <w:p>
      <w:pPr>
        <w:spacing w:before="160" w:after="40" w:line="240" w:lineRule="auto"/>
      </w:pPr>
      <w:r>
        <w:rPr>
          <w:b/>
        </w:rPr>
        <w:t xml:space="preserve">[328] </w:t>
      </w:r>
      <w:hyperlink r:id="rId937">
        <w:r>
          <w:rPr>
            <w:color w:val="1155CC"/>
            <w:u w:val="single"/>
          </w:rPr>
          <w:t>通过 TCF7L2/LEF1 结合特异性的差异 Wnt/β-连环蛋白信号传导塑造细胞和肿瘤表型</w:t>
        </w:r>
      </w:hyperlink>
    </w:p>
    <w:p>
      <w:pPr>
        <w:spacing w:before="0" w:after="80"/>
      </w:pPr>
      <w:r>
        <w:rPr>
          <w:i/>
          <w:sz w:val="20"/>
        </w:rPr>
        <w:t>EN: Differential Wnt/β-catenin signaling via TCF7L2/LEF1 binding specificity shapes cellular and tumor phenotypes</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38">
        <w:r>
          <w:rPr>
            <w:color w:val="1155CC"/>
            <w:u w:val="single"/>
          </w:rPr>
          <w:t>10.1073/pnas.2528450123</w:t>
        </w:r>
      </w:hyperlink>
    </w:p>
    <w:p>
      <w:pPr>
        <w:spacing w:before="0" w:after="120"/>
      </w:pPr>
      <w:r>
        <w:rPr>
          <w:b/>
        </w:rPr>
        <w:t xml:space="preserve">Notes: </w:t>
      </w:r>
      <w:r>
        <w:t>abstract_source=crossref</w:t>
      </w:r>
    </w:p>
    <w:p>
      <w:pPr>
        <w:spacing w:before="0" w:after="80" w:lineRule="auto" w:line="276"/>
      </w:pPr>
      <w:r>
        <w:rPr>
          <w:b/>
        </w:rPr>
        <w:t xml:space="preserve">摘要（ZH）: </w:t>
      </w:r>
      <w:r>
        <w:t>Wnt/β-连环蛋白信号传导以组织和环境特异性方式调节基因表达的机制仍然知之甚少，这限制了我们针对许多 Wnt 驱动的癌症典型的异常细胞生长的能力。在这里，我们重点关注由激活驱动的恶性肝肿瘤</w:t>
      </w:r>
      <w:r>
        <w:t xml:space="preserve"> </w:t>
      </w:r>
      <w:r>
        <w:t>CTNNB1</w:t>
      </w:r>
      <w:r>
        <w:t xml:space="preserve"> </w:t>
      </w:r>
      <w:r>
        <w:t>（β-连环蛋白）突变，但表现出不同的表型状态和 Wnt 输出。通过单细胞转录组学和染色质动力学分析患者来源的类器官，我们确定了亚型特异性转录和表观遗传图谱。使用 CUT&amp;RUN，我们表明 β-连环蛋白参与不同的基因组区域，这是由与 TCF/LEF 家族转录因子的差异关联决定的。具体来说，我们定义了仅在与 TCF7L2 相互作用时由 β-catenin 参与的序列特异性调控元件，揭示了伙伴选择，独立于</w:t>
      </w:r>
      <w:r>
        <w:t xml:space="preserve"> </w:t>
      </w:r>
      <w:r>
        <w:t>CTNNB1</w:t>
      </w:r>
      <w:r>
        <w:t xml:space="preserve"> </w:t>
      </w:r>
      <w:r>
        <w:t>突变状态，最终决定细胞的命运。我们的研究结果在多个肿瘤模型和患者组织中得到验证，为理解β-连环蛋白-TCF/LEF 相互作用的差异如何协调特定环境的 Wnt 信号转导结果提供了一个框架。</w:t>
      </w:r>
    </w:p>
    <w:p>
      <w:pPr>
        <w:spacing w:before="0" w:after="200" w:lineRule="auto" w:line="276"/>
      </w:pPr>
      <w:r>
        <w:rPr>
          <w:b/>
        </w:rPr>
        <w:t xml:space="preserve">Abstract (EN): </w:t>
      </w:r>
      <w:r>
        <w:t>The mechanisms by which Wnt/β-catenin signaling regulates gene expression in a tissue- and context-specific manner remain poorly understood, limiting our ability to target the aberrant cell growth typical of many Wnt-driven cancers. Here, we focus on malignant liver tumors driven by activating</w:t>
      </w:r>
      <w:r>
        <w:t xml:space="preserve"> </w:t>
      </w:r>
      <w:r>
        <w:t>CTNNB1</w:t>
      </w:r>
      <w:r>
        <w:t xml:space="preserve"> </w:t>
      </w:r>
      <w:r>
        <w:t>(β-catenin) mutations that nevertheless display distinct phenotypic states and Wnt outputs. By profiling patient-derived organoids via single-cell transcriptomics and chromatin dynamics, we identify subtype-specific transcriptional and epigenetic profiles. Using CUT&amp;amp;RUN, we show that β-catenin engages distinct genomic regions, dictated by differential association with TCF/LEF family transcription factors. Specifically, we define a sequence-specific regulatory element engaged by β-catenin only upon interaction with TCF7L2, revealing that partner choice, independent of</w:t>
      </w:r>
      <w:r>
        <w:t xml:space="preserve"> </w:t>
      </w:r>
      <w:r>
        <w:t>CTNNB1</w:t>
      </w:r>
      <w:r>
        <w:t xml:space="preserve"> </w:t>
      </w:r>
      <w:r>
        <w:t>mutational status, ultimately determines cell fate. Our findings, validated across multiple tumor models and patient tissues, offer a framework for understanding how differential β-catenin-TCF/LEF interaction orchestrates context-specific Wnt signaling outcomes.</w:t>
      </w:r>
    </w:p>
    <w:p>
      <w:pPr>
        <w:spacing w:before="120" w:after="120"/>
      </w:pPr>
      <w:r>
        <w:rPr>
          <w:sz w:val="18"/>
        </w:rPr>
        <w:t>——————————————————————————————————————————————————————————————————————</w:t>
      </w:r>
    </w:p>
    <w:p>
      <w:pPr>
        <w:spacing w:before="160" w:after="40" w:line="240" w:lineRule="auto"/>
      </w:pPr>
      <w:r>
        <w:rPr>
          <w:b/>
        </w:rPr>
        <w:t xml:space="preserve">[329] </w:t>
      </w:r>
      <w:hyperlink r:id="rId939">
        <w:r>
          <w:rPr>
            <w:color w:val="1155CC"/>
            <w:u w:val="single"/>
          </w:rPr>
          <w:t>仅从两个位点表达四种线粒体 tRNA</w:t>
        </w:r>
      </w:hyperlink>
    </w:p>
    <w:p>
      <w:pPr>
        <w:spacing w:before="0" w:after="80"/>
      </w:pPr>
      <w:r>
        <w:rPr>
          <w:i/>
          <w:sz w:val="20"/>
        </w:rPr>
        <w:t>EN: Expression of four mitochondrial tRNAs from only two loci</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40">
        <w:r>
          <w:rPr>
            <w:color w:val="1155CC"/>
            <w:u w:val="single"/>
          </w:rPr>
          <w:t>10.1073/pnas.2534946123</w:t>
        </w:r>
      </w:hyperlink>
    </w:p>
    <w:p>
      <w:pPr>
        <w:spacing w:before="0" w:after="120"/>
      </w:pPr>
      <w:r>
        <w:rPr>
          <w:b/>
        </w:rPr>
        <w:t xml:space="preserve">Notes: </w:t>
      </w:r>
      <w:r>
        <w:t>abstract_source=crossref</w:t>
      </w:r>
    </w:p>
    <w:p>
      <w:pPr>
        <w:spacing w:before="0" w:after="80" w:lineRule="auto" w:line="276"/>
      </w:pPr>
      <w:r>
        <w:rPr>
          <w:b/>
        </w:rPr>
        <w:t xml:space="preserve">摘要（ZH）: </w:t>
      </w:r>
      <w:r>
        <w:t>转移 RNA (tRNA) 是动物线粒体基因组中保留的少数基因之一，经过十亿多年的基因丢失。这些古老的细菌遗迹通常结构异常，并且比细菌或胞质 tRNA 对应物更不稳定。在某些谱系中，线粒体 tRNA (mt-tRNA) 已被截短，以至于一只或双臂的丢失扩大了我们对功能性 tRNA 构成的理解。在这里，我们报告了与典型 tRNA 基因结构的另一个根本背离：从同一基因座的相反链产生的两个重叠的 tRNA。这些“镜像”tRNA 对消除了为所有 tRNA 基因保留单独基因座的需要，因为单个基因座可以产生 tRNA 来解码两种不同的氨基酸。我们证明这些镜像 tRNA 被氨酰化，并证明它们存在于线粒体中。此外，镜像 tRNA 显示核苷酸修饰和 RNA 编辑的链特异性模式，反映了取决于转录方向的特定转录后成熟。这种功能性、双向 tRNA 表达的展示揭示了一种意想不到的策略，线粒体基因组通过该策略在面对持续的基因丢失时维持一套完整的 tRNA。镜像 tRNA 的存在对于 tRNA 相互作用酶的进化、线粒体生物学，甚至蛋白质合成机制本身的起源具有广泛的影响。</w:t>
      </w:r>
    </w:p>
    <w:p>
      <w:pPr>
        <w:spacing w:before="0" w:after="200" w:lineRule="auto" w:line="276"/>
      </w:pPr>
      <w:r>
        <w:rPr>
          <w:b/>
        </w:rPr>
        <w:t xml:space="preserve">Abstract (EN): </w:t>
      </w:r>
      <w:r>
        <w:t>Transfer RNAs (tRNAs) are among the few genes retained in animal mitochondrial genomes after more than a billion years of gene loss. These ancient bacterial vestiges are often structurally aberrant and less stable than their bacterial or cytosolic tRNA counterparts. In some lineages, mitochondrial tRNAs (mt-tRNAs) have become so truncated that the loss of one or both arms has expanded our understanding of what constitutes a functional tRNA. Here, we report another radical departure from canonical tRNA gene architecture: two overlapping tRNAs produced from opposite strands of the same locus. These “mirror” tRNA pairs eliminate the need to retain separate loci for all tRNA genes, as a single locus can produce tRNAs to decode two different amino acids. We show that these mirror tRNAs are aminoacylated and demonstrate their presence in mitoribosomes. Furthermore, mirror tRNAs display strand-specific patterns of nucleotide modification and RNA editing, reflecting specific posttranscriptional maturation that depends on transcriptional orientation. This demonstration of functional, bidirectional tRNA expression reveals an unexpected strategy by which mitochondrial genomes maintain a complete set of tRNAs in the face of unrelenting gene loss. The presence of mirror tRNAs has broad implications for the evolution of tRNA-interacting enzymes, mitochondrial biology, and even the origins of the protein synthesis machinery itself.</w:t>
      </w:r>
    </w:p>
    <w:p>
      <w:pPr>
        <w:spacing w:before="120" w:after="120"/>
      </w:pPr>
      <w:r>
        <w:rPr>
          <w:sz w:val="18"/>
        </w:rPr>
        <w:t>——————————————————————————————————————————————————————————————————————</w:t>
      </w:r>
    </w:p>
    <w:p>
      <w:pPr>
        <w:spacing w:before="160" w:after="40" w:line="240" w:lineRule="auto"/>
      </w:pPr>
      <w:r>
        <w:rPr>
          <w:b/>
        </w:rPr>
        <w:t xml:space="preserve">[330] </w:t>
      </w:r>
      <w:hyperlink r:id="rId941">
        <w:r>
          <w:rPr>
            <w:color w:val="1155CC"/>
            <w:u w:val="single"/>
          </w:rPr>
          <w:t>蚕的味觉受体 - Akt 轴将营养感应与造血作用结合起来</w:t>
        </w:r>
      </w:hyperlink>
    </w:p>
    <w:p>
      <w:pPr>
        <w:spacing w:before="0" w:after="80"/>
      </w:pPr>
      <w:r>
        <w:rPr>
          <w:i/>
          <w:sz w:val="20"/>
        </w:rPr>
        <w:t>EN: A gustatory receptor–Akt axis couples nutrient sensing to hematopoiesis in the silkworm</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42">
        <w:r>
          <w:rPr>
            <w:color w:val="1155CC"/>
            <w:u w:val="single"/>
          </w:rPr>
          <w:t>10.1073/pnas.2535199123</w:t>
        </w:r>
      </w:hyperlink>
    </w:p>
    <w:p>
      <w:pPr>
        <w:spacing w:before="0" w:after="120"/>
      </w:pPr>
      <w:r>
        <w:rPr>
          <w:b/>
        </w:rPr>
        <w:t xml:space="preserve">Notes: </w:t>
      </w:r>
      <w:r>
        <w:t>abstract_source=crossref</w:t>
      </w:r>
    </w:p>
    <w:p>
      <w:pPr>
        <w:spacing w:before="0" w:after="80" w:lineRule="auto" w:line="276"/>
      </w:pPr>
      <w:r>
        <w:rPr>
          <w:b/>
        </w:rPr>
        <w:t xml:space="preserve">摘要（ZH）: </w:t>
      </w:r>
      <w:r>
        <w:t>造血与生物体的代谢状态密切相关，但将营养物质利用率转化为造血输出的分子传感器仍然知之甚少。在这里，我们确定了一种果糖敏感味觉受体 BmGr9，它是一种细胞内在营养传感器，可将循环糖水平与蚕的血细胞增殖联系起来</w:t>
      </w:r>
      <w:r>
        <w:t xml:space="preserve"> </w:t>
      </w:r>
      <w:r>
        <w:t>家蚕</w:t>
      </w:r>
      <w:r>
        <w:t xml:space="preserve"> </w:t>
      </w:r>
      <w:r>
        <w:t>。我们发现，喂食后浓度急剧上升的果糖通过 BmGr9 依赖性 Ca2+ 刺激造血器官 (HPO) 增殖</w:t>
      </w:r>
      <w:r>
        <w:t xml:space="preserve"> </w:t>
      </w:r>
      <w:r>
        <w:t>2+</w:t>
      </w:r>
      <w:r>
        <w:t xml:space="preserve"> </w:t>
      </w:r>
      <w:r>
        <w:t>Akt-鸟氨酸脱羧酶/多胺信号通路的流入和激活。 CRISPR/Cas9 介导的 BmGr9 敲除会减少血细胞生成并损害果糖诱导的 Akt 磷酸化和多胺合成。我们进一步证明，脂肪体多元醇途径从头产生果糖，然后果糖充当器官间代谢信号，促进造血并塑造翼盘/造血复合体中的基因表达。总之，这些发现定义了营养-受体-信号轴，该轴在机制上将饮食和内源果糖与造血增殖联系起来。通过揭示味觉受体意想不到的系统作用，我们的工作扩展了营养感知的概念框架，并提出了代谢状态控制动物血细胞发育的保守原则。</w:t>
      </w:r>
    </w:p>
    <w:p>
      <w:pPr>
        <w:spacing w:before="0" w:after="200" w:lineRule="auto" w:line="276"/>
      </w:pPr>
      <w:r>
        <w:rPr>
          <w:b/>
        </w:rPr>
        <w:t xml:space="preserve">Abstract (EN): </w:t>
      </w:r>
      <w:r>
        <w:t>Hematopoiesis is tightly linked to an organism’s metabolic state, yet the molecular sensors that convert nutrient availability into hematopoietic output remain poorly understood. Here, we identify a fructose-sensitive gustatory receptor, BmGr9, as a cell-intrinsic nutrient sensor that links circulating sugar levels to blood cell proliferation in the silkworm</w:t>
      </w:r>
      <w:r>
        <w:t xml:space="preserve"> </w:t>
      </w:r>
      <w:r>
        <w:t>Bombyx mori</w:t>
      </w:r>
      <w:r>
        <w:t xml:space="preserve"> </w:t>
      </w:r>
      <w:r>
        <w:t>. We show that fructose, whose concentration rises sharply after feeding, stimulates hematopoietic organ (HPO) proliferation through BmGr9-dependent Ca</w:t>
      </w:r>
      <w:r>
        <w:t xml:space="preserve"> </w:t>
      </w:r>
      <w:r>
        <w:t>2+</w:t>
      </w:r>
      <w:r>
        <w:t xml:space="preserve"> </w:t>
      </w:r>
      <w:r>
        <w:t>influx and activation of the Akt–ornithine decarboxylase/polyamine signaling pathway. CRISPR/Cas9-mediated knockout of BmGr9 reduces hemocyte production and impairs fructose-induced Akt phosphorylation and polyamine synthesis. We further demonstrate that the fat body polyol pathway produces fructose de novo, which then acts as an interorgan metabolic signal that promotes hematopoiesis and shapes gene expression in the wing-disc/hematopoietic complex. Together, these findings define a nutrient–receptor–signaling axis that mechanistically links dietary and endogenous fructose to hematopoietic proliferation. By revealing an unexpected systemic role for a gustatory receptor, our work expands the conceptual framework of nutrient sensing and suggests conserved principles by which metabolic state governs blood cell development across animals.</w:t>
      </w:r>
    </w:p>
    <w:p>
      <w:pPr>
        <w:spacing w:before="120" w:after="120"/>
      </w:pPr>
      <w:r>
        <w:rPr>
          <w:sz w:val="18"/>
        </w:rPr>
        <w:t>——————————————————————————————————————————————————————————————————————</w:t>
      </w:r>
    </w:p>
    <w:p>
      <w:pPr>
        <w:spacing w:before="160" w:after="40" w:line="240" w:lineRule="auto"/>
      </w:pPr>
      <w:r>
        <w:rPr>
          <w:b/>
        </w:rPr>
        <w:t xml:space="preserve">[331] </w:t>
      </w:r>
      <w:hyperlink r:id="rId943">
        <w:r>
          <w:rPr>
            <w:color w:val="1155CC"/>
            <w:u w:val="single"/>
          </w:rPr>
          <w:t>IL-4 肽水凝胶将 MSC 异质性重新编程为 CD106+ 群体，以增强肾脏修复</w:t>
        </w:r>
      </w:hyperlink>
    </w:p>
    <w:p>
      <w:pPr>
        <w:spacing w:before="0" w:after="80"/>
      </w:pPr>
      <w:r>
        <w:rPr>
          <w:i/>
          <w:sz w:val="20"/>
        </w:rPr>
        <w:t>EN: IL-4 peptide hydrogel reprograms MSC heterogeneity toward the CD106+ population for enhanced renal repair</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44">
        <w:r>
          <w:rPr>
            <w:color w:val="1155CC"/>
            <w:u w:val="single"/>
          </w:rPr>
          <w:t>10.1073/pnas.2536368123</w:t>
        </w:r>
      </w:hyperlink>
    </w:p>
    <w:p>
      <w:pPr>
        <w:spacing w:before="0" w:after="120"/>
      </w:pPr>
      <w:r>
        <w:rPr>
          <w:b/>
        </w:rPr>
        <w:t xml:space="preserve">Notes: </w:t>
      </w:r>
      <w:r>
        <w:t>abstract_source=crossref</w:t>
      </w:r>
    </w:p>
    <w:p>
      <w:pPr>
        <w:spacing w:before="0" w:after="80" w:lineRule="auto" w:line="276"/>
      </w:pPr>
      <w:r>
        <w:rPr>
          <w:b/>
        </w:rPr>
        <w:t xml:space="preserve">摘要（ZH）: </w:t>
      </w:r>
      <w:r>
        <w:t>间充质干细胞（MSC）表现出显着的异质性，这限制了它们在再生医学中的治疗功效。在这里，我们介绍了一种自组装白细胞介素 4 (IL-4) 肽水凝胶，旨在将 MSC 群体转向均质 CD106</w:t>
      </w:r>
      <w:r>
        <w:t xml:space="preserve"> </w:t>
      </w:r>
      <w:r>
        <w:t>+</w:t>
      </w:r>
      <w:r>
        <w:t xml:space="preserve"> </w:t>
      </w:r>
      <w:r>
        <w:t>具有增强的再生和免疫调节能力的子集。为了评估其治疗潜力，通过肾被膜移植将带有 IL-4 水凝胶的 MSC 施用于急性肾损伤 (AKI) 小鼠模型。与未经处理的 MSC 相比，封装的 MSC 表现出优异的移植和存活率，导致肾功能显着改善，血清肌酐水平降低、肾小管坏死减弱和炎症浸润减少就证明了这一点。这些发现凸显了 IL-4 肽水凝胶作为克服 MSC 异质性和制造疾病特异性 MSC 的有前途的平台，为 AKI 及其他疾病的先进细胞疗法提供了可扩展的策略。</w:t>
      </w:r>
    </w:p>
    <w:p>
      <w:pPr>
        <w:spacing w:before="0" w:after="200" w:lineRule="auto" w:line="276"/>
      </w:pPr>
      <w:r>
        <w:rPr>
          <w:b/>
        </w:rPr>
        <w:t xml:space="preserve">Abstract (EN): </w:t>
      </w:r>
      <w:r>
        <w:t>Mesenchymal stem cells (MSCs) exhibit significant heterogeneity, which limits their therapeutic efficacy in regenerative medicine. Here, we introduce a self-assembled interleukin-4 (IL-4) peptide hydrogel designed to shift MSC populations toward a homogeneous CD106</w:t>
      </w:r>
      <w:r>
        <w:t xml:space="preserve"> </w:t>
      </w:r>
      <w:r>
        <w:t>+</w:t>
      </w:r>
      <w:r>
        <w:t xml:space="preserve"> </w:t>
      </w:r>
      <w:r>
        <w:t>subset with enhanced regenerative and immunomodulatory capabilities. To evaluate their therapeutic potential, MSCs with the IL-4 hydrogel were administered to a murine model of acute kidney injury (AKI) via renal capsule transplantation. Compared with untreated MSCs, encapsulated MSCs exhibited superior engraftment and survival, leading to significant improvements in renal function, as evidenced by reduced serum creatinine levels, attenuated tubular necrosis, and decreased inflammatory infiltrates. These findings highlight the IL-4 peptide hydrogel as a promising platform for overcoming MSC heterogeneity and manufacturing disease-specific MSCs, offering a scalable strategy for advanced cell therapies in AKI and beyond.</w:t>
      </w:r>
    </w:p>
    <w:p>
      <w:pPr>
        <w:spacing w:before="120" w:after="120"/>
      </w:pPr>
      <w:r>
        <w:rPr>
          <w:sz w:val="18"/>
        </w:rPr>
        <w:t>——————————————————————————————————————————————————————————————————————</w:t>
      </w:r>
    </w:p>
    <w:p>
      <w:pPr>
        <w:spacing w:before="160" w:after="40" w:line="240" w:lineRule="auto"/>
      </w:pPr>
      <w:r>
        <w:rPr>
          <w:b/>
        </w:rPr>
        <w:t xml:space="preserve">[332] </w:t>
      </w:r>
      <w:hyperlink r:id="rId945">
        <w:r>
          <w:rPr>
            <w:color w:val="1155CC"/>
            <w:u w:val="single"/>
          </w:rPr>
          <w:t>环境压力下 La2PrNi2O7 薄膜中具有鲁棒超导间隙的单粒子隧道谱</w:t>
        </w:r>
      </w:hyperlink>
    </w:p>
    <w:p>
      <w:pPr>
        <w:spacing w:before="0" w:after="80"/>
      </w:pPr>
      <w:r>
        <w:rPr>
          <w:i/>
          <w:sz w:val="20"/>
        </w:rPr>
        <w:t>EN: Single-particle tunneling spectrum with a robust superconducting gap in La2PrNi2O7 thin films at ambient pressure</w:t>
      </w:r>
    </w:p>
    <w:p>
      <w:pPr>
        <w:spacing w:before="0" w:after="120"/>
      </w:pPr>
      <w:r>
        <w:rPr>
          <w:b/>
        </w:rPr>
        <w:t xml:space="preserve">Source: </w:t>
      </w:r>
      <w:r>
        <w:t>AAAS: Science Advances: Table of Contents</w:t>
      </w:r>
      <w:r>
        <w:t xml:space="preserve">    </w:t>
      </w:r>
      <w:r>
        <w:rPr>
          <w:b/>
        </w:rPr>
        <w:t xml:space="preserve">Pub date: </w:t>
      </w:r>
      <w:r>
        <w:t>2026-06-10 07:00:00+00:00</w:t>
      </w:r>
      <w:r>
        <w:t xml:space="preserve">    </w:t>
      </w:r>
      <w:r>
        <w:rPr>
          <w:b/>
        </w:rPr>
        <w:t xml:space="preserve">DOI: </w:t>
      </w:r>
      <w:hyperlink r:id="rId946">
        <w:r>
          <w:rPr>
            <w:color w:val="1155CC"/>
            <w:u w:val="single"/>
          </w:rPr>
          <w:t>10.1126/sciadv.aeg2429</w:t>
        </w:r>
      </w:hyperlink>
    </w:p>
    <w:p>
      <w:pPr>
        <w:spacing w:before="0" w:after="120"/>
      </w:pPr>
      <w:r>
        <w:rPr>
          <w:b/>
        </w:rPr>
        <w:t xml:space="preserve">Notes: </w:t>
      </w:r>
      <w:r>
        <w:t>abstract_source=crossref</w:t>
      </w:r>
    </w:p>
    <w:p>
      <w:pPr>
        <w:spacing w:before="0" w:after="80" w:lineRule="auto" w:line="276"/>
      </w:pPr>
      <w:r>
        <w:rPr>
          <w:b/>
        </w:rPr>
        <w:t xml:space="preserve">摘要（ZH）: </w:t>
      </w:r>
      <w:r>
        <w:t>最近在镍酸盐体系中发现的高温超导性引起了业界的极大兴趣。理解配对机制的核心问题是超导能隙及其对称性。我们成功合成了La超导薄膜</w:t>
      </w:r>
      <w:r>
        <w:rPr>
          <w:vertAlign w:val="subscript"/>
        </w:rPr>
        <w:t>2</w:t>
      </w:r>
      <w:r>
        <w:t>镨镍</w:t>
      </w:r>
      <w:r>
        <w:rPr>
          <w:vertAlign w:val="subscript"/>
        </w:rPr>
        <w:t>2</w:t>
      </w:r>
      <w:r>
        <w:t>氧</w:t>
      </w:r>
      <w:r>
        <w:rPr>
          <w:vertAlign w:val="subscript"/>
        </w:rPr>
        <w:t>7</w:t>
      </w:r>
      <w:r>
        <w:t>其起始转变温度为41.5开尔文，并利用尖端挖掘技术测量了暴露超导层后的超导隧道光谱。频谱显示出大约 Δ ≈ 19 毫电子伏特的强大超导能隙，并且基于达因斯模型的拟合表明该主导能隙应该具有</w:t>
      </w:r>
      <w:r>
        <w:t xml:space="preserve"> </w:t>
      </w:r>
      <w:r>
        <w:t>s</w:t>
      </w:r>
      <w:r>
        <w:t xml:space="preserve"> </w:t>
      </w:r>
      <w:r>
        <w:t>-具有低各向异性的波结构，这使我们能够优先选择</w:t>
      </w:r>
      <w:r>
        <w:t xml:space="preserve"> </w:t>
      </w:r>
      <w:r>
        <w:t>s</w:t>
      </w:r>
      <w:r>
        <w:t xml:space="preserve"> </w:t>
      </w:r>
      <w:r>
        <w:t>±</w:t>
      </w:r>
      <w:r>
        <w:t xml:space="preserve"> </w:t>
      </w:r>
      <w:r>
        <w:t>配对对称性。此外，在 49 ± 2 毫电子伏的能量下观察到清晰的驼峰结构，这倾向于被解释为玻色子模式。我们的结果有助于阐明双层镍酸盐超导体的超导性之谜。</w:t>
      </w:r>
    </w:p>
    <w:p>
      <w:pPr>
        <w:spacing w:before="0" w:after="200" w:lineRule="auto" w:line="276"/>
      </w:pPr>
      <w:r>
        <w:rPr>
          <w:b/>
        </w:rPr>
        <w:t xml:space="preserve">Abstract (EN): </w:t>
      </w:r>
      <w:r>
        <w:t>The recent discovery of high-temperature superconductivity in nickelate systems has generated tremendous interest in the community. The core issue to understand the pairing mechanism is the superconducting gap and its symmetry. We have successfully synthesized the superconducting thin films of La</w:t>
      </w:r>
      <w:r>
        <w:rPr>
          <w:vertAlign w:val="subscript"/>
        </w:rPr>
        <w:t>2</w:t>
      </w:r>
      <w:r>
        <w:t>PrNi</w:t>
      </w:r>
      <w:r>
        <w:rPr>
          <w:vertAlign w:val="subscript"/>
        </w:rPr>
        <w:t>2</w:t>
      </w:r>
      <w:r>
        <w:t>O</w:t>
      </w:r>
      <w:r>
        <w:rPr>
          <w:vertAlign w:val="subscript"/>
        </w:rPr>
        <w:t>7</w:t>
      </w:r>
      <w:r>
        <w:t>with an onset transition temperature of 41.5 kelvins and measured the superconducting tunneling spectra after exposing the superconducting layer by using the tip-excavation technique. The spectrum shows a robust superconducting gap at about Δ ≈ 19 milli–electron volts, and fittings based on the Dynes model indicate that this dominant gap should have an</w:t>
      </w:r>
      <w:r>
        <w:t xml:space="preserve"> </w:t>
      </w:r>
      <w:r>
        <w:t>s</w:t>
      </w:r>
      <w:r>
        <w:t xml:space="preserve"> </w:t>
      </w:r>
      <w:r>
        <w:t>-wave structure with low anisotropy, which allows us to put the priority in selecting the</w:t>
      </w:r>
      <w:r>
        <w:t xml:space="preserve"> </w:t>
      </w:r>
      <w:r>
        <w:t>s</w:t>
      </w:r>
      <w:r>
        <w:t xml:space="preserve"> </w:t>
      </w:r>
      <w:r>
        <w:t>±</w:t>
      </w:r>
      <w:r>
        <w:t xml:space="preserve"> </w:t>
      </w:r>
      <w:r>
        <w:t>pairing symmetry. Furthermore, a clear hump structure is observed at an energy of 49 ± 2 milli–electron volts, which is inclined to be interpreted as a bosonic mode. Our results help clarify the mystery of superconductivity in bilayer nickelate superconductors.</w:t>
      </w:r>
    </w:p>
    <w:p>
      <w:pPr>
        <w:spacing w:before="120" w:after="120"/>
      </w:pPr>
      <w:r>
        <w:rPr>
          <w:sz w:val="18"/>
        </w:rPr>
        <w:t>——————————————————————————————————————————————————————————————————————</w:t>
      </w:r>
    </w:p>
    <w:p>
      <w:pPr>
        <w:spacing w:before="160" w:after="40" w:line="240" w:lineRule="auto"/>
      </w:pPr>
      <w:r>
        <w:rPr>
          <w:b/>
        </w:rPr>
        <w:t xml:space="preserve">[333] </w:t>
      </w:r>
      <w:hyperlink r:id="rId947">
        <w:r>
          <w:rPr>
            <w:color w:val="1155CC"/>
            <w:u w:val="single"/>
          </w:rPr>
          <w:t>Hp1bp3 丢失将染色质重组与神经胶质瘤的代谢脆弱性联系起来</w:t>
        </w:r>
      </w:hyperlink>
    </w:p>
    <w:p>
      <w:pPr>
        <w:spacing w:before="0" w:after="80"/>
      </w:pPr>
      <w:r>
        <w:rPr>
          <w:i/>
          <w:sz w:val="20"/>
        </w:rPr>
        <w:t>EN: Hp1bp3 loss links chromatin reorganization to metabolic vulnerability in glioma</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48">
        <w:r>
          <w:rPr>
            <w:color w:val="1155CC"/>
            <w:u w:val="single"/>
          </w:rPr>
          <w:t>10.1073/pnas.2601061123</w:t>
        </w:r>
      </w:hyperlink>
    </w:p>
    <w:p>
      <w:pPr>
        <w:spacing w:before="0" w:after="120"/>
      </w:pPr>
      <w:r>
        <w:rPr>
          <w:b/>
        </w:rPr>
        <w:t xml:space="preserve">Notes: </w:t>
      </w:r>
      <w:r>
        <w:t>abstract_source=crossref</w:t>
      </w:r>
    </w:p>
    <w:p>
      <w:pPr>
        <w:spacing w:before="0" w:after="80" w:lineRule="auto" w:line="276"/>
      </w:pPr>
      <w:r>
        <w:rPr>
          <w:b/>
        </w:rPr>
        <w:t xml:space="preserve">摘要（ZH）: </w:t>
      </w:r>
      <w:r>
        <w:t>高级别神经胶质瘤 (HGG) 是一种侵袭性脑肿瘤，预后不良，部分原因是代谢和表观遗传适应。蛋氨酸代谢通过为甲基化反应提供 S-腺苷蛋氨酸来支持 HGG 生长，但营养可用性如何影响 HGG 中的染色质组织仍不完全清楚。使用 HGG 免疫活性小鼠模型，我们发现饮食蛋氨酸限制可减少肿瘤增殖、延长生存期并诱导部分核倒置。我们确定 Hp1bp3 是肿瘤生长的关键调节因子，其通过与核束缚蛋白相互作用来介导染色质重组发挥作用。 Hp1bp3 的缺失会导致组蛋白去甲基化酶上调，从而导致 H3K9me3 标记的异染色质选择性耗竭并加速神经胶质瘤的生长。将蛋氨酸限制与 Hp1bp3 缺失相结合增加了部分核倒位的频率，并进一步抑制了肿瘤进展。这些发现确定 Hp1bp3 是一种染色质调节因子，将蛋氨酸代谢与异染色质稳定性联系起来，并表明饮食蛋氨酸调节可以影响染色质的结构组织，从而减缓 HGG 中的肿瘤生长。</w:t>
      </w:r>
    </w:p>
    <w:p>
      <w:pPr>
        <w:spacing w:before="0" w:after="200" w:lineRule="auto" w:line="276"/>
      </w:pPr>
      <w:r>
        <w:rPr>
          <w:b/>
        </w:rPr>
        <w:t xml:space="preserve">Abstract (EN): </w:t>
      </w:r>
      <w:r>
        <w:t>High-grade gliomas (HGGs) are aggressive brain tumors with poor prognosis, driven in part by metabolic and epigenetic adaptations. Methionine metabolism supports HGG growth by supplying S-adenosylmethionine for methylation reactions, yet how nutrient availability influences chromatin organization in HGG remains incompletely understood. Using an immunocompetent mouse model of HGG, we found that dietary methionine restriction reduced tumor proliferation, extended survival, and induced partial nuclear inversion. We identified Hp1bp3 as a key regulator of tumor growth that functions by interacting with nuclear tethering proteins to mediate chromatin reorganization. Loss of Hp1bp3 results in the upregulation of histone demethylases leading to selective depletion of H3K9me3-marked heterochromatin and accelerated glioma growth. Combining methionine restriction with Hp1bp3 loss increased the frequency of partial nuclear inversion and further suppressed tumor progression. These findings identify Hp1bp3 as a chromatin regulator linking methionine metabolism to heterochromatin stability and suggest that dietary methionine modulation can influence the structural organization of chromatin to slow tumor growth in HGG.</w:t>
      </w:r>
    </w:p>
    <w:p>
      <w:pPr>
        <w:spacing w:before="120" w:after="120"/>
      </w:pPr>
      <w:r>
        <w:rPr>
          <w:sz w:val="18"/>
        </w:rPr>
        <w:t>——————————————————————————————————————————————————————————————————————</w:t>
      </w:r>
    </w:p>
    <w:p>
      <w:pPr>
        <w:spacing w:before="160" w:after="40" w:line="240" w:lineRule="auto"/>
      </w:pPr>
      <w:r>
        <w:rPr>
          <w:b/>
        </w:rPr>
        <w:t xml:space="preserve">[334] </w:t>
      </w:r>
      <w:hyperlink r:id="rId949">
        <w:r>
          <w:rPr>
            <w:color w:val="1155CC"/>
            <w:u w:val="single"/>
          </w:rPr>
          <w:t>自噬蛋白 ATG-9 通过运输神经肽受体促进秀丽隐杆线虫的厌恶学习</w:t>
        </w:r>
      </w:hyperlink>
    </w:p>
    <w:p>
      <w:pPr>
        <w:spacing w:before="0" w:after="80"/>
      </w:pPr>
      <w:r>
        <w:rPr>
          <w:i/>
          <w:sz w:val="20"/>
        </w:rPr>
        <w:t>EN: The autophagy protein ATG-9 promotes aversive learning in Caenorhabditis elegans through trafficking neuropeptide receptors</w:t>
      </w:r>
    </w:p>
    <w:p>
      <w:pPr>
        <w:spacing w:before="0" w:after="120"/>
      </w:pPr>
      <w:r>
        <w:rPr>
          <w:b/>
        </w:rPr>
        <w:t xml:space="preserve">Source: </w:t>
      </w:r>
      <w:r>
        <w:t>Proceedings of the National Academy of Sciences: Keyword search for query</w:t>
      </w:r>
      <w:r>
        <w:t xml:space="preserve">    </w:t>
      </w:r>
      <w:r>
        <w:rPr>
          <w:b/>
        </w:rPr>
        <w:t xml:space="preserve">Pub date: </w:t>
      </w:r>
      <w:r>
        <w:t>2026-06-10 07:00:00+00:00</w:t>
      </w:r>
      <w:r>
        <w:t xml:space="preserve">    </w:t>
      </w:r>
      <w:r>
        <w:rPr>
          <w:b/>
        </w:rPr>
        <w:t xml:space="preserve">DOI: </w:t>
      </w:r>
      <w:hyperlink r:id="rId950">
        <w:r>
          <w:rPr>
            <w:color w:val="1155CC"/>
            <w:u w:val="single"/>
          </w:rPr>
          <w:t>10.1073/pnas.2531054123</w:t>
        </w:r>
      </w:hyperlink>
    </w:p>
    <w:p>
      <w:pPr>
        <w:spacing w:before="0" w:after="120"/>
      </w:pPr>
      <w:r>
        <w:rPr>
          <w:b/>
        </w:rPr>
        <w:t xml:space="preserve">Notes: </w:t>
      </w:r>
      <w:r>
        <w:t>abstract_source=crossref</w:t>
      </w:r>
    </w:p>
    <w:p>
      <w:pPr>
        <w:spacing w:before="0" w:after="80" w:lineRule="auto" w:line="276"/>
      </w:pPr>
      <w:r>
        <w:rPr>
          <w:b/>
        </w:rPr>
        <w:t xml:space="preserve">摘要（ZH）: </w:t>
      </w:r>
      <w:r>
        <w:t>自噬是维持细胞稳态的降解过程。自噬生物发生发生在突触处，但其对突触功能的影响尚不完全清楚。在这里我们表明，在</w:t>
      </w:r>
      <w:r>
        <w:t xml:space="preserve"> </w:t>
      </w:r>
      <w:r>
        <w:t>秀丽隐杆线虫</w:t>
      </w:r>
      <w:r>
        <w:t xml:space="preserve"> </w:t>
      </w:r>
      <w:r>
        <w:t>突触 ATG-9 是唯一的跨膜自噬蛋白，有助于线粒体应激下的厌恶学习。对神经元翻译组的分析表明，章鱼胺能 RIC 神经元中的压力会上调自噬，并促进厌恶性学习。失活自噬基因，包括</w:t>
      </w:r>
      <w:r>
        <w:t xml:space="preserve"> </w:t>
      </w:r>
      <w:r>
        <w:t>atg-9</w:t>
      </w:r>
      <w:r>
        <w:t xml:space="preserve"> </w:t>
      </w:r>
      <w:r>
        <w:t>，减少厌恶性学习。线粒体应激分别通过 AP-1 和 AP-2 依赖性胞吐作用和内吞作用增加突触 ATG-9，而减少突触 ATG-9 会损害厌恶性学习。我们进一步确定 FRPR-6 神经肽受体是 ATG-9 调节的底物。两者都</w:t>
      </w:r>
      <w:r>
        <w:t xml:space="preserve"> </w:t>
      </w:r>
      <w:r>
        <w:t>atg-9</w:t>
      </w:r>
      <w:r>
        <w:t xml:space="preserve"> </w:t>
      </w:r>
      <w:r>
        <w:t>和</w:t>
      </w:r>
      <w:r>
        <w:t xml:space="preserve"> </w:t>
      </w:r>
      <w:r>
        <w:t>frpr-6</w:t>
      </w:r>
      <w:r>
        <w:t xml:space="preserve"> </w:t>
      </w:r>
      <w:r>
        <w:t>促进厌恶学习和 RIC 活动，RIC 神经突中 FRPR-6 的丰度取决于</w:t>
      </w:r>
      <w:r>
        <w:t xml:space="preserve"> </w:t>
      </w:r>
      <w:r>
        <w:t>atg-9</w:t>
      </w:r>
      <w:r>
        <w:t xml:space="preserve"> </w:t>
      </w:r>
      <w:r>
        <w:t>。我们假设含有 ATG-9 的突触区室通过调节受体运输来促进神经元可塑性，从而在全身线粒体应激下实现厌恶学习。</w:t>
      </w:r>
    </w:p>
    <w:p>
      <w:pPr>
        <w:spacing w:before="0" w:after="200" w:lineRule="auto" w:line="276"/>
      </w:pPr>
      <w:r>
        <w:rPr>
          <w:b/>
        </w:rPr>
        <w:t xml:space="preserve">Abstract (EN): </w:t>
      </w:r>
      <w:r>
        <w:t>Autophagy is a degradative process that maintains cellular homeostasis. Autophagy biogenesis occurs at synapses, but its impact on synaptic functions is incompletely understood. Here we show that, in</w:t>
      </w:r>
      <w:r>
        <w:t xml:space="preserve"> </w:t>
      </w:r>
      <w:r>
        <w:t>Caenorhabditis elegans</w:t>
      </w:r>
      <w:r>
        <w:t xml:space="preserve"> </w:t>
      </w:r>
      <w:r>
        <w:t>, synaptic ATG-9, the only transmembrane autophagy protein, contributes to aversive learning under mitochondrial stress. Analysis of the neuronal translatome reveals that autophagy is upregulated by stress in the octopaminergic RIC neuron and it promotes aversive learning. Inactivating autophagy genes, including</w:t>
      </w:r>
      <w:r>
        <w:t xml:space="preserve"> </w:t>
      </w:r>
      <w:r>
        <w:t>atg-9</w:t>
      </w:r>
      <w:r>
        <w:t xml:space="preserve"> </w:t>
      </w:r>
      <w:r>
        <w:t>, reduces aversive learning. Mitochondrial stress increases synaptic ATG-9 through AP-1- and AP-2-dependent exocytosis and endocytosis, respectively, and reducing synaptic ATG-9 impairs aversive learning. We further identify the FRPR-6 neuropeptide receptor as a substrate of ATG-9 modulation. Both</w:t>
      </w:r>
      <w:r>
        <w:t xml:space="preserve"> </w:t>
      </w:r>
      <w:r>
        <w:t>atg-9</w:t>
      </w:r>
      <w:r>
        <w:t xml:space="preserve"> </w:t>
      </w:r>
      <w:r>
        <w:t>and</w:t>
      </w:r>
      <w:r>
        <w:t xml:space="preserve"> </w:t>
      </w:r>
      <w:r>
        <w:t>frpr-6</w:t>
      </w:r>
      <w:r>
        <w:t xml:space="preserve"> </w:t>
      </w:r>
      <w:r>
        <w:t>promote aversive learning and RIC activities, and the abundance of FRPR-6 in the RIC neurite depends on</w:t>
      </w:r>
      <w:r>
        <w:t xml:space="preserve"> </w:t>
      </w:r>
      <w:r>
        <w:t>atg-9</w:t>
      </w:r>
      <w:r>
        <w:t xml:space="preserve"> </w:t>
      </w:r>
      <w:r>
        <w:t>. We postulate that ATG-9-containing synaptic compartments promote neuronal plasticity through modulating receptor trafficking to enable aversive learning under systemic mitochondrial stress.</w:t>
      </w:r>
    </w:p>
    <w:p>
      <w:pPr>
        <w:spacing w:before="120" w:after="120"/>
      </w:pPr>
      <w:r>
        <w:rPr>
          <w:sz w:val="18"/>
        </w:rPr>
        <w:t>——————————————————————————————————————————————————————————————————————</w:t>
      </w:r>
    </w:p>
    <w:p>
      <w:pPr>
        <w:spacing w:before="160" w:after="40" w:line="240" w:lineRule="auto"/>
      </w:pPr>
      <w:r>
        <w:rPr>
          <w:b/>
        </w:rPr>
        <w:t xml:space="preserve">[335] </w:t>
      </w:r>
      <w:hyperlink r:id="rId951">
        <w:r>
          <w:rPr>
            <w:color w:val="1155CC"/>
            <w:u w:val="single"/>
          </w:rPr>
          <w:t>强子对撞机重夸克最终态的解析软函数</w:t>
        </w:r>
      </w:hyperlink>
    </w:p>
    <w:p>
      <w:pPr>
        <w:spacing w:before="0" w:after="80"/>
      </w:pPr>
      <w:r>
        <w:rPr>
          <w:i/>
          <w:sz w:val="20"/>
        </w:rPr>
        <w:t>EN: Analytical Soft Functions for Heavy-Quark Final States at Hadron Colliders</w:t>
      </w:r>
    </w:p>
    <w:p>
      <w:pPr>
        <w:spacing w:before="0" w:after="120"/>
      </w:pPr>
      <w:r>
        <w:rPr>
          <w:b/>
        </w:rPr>
        <w:t xml:space="preserve">Source: </w:t>
      </w:r>
      <w:r>
        <w:t>Recent Articles in Phys. Rev. Lett.</w:t>
      </w:r>
      <w:r>
        <w:t xml:space="preserve">    </w:t>
      </w:r>
      <w:r>
        <w:rPr>
          <w:b/>
        </w:rPr>
        <w:t xml:space="preserve">Pub date: </w:t>
      </w:r>
      <w:r>
        <w:t>2026-06-10 10:00:00+00:00</w:t>
      </w:r>
      <w:r>
        <w:t xml:space="preserve">    </w:t>
      </w:r>
      <w:r>
        <w:rPr>
          <w:b/>
        </w:rPr>
        <w:t xml:space="preserve">DOI: </w:t>
      </w:r>
      <w:hyperlink r:id="rId952">
        <w:r>
          <w:rPr>
            <w:color w:val="1155CC"/>
            <w:u w:val="single"/>
          </w:rPr>
          <w:t>10.1103/2ksm-243x</w:t>
        </w:r>
      </w:hyperlink>
    </w:p>
    <w:p>
      <w:pPr>
        <w:spacing w:before="0" w:after="120"/>
      </w:pPr>
      <w:r>
        <w:rPr>
          <w:b/>
        </w:rPr>
        <w:t xml:space="preserve">Notes: </w:t>
      </w:r>
      <w:r>
        <w:t>abstract_source=rss_description</w:t>
      </w:r>
    </w:p>
    <w:p>
      <w:pPr>
        <w:spacing w:before="0" w:after="80" w:lineRule="auto" w:line="276"/>
      </w:pPr>
      <w:r>
        <w:rPr>
          <w:b/>
        </w:rPr>
        <w:t xml:space="preserve">摘要（ZH）: </w:t>
      </w:r>
      <w:r>
        <w:t>作者：Ze Long Liu 和 Pier Francesco Monni 我们提出了完整的双环全微分软函数的首次计算，描述了与强子对撞机中的颜色单线系统相关的重夸克对的产生。这一结果构成了迄今为止已知的最复杂的软函数之一，并且获得了......[Phys。莱特牧师。 136, 231902] 2026 年 6 月 10 日星期三发布</w:t>
      </w:r>
    </w:p>
    <w:p>
      <w:pPr>
        <w:spacing w:before="0" w:after="200" w:lineRule="auto" w:line="276"/>
      </w:pPr>
      <w:r>
        <w:rPr>
          <w:b/>
        </w:rPr>
        <w:t xml:space="preserve">Abstract (EN): </w:t>
      </w:r>
      <w:r>
        <w:t>Author(s): Ze Long Liu and Pier Francesco MonniWe present the first computation of the complete two-loop, fully differential soft function describing the production of a heavy-quark pair in association with a color-singlet system at hadron colliders. This result constitutes one of the most complex soft functions known to date and it is obtained …[Phys. Rev. Lett. 136, 231902] Published Wed Jun 10, 2026</w:t>
      </w:r>
    </w:p>
    <w:p>
      <w:pPr>
        <w:spacing w:before="120" w:after="120"/>
      </w:pPr>
      <w:r>
        <w:rPr>
          <w:sz w:val="18"/>
        </w:rPr>
        <w:t>——————————————————————————————————————————————————————————————————————</w:t>
      </w:r>
    </w:p>
    <w:p>
      <w:pPr>
        <w:spacing w:before="160" w:after="40" w:line="240" w:lineRule="auto"/>
      </w:pPr>
      <w:r>
        <w:rPr>
          <w:b/>
        </w:rPr>
        <w:t xml:space="preserve">[336] </w:t>
      </w:r>
      <w:hyperlink r:id="rId953">
        <w:r>
          <w:rPr>
            <w:color w:val="1155CC"/>
            <w:u w:val="single"/>
          </w:rPr>
          <w:t>首先搜索 $B→{X}_{s}ν\overline{ν}$ 衰变</w:t>
        </w:r>
      </w:hyperlink>
    </w:p>
    <w:p>
      <w:pPr>
        <w:spacing w:before="0" w:after="80"/>
      </w:pPr>
      <w:r>
        <w:rPr>
          <w:i/>
          <w:sz w:val="20"/>
        </w:rPr>
        <w:t>EN: First Search for $B→{X}_{s}ν\overline{ν}$ Decays</w:t>
      </w:r>
    </w:p>
    <w:p>
      <w:pPr>
        <w:spacing w:before="0" w:after="120"/>
      </w:pPr>
      <w:r>
        <w:rPr>
          <w:b/>
        </w:rPr>
        <w:t xml:space="preserve">Source: </w:t>
      </w:r>
      <w:r>
        <w:t>Recent Articles in Phys. Rev. Lett.</w:t>
      </w:r>
      <w:r>
        <w:t xml:space="preserve">    </w:t>
      </w:r>
      <w:r>
        <w:rPr>
          <w:b/>
        </w:rPr>
        <w:t xml:space="preserve">Pub date: </w:t>
      </w:r>
      <w:r>
        <w:t>2026-06-10 10:00:00+00:00</w:t>
      </w:r>
      <w:r>
        <w:t xml:space="preserve">    </w:t>
      </w:r>
      <w:r>
        <w:rPr>
          <w:b/>
        </w:rPr>
        <w:t xml:space="preserve">DOI: </w:t>
      </w:r>
      <w:hyperlink r:id="rId954">
        <w:r>
          <w:rPr>
            <w:color w:val="1155CC"/>
            <w:u w:val="single"/>
          </w:rPr>
          <w:t>10.1103/kf73-hw61</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Abumusabh 等人。 （Belle II 合作）我们报告了在 SuperKEKB 不对称能量 ${e}^{+}{e}^{−}$ 对撞机上使用 Belle II 探测器收集的数据中首次搜索改变风味的中性电流衰变 $B→{X}_{s}ν\overline{ν}$，其中 ${X}_{s}$ 是陌生度等于 1 的强子系统。数据样本对应......[Phys。莱特牧师。 136, 231801] 2026 年 6 月 10 日星期三发布</w:t>
      </w:r>
    </w:p>
    <w:p>
      <w:pPr>
        <w:spacing w:before="0" w:after="200" w:lineRule="auto" w:line="276"/>
      </w:pPr>
      <w:r>
        <w:rPr>
          <w:b/>
        </w:rPr>
        <w:t xml:space="preserve">Abstract (EN): </w:t>
      </w:r>
      <w:r>
        <w:t>Author(s): M. Abumusabh et al. (The Belle II Collaboration)We report the first search for the flavor-changing neutral-current decays $B→{X}_{s}ν\overline{ν}$, where ${X}_{s}$ is a hadronic system with strangeness equal to 1, in data collected with the Belle II detector at the SuperKEKB asymmetric-energy ${e}^{+}{e}^{−}$ collider. The data sample corresponds…[Phys. Rev. Lett. 136, 231801] Published Wed Jun 10, 2026</w:t>
      </w:r>
    </w:p>
    <w:p>
      <w:pPr>
        <w:spacing w:before="120" w:after="120"/>
      </w:pPr>
      <w:r>
        <w:rPr>
          <w:sz w:val="18"/>
        </w:rPr>
        <w:t>——————————————————————————————————————————————————————————————————————</w:t>
      </w:r>
    </w:p>
    <w:p>
      <w:pPr>
        <w:spacing w:before="160" w:after="40" w:line="240" w:lineRule="auto"/>
      </w:pPr>
      <w:r>
        <w:rPr>
          <w:b/>
        </w:rPr>
        <w:t xml:space="preserve">[337] </w:t>
      </w:r>
      <w:hyperlink r:id="rId955">
        <w:r>
          <w:rPr>
            <w:color w:val="1155CC"/>
            <w:u w:val="single"/>
          </w:rPr>
          <w:t>严格短程准二维 XY 模型中的长程顺序：当关键波动很重要时</w:t>
        </w:r>
      </w:hyperlink>
    </w:p>
    <w:p>
      <w:pPr>
        <w:spacing w:before="0" w:after="80"/>
      </w:pPr>
      <w:r>
        <w:rPr>
          <w:i/>
          <w:sz w:val="20"/>
        </w:rPr>
        <w:t>EN: Long-Range Order in a Strictly Short-Range Quasi-2D XY Model: When Critical Fluctuations Matter</w:t>
      </w:r>
    </w:p>
    <w:p>
      <w:pPr>
        <w:spacing w:before="0" w:after="120"/>
      </w:pPr>
      <w:r>
        <w:rPr>
          <w:b/>
        </w:rPr>
        <w:t xml:space="preserve">Source: </w:t>
      </w:r>
      <w:r>
        <w:t>Recent Articles in Phys. Rev. Lett.</w:t>
      </w:r>
      <w:r>
        <w:t xml:space="preserve">    </w:t>
      </w:r>
      <w:r>
        <w:rPr>
          <w:b/>
        </w:rPr>
        <w:t xml:space="preserve">Pub date: </w:t>
      </w:r>
      <w:r>
        <w:t>2026-06-10 10:00:00+00:00</w:t>
      </w:r>
      <w:r>
        <w:t xml:space="preserve">    </w:t>
      </w:r>
      <w:r>
        <w:rPr>
          <w:b/>
        </w:rPr>
        <w:t xml:space="preserve">DOI: </w:t>
      </w:r>
      <w:hyperlink r:id="rId956">
        <w:r>
          <w:rPr>
            <w:color w:val="1155CC"/>
            <w:u w:val="single"/>
          </w:rPr>
          <w:t>10.1103/1jkm-kybr</w:t>
        </w:r>
      </w:hyperlink>
    </w:p>
    <w:p>
      <w:pPr>
        <w:spacing w:before="0" w:after="120"/>
      </w:pPr>
      <w:r>
        <w:rPr>
          <w:b/>
        </w:rPr>
        <w:t xml:space="preserve">Notes: </w:t>
      </w:r>
      <w:r>
        <w:t>abstract_source=rss_description</w:t>
      </w:r>
    </w:p>
    <w:p>
      <w:pPr>
        <w:spacing w:before="0" w:after="80" w:lineRule="auto" w:line="276"/>
      </w:pPr>
      <w:r>
        <w:rPr>
          <w:b/>
        </w:rPr>
        <w:t xml:space="preserve">摘要（ZH）: </w:t>
      </w:r>
      <w:r>
        <w:t>作者：胡明辉、张超、张大军、孙亚楠、邓友金和吕建平准二维 (q2D) XY 模型中的自旋相位已成为物理学多个子领域的一个重要话题。植根于 Mermin-Wagner 定理并得到现有范式支持的传统智慧断言，q 中禁止真正的长程 (LR) 有序……[Phys.莱特牧师。 136, 237101] 2026 年 6 月 10 日星期三发布</w:t>
      </w:r>
    </w:p>
    <w:p>
      <w:pPr>
        <w:spacing w:before="0" w:after="200" w:lineRule="auto" w:line="276"/>
      </w:pPr>
      <w:r>
        <w:rPr>
          <w:b/>
        </w:rPr>
        <w:t xml:space="preserve">Abstract (EN): </w:t>
      </w:r>
      <w:r>
        <w:t>Author(s): Minghui Hu, Chao Zhang, Dajun Zhang, Yanan Sun, Youjin Deng, and Jian-Ping LvThe phase of spins in the quasi-two-dimensional (q2D) XY model has emerged as a topic of significant interest across multiple subfields of physics. Conventional wisdom, rooted in the Mermin-Wagner theorem and supported by existing paradigms, asserts that true long-range (LR) order is prohibited in q…[Phys. Rev. Lett. 136, 237101] Published Wed Jun 10, 2026</w:t>
      </w:r>
    </w:p>
    <w:p>
      <w:pPr>
        <w:spacing w:before="120" w:after="120"/>
      </w:pPr>
      <w:r>
        <w:rPr>
          <w:sz w:val="18"/>
        </w:rPr>
        <w:t>——————————————————————————————————————————————————————————————————————</w:t>
      </w:r>
    </w:p>
    <w:p>
      <w:pPr>
        <w:spacing w:before="160" w:after="40" w:line="240" w:lineRule="auto"/>
      </w:pPr>
      <w:r>
        <w:rPr>
          <w:b/>
        </w:rPr>
        <w:t xml:space="preserve">[338] </w:t>
      </w:r>
      <w:hyperlink r:id="rId957">
        <w:r>
          <w:rPr>
            <w:color w:val="1155CC"/>
            <w:u w:val="single"/>
          </w:rPr>
          <w:t>通过光辅助准粒子隧道对超导岛快速连续检测单个微波光子</w:t>
        </w:r>
      </w:hyperlink>
    </w:p>
    <w:p>
      <w:pPr>
        <w:spacing w:before="0" w:after="80"/>
      </w:pPr>
      <w:r>
        <w:rPr>
          <w:i/>
          <w:sz w:val="20"/>
        </w:rPr>
        <w:t>EN: Fast and Continuous Detection of Single Microwave Photons via Photoassisted Quasiparticle Tunneling to a Superconducting Island</w:t>
      </w:r>
    </w:p>
    <w:p>
      <w:pPr>
        <w:spacing w:before="0" w:after="120"/>
      </w:pPr>
      <w:r>
        <w:rPr>
          <w:b/>
        </w:rPr>
        <w:t xml:space="preserve">Source: </w:t>
      </w:r>
      <w:r>
        <w:t>Recent Articles in Phys. Rev. Lett.</w:t>
      </w:r>
      <w:r>
        <w:t xml:space="preserve">    </w:t>
      </w:r>
      <w:r>
        <w:rPr>
          <w:b/>
        </w:rPr>
        <w:t xml:space="preserve">Pub date: </w:t>
      </w:r>
      <w:r>
        <w:t>2026-06-10 10:00:00+00:00</w:t>
      </w:r>
      <w:r>
        <w:t xml:space="preserve">    </w:t>
      </w:r>
      <w:r>
        <w:rPr>
          <w:b/>
        </w:rPr>
        <w:t xml:space="preserve">DOI: </w:t>
      </w:r>
      <w:hyperlink r:id="rId958">
        <w:r>
          <w:rPr>
            <w:color w:val="1155CC"/>
            <w:u w:val="single"/>
          </w:rPr>
          <w:t>10.1103/mj91-ntm4</w:t>
        </w:r>
      </w:hyperlink>
    </w:p>
    <w:p>
      <w:pPr>
        <w:spacing w:before="0" w:after="120"/>
      </w:pPr>
      <w:r>
        <w:rPr>
          <w:b/>
        </w:rPr>
        <w:t xml:space="preserve">Notes: </w:t>
      </w:r>
      <w:r>
        <w:t>abstract_source=rss_description</w:t>
      </w:r>
    </w:p>
    <w:p>
      <w:pPr>
        <w:spacing w:before="0" w:after="80" w:lineRule="auto" w:line="276"/>
      </w:pPr>
      <w:r>
        <w:rPr>
          <w:b/>
        </w:rPr>
        <w:t xml:space="preserve">摘要（ZH）: </w:t>
      </w:r>
      <w:r>
        <w:t>作者：J. Basset、O. Stanisavljević、J. Gabelli、M. Aprili 和 J. Estève 一种检测单个传播微波光子的新机制，实现了光电效应的微波模拟，可用于量子信息和暗物质搜索的实际应用。莱特牧师。 136, 237001] 2026 年 6 月 10 日星期三发布</w:t>
      </w:r>
    </w:p>
    <w:p>
      <w:pPr>
        <w:spacing w:before="0" w:after="200" w:lineRule="auto" w:line="276"/>
      </w:pPr>
      <w:r>
        <w:rPr>
          <w:b/>
        </w:rPr>
        <w:t xml:space="preserve">Abstract (EN): </w:t>
      </w:r>
      <w:r>
        <w:t>Author(s): J. Basset, O. Stanisavljević, J. Gabelli, M. Aprili, and J. EstèveA new mechanism for the detection of individual propagating microwave photons that realizes a microwave analogue of the photoelectric effect could be used for practical applications in quantum information and dark matter search.[Phys. Rev. Lett. 136, 237001] Published Wed Jun 10, 2026</w:t>
      </w:r>
    </w:p>
    <w:p>
      <w:pPr>
        <w:spacing w:before="120" w:after="120"/>
      </w:pPr>
      <w:r>
        <w:rPr>
          <w:sz w:val="18"/>
        </w:rPr>
        <w:t>——————————————————————————————————————————————————————————————————————</w:t>
      </w:r>
    </w:p>
    <w:p>
      <w:pPr>
        <w:spacing w:before="160" w:after="40" w:line="240" w:lineRule="auto"/>
      </w:pPr>
      <w:r>
        <w:rPr>
          <w:b/>
        </w:rPr>
        <w:t xml:space="preserve">[339] </w:t>
      </w:r>
      <w:hyperlink r:id="rId959">
        <w:r>
          <w:rPr>
            <w:color w:val="1155CC"/>
            <w:u w:val="single"/>
          </w:rPr>
          <w:t>金属氢化物分子的磁光捕获</w:t>
        </w:r>
      </w:hyperlink>
    </w:p>
    <w:p>
      <w:pPr>
        <w:spacing w:before="0" w:after="80"/>
      </w:pPr>
      <w:r>
        <w:rPr>
          <w:i/>
          <w:sz w:val="20"/>
        </w:rPr>
        <w:t>EN: Magneto-Optical Trapping of a Metal Hydride Molecule</w:t>
      </w:r>
    </w:p>
    <w:p>
      <w:pPr>
        <w:spacing w:before="0" w:after="120"/>
      </w:pPr>
      <w:r>
        <w:rPr>
          <w:b/>
        </w:rPr>
        <w:t xml:space="preserve">Source: </w:t>
      </w:r>
      <w:r>
        <w:t>Recent Articles in Phys. Rev. Lett.</w:t>
      </w:r>
      <w:r>
        <w:t xml:space="preserve">    </w:t>
      </w:r>
      <w:r>
        <w:rPr>
          <w:b/>
        </w:rPr>
        <w:t xml:space="preserve">Pub date: </w:t>
      </w:r>
      <w:r>
        <w:t>2026-06-10 10:00:00+00:00</w:t>
      </w:r>
      <w:r>
        <w:t xml:space="preserve">    </w:t>
      </w:r>
      <w:r>
        <w:rPr>
          <w:b/>
        </w:rPr>
        <w:t xml:space="preserve">DOI: </w:t>
      </w:r>
      <w:hyperlink r:id="rId960">
        <w:r>
          <w:rPr>
            <w:color w:val="1155CC"/>
            <w:u w:val="single"/>
          </w:rPr>
          <w:t>10.1103/xy6y-kyhc</w:t>
        </w:r>
      </w:hyperlink>
    </w:p>
    <w:p>
      <w:pPr>
        <w:spacing w:before="0" w:after="120"/>
      </w:pPr>
      <w:r>
        <w:rPr>
          <w:b/>
        </w:rPr>
        <w:t xml:space="preserve">Notes: </w:t>
      </w:r>
      <w:r>
        <w:t>abstract_source=rss_description</w:t>
      </w:r>
    </w:p>
    <w:p>
      <w:pPr>
        <w:spacing w:before="0" w:after="80" w:lineRule="auto" w:line="276"/>
      </w:pPr>
      <w:r>
        <w:rPr>
          <w:b/>
        </w:rPr>
        <w:t xml:space="preserve">摘要（ZH）: </w:t>
      </w:r>
      <w:r>
        <w:t>作者：Jinyu Dai、Benjamin Riley、Qi Sun、Debayan Mitra 和 Tanya Zelevinsky 研究人员使用激光冷却和捕获来分离一氢化钙，这是生产超冷原子氢的关键一步。莱特牧师。 136, 233403] 2026 年 6 月 10 日星期三发布</w:t>
      </w:r>
    </w:p>
    <w:p>
      <w:pPr>
        <w:spacing w:before="0" w:after="200" w:lineRule="auto" w:line="276"/>
      </w:pPr>
      <w:r>
        <w:rPr>
          <w:b/>
        </w:rPr>
        <w:t xml:space="preserve">Abstract (EN): </w:t>
      </w:r>
      <w:r>
        <w:t>Author(s): Jinyu Dai, Benjamin Riley, Qi Sun, Debayan Mitra, and Tanya ZelevinskyResearchers have used laser cooling and trapping to isolate calcium monohydride, a key step toward producing ultracold atomic hydrogen.[Phys. Rev. Lett. 136, 233403] Published Wed Jun 10, 2026</w:t>
      </w:r>
    </w:p>
    <w:p>
      <w:pPr>
        <w:spacing w:before="120" w:after="120"/>
      </w:pPr>
      <w:r>
        <w:rPr>
          <w:sz w:val="18"/>
        </w:rPr>
        <w:t>——————————————————————————————————————————————————————————————————————</w:t>
      </w:r>
    </w:p>
    <w:p>
      <w:pPr>
        <w:spacing w:before="160" w:after="40" w:line="240" w:lineRule="auto"/>
      </w:pPr>
      <w:r>
        <w:rPr>
          <w:b/>
        </w:rPr>
        <w:t xml:space="preserve">[340] </w:t>
      </w:r>
      <w:hyperlink r:id="rId961">
        <w:r>
          <w:rPr>
            <w:color w:val="1155CC"/>
            <w:u w:val="single"/>
          </w:rPr>
          <w:t>通过深度神经网络确定重离子碰撞中可观测量的方向依赖性</w:t>
        </w:r>
      </w:hyperlink>
    </w:p>
    <w:p>
      <w:pPr>
        <w:spacing w:before="0" w:after="80"/>
      </w:pPr>
      <w:r>
        <w:rPr>
          <w:i/>
          <w:sz w:val="20"/>
        </w:rPr>
        <w:t>EN: Determining the orientation dependence of observables in heavy-ion collisions via deep neural networks</w:t>
      </w:r>
    </w:p>
    <w:p>
      <w:pPr>
        <w:spacing w:before="0" w:after="120"/>
      </w:pPr>
      <w:r>
        <w:rPr>
          <w:b/>
        </w:rPr>
        <w:t xml:space="preserve">Source: </w:t>
      </w:r>
      <w:r>
        <w:t>Recent Articles in Phys. Rev. C</w:t>
      </w:r>
      <w:r>
        <w:t xml:space="preserve">    </w:t>
      </w:r>
      <w:r>
        <w:rPr>
          <w:b/>
        </w:rPr>
        <w:t xml:space="preserve">Pub date: </w:t>
      </w:r>
      <w:r>
        <w:t>2026-06-10 10:00:00+00:00</w:t>
      </w:r>
      <w:r>
        <w:t xml:space="preserve">    </w:t>
      </w:r>
      <w:r>
        <w:rPr>
          <w:b/>
        </w:rPr>
        <w:t xml:space="preserve">DOI: </w:t>
      </w:r>
      <w:hyperlink r:id="rId962">
        <w:r>
          <w:rPr>
            <w:color w:val="1155CC"/>
            <w:u w:val="single"/>
          </w:rPr>
          <w:t>10.1103/6dtk-1tw2</w:t>
        </w:r>
      </w:hyperlink>
    </w:p>
    <w:p>
      <w:pPr>
        <w:spacing w:before="0" w:after="120"/>
      </w:pPr>
      <w:r>
        <w:rPr>
          <w:b/>
        </w:rPr>
        <w:t xml:space="preserve">Notes: </w:t>
      </w:r>
      <w:r>
        <w:t>abstract_source=rss_description</w:t>
      </w:r>
    </w:p>
    <w:p>
      <w:pPr>
        <w:spacing w:before="0" w:after="80" w:lineRule="auto" w:line="276"/>
      </w:pPr>
      <w:r>
        <w:rPr>
          <w:b/>
        </w:rPr>
        <w:t xml:space="preserve">摘要（ZH）: </w:t>
      </w:r>
      <w:r>
        <w:t>作者：Zu-Xing Yang、Xiao-Hua Fan、Peng-Hui Chen 和 Shunji Nishimura我们模拟超中心碰撞（碰撞参数向量 $|\stackrel{⃗}{b}|[Phys. Rev. C 113, 064604] 于 2026 年 6 月 10 日星期三发布</w:t>
      </w:r>
    </w:p>
    <w:p>
      <w:pPr>
        <w:spacing w:before="0" w:after="200" w:lineRule="auto" w:line="276"/>
      </w:pPr>
      <w:r>
        <w:rPr>
          <w:b/>
        </w:rPr>
        <w:t xml:space="preserve">Abstract (EN): </w:t>
      </w:r>
      <w:r>
        <w:t>Author(s): Zu-Xing Yang, Xiao-Hua Fan, Peng-Hui Chen, and Shunji NishimuraWe simulate ultracentral collisions (impact parameter vector $|\stackrel{⃗}{b}|[Phys. Rev. C 113, 064604] Published Wed Jun 10, 2026</w:t>
      </w:r>
    </w:p>
    <w:p>
      <w:pPr>
        <w:spacing w:before="120" w:after="120"/>
      </w:pPr>
      <w:r>
        <w:rPr>
          <w:sz w:val="18"/>
        </w:rPr>
        <w:t>——————————————————————————————————————————————————————————————————————</w:t>
      </w:r>
    </w:p>
    <w:p>
      <w:pPr>
        <w:spacing w:before="160" w:after="40" w:line="240" w:lineRule="auto"/>
      </w:pPr>
      <w:r>
        <w:rPr>
          <w:b/>
        </w:rPr>
        <w:t xml:space="preserve">[341] </w:t>
      </w:r>
      <w:hyperlink r:id="rId963">
        <w:r>
          <w:rPr>
            <w:color w:val="1155CC"/>
            <w:u w:val="single"/>
          </w:rPr>
          <w:t>用于生成所需的碰撞核密度分布的新颖过滤方法</w:t>
        </w:r>
      </w:hyperlink>
    </w:p>
    <w:p>
      <w:pPr>
        <w:spacing w:before="0" w:after="80"/>
      </w:pPr>
      <w:r>
        <w:rPr>
          <w:i/>
          <w:sz w:val="20"/>
        </w:rPr>
        <w:t>EN: Novel filtering method for generating desired density profiles of colliding nuclei</w:t>
      </w:r>
    </w:p>
    <w:p>
      <w:pPr>
        <w:spacing w:before="0" w:after="120"/>
      </w:pPr>
      <w:r>
        <w:rPr>
          <w:b/>
        </w:rPr>
        <w:t xml:space="preserve">Source: </w:t>
      </w:r>
      <w:r>
        <w:t>Recent Articles in Phys. Rev. C</w:t>
      </w:r>
      <w:r>
        <w:t xml:space="preserve">    </w:t>
      </w:r>
      <w:r>
        <w:rPr>
          <w:b/>
        </w:rPr>
        <w:t xml:space="preserve">Pub date: </w:t>
      </w:r>
      <w:r>
        <w:t>2026-06-10 10:00:00+00:00</w:t>
      </w:r>
      <w:r>
        <w:t xml:space="preserve">    </w:t>
      </w:r>
      <w:r>
        <w:rPr>
          <w:b/>
        </w:rPr>
        <w:t xml:space="preserve">DOI: </w:t>
      </w:r>
      <w:hyperlink r:id="rId964">
        <w:r>
          <w:rPr>
            <w:color w:val="1155CC"/>
            <w:u w:val="single"/>
          </w:rPr>
          <w:t>10.1103/ymmt-f8h7</w:t>
        </w:r>
      </w:hyperlink>
    </w:p>
    <w:p>
      <w:pPr>
        <w:spacing w:before="0" w:after="120"/>
      </w:pPr>
      <w:r>
        <w:rPr>
          <w:b/>
        </w:rPr>
        <w:t xml:space="preserve">Notes: </w:t>
      </w:r>
      <w:r>
        <w:t>abstract_source=rss_description</w:t>
      </w:r>
    </w:p>
    <w:p>
      <w:pPr>
        <w:spacing w:before="0" w:after="80" w:lineRule="auto" w:line="276"/>
      </w:pPr>
      <w:r>
        <w:rPr>
          <w:b/>
        </w:rPr>
        <w:t xml:space="preserve">摘要（ZH）: </w:t>
      </w:r>
      <w:r>
        <w:t>作者：西龙向、Manzi Nan、Peng Cheng Li、Yongjia Wang、Ling Liu 和 Qingfeng Li 密度剖面的精确建模对于使用输运模型研究重离子碰撞 (HIC) 至关重要。在量子分子动力学类型模型的框架内，提出了一种基于傅里叶级数展开生成所需核密度分布的新方法。 Rev. C 113, 064606] 2026 年 6 月 10 日星期三发布</w:t>
      </w:r>
    </w:p>
    <w:p>
      <w:pPr>
        <w:spacing w:before="0" w:after="200" w:lineRule="auto" w:line="276"/>
      </w:pPr>
      <w:r>
        <w:rPr>
          <w:b/>
        </w:rPr>
        <w:t xml:space="preserve">Abstract (EN): </w:t>
      </w:r>
      <w:r>
        <w:t>Author(s): Xilong Xiang, Manzi Nan, Pengcheng Li, Yongjia Wang, Ling Liu, and Qingfeng LiAccurate modeling of the density profile is essential for studying heavy-ion collisions (HICs) with a transport model. Within the framework of the quantum-molecular-dynamics–type model, a novel method for generating desired nuclear density distributions based on Fourier series expansion is proposed.…[Phys. Rev. C 113, 064606] Published Wed Jun 10, 2026</w:t>
      </w:r>
    </w:p>
    <w:p>
      <w:pPr>
        <w:spacing w:before="120" w:after="120"/>
      </w:pPr>
      <w:r>
        <w:rPr>
          <w:sz w:val="18"/>
        </w:rPr>
        <w:t>——————————————————————————————————————————————————————————————————————</w:t>
      </w:r>
    </w:p>
    <w:p>
      <w:pPr>
        <w:spacing w:before="160" w:after="40" w:line="240" w:lineRule="auto"/>
      </w:pPr>
      <w:r>
        <w:rPr>
          <w:b/>
        </w:rPr>
        <w:t xml:space="preserve">[342] </w:t>
      </w:r>
      <w:hyperlink r:id="rId965">
        <w:r>
          <w:rPr>
            <w:color w:val="1155CC"/>
            <w:u w:val="single"/>
          </w:rPr>
          <w:t>$^{7}\mathrm{Be}$系统的广义简化$R$矩阵理论分析</w:t>
        </w:r>
      </w:hyperlink>
    </w:p>
    <w:p>
      <w:pPr>
        <w:spacing w:before="0" w:after="80"/>
      </w:pPr>
      <w:r>
        <w:rPr>
          <w:i/>
          <w:sz w:val="20"/>
        </w:rPr>
        <w:t>EN: Generalized reduced $R$-matrix theoretical analysis of the $^{7}\mathrm{Be}$ system</w:t>
      </w:r>
    </w:p>
    <w:p>
      <w:pPr>
        <w:spacing w:before="0" w:after="120"/>
      </w:pPr>
      <w:r>
        <w:rPr>
          <w:b/>
        </w:rPr>
        <w:t xml:space="preserve">Source: </w:t>
      </w:r>
      <w:r>
        <w:t>Recent Articles in Phys. Rev. C</w:t>
      </w:r>
      <w:r>
        <w:t xml:space="preserve">    </w:t>
      </w:r>
      <w:r>
        <w:rPr>
          <w:b/>
        </w:rPr>
        <w:t xml:space="preserve">Pub date: </w:t>
      </w:r>
      <w:r>
        <w:t>2026-06-10 10:00:00+00:00</w:t>
      </w:r>
      <w:r>
        <w:t xml:space="preserve">    </w:t>
      </w:r>
      <w:r>
        <w:rPr>
          <w:b/>
        </w:rPr>
        <w:t xml:space="preserve">DOI: </w:t>
      </w:r>
      <w:hyperlink r:id="rId966">
        <w:r>
          <w:rPr>
            <w:color w:val="1155CC"/>
            <w:u w:val="single"/>
          </w:rPr>
          <w:t>10.1103/3wlg-jl8j</w:t>
        </w:r>
      </w:hyperlink>
    </w:p>
    <w:p>
      <w:pPr>
        <w:spacing w:before="0" w:after="120"/>
      </w:pPr>
      <w:r>
        <w:rPr>
          <w:b/>
        </w:rPr>
        <w:t xml:space="preserve">Notes: </w:t>
      </w:r>
      <w:r>
        <w:t>abstract_source=rss_description</w:t>
      </w:r>
    </w:p>
    <w:p>
      <w:pPr>
        <w:spacing w:before="0" w:after="80" w:lineRule="auto" w:line="276"/>
      </w:pPr>
      <w:r>
        <w:rPr>
          <w:b/>
        </w:rPr>
        <w:t xml:space="preserve">摘要（ZH）: </w:t>
      </w:r>
      <w:r>
        <w:t>作者：韩旭、刘杰、陈振鹏、祖铁军、叶涛基于广义简化$R$-矩阵理论，采用$R$-矩阵分析代码（RAC）程序来分析与$^{7}\mathrm{Be}$系统相关的所有反应通道。目前的计算提供了可靠的评估数据，这表明与现有的经验总体上吻合......[Phys。 Rev. C 113, 064607] 2026 年 6 月 10 日星期三发布</w:t>
      </w:r>
    </w:p>
    <w:p>
      <w:pPr>
        <w:spacing w:before="0" w:after="200" w:lineRule="auto" w:line="276"/>
      </w:pPr>
      <w:r>
        <w:rPr>
          <w:b/>
        </w:rPr>
        <w:t xml:space="preserve">Abstract (EN): </w:t>
      </w:r>
      <w:r>
        <w:t>Author(s): Xu Han, Jie Liu, Zhen-Peng Chen, Tie-Jun Zu, and Tao YeBased on the generalized reduced $R$-matrix theory, the $R$-matrix analysis code (RAC) program is employed to analyze all reaction channels associated with the $^{7}\mathrm{Be}$ system. The present calculations provide reliable evaluation data, which shows overall good agreement with available exper…[Phys. Rev. C 113, 064607] Published Wed Jun 10, 2026</w:t>
      </w:r>
    </w:p>
    <w:p>
      <w:pPr>
        <w:spacing w:before="120" w:after="120"/>
      </w:pPr>
      <w:r>
        <w:rPr>
          <w:sz w:val="18"/>
        </w:rPr>
        <w:t>——————————————————————————————————————————————————————————————————————</w:t>
      </w:r>
    </w:p>
    <w:p>
      <w:pPr>
        <w:spacing w:before="160" w:after="40" w:line="240" w:lineRule="auto"/>
      </w:pPr>
      <w:r>
        <w:rPr>
          <w:b/>
        </w:rPr>
        <w:t xml:space="preserve">[343] </w:t>
      </w:r>
      <w:hyperlink r:id="rId967">
        <w:r>
          <w:rPr>
            <w:color w:val="1155CC"/>
            <w:u w:val="single"/>
          </w:rPr>
          <w:t>勘误表：可压缩流体界面处的细菌湍流 [物理学。莱特牧师。 136, 138301(2026)]</w:t>
        </w:r>
      </w:hyperlink>
    </w:p>
    <w:p>
      <w:pPr>
        <w:spacing w:before="0" w:after="80"/>
      </w:pPr>
      <w:r>
        <w:rPr>
          <w:i/>
          <w:sz w:val="20"/>
        </w:rPr>
        <w:t>EN: Erratum: Bacterial Turbulence at Compressible Fluid Interfaces [Phys. Rev. Lett. 136, 138301 (2026)]</w:t>
      </w:r>
    </w:p>
    <w:p>
      <w:pPr>
        <w:spacing w:before="0" w:after="120"/>
      </w:pPr>
      <w:r>
        <w:rPr>
          <w:b/>
        </w:rPr>
        <w:t xml:space="preserve">Source: </w:t>
      </w:r>
      <w:r>
        <w:t>Recent Articles in Phys. Rev. Lett.</w:t>
      </w:r>
      <w:r>
        <w:t xml:space="preserve">    </w:t>
      </w:r>
      <w:r>
        <w:rPr>
          <w:b/>
        </w:rPr>
        <w:t xml:space="preserve">Pub date: </w:t>
      </w:r>
      <w:r>
        <w:t>2026-06-10 10:00:00+00:00</w:t>
      </w:r>
      <w:r>
        <w:t xml:space="preserve">    </w:t>
      </w:r>
      <w:r>
        <w:rPr>
          <w:b/>
        </w:rPr>
        <w:t xml:space="preserve">DOI: </w:t>
      </w:r>
      <w:hyperlink r:id="rId968">
        <w:r>
          <w:rPr>
            <w:color w:val="1155CC"/>
            <w:u w:val="single"/>
          </w:rPr>
          <w:t>10.1103/8fl3-19j8</w:t>
        </w:r>
      </w:hyperlink>
    </w:p>
    <w:p>
      <w:pPr>
        <w:spacing w:before="0" w:after="120"/>
      </w:pPr>
      <w:r>
        <w:rPr>
          <w:b/>
        </w:rPr>
        <w:t xml:space="preserve">Notes: </w:t>
      </w:r>
      <w:r>
        <w:t>abstract_source=rss_description</w:t>
      </w:r>
    </w:p>
    <w:p>
      <w:pPr>
        <w:spacing w:before="0" w:after="80" w:lineRule="auto" w:line="276"/>
      </w:pPr>
      <w:r>
        <w:rPr>
          <w:b/>
        </w:rPr>
        <w:t xml:space="preserve">摘要（ZH）: </w:t>
      </w:r>
      <w:r>
        <w:t>Author(s): Yuanfeng Yin, Bokai Zhang, H. P. Zhang, and Shuo Guo[Phys. Rev. Lett. 136, 239901] Published Wed Jun 10, 2026</w:t>
      </w:r>
    </w:p>
    <w:p>
      <w:pPr>
        <w:spacing w:before="0" w:after="200" w:lineRule="auto" w:line="276"/>
      </w:pPr>
      <w:r>
        <w:rPr>
          <w:b/>
        </w:rPr>
        <w:t xml:space="preserve">Abstract (EN): </w:t>
      </w:r>
      <w:r>
        <w:t>Author(s): Yuanfeng Yin, Bokai Zhang, H. P. Zhang, and Shuo Guo[Phys. Rev. Lett. 136, 239901] Published Wed Jun 10, 2026</w:t>
      </w:r>
    </w:p>
    <w:p>
      <w:pPr>
        <w:spacing w:before="120" w:after="120"/>
      </w:pPr>
      <w:r>
        <w:rPr>
          <w:sz w:val="18"/>
        </w:rPr>
        <w:t>——————————————————————————————————————————————————————————————————————</w:t>
      </w:r>
    </w:p>
    <w:p>
      <w:pPr>
        <w:spacing w:before="160" w:after="40" w:line="240" w:lineRule="auto"/>
      </w:pPr>
      <w:r>
        <w:rPr>
          <w:b/>
        </w:rPr>
        <w:t xml:space="preserve">[344] </w:t>
      </w:r>
      <w:hyperlink r:id="rId969">
        <w:r>
          <w:rPr>
            <w:color w:val="1155CC"/>
            <w:u w:val="single"/>
          </w:rPr>
          <w:t>原子核四面体对称性的质量探针</w:t>
        </w:r>
      </w:hyperlink>
    </w:p>
    <w:p>
      <w:pPr>
        <w:spacing w:before="0" w:after="80"/>
      </w:pPr>
      <w:r>
        <w:rPr>
          <w:i/>
          <w:sz w:val="20"/>
        </w:rPr>
        <w:t>EN: Mass Probe of Tetrahedral Symmetry in Atomic Nuclei</w:t>
      </w:r>
    </w:p>
    <w:p>
      <w:pPr>
        <w:spacing w:before="0" w:after="120"/>
      </w:pPr>
      <w:r>
        <w:rPr>
          <w:b/>
        </w:rPr>
        <w:t xml:space="preserve">Source: </w:t>
      </w:r>
      <w:r>
        <w:t>Recent Articles in Phys. Rev. Lett.</w:t>
      </w:r>
      <w:r>
        <w:t xml:space="preserve">    </w:t>
      </w:r>
      <w:r>
        <w:rPr>
          <w:b/>
        </w:rPr>
        <w:t xml:space="preserve">Pub date: </w:t>
      </w:r>
      <w:r>
        <w:t>2026-06-10 10:00:00+00:00</w:t>
      </w:r>
      <w:r>
        <w:t xml:space="preserve">    </w:t>
      </w:r>
      <w:r>
        <w:rPr>
          <w:b/>
        </w:rPr>
        <w:t xml:space="preserve">DOI: </w:t>
      </w:r>
      <w:hyperlink r:id="rId970">
        <w:r>
          <w:rPr>
            <w:color w:val="1155CC"/>
            <w:u w:val="single"/>
          </w:rPr>
          <w:t>10.1103/89v1-lrb2</w:t>
        </w:r>
      </w:hyperlink>
    </w:p>
    <w:p>
      <w:pPr>
        <w:spacing w:before="0" w:after="120"/>
      </w:pPr>
      <w:r>
        <w:rPr>
          <w:b/>
        </w:rPr>
        <w:t xml:space="preserve">Notes: </w:t>
      </w:r>
      <w:r>
        <w:t>abstract_source=rss_description</w:t>
      </w:r>
    </w:p>
    <w:p>
      <w:pPr>
        <w:spacing w:before="0" w:after="80" w:lineRule="auto" w:line="276"/>
      </w:pPr>
      <w:r>
        <w:rPr>
          <w:b/>
        </w:rPr>
        <w:t xml:space="preserve">摘要（ZH）: </w:t>
      </w:r>
      <w:r>
        <w:t>作者：许方方和赵鹏巍 四面体对称性长期以来一直被预测为原子核中一种奇特的形状自由度，但明确的实验表现仍然难以捉摸。我们证明，三重结合能差 $δ{V}_{pn}^{(3)}$ 可以隔离 $^{80}\mathrm{Zr}$ 中四面体对称性的结构效应。…[Phys.莱特牧师。 136, 232503] 2026 年 6 月 10 日星期三发布</w:t>
      </w:r>
    </w:p>
    <w:p>
      <w:pPr>
        <w:spacing w:before="0" w:after="200" w:lineRule="auto" w:line="276"/>
      </w:pPr>
      <w:r>
        <w:rPr>
          <w:b/>
        </w:rPr>
        <w:t xml:space="preserve">Abstract (EN): </w:t>
      </w:r>
      <w:r>
        <w:t>Author(s): F. F. Xu (许方方) and P. W. Zhao (赵鹏巍)Tetrahedral symmetry has long been predicted as an exotic shape degree of freedom in atomic nuclei, yet clear experimental manifestations remain elusive. We show that the triple binding energy difference $δ{V}_{pn}^{(3)}$ can isolate a structural effect of tetrahedral symmetry in $^{80}\mathrm{Zr}$.…[Phys. Rev. Lett. 136, 232503] Published Wed Jun 10, 2026</w:t>
      </w:r>
    </w:p>
    <w:p>
      <w:pPr>
        <w:spacing w:before="120" w:after="120"/>
      </w:pPr>
      <w:r>
        <w:rPr>
          <w:sz w:val="18"/>
        </w:rPr>
        <w:t>——————————————————————————————————————————————————————————————————————</w:t>
      </w:r>
    </w:p>
    <w:p>
      <w:pPr>
        <w:spacing w:before="160" w:after="40" w:line="240" w:lineRule="auto"/>
      </w:pPr>
      <w:r>
        <w:rPr>
          <w:b/>
        </w:rPr>
        <w:t xml:space="preserve">[345] </w:t>
      </w:r>
      <w:hyperlink r:id="rId971">
        <w:r>
          <w:rPr>
            <w:color w:val="1155CC"/>
            <w:u w:val="single"/>
          </w:rPr>
          <w:t>原子尺度振动介导的电子聚束的证据</w:t>
        </w:r>
      </w:hyperlink>
    </w:p>
    <w:p>
      <w:pPr>
        <w:spacing w:before="0" w:after="80"/>
      </w:pPr>
      <w:r>
        <w:rPr>
          <w:i/>
          <w:sz w:val="20"/>
        </w:rPr>
        <w:t>EN: Evidence for Atomic-Scale Vibron-Mediated Electron Bunching</w:t>
      </w:r>
    </w:p>
    <w:p>
      <w:pPr>
        <w:spacing w:before="0" w:after="120"/>
      </w:pPr>
      <w:r>
        <w:rPr>
          <w:b/>
        </w:rPr>
        <w:t xml:space="preserve">Source: </w:t>
      </w:r>
      <w:r>
        <w:t>Recent Articles in Phys. Rev. Lett.</w:t>
      </w:r>
      <w:r>
        <w:t xml:space="preserve">    </w:t>
      </w:r>
      <w:r>
        <w:rPr>
          <w:b/>
        </w:rPr>
        <w:t xml:space="preserve">Pub date: </w:t>
      </w:r>
      <w:r>
        <w:t>2026-06-10 10:00:00+00:00</w:t>
      </w:r>
      <w:r>
        <w:t xml:space="preserve">    </w:t>
      </w:r>
      <w:r>
        <w:rPr>
          <w:b/>
        </w:rPr>
        <w:t xml:space="preserve">DOI: </w:t>
      </w:r>
      <w:hyperlink r:id="rId972">
        <w:r>
          <w:rPr>
            <w:color w:val="1155CC"/>
            <w:u w:val="single"/>
          </w:rPr>
          <w:t>10.1103/zvf5-wln4</w:t>
        </w:r>
      </w:hyperlink>
    </w:p>
    <w:p>
      <w:pPr>
        <w:spacing w:before="0" w:after="120"/>
      </w:pPr>
      <w:r>
        <w:rPr>
          <w:b/>
        </w:rPr>
        <w:t xml:space="preserve">Notes: </w:t>
      </w:r>
      <w:r>
        <w:t>abstract_source=rss_description</w:t>
      </w:r>
    </w:p>
    <w:p>
      <w:pPr>
        <w:spacing w:before="0" w:after="80" w:lineRule="auto" w:line="276"/>
      </w:pPr>
      <w:r>
        <w:rPr>
          <w:b/>
        </w:rPr>
        <w:t xml:space="preserve">摘要（ZH）: </w:t>
      </w:r>
      <w:r>
        <w:t>作者：A. Maiti、M. Amato、V. S. Stolyarov、H. Aubin、J. Estève、F. Pistolesi、M. Aprili 和 F. Massee 原子尺度测量表明振动激发可以导致电子成束移动。莱特牧师。 136, 236501] 2026 年 6 月 10 日星期三发布</w:t>
      </w:r>
    </w:p>
    <w:p>
      <w:pPr>
        <w:spacing w:before="0" w:after="200" w:lineRule="auto" w:line="276"/>
      </w:pPr>
      <w:r>
        <w:rPr>
          <w:b/>
        </w:rPr>
        <w:t xml:space="preserve">Abstract (EN): </w:t>
      </w:r>
      <w:r>
        <w:t>Author(s): A. Maiti, M. Amato, V. S. Stolyarov, H. Aubin, J. Estève, F. Pistolesi, M. Aprili, and F. MasseeAtomic-scale measurements show that vibrational excitations can cause electrons to move in bunches.[Phys. Rev. Lett. 136, 236501] Published Wed Jun 10, 2026</w:t>
      </w:r>
    </w:p>
    <w:p>
      <w:pPr>
        <w:spacing w:before="120" w:after="120"/>
      </w:pPr>
      <w:r>
        <w:rPr>
          <w:sz w:val="18"/>
        </w:rPr>
        <w:t>——————————————————————————————————————————————————————————————————————</w:t>
      </w:r>
    </w:p>
    <w:p>
      <w:pPr>
        <w:spacing w:before="160" w:after="40" w:line="240" w:lineRule="auto"/>
      </w:pPr>
      <w:r>
        <w:rPr>
          <w:b/>
        </w:rPr>
        <w:t xml:space="preserve">[346] </w:t>
      </w:r>
      <w:hyperlink r:id="rId973">
        <w:r>
          <w:rPr>
            <w:color w:val="1155CC"/>
            <w:u w:val="single"/>
          </w:rPr>
          <w:t>拓扑调节聚脲：从结构设计到新兴应用</w:t>
        </w:r>
      </w:hyperlink>
    </w:p>
    <w:p>
      <w:pPr>
        <w:spacing w:before="0" w:after="80"/>
      </w:pPr>
      <w:r>
        <w:rPr>
          <w:i/>
          <w:sz w:val="20"/>
        </w:rPr>
        <w:t>EN: Topology‐Regulated Polyurea: From Structural Design to Emerging Applications</w:t>
      </w:r>
    </w:p>
    <w:p>
      <w:pPr>
        <w:spacing w:before="0" w:after="120"/>
      </w:pPr>
      <w:r>
        <w:rPr>
          <w:b/>
        </w:rPr>
        <w:t xml:space="preserve">Source: </w:t>
      </w:r>
      <w:r>
        <w:t>Wiley: Advanced Materials: Table of Contents</w:t>
      </w:r>
      <w:r>
        <w:t xml:space="preserve">    </w:t>
      </w:r>
      <w:r>
        <w:rPr>
          <w:b/>
        </w:rPr>
        <w:t xml:space="preserve">Pub date: </w:t>
      </w:r>
      <w:r>
        <w:t>2026-06-10 14:20:15+00:00</w:t>
      </w:r>
      <w:r>
        <w:t xml:space="preserve">    </w:t>
      </w:r>
      <w:r>
        <w:rPr>
          <w:b/>
        </w:rPr>
        <w:t xml:space="preserve">DOI: </w:t>
      </w:r>
      <w:hyperlink r:id="rId974">
        <w:r>
          <w:rPr>
            <w:color w:val="1155CC"/>
            <w:u w:val="single"/>
          </w:rPr>
          <w:t>10.1002/adma.73677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一种高性能弹性体材料，聚脲在冲击防护、功能涂料、粘合剂和柔性电子产品中的应用引起了广泛关注，这主要是由于其优异的机械性能、卓越的高应变率响应和化学可调的分子结构。然而，聚脲的广泛发展受到一些固有挑战的限制，包括异氰酸酯和胺之间的反应动力学过快、网络拓扑控制有限以及功能多样性有限。近年来，聚合物科学的进步在解决这些局限性方面取得了显着进展。提出了一系列新策略，例如采用低反应性胺或封闭方法来调节反应动力学、精确设计网络拓扑以及系统地拓宽潜在应用范围。尽管取得了这些进展，但整合聚脲合成方法、拓扑结构设计原理和应用开发的全面且最新的综述仍然相对缺乏。本文系统总结了拓扑调控聚脲的最新进展，涵盖其合成、制备和新兴应用，并分析了聚脲拓扑结构的设计原理，以阐明关键的结构-性能-性能关系。此外，该评论全面概述了聚脲在不同领域的应用的前沿进展，并讨论了主要挑战和未来</w:t>
      </w:r>
    </w:p>
    <w:p>
      <w:pPr>
        <w:spacing w:before="0" w:after="200" w:lineRule="auto" w:line="276"/>
      </w:pPr>
      <w:r>
        <w:rPr>
          <w:b/>
        </w:rPr>
        <w:t xml:space="preserve">Abstract (EN): </w:t>
      </w:r>
      <w:r>
        <w:t>As a high‐performance elastomeric material, polyurea has attracted considerable attention for use in impact protection, functional coatings, adhesives, and flexible electronics, primarily owing to its excellent mechanical properties, exceptional high‐strain‐rate response, and chemically tunable molecular architecture. However, the widespread development of polyurea is constrained by several inherent challenges, including the excessively rapid reaction kinetics between isocyanates and amines, limited control of network topology, and restricted functional diversity. In recent years, advances derived from polymer science have enabled notable progress in addressing these limitations. A series of new strategies has been proposed, such as employing low‐reactivity amines or blocking approaches to modulate reaction kinetics, precisely engineering network topology, and systematically broadening the potential application scope. Despite these advances, comprehensive and up‐to‐date reviews that integrate polyurea synthesis methods, topological structural design principles, and application development remain relatively scarce. This review systematically summarizes recent progress in topology‐regulated polyurea, covering its synthesis, preparation, and emerging applications and analyzes the design principles of polyurea's topological structure to clarify key structure–property–performance relationships. Additionally, the review comprehensively outlines cutting‑edge advances in polyurea applications across diverse fields and discusses the main challenges and future prospects for developing next‑generation, high‑performance, and multifunctional polyurea materials.</w:t>
      </w:r>
    </w:p>
    <w:p>
      <w:pPr>
        <w:spacing w:before="120" w:after="120"/>
      </w:pPr>
      <w:r>
        <w:rPr>
          <w:sz w:val="18"/>
        </w:rPr>
        <w:t>——————————————————————————————————————————————————————————————————————</w:t>
      </w:r>
    </w:p>
    <w:p>
      <w:pPr>
        <w:spacing w:before="160" w:after="40" w:line="240" w:lineRule="auto"/>
      </w:pPr>
      <w:r>
        <w:rPr>
          <w:b/>
        </w:rPr>
        <w:t xml:space="preserve">[347] </w:t>
      </w:r>
      <w:hyperlink r:id="rId975">
        <w:r>
          <w:rPr>
            <w:color w:val="1155CC"/>
            <w:u w:val="single"/>
          </w:rPr>
          <w:t>可逆热驱动解锁软生物电子学的微创植入和回收</w:t>
        </w:r>
      </w:hyperlink>
    </w:p>
    <w:p>
      <w:pPr>
        <w:spacing w:before="0" w:after="80"/>
      </w:pPr>
      <w:r>
        <w:rPr>
          <w:i/>
          <w:sz w:val="20"/>
        </w:rPr>
        <w:t>EN: Reversible Thermoactuation Unlocks Minimally Invasive Implantation and Retrieval of Soft Bioelectronics</w:t>
      </w:r>
    </w:p>
    <w:p>
      <w:pPr>
        <w:spacing w:before="0" w:after="120"/>
      </w:pPr>
      <w:r>
        <w:rPr>
          <w:b/>
        </w:rPr>
        <w:t xml:space="preserve">Source: </w:t>
      </w:r>
      <w:r>
        <w:t>Wiley: Advanced Materials: Table of Contents</w:t>
      </w:r>
      <w:r>
        <w:t xml:space="preserve">    </w:t>
      </w:r>
      <w:r>
        <w:rPr>
          <w:b/>
        </w:rPr>
        <w:t xml:space="preserve">Pub date: </w:t>
      </w:r>
      <w:r>
        <w:t>2026-06-10 14:56:18+00:00</w:t>
      </w:r>
      <w:r>
        <w:t xml:space="preserve">    </w:t>
      </w:r>
      <w:r>
        <w:rPr>
          <w:b/>
        </w:rPr>
        <w:t xml:space="preserve">DOI: </w:t>
      </w:r>
      <w:hyperlink r:id="rId976">
        <w:r>
          <w:rPr>
            <w:color w:val="1155CC"/>
            <w:u w:val="single"/>
          </w:rPr>
          <w:t>10.1002/adma.73685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生物电子学的微创输送目前受到部署的不可逆性的限制，导致设备检索造成创伤并阻碍临床转化。在这里，我们首次引入一种新型热响应、可逆驱动聚合物（Trap），它可以实现微创植入和取出。 Trap在(110)取向的低熵晶体和(100)取向的高熵晶体之间表现出机械上独特的双晶竞争。竞争结晶在人类兼容的窗口（10°C–37°C）内控制双向、无应力形状记忆，从而实现快速（&lt;3 s）、抗疲劳和大可逆应变（∼30.17%）。两种纳米晶态之间的固-固切换提供了稳健且可调的驱动模式，使 Trap 能够在紧凑的 1D 和功能性 2D/3D 几何形状之间可逆转换，而无需机械负载。这种材料的创新直接使得基于 Trap 的神经电极能够通过相同的小切口 (∼5 mm) 进行微创部署和缩回，以及周围神经的自主螺旋自组装和热分离，从而在数周至数月内实现稳定的电生理连接。这项工作为可逆生物界面建立了一个以材料为中心的框架，解决了手术侵入性和设备可回收性之间的冲突。</w:t>
      </w:r>
    </w:p>
    <w:p>
      <w:pPr>
        <w:spacing w:before="0" w:after="200" w:lineRule="auto" w:line="276"/>
      </w:pPr>
      <w:r>
        <w:rPr>
          <w:b/>
        </w:rPr>
        <w:t xml:space="preserve">Abstract (EN): </w:t>
      </w:r>
      <w:r>
        <w:t>Minimally invasive delivery of bioelectronics is currently limited by the irreversibility of deployment, rendering device retrieval traumatic and hindering clinical translation. Here, for the first time, we introduce a novel thermoresponsive, reversible‐actuating polymer (Trap) that enables both minimally invasive implantation and retrieval. Trap exhibits a mechanistically unique dual‐crystalline competition between (110)‐oriented low‐entropy crystals and (100)‐oriented high‐entropy crystals. The competitive crystallization governs bidirectional, stress‐free shape memory within a human‐compatible window (10°C–37°C), enabling rapid (&amp;lt;3 s), fatigue‐resistant, and large reversible strain (∼30.17%). The solid–solid switching between two nanocrystalline states provides a robust and tunable actuation mode, allowing Trap to transition reversibly between compact 1D and functional 2D/3D geometries without mechanical loading. This materials’ innovation directly enables microinvasive deployment and retraction of Trap‐based neural electrodes through the same small incision (∼5 mm), as well as autonomous helical self‐assembly and thermal detachment on peripheral nerves, achieving stable electrophysiological interfacing over weeks to months. This work establishes a material‐centered framework for reversible biointerfaces, resolving the conflict between surgical invasiveness and device retrievability.</w:t>
      </w:r>
    </w:p>
    <w:p>
      <w:pPr>
        <w:spacing w:before="120" w:after="120"/>
      </w:pPr>
      <w:r>
        <w:rPr>
          <w:sz w:val="18"/>
        </w:rPr>
        <w:t>——————————————————————————————————————————————————————————————————————</w:t>
      </w:r>
    </w:p>
    <w:p>
      <w:pPr>
        <w:spacing w:before="160" w:after="40" w:line="240" w:lineRule="auto"/>
      </w:pPr>
      <w:r>
        <w:rPr>
          <w:b/>
        </w:rPr>
        <w:t xml:space="preserve">[348] </w:t>
      </w:r>
      <w:hyperlink r:id="rId977">
        <w:r>
          <w:rPr>
            <w:color w:val="1155CC"/>
            <w:u w:val="single"/>
          </w:rPr>
          <w:t>用于自主避障系统的光强度驱动双向光响应视觉传感器</w:t>
        </w:r>
      </w:hyperlink>
    </w:p>
    <w:p>
      <w:pPr>
        <w:spacing w:before="0" w:after="80"/>
      </w:pPr>
      <w:r>
        <w:rPr>
          <w:i/>
          <w:sz w:val="20"/>
        </w:rPr>
        <w:t>EN: Light Intensity‐Driven Bidirectional Photoresponse Vision Sensor for Autonomous Obstacle Avoidance System</w:t>
      </w:r>
    </w:p>
    <w:p>
      <w:pPr>
        <w:spacing w:before="0" w:after="120"/>
      </w:pPr>
      <w:r>
        <w:rPr>
          <w:b/>
        </w:rPr>
        <w:t xml:space="preserve">Source: </w:t>
      </w:r>
      <w:r>
        <w:t>Wiley: Advanced Materials: Table of Contents</w:t>
      </w:r>
      <w:r>
        <w:t xml:space="preserve">    </w:t>
      </w:r>
      <w:r>
        <w:rPr>
          <w:b/>
        </w:rPr>
        <w:t xml:space="preserve">Pub date: </w:t>
      </w:r>
      <w:r>
        <w:t>2026-06-10 15:20:46+00:00</w:t>
      </w:r>
      <w:r>
        <w:t xml:space="preserve">    </w:t>
      </w:r>
      <w:r>
        <w:rPr>
          <w:b/>
        </w:rPr>
        <w:t xml:space="preserve">DOI: </w:t>
      </w:r>
      <w:hyperlink r:id="rId978">
        <w:r>
          <w:rPr>
            <w:color w:val="1155CC"/>
            <w:u w:val="single"/>
          </w:rPr>
          <w:t>10.1002/adma.73694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模拟神经通路处理的仿生视觉传感器为下一代机器人和人工智能带来了巨大的希望。然而，实现仿生威胁距离适应，即逃生启动动态校准到单个设备内迫在眉睫的物体接近度（如昆虫神经回路），对于仿生视觉系统的实现仍然具有挑战性。在此，我们提出了一种基于 2D PVK/h-BN/MoS2 的视觉传感器</w:t>
      </w:r>
      <w:r>
        <w:rPr>
          <w:vertAlign w:val="subscript"/>
        </w:rPr>
        <w:t>2</w:t>
      </w:r>
      <w:r>
        <w:t>/h-BN/2D PVK 异质结构，实现昆虫趋光/趋光行为的全动态模拟。核心创新是对称栅极场共调节，顶部和底部 2D PVK 感光层上的相反栅极偏置会响应光梯度而触发对抗场效应调制。低光强度激活顶层，通过空穴/阳离子积累诱导持续的正光电​​流（PPC），而高光强度激活底层，通过电子/阴离子积累产生负光电导（NPC），模仿相邻小眼的激发/抑制。类似跳跃的离子传输可实现超长的 PPC/NPC 光照后持久性。使用该传感器构建的自主避障系统直接将光梯度信号映射到电机命令，通过对称门差分调制、协同处理实时强度、历史累积和变化率实现电压可调制动距离控制，从而在动态环境中有效避免碰撞</w:t>
      </w:r>
    </w:p>
    <w:p>
      <w:pPr>
        <w:spacing w:before="0" w:after="200" w:lineRule="auto" w:line="276"/>
      </w:pPr>
      <w:r>
        <w:rPr>
          <w:b/>
        </w:rPr>
        <w:t xml:space="preserve">Abstract (EN): </w:t>
      </w:r>
      <w:r>
        <w:t>Bio‐inspired vision sensors emulating neural‐pathway processing hold significant promise for next‐generation robotics and artificial intelligence. However, achieving biomimetic threat‐distance adaptation, where escape initiation dynamically calibrates to looming object proximity within a single device as in insect neural circuits, remains challenging for bionic vision systems implementations. Herein, we present a vision sensor based on a 2D PVK/h‐BN/MoS</w:t>
      </w:r>
      <w:r>
        <w:rPr>
          <w:vertAlign w:val="subscript"/>
        </w:rPr>
        <w:t>2</w:t>
      </w:r>
      <w:r>
        <w:t>/h‐BN/2D PVK heterostructure that achieves full dynamic emulation of insect phototactic/scototactic behaviors. The core innovation is symmetrical gate‐field co‐regulation, opposing gate biases on the top and bottom 2D PVK photosensitive layers trigger antagonistic field‐effect modulation in response to light gradients. Low light intensity activates the top layer, inducing persistent positive photocurrent (PPC) via hole/cation accumulation, while high light intensity activates the bottom layer, generating negative photoconductivity (NPC) via electron/anion accumulation, mimicking adjacent ommatidial excitation/inhibition. Hopping‐like ion transport enables ultra‐long PPC/NPC persistence post‐illumination. An autonomous obstacle avoidance system built with this sensor directly maps light‐gradient signals to motor commands enabling voltage‐tunable braking distance control via symmetric gate differential modulation, co‐processing real‐time intensity, historical accumulation, and rate‐of‐change for efficient collision avoidance in dynamic environments. This work provides a valuable reference scheme for bionic vision systems.</w:t>
      </w:r>
    </w:p>
    <w:p>
      <w:pPr>
        <w:spacing w:before="120" w:after="120"/>
      </w:pPr>
      <w:r>
        <w:rPr>
          <w:sz w:val="18"/>
        </w:rPr>
        <w:t>——————————————————————————————————————————————————————————————————————</w:t>
      </w:r>
    </w:p>
    <w:p>
      <w:pPr>
        <w:spacing w:before="160" w:after="40" w:line="240" w:lineRule="auto"/>
      </w:pPr>
      <w:r>
        <w:rPr>
          <w:b/>
        </w:rPr>
        <w:t xml:space="preserve">[349] </w:t>
      </w:r>
      <w:hyperlink r:id="rId979">
        <w:r>
          <w:rPr>
            <w:color w:val="1155CC"/>
            <w:u w:val="single"/>
          </w:rPr>
          <w:t>通过无机-有机混合层稳定埋入界面以实现高性能钙钛矿光伏</w:t>
        </w:r>
      </w:hyperlink>
    </w:p>
    <w:p>
      <w:pPr>
        <w:spacing w:before="0" w:after="80"/>
      </w:pPr>
      <w:r>
        <w:rPr>
          <w:i/>
          <w:sz w:val="20"/>
        </w:rPr>
        <w:t>EN: Stabilizing the Buried Interface via Inorganic-Organic Hybrid Layers for High-Performance Perovskite Photovoltaics</w:t>
      </w:r>
    </w:p>
    <w:p>
      <w:pPr>
        <w:spacing w:before="0" w:after="120"/>
      </w:pPr>
      <w:r>
        <w:rPr>
          <w:b/>
        </w:rPr>
        <w:t xml:space="preserve">Source: </w:t>
      </w:r>
      <w:r>
        <w:t>RSC - Energy Environ. Sci. latest articles</w:t>
      </w:r>
      <w:r>
        <w:t xml:space="preserve">    </w:t>
      </w:r>
      <w:r>
        <w:rPr>
          <w:b/>
        </w:rPr>
        <w:t xml:space="preserve">Pub date: </w:t>
      </w:r>
      <w:r>
        <w:t>2026-06-10 23:00:00+00:00</w:t>
      </w:r>
    </w:p>
    <w:p>
      <w:pPr>
        <w:spacing w:before="0" w:after="120"/>
      </w:pPr>
      <w:r>
        <w:rPr>
          <w:b/>
        </w:rPr>
        <w:t xml:space="preserve">Notes: </w:t>
      </w:r>
      <w:r>
        <w:t>abstract_source=rsc_html</w:t>
      </w:r>
    </w:p>
    <w:p>
      <w:pPr>
        <w:spacing w:before="0" w:after="80" w:lineRule="auto" w:line="276"/>
      </w:pPr>
      <w:r>
        <w:rPr>
          <w:b/>
        </w:rPr>
        <w:t xml:space="preserve">摘要（ZH）: </w:t>
      </w:r>
      <w:r>
        <w:t>倒置钙钛矿太阳能电池由于其优异的稳定性和与串联技术的高度兼容性，已成为最具商业前景的新一代光伏技术。自组装单层 (SAM) 作为关键的空穴传输材料，使器件效率超过 27%。然而，分子聚集、界面覆盖不均匀和润湿性差等固有问题严重限制了器件性能和长期稳定性。为了系统地解决这些界面挑战，本研究创新性地开发了由胶体二氧化硅纳米颗粒和 SAM 分子组成的空穴传输层。这种复合结构通过多种协同机制发挥作用：纳米颗粒表面丰富的羟基为 SAM 分子提供了强大的锚定位点，减轻了源头的聚集，并能够形成高度均匀和连贯的混合界面接触；构建的微纳粗糙界面显着提高了钙钛矿前驱体的润湿性，引导高质量光吸收层的形成。由此产生的倒置钙钛矿太阳能电池的功率转换效率为27.35%，填充因子为86.77%（经认证的稳态PCE为26.92%），运行稳定性显着增强。这项研究为钙钛矿太阳能电池构建高效、稳定的界面提供了一种新颖实用的解决方案。</w:t>
      </w:r>
    </w:p>
    <w:p>
      <w:pPr>
        <w:spacing w:before="0" w:after="200" w:lineRule="auto" w:line="276"/>
      </w:pPr>
      <w:r>
        <w:rPr>
          <w:b/>
        </w:rPr>
        <w:t xml:space="preserve">Abstract (EN): </w:t>
      </w:r>
      <w:r>
        <w:t>Inverted perovskite solar cells, owing to their excellent stability and high compatibility with tandem technologies, have emerged as the most commercially promising new-generation photovoltaic technology. Self-assembled monolayers (SAMs) serve as crucial hole-transport materials and have driven device efficiencies beyond 27%. However, inherent issues such as molecular aggregation, non-uniform interfacial coverage, and poor wettability severely limit device performance and long-term stability. To systematically address these interfacial challenges, this study innovatively developed a hole-transport layer composed of colloidal silica nanoparticles and SAM molecules. This composite structure operates through multiple synergistic mechanisms: the abundant hydroxyl groups on the nanoparticle surfaces provide strong anchoring sites for SAM molecules, mitigating aggregation at the source and enabling the formation of a highly uniform and coherent hybrid interfacial contact; the constructed micro-nano rough interface significantly improves the wettability of perovskite precursors, guiding the formation of a high-quality light-absorbing layer. The resulting inverted perovskite solar cells achieved a power conversion efficiency of 27.35% and a fill factor of 86.77% (with a certified steady-state PCE of 26.92%), demonstrating significantly enhanced operational stability. This study provides a novel and practical solution for constructing efficient, stable interfaces for perovskite solar cells.</w:t>
      </w:r>
    </w:p>
    <w:p>
      <w:pPr>
        <w:spacing w:before="120" w:after="120"/>
      </w:pPr>
      <w:r>
        <w:rPr>
          <w:sz w:val="18"/>
        </w:rPr>
        <w:t>——————————————————————————————————————————————————————————————————————</w:t>
      </w:r>
    </w:p>
    <w:p>
      <w:pPr>
        <w:spacing w:before="160" w:after="40" w:line="240" w:lineRule="auto"/>
      </w:pPr>
      <w:r>
        <w:rPr>
          <w:b/>
        </w:rPr>
        <w:t xml:space="preserve">[350] </w:t>
      </w:r>
      <w:hyperlink r:id="rId980">
        <w:r>
          <w:rPr>
            <w:color w:val="1155CC"/>
            <w:u w:val="single"/>
          </w:rPr>
          <w:t>由蜂窝网络形态实现的超可拉伸且机械坚固的有机光电探测器</w:t>
        </w:r>
      </w:hyperlink>
    </w:p>
    <w:p>
      <w:pPr>
        <w:spacing w:before="0" w:after="80"/>
      </w:pPr>
      <w:r>
        <w:rPr>
          <w:i/>
          <w:sz w:val="20"/>
        </w:rPr>
        <w:t>EN: Ultra-stretchable and mechanically robust organic photodetectors enabled by a honeycomb network morphology</w:t>
      </w:r>
    </w:p>
    <w:p>
      <w:pPr>
        <w:spacing w:before="0" w:after="120"/>
      </w:pPr>
      <w:r>
        <w:rPr>
          <w:b/>
        </w:rPr>
        <w:t xml:space="preserve">Source: </w:t>
      </w:r>
      <w:r>
        <w:t>Matter</w:t>
      </w:r>
      <w:r>
        <w:t xml:space="preserve">    </w:t>
      </w:r>
      <w:r>
        <w:rPr>
          <w:b/>
        </w:rPr>
        <w:t xml:space="preserve">Pub date: </w:t>
      </w:r>
      <w:r>
        <w:t>2026-06-11 00:00:00+00:00</w:t>
      </w:r>
      <w:r>
        <w:t xml:space="preserve">    </w:t>
      </w:r>
      <w:r>
        <w:rPr>
          <w:b/>
        </w:rPr>
        <w:t xml:space="preserve">DOI: </w:t>
      </w:r>
      <w:hyperlink r:id="rId981">
        <w:r>
          <w:rPr>
            <w:color w:val="1155CC"/>
            <w:u w:val="single"/>
          </w:rPr>
          <w:t>10.1016/j.matt.2026.102864</w:t>
        </w:r>
      </w:hyperlink>
    </w:p>
    <w:p>
      <w:pPr>
        <w:spacing w:before="0" w:after="120"/>
      </w:pPr>
      <w:r>
        <w:rPr>
          <w:b/>
        </w:rPr>
        <w:t xml:space="preserve">Notes: </w:t>
      </w:r>
      <w:r>
        <w:t>abstract_source=rss_cell</w:t>
      </w:r>
    </w:p>
    <w:p>
      <w:pPr>
        <w:spacing w:before="0" w:after="80" w:lineRule="auto" w:line="276"/>
      </w:pPr>
      <w:r>
        <w:rPr>
          <w:b/>
        </w:rPr>
        <w:t xml:space="preserve">摘要（ZH）: </w:t>
      </w:r>
      <w:r>
        <w:t>弹性体介导的蜂窝状网络使可拉伸的有机光电探测器能够将高性能与卓越的机械鲁棒性结合起来。通过在变形过程中稳定多尺度形态，这些器件可以在大应变和重复循环下可靠运行，为机械可靠的可穿戴光电器件提供了一条有前景的设计路线。</w:t>
      </w:r>
    </w:p>
    <w:p>
      <w:pPr>
        <w:spacing w:before="0" w:after="200" w:lineRule="auto" w:line="276"/>
      </w:pPr>
      <w:r>
        <w:rPr>
          <w:b/>
        </w:rPr>
        <w:t xml:space="preserve">Abstract (EN): </w:t>
      </w:r>
      <w:r>
        <w:t>An elastomer-mediated honeycomb-like network enables stretchable organic photodetectors that combine high performance with exceptional mechanical robustness. By stabilizing multiscale morphology during deformation, the devices operate reliably under large strain and repeated cycling, providing a promising design route for mechanically reliable wearable optoelectronics.</w:t>
      </w:r>
    </w:p>
    <w:p>
      <w:pPr>
        <w:spacing w:before="120" w:after="120"/>
      </w:pPr>
      <w:r>
        <w:rPr>
          <w:sz w:val="18"/>
        </w:rPr>
        <w:t>——————————————————————————————————————————————————————————————————————</w:t>
      </w:r>
    </w:p>
    <w:p>
      <w:pPr>
        <w:spacing w:before="160" w:after="40" w:line="240" w:lineRule="auto"/>
      </w:pPr>
      <w:r>
        <w:rPr>
          <w:b/>
        </w:rPr>
        <w:t xml:space="preserve">[351] </w:t>
      </w:r>
      <w:hyperlink r:id="rId982">
        <w:r>
          <w:rPr>
            <w:color w:val="1155CC"/>
            <w:u w:val="single"/>
          </w:rPr>
          <w:t>干扰导致欧洲森林碳汇下降惊人</w:t>
        </w:r>
      </w:hyperlink>
    </w:p>
    <w:p>
      <w:pPr>
        <w:spacing w:before="0" w:after="80"/>
      </w:pPr>
      <w:r>
        <w:rPr>
          <w:i/>
          <w:sz w:val="20"/>
        </w:rPr>
        <w:t>EN: Alarming decline in the carbon sink of European forests driven by disturbances</w:t>
      </w:r>
    </w:p>
    <w:p>
      <w:pPr>
        <w:spacing w:before="0" w:after="120"/>
      </w:pPr>
      <w:r>
        <w:rPr>
          <w:b/>
        </w:rPr>
        <w:t xml:space="preserve">Source: </w:t>
      </w:r>
      <w:r>
        <w:t>National Science Review Advance Access</w:t>
      </w:r>
      <w:r>
        <w:t xml:space="preserve">    </w:t>
      </w:r>
      <w:r>
        <w:rPr>
          <w:b/>
        </w:rPr>
        <w:t xml:space="preserve">Pub date: </w:t>
      </w:r>
      <w:r>
        <w:t>2026-06-11 00:00:00+00:00</w:t>
      </w:r>
      <w:r>
        <w:t xml:space="preserve">    </w:t>
      </w:r>
      <w:r>
        <w:rPr>
          <w:b/>
        </w:rPr>
        <w:t xml:space="preserve">DOI: </w:t>
      </w:r>
      <w:hyperlink r:id="rId983">
        <w:r>
          <w:rPr>
            <w:color w:val="1155CC"/>
            <w:u w:val="single"/>
          </w:rPr>
          <w:t>10.1093/nsr/nwag354</w:t>
        </w:r>
      </w:hyperlink>
    </w:p>
    <w:p>
      <w:pPr>
        <w:spacing w:before="0" w:after="120"/>
      </w:pPr>
      <w:r>
        <w:rPr>
          <w:b/>
        </w:rPr>
        <w:t xml:space="preserve">Notes: </w:t>
      </w:r>
      <w:r>
        <w:t>abstract_source=rss_oup</w:t>
      </w:r>
    </w:p>
    <w:p>
      <w:pPr>
        <w:spacing w:before="0" w:after="80" w:lineRule="auto" w:line="276"/>
      </w:pPr>
      <w:r>
        <w:rPr>
          <w:b/>
        </w:rPr>
        <w:t xml:space="preserve">摘要（ZH）: </w:t>
      </w:r>
      <w:r>
        <w:t>森林是减缓气候变化至关重要的碳汇。然而，欧洲各地收成的增加和自然干扰最近对这一作用提出了挑战。为了预测欧洲森林未来的碳汇能力，我们将《联合国气候变化框架公约》(UNFCCC) 的国家报告与干扰和地上生物量的遥感地图结合起来。我们的模型以 18 公里分辨率模拟了 2010 年至 2030 年的生物量动态，预测由于扰动超过了生物量恢复速度，欧盟 27 国森林碳汇将减少 39%。因此，2030 年森林碳汇将比符合欧盟 27 国气候目标的估计目标减少 27%。我们证明，30 亿棵树计划不足以缓解气候变化，需要与 2025 年至 2030 年森林采伐量减少 28% 相结合才能实现这些目标。</w:t>
      </w:r>
    </w:p>
    <w:p>
      <w:pPr>
        <w:spacing w:before="0" w:after="200" w:lineRule="auto" w:line="276"/>
      </w:pPr>
      <w:r>
        <w:rPr>
          <w:b/>
        </w:rPr>
        <w:t xml:space="preserve">Abstract (EN): </w:t>
      </w:r>
      <w:r>
        <w:t>Forests are carbon sinks essential for climate change mitigation. However, increased harvests and natural disturbances across Europe have recently challenged this role. To project the future carbon sink capacity of Europe’s forests, we integrated country reports from the United Nations Framework Convention on Climate Change (UNFCCC) with remote sensing maps of disturbances and above-ground biomass. Our model simulates biomass dynamics at 18 km resolution from 2010 to 2030, predicting a 39% decrease in the EU-27 forest carbon sink, driven by disturbances outpacing biomass recovery. Consequently, the 2030 forest carbon sink will fall 27% short of the estimated target consistent with EU-27 climate objectives. We demonstrate that the three billion trees initiative is insufficient for climate change mitigation and needs to be combined with a 28% reduction in forest harvests from 2025 to 2030 to meet these targets.</w:t>
      </w:r>
    </w:p>
    <w:p>
      <w:pPr>
        <w:spacing w:before="120" w:after="120"/>
      </w:pPr>
      <w:r>
        <w:rPr>
          <w:sz w:val="18"/>
        </w:rPr>
        <w:t>——————————————————————————————————————————————————————————————————————</w:t>
      </w:r>
    </w:p>
    <w:p>
      <w:pPr>
        <w:spacing w:before="160" w:after="40" w:line="240" w:lineRule="auto"/>
      </w:pPr>
      <w:r>
        <w:rPr>
          <w:b/>
        </w:rPr>
        <w:t xml:space="preserve">[352] </w:t>
      </w:r>
      <w:hyperlink r:id="rId984">
        <w:r>
          <w:rPr>
            <w:color w:val="1155CC"/>
            <w:u w:val="single"/>
          </w:rPr>
          <w:t>揭示：金星捕蝇草如何以惊人的速度突然关闭</w:t>
        </w:r>
      </w:hyperlink>
    </w:p>
    <w:p>
      <w:pPr>
        <w:spacing w:before="0" w:after="80"/>
      </w:pPr>
      <w:r>
        <w:rPr>
          <w:i/>
          <w:sz w:val="20"/>
        </w:rPr>
        <w:t>EN: Revealed: how Venus flytraps snap shut with astonishing speed</w:t>
      </w:r>
    </w:p>
    <w:p>
      <w:pPr>
        <w:spacing w:before="0" w:after="120"/>
      </w:pPr>
      <w:r>
        <w:rPr>
          <w:b/>
        </w:rPr>
        <w:t xml:space="preserve">Source: </w:t>
      </w:r>
      <w:r>
        <w:t>Nature</w:t>
      </w:r>
      <w:r>
        <w:t xml:space="preserve">    </w:t>
      </w:r>
      <w:r>
        <w:rPr>
          <w:b/>
        </w:rPr>
        <w:t xml:space="preserve">Pub date: </w:t>
      </w:r>
      <w:r>
        <w:t>2026-06-11 00:00:00+00:00</w:t>
      </w:r>
      <w:r>
        <w:t xml:space="preserve">    </w:t>
      </w:r>
      <w:r>
        <w:rPr>
          <w:b/>
        </w:rPr>
        <w:t xml:space="preserve">DOI: </w:t>
      </w:r>
      <w:hyperlink r:id="rId985">
        <w:r>
          <w:rPr>
            <w:color w:val="1155CC"/>
            <w:u w:val="single"/>
          </w:rPr>
          <w:t>10.1038/d41586-026-01857-2</w:t>
        </w:r>
      </w:hyperlink>
    </w:p>
    <w:p>
      <w:pPr>
        <w:spacing w:before="0" w:after="120"/>
      </w:pPr>
      <w:r>
        <w:rPr>
          <w:b/>
        </w:rPr>
        <w:t xml:space="preserve">Notes: </w:t>
      </w:r>
      <w:r>
        <w:t>abstract_source=nature_html</w:t>
      </w:r>
    </w:p>
    <w:p>
      <w:pPr>
        <w:spacing w:before="0" w:after="80" w:lineRule="auto" w:line="276"/>
      </w:pPr>
      <w:r>
        <w:rPr>
          <w:b/>
        </w:rPr>
        <w:t xml:space="preserve">摘要（ZH）: </w:t>
      </w:r>
      <w:r>
        <w:t>陷阱最外表面细胞的软化使植物以惊人的速度移动。陷阱最外表面细胞的软化使植物以惊人的速度移动。</w:t>
      </w:r>
    </w:p>
    <w:p>
      <w:pPr>
        <w:spacing w:before="0" w:after="200" w:lineRule="auto" w:line="276"/>
      </w:pPr>
      <w:r>
        <w:rPr>
          <w:b/>
        </w:rPr>
        <w:t xml:space="preserve">Abstract (EN): </w:t>
      </w:r>
      <w:r>
        <w:t>Softening of the cells on the outermost surface of the trap lets the plant move at a breakneck pace. Softening of the cells on the outermost surface of the trap lets the plant move at a breakneck pace.</w:t>
      </w:r>
    </w:p>
    <w:p>
      <w:pPr>
        <w:spacing w:before="120" w:after="120"/>
      </w:pPr>
      <w:r>
        <w:rPr>
          <w:sz w:val="18"/>
        </w:rPr>
        <w:t>——————————————————————————————————————————————————————————————————————</w:t>
      </w:r>
    </w:p>
    <w:p>
      <w:pPr>
        <w:spacing w:before="160" w:after="40" w:line="240" w:lineRule="auto"/>
      </w:pPr>
      <w:r>
        <w:rPr>
          <w:b/>
        </w:rPr>
        <w:t xml:space="preserve">[353] </w:t>
      </w:r>
      <w:hyperlink r:id="rId986">
        <w:r>
          <w:rPr>
            <w:color w:val="1155CC"/>
            <w:u w:val="single"/>
          </w:rPr>
          <w:t>新兴国家和发展中国家不确定性下的金融包容性以及获得清洁烹饪燃料和技术的机会</w:t>
        </w:r>
      </w:hyperlink>
    </w:p>
    <w:p>
      <w:pPr>
        <w:spacing w:before="0" w:after="80"/>
      </w:pPr>
      <w:r>
        <w:rPr>
          <w:i/>
          <w:sz w:val="20"/>
        </w:rPr>
        <w:t>EN: Financial inclusion and access to clean cooking fuels and technologies under uncertainty in emerging and developing countries</w:t>
      </w:r>
    </w:p>
    <w:p>
      <w:pPr>
        <w:spacing w:before="0" w:after="120"/>
      </w:pPr>
      <w:r>
        <w:rPr>
          <w:b/>
        </w:rPr>
        <w:t xml:space="preserve">Source: </w:t>
      </w:r>
      <w:r>
        <w:t>ScienceDirect Publication: Energy Policy</w:t>
      </w:r>
      <w:r>
        <w:t xml:space="preserve">    </w:t>
      </w:r>
      <w:r>
        <w:rPr>
          <w:b/>
        </w:rPr>
        <w:t xml:space="preserve">Pub date: </w:t>
      </w:r>
      <w:r>
        <w:t>2026-06-11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[354] </w:t>
      </w:r>
      <w:hyperlink r:id="rId987">
        <w:r>
          <w:rPr>
            <w:color w:val="1155CC"/>
            <w:u w:val="single"/>
          </w:rPr>
          <w:t>“足球运动员不是超级英雄”：我们必须应对精英运动带来的精神和身体压力</w:t>
        </w:r>
      </w:hyperlink>
    </w:p>
    <w:p>
      <w:pPr>
        <w:spacing w:before="0" w:after="80"/>
      </w:pPr>
      <w:r>
        <w:rPr>
          <w:i/>
          <w:sz w:val="20"/>
        </w:rPr>
        <w:t>EN: ‘Footballers are not superheroes’: we must tackle the mental and physical pressures of elite sport</w:t>
      </w:r>
    </w:p>
    <w:p>
      <w:pPr>
        <w:spacing w:before="0" w:after="120"/>
      </w:pPr>
      <w:r>
        <w:rPr>
          <w:b/>
        </w:rPr>
        <w:t xml:space="preserve">Source: </w:t>
      </w:r>
      <w:r>
        <w:t>Nature</w:t>
      </w:r>
      <w:r>
        <w:t xml:space="preserve">    </w:t>
      </w:r>
      <w:r>
        <w:rPr>
          <w:b/>
        </w:rPr>
        <w:t xml:space="preserve">Pub date: </w:t>
      </w:r>
      <w:r>
        <w:t>2026-06-11 00:00:00+00:00</w:t>
      </w:r>
      <w:r>
        <w:t xml:space="preserve">    </w:t>
      </w:r>
      <w:r>
        <w:rPr>
          <w:b/>
        </w:rPr>
        <w:t xml:space="preserve">DOI: </w:t>
      </w:r>
      <w:hyperlink r:id="rId988">
        <w:r>
          <w:rPr>
            <w:color w:val="1155CC"/>
            <w:u w:val="single"/>
          </w:rPr>
          <w:t>10.1038/d41586-026-01865-2</w:t>
        </w:r>
      </w:hyperlink>
    </w:p>
    <w:p>
      <w:pPr>
        <w:spacing w:before="0" w:after="120"/>
      </w:pPr>
      <w:r>
        <w:rPr>
          <w:b/>
        </w:rPr>
        <w:t xml:space="preserve">Notes: </w:t>
      </w:r>
      <w:r>
        <w:t>abstract_source=nature_html</w:t>
      </w:r>
    </w:p>
    <w:p>
      <w:pPr>
        <w:spacing w:before="0" w:after="80" w:lineRule="auto" w:line="276"/>
      </w:pPr>
      <w:r>
        <w:rPr>
          <w:b/>
        </w:rPr>
        <w:t xml:space="preserve">摘要（ZH）: </w:t>
      </w:r>
      <w:r>
        <w:t>球员出身的医务人员文森特·古特巴赫 (Vincent Gouttebarge) 表示，随着男足世界杯的开始，比赛对运动员健康的影响仍然没有得到足够的讨论。球员出身的医务人员文森特·古特巴赫 (Vincent Gouttebarge) 表示，随着男足世界杯的开始，比赛对运动员健康的影响仍然没有得到足够的讨论。</w:t>
      </w:r>
    </w:p>
    <w:p>
      <w:pPr>
        <w:spacing w:before="0" w:after="200" w:lineRule="auto" w:line="276"/>
      </w:pPr>
      <w:r>
        <w:rPr>
          <w:b/>
        </w:rPr>
        <w:t xml:space="preserve">Abstract (EN): </w:t>
      </w:r>
      <w:r>
        <w:t>As the men’s football World Cup gets under way, how the game weighs on the health of athletes still isn’t talked about enough, says player-turned-medic Vincent Gouttebarge. As the men’s football World Cup gets under way, how the game weighs on the health of athletes still isn’t talked about enough, says player-turned-medic Vincent Gouttebarge.</w:t>
      </w:r>
    </w:p>
    <w:p>
      <w:pPr>
        <w:spacing w:before="120" w:after="120"/>
      </w:pPr>
      <w:r>
        <w:rPr>
          <w:sz w:val="18"/>
        </w:rPr>
        <w:t>——————————————————————————————————————————————————————————————————————</w:t>
      </w:r>
    </w:p>
    <w:p>
      <w:pPr>
        <w:spacing w:before="160" w:after="40" w:line="240" w:lineRule="auto"/>
      </w:pPr>
      <w:r>
        <w:rPr>
          <w:b/>
        </w:rPr>
        <w:t xml:space="preserve">[355] </w:t>
      </w:r>
      <w:hyperlink r:id="rId989">
        <w:r>
          <w:rPr>
            <w:color w:val="1155CC"/>
            <w:u w:val="single"/>
          </w:rPr>
          <w:t>在研究人员提交论文之前工具会标记可疑期刊</w:t>
        </w:r>
      </w:hyperlink>
    </w:p>
    <w:p>
      <w:pPr>
        <w:spacing w:before="0" w:after="80"/>
      </w:pPr>
      <w:r>
        <w:rPr>
          <w:i/>
          <w:sz w:val="20"/>
        </w:rPr>
        <w:t>EN: Tool flags suspicious journals before researchers submit papers</w:t>
      </w:r>
    </w:p>
    <w:p>
      <w:pPr>
        <w:spacing w:before="0" w:after="120"/>
      </w:pPr>
      <w:r>
        <w:rPr>
          <w:b/>
        </w:rPr>
        <w:t xml:space="preserve">Source: </w:t>
      </w:r>
      <w:r>
        <w:t>Nature</w:t>
      </w:r>
      <w:r>
        <w:t xml:space="preserve">    </w:t>
      </w:r>
      <w:r>
        <w:rPr>
          <w:b/>
        </w:rPr>
        <w:t xml:space="preserve">Pub date: </w:t>
      </w:r>
      <w:r>
        <w:t>2026-06-11 00:00:00+00:00</w:t>
      </w:r>
      <w:r>
        <w:t xml:space="preserve">    </w:t>
      </w:r>
      <w:r>
        <w:rPr>
          <w:b/>
        </w:rPr>
        <w:t xml:space="preserve">DOI: </w:t>
      </w:r>
      <w:hyperlink r:id="rId990">
        <w:r>
          <w:rPr>
            <w:color w:val="1155CC"/>
            <w:u w:val="single"/>
          </w:rPr>
          <w:t>10.1038/d41586-026-01707-1</w:t>
        </w:r>
      </w:hyperlink>
    </w:p>
    <w:p>
      <w:pPr>
        <w:spacing w:before="0" w:after="120"/>
      </w:pPr>
      <w:r>
        <w:rPr>
          <w:b/>
        </w:rPr>
        <w:t xml:space="preserve">Notes: </w:t>
      </w:r>
      <w:r>
        <w:t>abstract_source=nature_html</w:t>
      </w:r>
    </w:p>
    <w:p>
      <w:pPr>
        <w:spacing w:before="0" w:after="80" w:lineRule="auto" w:line="276"/>
      </w:pPr>
      <w:r>
        <w:rPr>
          <w:b/>
        </w:rPr>
        <w:t xml:space="preserve">摘要（ZH）: </w:t>
      </w:r>
      <w:r>
        <w:t>这个名为“期刊趋势”的免费平台还可以让诚信侦探发现低质量的出版物。这个名为“期刊趋势”的免费平台还可以让诚信侦探发现低质量的出版物。</w:t>
      </w:r>
    </w:p>
    <w:p>
      <w:pPr>
        <w:spacing w:before="0" w:after="200" w:lineRule="auto" w:line="276"/>
      </w:pPr>
      <w:r>
        <w:rPr>
          <w:b/>
        </w:rPr>
        <w:t xml:space="preserve">Abstract (EN): </w:t>
      </w:r>
      <w:r>
        <w:t>The free platform, called Journal Trends, could also allow integrity sleuths to spot low-quality publications. The free platform, called Journal Trends, could also allow integrity sleuths to spot low-quality publications.</w:t>
      </w:r>
    </w:p>
    <w:p>
      <w:pPr>
        <w:spacing w:before="120" w:after="120"/>
      </w:pPr>
      <w:r>
        <w:rPr>
          <w:sz w:val="18"/>
        </w:rPr>
        <w:t>——————————————————————————————————————————————————————————————————————</w:t>
      </w:r>
    </w:p>
    <w:p>
      <w:pPr>
        <w:spacing w:before="160" w:after="40" w:line="240" w:lineRule="auto"/>
      </w:pPr>
      <w:r>
        <w:rPr>
          <w:b/>
        </w:rPr>
        <w:t xml:space="preserve">[356] </w:t>
      </w:r>
      <w:hyperlink r:id="rId991">
        <w:r>
          <w:rPr>
            <w:color w:val="1155CC"/>
            <w:u w:val="single"/>
          </w:rPr>
          <w:t>我多元化的学术背景正在影响我的博士研究——我该怎么办？</w:t>
        </w:r>
      </w:hyperlink>
    </w:p>
    <w:p>
      <w:pPr>
        <w:spacing w:before="0" w:after="80"/>
      </w:pPr>
      <w:r>
        <w:rPr>
          <w:i/>
          <w:sz w:val="20"/>
        </w:rPr>
        <w:t>EN: My diverse academic background is affecting my PhD studies — what do I do?</w:t>
      </w:r>
    </w:p>
    <w:p>
      <w:pPr>
        <w:spacing w:before="0" w:after="120"/>
      </w:pPr>
      <w:r>
        <w:rPr>
          <w:b/>
        </w:rPr>
        <w:t xml:space="preserve">Source: </w:t>
      </w:r>
      <w:r>
        <w:t>Nature</w:t>
      </w:r>
      <w:r>
        <w:t xml:space="preserve">    </w:t>
      </w:r>
      <w:r>
        <w:rPr>
          <w:b/>
        </w:rPr>
        <w:t xml:space="preserve">Pub date: </w:t>
      </w:r>
      <w:r>
        <w:t>2026-06-11 00:00:00+00:00</w:t>
      </w:r>
      <w:r>
        <w:t xml:space="preserve">    </w:t>
      </w:r>
      <w:r>
        <w:rPr>
          <w:b/>
        </w:rPr>
        <w:t xml:space="preserve">DOI: </w:t>
      </w:r>
      <w:hyperlink r:id="rId992">
        <w:r>
          <w:rPr>
            <w:color w:val="1155CC"/>
            <w:u w:val="single"/>
          </w:rPr>
          <w:t>10.1038/d41586-026-01129-z</w:t>
        </w:r>
      </w:hyperlink>
    </w:p>
    <w:p>
      <w:pPr>
        <w:spacing w:before="0" w:after="120"/>
      </w:pPr>
      <w:r>
        <w:rPr>
          <w:b/>
        </w:rPr>
        <w:t xml:space="preserve">Notes: </w:t>
      </w:r>
      <w:r>
        <w:t>abstract_source=nature_html</w:t>
      </w:r>
    </w:p>
    <w:p>
      <w:pPr>
        <w:spacing w:before="0" w:after="80" w:lineRule="auto" w:line="276"/>
      </w:pPr>
      <w:r>
        <w:rPr>
          <w:b/>
        </w:rPr>
        <w:t xml:space="preserve">摘要（ZH）: </w:t>
      </w:r>
      <w:r>
        <w:t>一名中国的博士生自从获得本科学位以来两次改变了自己的研究重点，现在正在努力跟上。一名中国的博士生自从获得本科学位以来两次改变了自己的研究重点，现在正在努力跟上。</w:t>
      </w:r>
    </w:p>
    <w:p>
      <w:pPr>
        <w:spacing w:before="0" w:after="200" w:lineRule="auto" w:line="276"/>
      </w:pPr>
      <w:r>
        <w:rPr>
          <w:b/>
        </w:rPr>
        <w:t xml:space="preserve">Abstract (EN): </w:t>
      </w:r>
      <w:r>
        <w:t>A PhD student in China who has changed his focus twice since obtaining his undergraduate degree is struggling to keep up. A PhD student in China who has changed his focus twice since obtaining his undergraduate degree is struggling to keep up.</w:t>
      </w:r>
    </w:p>
    <w:p>
      <w:pPr>
        <w:spacing w:before="120" w:after="120"/>
      </w:pPr>
      <w:r>
        <w:rPr>
          <w:sz w:val="18"/>
        </w:rPr>
        <w:t>——————————————————————————————————————————————————————————————————————</w:t>
      </w:r>
    </w:p>
    <w:p>
      <w:pPr>
        <w:spacing w:before="160" w:after="40" w:line="240" w:lineRule="auto"/>
      </w:pPr>
      <w:r>
        <w:rPr>
          <w:b/>
        </w:rPr>
        <w:t xml:space="preserve">[357] </w:t>
      </w:r>
      <w:hyperlink r:id="rId993">
        <w:r>
          <w:rPr>
            <w:color w:val="1155CC"/>
            <w:u w:val="single"/>
          </w:rPr>
          <w:t>作者更正：麻醉的人类海马体的可塑性和语言</w:t>
        </w:r>
      </w:hyperlink>
    </w:p>
    <w:p>
      <w:pPr>
        <w:spacing w:before="0" w:after="80"/>
      </w:pPr>
      <w:r>
        <w:rPr>
          <w:i/>
          <w:sz w:val="20"/>
        </w:rPr>
        <w:t>EN: Author Correction: Plasticity and language in the anaesthetized human hippocampus</w:t>
      </w:r>
    </w:p>
    <w:p>
      <w:pPr>
        <w:spacing w:before="0" w:after="120"/>
      </w:pPr>
      <w:r>
        <w:rPr>
          <w:b/>
        </w:rPr>
        <w:t xml:space="preserve">Source: </w:t>
      </w:r>
      <w:r>
        <w:t>Nature</w:t>
      </w:r>
      <w:r>
        <w:t xml:space="preserve">    </w:t>
      </w:r>
      <w:r>
        <w:rPr>
          <w:b/>
        </w:rPr>
        <w:t xml:space="preserve">Pub date: </w:t>
      </w:r>
      <w:r>
        <w:t>2026-06-11 00:00:00+00:00</w:t>
      </w:r>
      <w:r>
        <w:t xml:space="preserve">    </w:t>
      </w:r>
      <w:r>
        <w:rPr>
          <w:b/>
        </w:rPr>
        <w:t xml:space="preserve">DOI: </w:t>
      </w:r>
      <w:hyperlink r:id="rId994">
        <w:r>
          <w:rPr>
            <w:color w:val="1155CC"/>
            <w:u w:val="single"/>
          </w:rPr>
          <w:t>10.1038/s41586-026-10784-1</w:t>
        </w:r>
      </w:hyperlink>
    </w:p>
    <w:p>
      <w:pPr>
        <w:spacing w:before="0" w:after="120"/>
      </w:pPr>
      <w:r>
        <w:rPr>
          <w:b/>
        </w:rPr>
        <w:t xml:space="preserve">Notes: </w:t>
      </w:r>
      <w:r>
        <w:t>abstract_source=openalex</w:t>
      </w:r>
    </w:p>
    <w:p>
      <w:pPr>
        <w:spacing w:before="0" w:after="80" w:lineRule="auto" w:line="276"/>
      </w:pPr>
      <w:r>
        <w:rPr>
          <w:b/>
        </w:rPr>
        <w:t xml:space="preserve">摘要（ZH）: </w:t>
      </w:r>
      <w:r>
        <w:t>在最初发表的文章版本中，图 1e 中的时间尺度偏差了 10 倍。x 轴最初为“0, 67, 133, 200”，标签为“Time (μs)”，但本应为“0, 0.67, 1.33, 2”，标签为“Time (ms)”。此更正已针对文章的 HTML 和 PDF 版本进行。</w:t>
      </w:r>
    </w:p>
    <w:p>
      <w:pPr>
        <w:spacing w:before="0" w:after="200" w:lineRule="auto" w:line="276"/>
      </w:pPr>
      <w:r>
        <w:rPr>
          <w:b/>
        </w:rPr>
        <w:t xml:space="preserve">Abstract (EN): </w:t>
      </w:r>
      <w:r>
        <w:t>In the version of the article initially published, the time scale in Fig. 1e was off by a factor of 10. The x axis originally read “0, 67, 133, 200” with the label “Time (µs)” but should have read “0, 0.67, 1.33, 2” with the label “Time (ms)”. This correction has been made to the HTML and PDF versions of the article.</w:t>
      </w:r>
    </w:p>
    <w:p>
      <w:pPr>
        <w:spacing w:before="120" w:after="120"/>
      </w:pPr>
      <w:r>
        <w:rPr>
          <w:sz w:val="18"/>
        </w:rPr>
        <w:t>——————————————————————————————————————————————————————————————————————</w:t>
      </w:r>
    </w:p>
    <w:p>
      <w:pPr>
        <w:spacing w:before="160" w:after="40" w:line="240" w:lineRule="auto"/>
      </w:pPr>
      <w:r>
        <w:rPr>
          <w:b/>
        </w:rPr>
        <w:t xml:space="preserve">[358] </w:t>
      </w:r>
      <w:hyperlink r:id="rId995">
        <w:r>
          <w:rPr>
            <w:color w:val="1155CC"/>
            <w:u w:val="single"/>
          </w:rPr>
          <w:t>本届世界杯可能是迄今为止科技含量最高的一届世界杯——值得关注的创新</w:t>
        </w:r>
      </w:hyperlink>
    </w:p>
    <w:p>
      <w:pPr>
        <w:spacing w:before="0" w:after="80"/>
      </w:pPr>
      <w:r>
        <w:rPr>
          <w:i/>
          <w:sz w:val="20"/>
        </w:rPr>
        <w:t>EN: This World Cup could be the most high-tech yet — the innovations to watch for</w:t>
      </w:r>
    </w:p>
    <w:p>
      <w:pPr>
        <w:spacing w:before="0" w:after="120"/>
      </w:pPr>
      <w:r>
        <w:rPr>
          <w:b/>
        </w:rPr>
        <w:t xml:space="preserve">Source: </w:t>
      </w:r>
      <w:r>
        <w:t>Nature</w:t>
      </w:r>
      <w:r>
        <w:t xml:space="preserve">    </w:t>
      </w:r>
      <w:r>
        <w:rPr>
          <w:b/>
        </w:rPr>
        <w:t xml:space="preserve">Pub date: </w:t>
      </w:r>
      <w:r>
        <w:t>2026-06-11 00:00:00+00:00</w:t>
      </w:r>
      <w:r>
        <w:t xml:space="preserve">    </w:t>
      </w:r>
      <w:r>
        <w:rPr>
          <w:b/>
        </w:rPr>
        <w:t xml:space="preserve">DOI: </w:t>
      </w:r>
      <w:hyperlink r:id="rId996">
        <w:r>
          <w:rPr>
            <w:color w:val="1155CC"/>
            <w:u w:val="single"/>
          </w:rPr>
          <w:t>10.1038/d41586-026-01866-1</w:t>
        </w:r>
      </w:hyperlink>
    </w:p>
    <w:p>
      <w:pPr>
        <w:spacing w:before="0" w:after="120"/>
      </w:pPr>
      <w:r>
        <w:rPr>
          <w:b/>
        </w:rPr>
        <w:t xml:space="preserve">Notes: </w:t>
      </w:r>
      <w:r>
        <w:t>abstract_source=nature_html</w:t>
      </w:r>
    </w:p>
    <w:p>
      <w:pPr>
        <w:spacing w:before="0" w:after="80" w:lineRule="auto" w:line="276"/>
      </w:pPr>
      <w:r>
        <w:rPr>
          <w:b/>
        </w:rPr>
        <w:t xml:space="preserve">摘要（ZH）: </w:t>
      </w:r>
      <w:r>
        <w:t>《自然》杂志向一位足球杂志社长询问了这项运动的新兴趋势，从人工智能工具到融入团队的博士生。 《自然》杂志向一位足球杂志社长询问了这项运动的新兴趋势，从人工智能工具到融入团队的博士生。</w:t>
      </w:r>
    </w:p>
    <w:p>
      <w:pPr>
        <w:spacing w:before="0" w:after="200" w:lineRule="auto" w:line="276"/>
      </w:pPr>
      <w:r>
        <w:rPr>
          <w:b/>
        </w:rPr>
        <w:t xml:space="preserve">Abstract (EN): </w:t>
      </w:r>
      <w:r>
        <w:t>Nature asked a football-journal chief about emerging trends in the sport, from AI tools to PhD students embedded with teams. Nature asked a football-journal chief about emerging trends in the sport, from AI tools to PhD students embedded with teams.</w:t>
      </w:r>
    </w:p>
    <w:p>
      <w:pPr>
        <w:spacing w:before="120" w:after="120"/>
      </w:pPr>
      <w:r>
        <w:rPr>
          <w:sz w:val="18"/>
        </w:rPr>
        <w:t>——————————————————————————————————————————————————————————————————————</w:t>
      </w:r>
    </w:p>
    <w:p>
      <w:pPr>
        <w:spacing w:before="160" w:after="40" w:line="240" w:lineRule="auto"/>
      </w:pPr>
      <w:r>
        <w:rPr>
          <w:b/>
        </w:rPr>
        <w:t xml:space="preserve">[359] </w:t>
      </w:r>
      <w:hyperlink r:id="rId997">
        <w:r>
          <w:rPr>
            <w:color w:val="1155CC"/>
            <w:u w:val="single"/>
          </w:rPr>
          <w:t>N-杂环卡宾的超薄且高绝缘芳香族单分子层</w:t>
        </w:r>
      </w:hyperlink>
    </w:p>
    <w:p>
      <w:pPr>
        <w:spacing w:before="0" w:after="80"/>
      </w:pPr>
      <w:r>
        <w:rPr>
          <w:i/>
          <w:sz w:val="20"/>
        </w:rPr>
        <w:t>EN: Ultra‐Thin and Highly Insulating Aromatic Monolayers by N‐Heterocyclic Carbenes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05:52:51+00:00</w:t>
      </w:r>
      <w:r>
        <w:t xml:space="preserve">    </w:t>
      </w:r>
      <w:r>
        <w:rPr>
          <w:b/>
        </w:rPr>
        <w:t xml:space="preserve">DOI: </w:t>
      </w:r>
      <w:hyperlink r:id="rId998">
        <w:r>
          <w:rPr>
            <w:color w:val="1155CC"/>
            <w:u w:val="single"/>
          </w:rPr>
          <w:t>10.1002/anie.4614418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电子器件的效率取决于有机栅极介电材料的应用。这种有机薄膜应表现出高化学/热稳定性、与有机半导体兼容的芳香族官能团、以及低栅极漏电流以及低厚度以降低工作电压。对于此类应用来说，一类有趣的材料是自组装单层材料（SAM），其中</w:t>
      </w:r>
      <w:r>
        <w:t xml:space="preserve"> </w:t>
      </w:r>
      <w:r>
        <w:t>氮</w:t>
      </w:r>
      <w:r>
        <w:t xml:space="preserve"> </w:t>
      </w:r>
      <w:r>
        <w:t>‐杂环卡宾（NHC）以其高化学/热稳定性而闻名。然而，NHC SAM 的电导率研究很少，其电性能仍然存在争议。在这里，我们报告了一系列明确的芳香族 NHC SAM 的电导率分析。我们的数据表明，所有分析的单层都具有高度绝缘性，特别是最短的 NHC（仅为 ∼3.3 Å），其绝缘性比基于相同长度的烷硫醇 SAM 的标准绝缘体高出 5 个数量级。我们的计算表明不存在破坏性量子干涉（DQI）效应，该效应被认为是抑制芳香族分子电导率的原因。仅通过选择基于咪唑基的键合基团来抑制 SAM 的电导率在概念上更简单，从而开启了使用 NHC SAM 作为超薄且异常绝缘的芳香族单层用于栅电极功能化的可能性。</w:t>
      </w:r>
    </w:p>
    <w:p>
      <w:pPr>
        <w:spacing w:before="0" w:after="200" w:lineRule="auto" w:line="276"/>
      </w:pPr>
      <w:r>
        <w:rPr>
          <w:b/>
        </w:rPr>
        <w:t xml:space="preserve">Abstract (EN): </w:t>
      </w:r>
      <w:r>
        <w:t>The efficiency of organic electronic devices relies on application of organic gate dielectric materials. Such organic films should exhibit high chemical/thermal stability, aromatic functionality compatible with organic semiconductors, and low gate leakage currents in combination with low thickness to reduce the operating voltage. An interesting class of materials for such applications are self‐assembled monolayers (SAMs) among which the</w:t>
      </w:r>
      <w:r>
        <w:t xml:space="preserve"> </w:t>
      </w:r>
      <w:r>
        <w:t>N</w:t>
      </w:r>
      <w:r>
        <w:t xml:space="preserve"> </w:t>
      </w:r>
      <w:r>
        <w:t>‐heterocyclic carbenes (NHC) are known for their high chemical/thermal stability. The conductivity of NHC SAMs, however, has been sparsely explored and their electrical properties remain controversial. Here we report conductivity analysis for a well‐defined series of aromatic NHC SAMs. Our data show that all analyzed monolayers are highly insulating and in particular the shortest possible NHC of just ∼3.3 Å is by 5 orders of magnitude more insulating than standard insulators based on alkanethiolate SAM of the same length. Our calculations indicate the absence of destructive quantum interference (DQI) effect which has been considered responsible for suppression of conductivity in aromatic molecules. The suppression of SAMs conductivity just via selection of the imidazolium‐based bonding group is conceptually simpler opening possibility of using NHC SAMs as an ultra‐thin, and exceptionally insulating, aromatic monolayers for functionalization of the gate electrodes.</w:t>
      </w:r>
    </w:p>
    <w:p>
      <w:pPr>
        <w:spacing w:before="120" w:after="120"/>
      </w:pPr>
      <w:r>
        <w:rPr>
          <w:sz w:val="18"/>
        </w:rPr>
        <w:t>——————————————————————————————————————————————————————————————————————</w:t>
      </w:r>
    </w:p>
    <w:p>
      <w:pPr>
        <w:spacing w:before="160" w:after="40" w:line="240" w:lineRule="auto"/>
      </w:pPr>
      <w:r>
        <w:rPr>
          <w:b/>
        </w:rPr>
        <w:t xml:space="preserve">[360] </w:t>
      </w:r>
      <w:hyperlink r:id="rId999">
        <w:r>
          <w:rPr>
            <w:color w:val="1155CC"/>
            <w:u w:val="single"/>
          </w:rPr>
          <w:t>人工抗氧化酶工程可增强缓解炎症性肠病的催化活性</w:t>
        </w:r>
      </w:hyperlink>
    </w:p>
    <w:p>
      <w:pPr>
        <w:spacing w:before="0" w:after="80"/>
      </w:pPr>
      <w:r>
        <w:rPr>
          <w:i/>
          <w:sz w:val="20"/>
        </w:rPr>
        <w:t>EN: Engineering of Artificial Antioxidase Enables Boosted Catalytic Activity in Inflammatory Bowel Disease Alleviation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2026-06-11 05:55:03+00:00</w:t>
      </w:r>
      <w:r>
        <w:t xml:space="preserve">    </w:t>
      </w:r>
      <w:r>
        <w:rPr>
          <w:b/>
        </w:rPr>
        <w:t xml:space="preserve">DOI: </w:t>
      </w:r>
      <w:hyperlink r:id="rId1000">
        <w:r>
          <w:rPr>
            <w:color w:val="1155CC"/>
            <w:u w:val="single"/>
          </w:rPr>
          <w:t>10.1002/anie.5317513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人工抗氧化酶是治疗氧化应激相关疾病的一种有前景的策略；然而，它们的实际应用常常因催化活性不足而受到阻碍。在此，我们报道了一种双钴配位酞菁羧酸衍生物（biCoPc）作为一种有效的人工抗氧化酶，具有显着增强的活性氧清除能力，可缓解炎症性肠病（IBD）。实验研究与理论计算相结合表明，二聚酞菁框架内扩展的π共轭和π电子离域，与外围羧基的质子化-去质子化动力学一起，协同促进双钴活性位点上潜在的质子耦合电子转移过程。这种结构加速了电子转移动力学并创造了有利的催化微环境。因此，biCoPc 表现出高催化超氧化物歧化酶样和谷胱甘肽过氧化物酶样活性，以及​​在恶劣条件下的强大稳定性。值得注意的是，biCoPc 表现出显着的抗炎功效，可在细胞水平和动物模型上有效减轻 IBD 症状。这项工作为高性能人工酶的合理设计提供了机制见解，并拓宽了其生物医学应用的潜力。</w:t>
      </w:r>
    </w:p>
    <w:p>
      <w:pPr>
        <w:spacing w:before="0" w:after="200" w:lineRule="auto" w:line="276"/>
      </w:pPr>
      <w:r>
        <w:rPr>
          <w:b/>
        </w:rPr>
        <w:t xml:space="preserve">Abstract (EN): </w:t>
      </w:r>
      <w:r>
        <w:t>Developing artificial antioxidases represents a promising strategy for treatment of oxidative‐stress‐related disorders; however, their practical application is often hindered by insufficient catalytic activity. Here, we report a dual‐cobalt coordinated phthalocyanine carboxylate derivative (biCoPc) as an efficient artificial antioxidase with markedly enhanced reactive oxygen species scavenging capability for the alleviation of inflammatory bowel disease (IBD). Experimental studies combined with theoretical calculations reveal that the extended π‐conjugation and π‐electron delocalization within the dimeric phthalocyanine framework, together with the protonation‐deprotonation dynamics of peripheral carboxyl groups, synergistically promote a potential proton‐coupled electron transfer process at the dual‐cobalt active sites. This architecture accelerates electron transfer kinetics and creates a favorable catalytic microenvironment. Consequently, biCoPc exhibits high catalytic superoxide dismutase‐like and glutathione peroxidase‐like activities, along with robust stability under harsh conditions. Notably, biCoPc demonstrates pronounced anti‐inflammatory efficacy, efficiently alleviating IBD symptoms at both the cellular level and animal models. This work provides mechanistic insights into the rational design of high‐performance artificial enzymes and broadens their potential for biomedical applications.</w:t>
      </w:r>
    </w:p>
    <w:p>
      <w:pPr>
        <w:spacing w:before="120" w:after="120"/>
      </w:pPr>
      <w:r>
        <w:rPr>
          <w:sz w:val="18"/>
        </w:rPr>
        <w:t>——————————————————————————————————————————————————————————————————————</w:t>
      </w:r>
    </w:p>
    <w:p>
      <w:pPr>
        <w:spacing w:before="160" w:after="40" w:line="240" w:lineRule="auto"/>
      </w:pPr>
      <w:r>
        <w:rPr>
          <w:b/>
        </w:rPr>
        <w:t xml:space="preserve">[361] </w:t>
      </w:r>
      <w:hyperlink r:id="rId1001">
        <w:r>
          <w:rPr>
            <w:color w:val="1155CC"/>
            <w:u w:val="single"/>
          </w:rPr>
          <w:t>通过乙烯基 C─O 键的 Z 选择性功能化实现苯并呋喃衍生物的天体选择性脱芳香交叉偶联</w:t>
        </w:r>
      </w:hyperlink>
    </w:p>
    <w:p>
      <w:pPr>
        <w:spacing w:before="0" w:after="80"/>
      </w:pPr>
      <w:r>
        <w:rPr>
          <w:i/>
          <w:sz w:val="20"/>
        </w:rPr>
        <w:t>EN: Atroposelective Dearomative Cross‐Coupling of Benzofuran Derivatives by Z‐Selective Functionalization of the Vinyl C─O Bond</w:t>
      </w:r>
    </w:p>
    <w:p>
      <w:pPr>
        <w:spacing w:before="0" w:after="120"/>
      </w:pPr>
      <w:r>
        <w:rPr>
          <w:b/>
        </w:rPr>
        <w:t xml:space="preserve">Source: </w:t>
      </w:r>
      <w:r>
        <w:t>Wiley-Online-Library: Angewandte Chemie International Edition: Table of Contents</w:t>
      </w:r>
      <w:r>
        <w:t xml:space="preserve">    </w:t>
      </w:r>
      <w:r>
        <w:rPr>
          <w:b/>
        </w:rPr>
        <w:t xml:space="preserve">Pub date: </w:t>
      </w:r>
      <w:r>
        <w:t>2026-06-11 05:56:21+00:00</w:t>
      </w:r>
      <w:r>
        <w:t xml:space="preserve">    </w:t>
      </w:r>
      <w:r>
        <w:rPr>
          <w:b/>
        </w:rPr>
        <w:t xml:space="preserve">DOI: </w:t>
      </w:r>
      <w:hyperlink r:id="rId1002">
        <w:r>
          <w:rPr>
            <w:color w:val="1155CC"/>
            <w:u w:val="single"/>
          </w:rPr>
          <w:t>10.1002/anie.2984592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苯并呋喃衍生物的催化不对称转化由于其能够从容易获得的原料制备手性分子而受到广泛关注。在此，报道了苯并呋喃衍生物的前所未有的不对称交叉偶联用于构建轴向手性。该方法采用手性镍催化剂，通过乙烯基 C─O 键的直接对映体和 Z 选择性脱芳基官能化来实现，从而有效地获得有价值的阻转异构无环烯烃。在温和条件下表现出广泛的底物范围。此外，实验和理论机理研究表明，非对映体六元之间的动态差向异构化促进了立体化学结果（</w:t>
      </w:r>
      <w:r>
        <w:t xml:space="preserve"> </w:t>
      </w:r>
      <w:r>
        <w:t>Z</w:t>
      </w:r>
      <w:r>
        <w:t xml:space="preserve"> </w:t>
      </w:r>
      <w:r>
        <w:t>)-苯乙烯基-镍环中间体。</w:t>
      </w:r>
    </w:p>
    <w:p>
      <w:pPr>
        <w:spacing w:before="0" w:after="200" w:lineRule="auto" w:line="276"/>
      </w:pPr>
      <w:r>
        <w:rPr>
          <w:b/>
        </w:rPr>
        <w:t xml:space="preserve">Abstract (EN): </w:t>
      </w:r>
      <w:r>
        <w:t>Catalytic asymmetric transformation of benzofuran derivatives has received significant attention owing to its capacity to prepare chiral molecules from readily available feedstocks. Herein, an unprecedented asymmetric cross‐coupling of benzofuran derivatives is reported for the construction of axial chirality. Employing a chiral nickel catalyst, this approach is achieved through direct enantio‐ and Z‐selective dearomative functionalization of the vinyl C─O bond, providing efficient access to valuable atropisomeric acyclic alkenes. A broad substrate scope is demonstrated under mild conditions. Moreover, experimental and theoretical mechanistic studies suggest that the stereochemical outcome is facilitated by a dynamic epimerization between diastereomeric six‐membered (</w:t>
      </w:r>
      <w:r>
        <w:t xml:space="preserve"> </w:t>
      </w:r>
      <w:r>
        <w:t>Z</w:t>
      </w:r>
      <w:r>
        <w:t xml:space="preserve"> </w:t>
      </w:r>
      <w:r>
        <w:t>)‐styryl‐nickelacycle intermediates.</w:t>
      </w:r>
    </w:p>
    <w:p>
      <w:pPr>
        <w:spacing w:before="120" w:after="120"/>
      </w:pPr>
      <w:r>
        <w:rPr>
          <w:sz w:val="18"/>
        </w:rPr>
        <w:t>——————————————————————————————————————————————————————————————————————</w:t>
      </w:r>
    </w:p>
    <w:p>
      <w:pPr>
        <w:spacing w:before="160" w:after="40" w:line="240" w:lineRule="auto"/>
      </w:pPr>
      <w:r>
        <w:rPr>
          <w:b/>
        </w:rPr>
        <w:t xml:space="preserve">[362] </w:t>
      </w:r>
      <w:hyperlink r:id="rId1003">
        <w:r>
          <w:rPr>
            <w:color w:val="1155CC"/>
            <w:u w:val="single"/>
          </w:rPr>
          <w:t>具有精确排列的发光体的[2]Rotaxane取向异构体的选择性合成：面向信息存储和加密的方向依赖性发射</w:t>
        </w:r>
      </w:hyperlink>
    </w:p>
    <w:p>
      <w:pPr>
        <w:spacing w:before="0" w:after="80"/>
      </w:pPr>
      <w:r>
        <w:rPr>
          <w:i/>
          <w:sz w:val="20"/>
        </w:rPr>
        <w:t>EN: Selective Synthesis of [2]Rotaxane Orientational Isomers With Precisely Arranged Luminogens: Toward Orientation‐Dependent Emissions for Information Storage and Encryption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2026-06-11 05:57:38+00:00</w:t>
      </w:r>
      <w:r>
        <w:t xml:space="preserve">    </w:t>
      </w:r>
      <w:r>
        <w:rPr>
          <w:b/>
        </w:rPr>
        <w:t xml:space="preserve">DOI: </w:t>
      </w:r>
      <w:hyperlink r:id="rId1004">
        <w:r>
          <w:rPr>
            <w:color w:val="1155CC"/>
            <w:u w:val="single"/>
          </w:rPr>
          <w:t>10.1002/anie.3759413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针对轮烷取向异构体的精确合成和进一步阐明吸引取向效应，成功开发了一种新型空间位阻控制的选择性终止子交换方法。该方法能够轻松、选择性地合成六对具有精确排列的发光体的[2]轮烷定向异构体，极大地丰富了此类异构体的结构和功能多样性。值得注意的是，所得的取向异构体表现出取向依赖的发射行为，特别是在波长、光致发光量子产率和圆偏振发光（CPL）性能方面，赋予它们在信息存储和加密方面的巨大潜力。这项概念验证研究不仅为轮烷取向异构体的有效合成提供了实用且有效的策略，而且为构建具有广泛应用所需性能的手性发光材料提供了一个新颖的平台。</w:t>
      </w:r>
    </w:p>
    <w:p>
      <w:pPr>
        <w:spacing w:before="0" w:after="200" w:lineRule="auto" w:line="276"/>
      </w:pPr>
      <w:r>
        <w:rPr>
          <w:b/>
        </w:rPr>
        <w:t xml:space="preserve">Abstract (EN): </w:t>
      </w:r>
      <w:r>
        <w:t>Aiming at the precise synthesis of rotaxane orientational isomers and the further elucidation of attractive orientation effects, a novel steric hindrance‐controlled selective stopper exchange approach has been successfully developed. This method enables the facile and selective synthesis of six pairs of [2]rotaxane orientational isomers with precisely arranged luminogens, greatly enriching both the structural and functional diversity of such isomers. Notably, the resulting orientational isomers exhibit orientation‐dependent emission behaviors, particularly in wavelengths, photoluminescence quantum yields, and circularly polarized luminescence (CPL) performances, endowing them with great potential for information storage and encryption. This proof‐of‐concept study provides not only a practical and efficient strategy for the efficient synthesis of rotaxane orientational isomers, but also a novel platform for constructing chiral luminescent materials with desired properties for wide applications.</w:t>
      </w:r>
    </w:p>
    <w:p>
      <w:pPr>
        <w:spacing w:before="120" w:after="120"/>
      </w:pPr>
      <w:r>
        <w:rPr>
          <w:sz w:val="18"/>
        </w:rPr>
        <w:t>——————————————————————————————————————————————————————————————————————</w:t>
      </w:r>
    </w:p>
    <w:p>
      <w:pPr>
        <w:spacing w:before="160" w:after="40" w:line="240" w:lineRule="auto"/>
      </w:pPr>
      <w:r>
        <w:rPr>
          <w:b/>
        </w:rPr>
        <w:t xml:space="preserve">[363] </w:t>
      </w:r>
      <w:hyperlink r:id="rId1005">
        <w:r>
          <w:rPr>
            <w:color w:val="1155CC"/>
            <w:u w:val="single"/>
          </w:rPr>
          <w:t>原子分散铁催化烯丙基和炔丙基 C─H 键的有氧羟基化</w:t>
        </w:r>
      </w:hyperlink>
    </w:p>
    <w:p>
      <w:pPr>
        <w:spacing w:before="0" w:after="80"/>
      </w:pPr>
      <w:r>
        <w:rPr>
          <w:i/>
          <w:sz w:val="20"/>
        </w:rPr>
        <w:t>EN: Atomically Dispersed Iron‐Catalyzed Aerobic Hydroxylation of Allylic and Propargylic C─H Bonds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05:59:09+00:00</w:t>
      </w:r>
      <w:r>
        <w:t xml:space="preserve">    </w:t>
      </w:r>
      <w:r>
        <w:rPr>
          <w:b/>
        </w:rPr>
        <w:t xml:space="preserve">DOI: </w:t>
      </w:r>
      <w:hyperlink r:id="rId1006">
        <w:r>
          <w:rPr>
            <w:color w:val="1155CC"/>
            <w:u w:val="single"/>
          </w:rPr>
          <w:t>10.1002/anie.2913960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氢键的选择性官能化代表了现代有机合成的中心目标，但利用分子氧实现位点和化学选择性氧化仍然是一个长期的挑战。特别是，由于过度氧化和竞争性副反应，烯丙基和炔丙基C─H键的有氧羟基化非常困难。在这里，我们报道了一种多相催化剂，其特征是嵌入氮掺杂碳基质中的原子分散的铁位点。该催化剂使用空气作为氧化剂，在 30°C 下实现了烯烃和炔烃前所未有的位点和化学选择性烯丙基和炔丙基 C─H 羟基化。该方法适用于各种末端和内部底物，具有出色的官能团耐受性，并且能够实现结构复杂分子的后期氧化。机理研究表明催化活性源自高度分散的 FeN</w:t>
      </w:r>
      <w:r>
        <w:t xml:space="preserve"> </w:t>
      </w:r>
      <w:r>
        <w:t>x</w:t>
      </w:r>
      <w:r>
        <w:t xml:space="preserve"> </w:t>
      </w:r>
      <w:r>
        <w:t>网站。这项工作凸显了单原子催化在解决可持续 C─H 氧化的基本挑战方面的潜力，并扩展了选择性氧化转化的工具箱。</w:t>
      </w:r>
    </w:p>
    <w:p>
      <w:pPr>
        <w:spacing w:before="0" w:after="200" w:lineRule="auto" w:line="276"/>
      </w:pPr>
      <w:r>
        <w:rPr>
          <w:b/>
        </w:rPr>
        <w:t xml:space="preserve">Abstract (EN): </w:t>
      </w:r>
      <w:r>
        <w:t>Selective functionalization of carbon–hydrogen bonds represents a central goal in modern organic synthesis, yet achieving site‐ and chemoselective oxidation using molecular oxygen remains a longstanding challenge. In particular, aerobic hydroxylation of allylic and propargylic C─H bonds is difficult due to overoxidation and competing side reactions. Here we report a heterogeneous catalyst featuring atomically dispersed iron sites embedded in a nitrogen‐doped carbon matrix. This catalyst enables unprecedented site‐ and chemoselective allylic and propargylic C─H hydroxylation of alkenes and alkynes using air as the oxidant at 30°C. The method accommodates a broad range of terminal and internal substrates with excellent functional‐group tolerance and enables late‐stage oxidation of structurally complex molecules. Mechanistic studies demonstrate that the catalytic activity originates from highly dispersed FeN</w:t>
      </w:r>
      <w:r>
        <w:t xml:space="preserve"> </w:t>
      </w:r>
      <w:r>
        <w:t>x</w:t>
      </w:r>
      <w:r>
        <w:t xml:space="preserve"> </w:t>
      </w:r>
      <w:r>
        <w:t>sites. This work highlights the potential of single‐atom catalysis to address fundamental challenges in sustainable C─H oxidation and expands the toolbox for selective oxidative transformations.</w:t>
      </w:r>
    </w:p>
    <w:p>
      <w:pPr>
        <w:spacing w:before="120" w:after="120"/>
      </w:pPr>
      <w:r>
        <w:rPr>
          <w:sz w:val="18"/>
        </w:rPr>
        <w:t>——————————————————————————————————————————————————————————————————————</w:t>
      </w:r>
    </w:p>
    <w:p>
      <w:pPr>
        <w:spacing w:before="160" w:after="40" w:line="240" w:lineRule="auto"/>
      </w:pPr>
      <w:r>
        <w:rPr>
          <w:b/>
        </w:rPr>
        <w:t xml:space="preserve">[364] </w:t>
      </w:r>
      <w:hyperlink r:id="rId1007">
        <w:r>
          <w:rPr>
            <w:color w:val="1155CC"/>
            <w:u w:val="single"/>
          </w:rPr>
          <w:t>激光增强显微镜打开了难以捉摸的蛋白质的视野</w:t>
        </w:r>
      </w:hyperlink>
    </w:p>
    <w:p>
      <w:pPr>
        <w:spacing w:before="0" w:after="80"/>
      </w:pPr>
      <w:r>
        <w:rPr>
          <w:i/>
          <w:sz w:val="20"/>
        </w:rPr>
        <w:t>EN: Laser-boosted microscopy opens view of elusive proteins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08">
        <w:r>
          <w:rPr>
            <w:color w:val="1155CC"/>
            <w:u w:val="single"/>
          </w:rPr>
          <w:t>10.1126/science.aej5921</w:t>
        </w:r>
      </w:hyperlink>
    </w:p>
    <w:p>
      <w:pPr>
        <w:spacing w:before="0" w:after="120"/>
      </w:pPr>
      <w:r>
        <w:rPr>
          <w:b/>
        </w:rPr>
        <w:t xml:space="preserve">Notes: </w:t>
      </w:r>
      <w:r>
        <w:t>abstract_source=crossref</w:t>
      </w:r>
    </w:p>
    <w:p>
      <w:pPr>
        <w:spacing w:before="0" w:after="80" w:lineRule="auto" w:line="276"/>
      </w:pPr>
      <w:r>
        <w:rPr>
          <w:b/>
        </w:rPr>
        <w:t xml:space="preserve">摘要（ZH）: </w:t>
      </w:r>
      <w:r>
        <w:t>增强型冷冻电子显微镜揭示新的药物靶点并锐化细胞内部的视野</w:t>
      </w:r>
    </w:p>
    <w:p>
      <w:pPr>
        <w:spacing w:before="0" w:after="200" w:lineRule="auto" w:line="276"/>
      </w:pPr>
      <w:r>
        <w:rPr>
          <w:b/>
        </w:rPr>
        <w:t xml:space="preserve">Abstract (EN): </w:t>
      </w:r>
      <w:r>
        <w:t>Enhanced cryo–electron microscopes reveal new drug targets and sharpen views inside cells</w:t>
      </w:r>
    </w:p>
    <w:p>
      <w:pPr>
        <w:spacing w:before="120" w:after="120"/>
      </w:pPr>
      <w:r>
        <w:rPr>
          <w:sz w:val="18"/>
        </w:rPr>
        <w:t>——————————————————————————————————————————————————————————————————————</w:t>
      </w:r>
    </w:p>
    <w:p>
      <w:pPr>
        <w:spacing w:before="160" w:after="40" w:line="240" w:lineRule="auto"/>
      </w:pPr>
      <w:r>
        <w:rPr>
          <w:b/>
        </w:rPr>
        <w:t xml:space="preserve">[365] </w:t>
      </w:r>
      <w:hyperlink r:id="rId1009">
        <w:r>
          <w:rPr>
            <w:color w:val="1155CC"/>
            <w:u w:val="single"/>
          </w:rPr>
          <w:t>美国机构加入打击“超加工食品”的斗争</w:t>
        </w:r>
      </w:hyperlink>
    </w:p>
    <w:p>
      <w:pPr>
        <w:spacing w:before="0" w:after="80"/>
      </w:pPr>
      <w:r>
        <w:rPr>
          <w:i/>
          <w:sz w:val="20"/>
        </w:rPr>
        <w:t>EN: U.S. agencies join fight against ‘ultraprocessed foods’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10">
        <w:r>
          <w:rPr>
            <w:color w:val="1155CC"/>
            <w:u w:val="single"/>
          </w:rPr>
          <w:t>10.1126/science.aej5920</w:t>
        </w:r>
      </w:hyperlink>
    </w:p>
    <w:p>
      <w:pPr>
        <w:spacing w:before="0" w:after="120"/>
      </w:pPr>
      <w:r>
        <w:rPr>
          <w:b/>
        </w:rPr>
        <w:t xml:space="preserve">Notes: </w:t>
      </w:r>
      <w:r>
        <w:t>abstract_source=crossref</w:t>
      </w:r>
    </w:p>
    <w:p>
      <w:pPr>
        <w:spacing w:before="0" w:after="80" w:lineRule="auto" w:line="276"/>
      </w:pPr>
      <w:r>
        <w:rPr>
          <w:b/>
        </w:rPr>
        <w:t xml:space="preserve">摘要（ZH）: </w:t>
      </w:r>
      <w:r>
        <w:t>一些科学家批评标签不精确；其他人称之为饮食方面的宝贵镜头</w:t>
      </w:r>
    </w:p>
    <w:p>
      <w:pPr>
        <w:spacing w:before="0" w:after="200" w:lineRule="auto" w:line="276"/>
      </w:pPr>
      <w:r>
        <w:rPr>
          <w:b/>
        </w:rPr>
        <w:t xml:space="preserve">Abstract (EN): </w:t>
      </w:r>
      <w:r>
        <w:t>Some scientists criticize label as imprecise; others call it a valuable lens on diet</w:t>
      </w:r>
    </w:p>
    <w:p>
      <w:pPr>
        <w:spacing w:before="120" w:after="120"/>
      </w:pPr>
      <w:r>
        <w:rPr>
          <w:sz w:val="18"/>
        </w:rPr>
        <w:t>——————————————————————————————————————————————————————————————————————</w:t>
      </w:r>
    </w:p>
    <w:p>
      <w:pPr>
        <w:spacing w:before="160" w:after="40" w:line="240" w:lineRule="auto"/>
      </w:pPr>
      <w:r>
        <w:rPr>
          <w:b/>
        </w:rPr>
        <w:t xml:space="preserve">[366] </w:t>
      </w:r>
      <w:hyperlink r:id="rId1011">
        <w:r>
          <w:rPr>
            <w:color w:val="1155CC"/>
            <w:u w:val="single"/>
          </w:rPr>
          <w:t>胚胎编辑“首次”比头条新闻所暗示的要复杂</w:t>
        </w:r>
      </w:hyperlink>
    </w:p>
    <w:p>
      <w:pPr>
        <w:spacing w:before="0" w:after="80"/>
      </w:pPr>
      <w:r>
        <w:rPr>
          <w:i/>
          <w:sz w:val="20"/>
        </w:rPr>
        <w:t>EN: An embryo editing ‘first’ is more complicated than headlines suggest</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12">
        <w:r>
          <w:rPr>
            <w:color w:val="1155CC"/>
            <w:u w:val="single"/>
          </w:rPr>
          <w:t>10.1126/science.aej5922</w:t>
        </w:r>
      </w:hyperlink>
    </w:p>
    <w:p>
      <w:pPr>
        <w:spacing w:before="0" w:after="120"/>
      </w:pPr>
      <w:r>
        <w:rPr>
          <w:b/>
        </w:rPr>
        <w:t xml:space="preserve">Notes: </w:t>
      </w:r>
      <w:r>
        <w:t>abstract_source=crossref</w:t>
      </w:r>
    </w:p>
    <w:p>
      <w:pPr>
        <w:spacing w:before="0" w:after="80" w:lineRule="auto" w:line="276"/>
      </w:pPr>
      <w:r>
        <w:rPr>
          <w:b/>
        </w:rPr>
        <w:t xml:space="preserve">摘要（ZH）: </w:t>
      </w:r>
      <w:r>
        <w:t>科学家可能有更好的方法来制造基因编辑婴儿，但它仍然远不安全</w:t>
      </w:r>
    </w:p>
    <w:p>
      <w:pPr>
        <w:spacing w:before="0" w:after="200" w:lineRule="auto" w:line="276"/>
      </w:pPr>
      <w:r>
        <w:rPr>
          <w:b/>
        </w:rPr>
        <w:t xml:space="preserve">Abstract (EN): </w:t>
      </w:r>
      <w:r>
        <w:t>Scientists may have a better way to make gene-edited babies, but it’s still far from safe</w:t>
      </w:r>
    </w:p>
    <w:p>
      <w:pPr>
        <w:spacing w:before="120" w:after="120"/>
      </w:pPr>
      <w:r>
        <w:rPr>
          <w:sz w:val="18"/>
        </w:rPr>
        <w:t>——————————————————————————————————————————————————————————————————————</w:t>
      </w:r>
    </w:p>
    <w:p>
      <w:pPr>
        <w:spacing w:before="160" w:after="40" w:line="240" w:lineRule="auto"/>
      </w:pPr>
      <w:r>
        <w:rPr>
          <w:b/>
        </w:rPr>
        <w:t xml:space="preserve">[367] </w:t>
      </w:r>
      <w:hyperlink r:id="rId1013">
        <w:r>
          <w:rPr>
            <w:color w:val="1155CC"/>
            <w:u w:val="single"/>
          </w:rPr>
          <w:t>下沉海岸线的卫星地图面临审查</w:t>
        </w:r>
      </w:hyperlink>
    </w:p>
    <w:p>
      <w:pPr>
        <w:spacing w:before="0" w:after="80"/>
      </w:pPr>
      <w:r>
        <w:rPr>
          <w:i/>
          <w:sz w:val="20"/>
        </w:rPr>
        <w:t>EN: Satellite maps of sinking coastlines face scrutiny</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14">
        <w:r>
          <w:rPr>
            <w:color w:val="1155CC"/>
            <w:u w:val="single"/>
          </w:rPr>
          <w:t>10.1126/science.aej5924</w:t>
        </w:r>
      </w:hyperlink>
    </w:p>
    <w:p>
      <w:pPr>
        <w:spacing w:before="0" w:after="120"/>
      </w:pPr>
      <w:r>
        <w:rPr>
          <w:b/>
        </w:rPr>
        <w:t xml:space="preserve">Notes: </w:t>
      </w:r>
      <w:r>
        <w:t>abstract_source=crossref</w:t>
      </w:r>
    </w:p>
    <w:p>
      <w:pPr>
        <w:spacing w:before="0" w:after="80" w:lineRule="auto" w:line="276"/>
      </w:pPr>
      <w:r>
        <w:rPr>
          <w:b/>
        </w:rPr>
        <w:t xml:space="preserve">摘要（ZH）: </w:t>
      </w:r>
      <w:r>
        <w:t>雷达研究产生了矛盾的结果，引发了人们对确定易受海平面上升影响的地区的努力提出了质疑</w:t>
      </w:r>
    </w:p>
    <w:p>
      <w:pPr>
        <w:spacing w:before="0" w:after="200" w:lineRule="auto" w:line="276"/>
      </w:pPr>
      <w:r>
        <w:rPr>
          <w:b/>
        </w:rPr>
        <w:t xml:space="preserve">Abstract (EN): </w:t>
      </w:r>
      <w:r>
        <w:t>Radar studies produce contradictory results, raising questions about efforts to identify areas vulnerable to rising seas</w:t>
      </w:r>
    </w:p>
    <w:p>
      <w:pPr>
        <w:spacing w:before="120" w:after="120"/>
      </w:pPr>
      <w:r>
        <w:rPr>
          <w:sz w:val="18"/>
        </w:rPr>
        <w:t>——————————————————————————————————————————————————————————————————————</w:t>
      </w:r>
    </w:p>
    <w:p>
      <w:pPr>
        <w:spacing w:before="160" w:after="40" w:line="240" w:lineRule="auto"/>
      </w:pPr>
      <w:r>
        <w:rPr>
          <w:b/>
        </w:rPr>
        <w:t xml:space="preserve">[368] </w:t>
      </w:r>
      <w:hyperlink r:id="rId1015">
        <w:r>
          <w:rPr>
            <w:color w:val="1155CC"/>
            <w:u w:val="single"/>
          </w:rPr>
          <w:t>2026年暑期阅读</w:t>
        </w:r>
      </w:hyperlink>
    </w:p>
    <w:p>
      <w:pPr>
        <w:spacing w:before="0" w:after="80"/>
      </w:pPr>
      <w:r>
        <w:rPr>
          <w:i/>
          <w:sz w:val="20"/>
        </w:rPr>
        <w:t>EN: Summer reading 2026</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16">
        <w:r>
          <w:rPr>
            <w:color w:val="1155CC"/>
            <w:u w:val="single"/>
          </w:rPr>
          <w:t>10.1126/science.aei7768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1017">
        <w:r>
          <w:rPr>
            <w:color w:val="1155CC"/>
            <w:u w:val="single"/>
          </w:rPr>
          <w:t>新产品</w:t>
        </w:r>
      </w:hyperlink>
    </w:p>
    <w:p>
      <w:pPr>
        <w:spacing w:before="0" w:after="80"/>
      </w:pPr>
      <w:r>
        <w:rPr>
          <w:i/>
          <w:sz w:val="20"/>
        </w:rPr>
        <w:t>EN: New Products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18">
        <w:r>
          <w:rPr>
            <w:color w:val="1155CC"/>
            <w:u w:val="single"/>
          </w:rPr>
          <w:t>10.1126/science.aej5480</w:t>
        </w:r>
      </w:hyperlink>
    </w:p>
    <w:p>
      <w:pPr>
        <w:spacing w:before="0" w:after="120"/>
      </w:pPr>
      <w:r>
        <w:rPr>
          <w:b/>
        </w:rPr>
        <w:t xml:space="preserve">Notes: </w:t>
      </w:r>
      <w:r>
        <w:t>abstract_source=crossref</w:t>
      </w:r>
    </w:p>
    <w:p>
      <w:pPr>
        <w:spacing w:before="0" w:after="80" w:lineRule="auto" w:line="276"/>
      </w:pPr>
      <w:r>
        <w:rPr>
          <w:b/>
        </w:rPr>
        <w:t xml:space="preserve">摘要（ZH）: </w:t>
      </w:r>
      <w:r>
        <w:t>每周汇总有关研究人员可能感兴趣的新提供的仪器、设备和实验室材料的信息。</w:t>
      </w:r>
    </w:p>
    <w:p>
      <w:pPr>
        <w:spacing w:before="0" w:after="200" w:lineRule="auto" w:line="276"/>
      </w:pPr>
      <w:r>
        <w:rPr>
          <w:b/>
        </w:rPr>
        <w:t xml:space="preserve">Abstract (EN): </w:t>
      </w:r>
      <w:r>
        <w:t>A weekly roundup of information on newly offered instrumentation, apparatus, and laboratory materials of potential interest to researchers.</w:t>
      </w:r>
    </w:p>
    <w:p>
      <w:pPr>
        <w:spacing w:before="120" w:after="120"/>
      </w:pPr>
      <w:r>
        <w:rPr>
          <w:sz w:val="18"/>
        </w:rPr>
        <w:t>——————————————————————————————————————————————————————————————————————</w:t>
      </w:r>
    </w:p>
    <w:p>
      <w:pPr>
        <w:spacing w:before="160" w:after="40" w:line="240" w:lineRule="auto"/>
      </w:pPr>
      <w:r>
        <w:rPr>
          <w:b/>
        </w:rPr>
        <w:t xml:space="preserve">[370] </w:t>
      </w:r>
      <w:hyperlink r:id="rId1019">
        <w:r>
          <w:rPr>
            <w:color w:val="1155CC"/>
            <w:u w:val="single"/>
          </w:rPr>
          <w:t>有机自发发射接近单色极限</w:t>
        </w:r>
      </w:hyperlink>
    </w:p>
    <w:p>
      <w:pPr>
        <w:spacing w:before="0" w:after="80"/>
      </w:pPr>
      <w:r>
        <w:rPr>
          <w:i/>
          <w:sz w:val="20"/>
        </w:rPr>
        <w:t>EN: Organic spontaneous emission approaching the monochromatic limit</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20">
        <w:r>
          <w:rPr>
            <w:color w:val="1155CC"/>
            <w:u w:val="single"/>
          </w:rPr>
          <w:t>10.1126/science.aee0001</w:t>
        </w:r>
      </w:hyperlink>
    </w:p>
    <w:p>
      <w:pPr>
        <w:spacing w:before="0" w:after="120"/>
      </w:pPr>
      <w:r>
        <w:rPr>
          <w:b/>
        </w:rPr>
        <w:t xml:space="preserve">Notes: </w:t>
      </w:r>
      <w:r>
        <w:t>abstract_source=crossref</w:t>
      </w:r>
    </w:p>
    <w:p>
      <w:pPr>
        <w:spacing w:before="0" w:after="80" w:lineRule="auto" w:line="276"/>
      </w:pPr>
      <w:r>
        <w:rPr>
          <w:b/>
        </w:rPr>
        <w:t xml:space="preserve">摘要（ZH）: </w:t>
      </w:r>
      <w:r>
        <w:t>自发发射本质上与光谱展宽机制相关，导致发射光的带宽有限。长期以来，将线宽缩小到单色极限一直是光子学的核心追求，因为它决定了非受激光源的最终颜色纯度。有机发光材料提供方便的波长可调性，但通常表现出较宽的发射带（&gt; 40 纳米）。多谐振发射器的出现为克服这一限制提供了一条有希望的途径，但大多数报道的系统仍保持在 20 至 30 纳米范围内。我们提出了一种分子设计策略，通过分子重复放大多重共振效应，在甲苯中产生线宽为 6.9 纳米、在 3-甲基戊烷中产生线宽为 5.5 纳米、在掺杂聚合物薄膜中产生线宽为 9.1 纳米的荧光，使该分子框架成为报道的最窄带有机发光体之一。</w:t>
      </w:r>
    </w:p>
    <w:p>
      <w:pPr>
        <w:spacing w:before="0" w:after="200" w:lineRule="auto" w:line="276"/>
      </w:pPr>
      <w:r>
        <w:rPr>
          <w:b/>
        </w:rPr>
        <w:t xml:space="preserve">Abstract (EN): </w:t>
      </w:r>
      <w:r>
        <w:t>Spontaneous emission is inherently associated with spectral broadening mechanisms, resulting in finite bandwidth in the emitted light. Narrowing this linewidth toward the monochromatic limit has long been a central pursuit in photonics, as it determines the ultimate color purity of nonstimulated light sources. Organic luminescent materials offer facile wavelength tunability but typically exhibit broad emission bands (&amp;gt;40 nanometers). The emergence of multiple-resonance emitters has provided a promising route to overcome this limitation, yet most reported systems remain within 20 to 30 nanometers. We present a molecular design strategy that amplifies the multiple-resonance effect through molecular repetition, yielding fluorescence with linewidths of 6.9 nanometers in toluene, 5.5 nanometers in 3-methylpentane, and 9.1 nanometers in a doped polymer film, placing this molecular framework among the narrowest-band organic luminophores reported.</w:t>
      </w:r>
    </w:p>
    <w:p>
      <w:pPr>
        <w:spacing w:before="120" w:after="120"/>
      </w:pPr>
      <w:r>
        <w:rPr>
          <w:sz w:val="18"/>
        </w:rPr>
        <w:t>——————————————————————————————————————————————————————————————————————</w:t>
      </w:r>
    </w:p>
    <w:p>
      <w:pPr>
        <w:spacing w:before="160" w:after="40" w:line="240" w:lineRule="auto"/>
      </w:pPr>
      <w:r>
        <w:rPr>
          <w:b/>
        </w:rPr>
        <w:t xml:space="preserve">[371] </w:t>
      </w:r>
      <w:hyperlink r:id="rId1021">
        <w:r>
          <w:rPr>
            <w:color w:val="1155CC"/>
            <w:u w:val="single"/>
          </w:rPr>
          <w:t>复合气候事件威胁热带半封闭海洋生态系统</w:t>
        </w:r>
      </w:hyperlink>
    </w:p>
    <w:p>
      <w:pPr>
        <w:spacing w:before="0" w:after="80"/>
      </w:pPr>
      <w:r>
        <w:rPr>
          <w:i/>
          <w:sz w:val="20"/>
        </w:rPr>
        <w:t>EN: Compound climate events threaten tropical semi-enclosed marine ecosystems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22">
        <w:r>
          <w:rPr>
            <w:color w:val="1155CC"/>
            <w:u w:val="single"/>
          </w:rPr>
          <w:t>10.1126/science.adv0367</w:t>
        </w:r>
      </w:hyperlink>
    </w:p>
    <w:p>
      <w:pPr>
        <w:spacing w:before="0" w:after="120"/>
      </w:pPr>
      <w:r>
        <w:rPr>
          <w:b/>
        </w:rPr>
        <w:t xml:space="preserve">Notes: </w:t>
      </w:r>
      <w:r>
        <w:t>abstract_source=crossref</w:t>
      </w:r>
    </w:p>
    <w:p>
      <w:pPr>
        <w:spacing w:before="0" w:after="80" w:lineRule="auto" w:line="276"/>
      </w:pPr>
      <w:r>
        <w:rPr>
          <w:b/>
        </w:rPr>
        <w:t xml:space="preserve">摘要（ZH）: </w:t>
      </w:r>
      <w:r>
        <w:t>人为海洋变暖影响生态系统功能，但不一定是调节热带海洋的主要气候驱动因素。人们对热带半封闭海洋生态系统知之甚少，地理位置独特，并受到全球变暖、气旋、季风、淡水流入以及大规模海平面和环流变化等复合影响的影响。我们统一了对这些大规模综合海洋-大气-生物系统的气候风险理解，表明复合气候事件使常驻物种面临更大、更长时间的波动，导致空间格局重新配置和缺乏持续的水文连通性。我们将这些系统中物种丰度的变化归因于极端温度、暴露、浊度和水文联系的复杂和累积组合。我们描述了澳大利亚北部热带海洋生态系统中气候引起的物理和生物状况变化的证据，并确定了对其他系统的影响。</w:t>
      </w:r>
    </w:p>
    <w:p>
      <w:pPr>
        <w:spacing w:before="0" w:after="200" w:lineRule="auto" w:line="276"/>
      </w:pPr>
      <w:r>
        <w:rPr>
          <w:b/>
        </w:rPr>
        <w:t xml:space="preserve">Abstract (EN): </w:t>
      </w:r>
      <w:r>
        <w:t>Anthropogenic ocean warming affects ecosystem functioning but is not necessarily the primary climate driver regulating tropical seas. Tropical semi-enclosed marine ecosystems are poorly understood, geographically distinct, and influenced by compounding impacts from global warming, cyclones, monsoons, freshwater influx, and massive sea-level and circulation variability. We unify climate risk understanding of these large-scale integrated ocean-atmosphere-biological systems, showing that compound climate events expose resident species to larger, prolonged fluctuations, causing reconfigured spatial patterns and lack of sustained hydrological connectivity. We attribute changes in species’ abundance in these systems to complex and cumulative combinations of extreme temperatures, exposure, turbidity, and hydrologic connections. We describe evidence of such climate-induced physical and biological regime shifts in tropical marine ecosystems in northern Australia and identify implications for other systems.</w:t>
      </w:r>
    </w:p>
    <w:p>
      <w:pPr>
        <w:spacing w:before="120" w:after="120"/>
      </w:pPr>
      <w:r>
        <w:rPr>
          <w:sz w:val="18"/>
        </w:rPr>
        <w:t>——————————————————————————————————————————————————————————————————————</w:t>
      </w:r>
    </w:p>
    <w:p>
      <w:pPr>
        <w:spacing w:before="160" w:after="40" w:line="240" w:lineRule="auto"/>
      </w:pPr>
      <w:r>
        <w:rPr>
          <w:b/>
        </w:rPr>
        <w:t xml:space="preserve">[372] </w:t>
      </w:r>
      <w:hyperlink r:id="rId1023">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24">
        <w:r>
          <w:rPr>
            <w:color w:val="1155CC"/>
            <w:u w:val="single"/>
          </w:rPr>
          <w:t>10.1126/science.aej5477</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[373] </w:t>
      </w:r>
      <w:hyperlink r:id="rId1025">
        <w:r>
          <w:rPr>
            <w:color w:val="1155CC"/>
            <w:u w:val="single"/>
          </w:rPr>
          <w:t>保护玻利维亚亚马逊地区的遗产</w:t>
        </w:r>
      </w:hyperlink>
    </w:p>
    <w:p>
      <w:pPr>
        <w:spacing w:before="0" w:after="80"/>
      </w:pPr>
      <w:r>
        <w:rPr>
          <w:i/>
          <w:sz w:val="20"/>
        </w:rPr>
        <w:t>EN: Safeguard heritage in the Bolivian Amazon</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26">
        <w:r>
          <w:rPr>
            <w:color w:val="1155CC"/>
            <w:u w:val="single"/>
          </w:rPr>
          <w:t>10.1126/science.aeh9864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[374] </w:t>
      </w:r>
      <w:hyperlink r:id="rId1027">
        <w:r>
          <w:rPr>
            <w:color w:val="1155CC"/>
            <w:u w:val="single"/>
          </w:rPr>
          <w:t>用于宽范围、高灵敏度压力传感的机电超材料</w:t>
        </w:r>
      </w:hyperlink>
    </w:p>
    <w:p>
      <w:pPr>
        <w:spacing w:before="0" w:after="80"/>
      </w:pPr>
      <w:r>
        <w:rPr>
          <w:i/>
          <w:sz w:val="20"/>
        </w:rPr>
        <w:t>EN: Mechanoelectrical metamaterials for broad-range, high-sensitivity pressure sensing</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28">
        <w:r>
          <w:rPr>
            <w:color w:val="1155CC"/>
            <w:u w:val="single"/>
          </w:rPr>
          <w:t>10.1126/science.aeb3456</w:t>
        </w:r>
      </w:hyperlink>
    </w:p>
    <w:p>
      <w:pPr>
        <w:spacing w:before="0" w:after="120"/>
      </w:pPr>
      <w:r>
        <w:rPr>
          <w:b/>
        </w:rPr>
        <w:t xml:space="preserve">Notes: </w:t>
      </w:r>
      <w:r>
        <w:t>abstract_source=crossref</w:t>
      </w:r>
    </w:p>
    <w:p>
      <w:pPr>
        <w:spacing w:before="0" w:after="80" w:lineRule="auto" w:line="276"/>
      </w:pPr>
      <w:r>
        <w:rPr>
          <w:b/>
        </w:rPr>
        <w:t xml:space="preserve">摘要（ZH）: </w:t>
      </w:r>
      <w:r>
        <w:t>机械超材料利用对晶胞几何形状及其宏观组织的精确控制来实现不寻常的特性。扩展机械超材料的能力以纳入附加功能仍然是一个挑战。我们描述了嵌入分子铁电体的 3D 打印超材料，用作自供电压力传感器。我们的梯度晶格设计允许自适应重构和受控变形模式转换，产生低模量和高承载能力以及单调机械负载-电信号响应的协同作用。此外，我们在超材料中实现了模量梯度，以增强低负载区域的灵敏度，并将检测范围扩展了六个数量级。双梯度超材料结合了高灵敏度和宽检测范围，克服了现有传感器中逆关系所带来的限制。</w:t>
      </w:r>
    </w:p>
    <w:p>
      <w:pPr>
        <w:spacing w:before="0" w:after="200" w:lineRule="auto" w:line="276"/>
      </w:pPr>
      <w:r>
        <w:rPr>
          <w:b/>
        </w:rPr>
        <w:t xml:space="preserve">Abstract (EN): </w:t>
      </w:r>
      <w:r>
        <w:t>Mechanical metamaterials exploit precise control of unit-cell geometry and their macroscopic organization to realize unusual properties. Expanding the capabilities of mechanical metamaterials to incorporate additional functionality remains a challenge. We describe 3D-printed metamaterials embedded with molecular ferroelectrics for use as self-powered pressure sensors. Our gradient lattice design allows for adaptive reconfiguration and controlled deformation-mode transitions, yielding a synergy of low modulus and high load-bearing capacity alongside a monotonic mechanical load–electrical signal response. Furthermore, we implement a modulus gradient in the metamaterials to enhance sensitivity in low-loading regions and extend the detection range across six orders of magnitude. With a combination of high sensitivity and broad detection range, the dual-gradient metamaterials overcome the limitations imposed by the inverse relationships in existing sensors.</w:t>
      </w:r>
    </w:p>
    <w:p>
      <w:pPr>
        <w:spacing w:before="120" w:after="120"/>
      </w:pPr>
      <w:r>
        <w:rPr>
          <w:sz w:val="18"/>
        </w:rPr>
        <w:t>——————————————————————————————————————————————————————————————————————</w:t>
      </w:r>
    </w:p>
    <w:p>
      <w:pPr>
        <w:spacing w:before="160" w:after="40" w:line="240" w:lineRule="auto"/>
      </w:pPr>
      <w:r>
        <w:rPr>
          <w:b/>
        </w:rPr>
        <w:t xml:space="preserve">[375] </w:t>
      </w:r>
      <w:hyperlink r:id="rId1029">
        <w:r>
          <w:rPr>
            <w:color w:val="1155CC"/>
            <w:u w:val="single"/>
          </w:rPr>
          <w:t>蛋白质名称混淆导致抗体混淆</w:t>
        </w:r>
      </w:hyperlink>
    </w:p>
    <w:p>
      <w:pPr>
        <w:spacing w:before="0" w:after="80"/>
      </w:pPr>
      <w:r>
        <w:rPr>
          <w:i/>
          <w:sz w:val="20"/>
        </w:rPr>
        <w:t>EN: Protein name confusion led to antibody mix-up</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30">
        <w:r>
          <w:rPr>
            <w:color w:val="1155CC"/>
            <w:u w:val="single"/>
          </w:rPr>
          <w:t>10.1126/science.aej5919</w:t>
        </w:r>
      </w:hyperlink>
    </w:p>
    <w:p>
      <w:pPr>
        <w:spacing w:before="0" w:after="120"/>
      </w:pPr>
      <w:r>
        <w:rPr>
          <w:b/>
        </w:rPr>
        <w:t xml:space="preserve">Notes: </w:t>
      </w:r>
      <w:r>
        <w:t>abstract_source=crossref</w:t>
      </w:r>
    </w:p>
    <w:p>
      <w:pPr>
        <w:spacing w:before="0" w:after="80" w:lineRule="auto" w:line="276"/>
      </w:pPr>
      <w:r>
        <w:rPr>
          <w:b/>
        </w:rPr>
        <w:t xml:space="preserve">摘要（ZH）: </w:t>
      </w:r>
      <w:r>
        <w:t>癌症和细胞衰老研究可能依赖于错误分子的抗体</w:t>
      </w:r>
    </w:p>
    <w:p>
      <w:pPr>
        <w:spacing w:before="0" w:after="200" w:lineRule="auto" w:line="276"/>
      </w:pPr>
      <w:r>
        <w:rPr>
          <w:b/>
        </w:rPr>
        <w:t xml:space="preserve">Abstract (EN): </w:t>
      </w:r>
      <w:r>
        <w:t>Cancer and cell-aging studies may have relied on antibodies to incorrect molecule</w:t>
      </w:r>
    </w:p>
    <w:p>
      <w:pPr>
        <w:spacing w:before="120" w:after="120"/>
      </w:pPr>
      <w:r>
        <w:rPr>
          <w:sz w:val="18"/>
        </w:rPr>
        <w:t>——————————————————————————————————————————————————————————————————————</w:t>
      </w:r>
    </w:p>
    <w:p>
      <w:pPr>
        <w:spacing w:before="160" w:after="40" w:line="240" w:lineRule="auto"/>
      </w:pPr>
      <w:r>
        <w:rPr>
          <w:b/>
        </w:rPr>
        <w:t xml:space="preserve">[376] </w:t>
      </w:r>
      <w:hyperlink r:id="rId1031">
        <w:r>
          <w:rPr>
            <w:color w:val="1155CC"/>
            <w:u w:val="single"/>
          </w:rPr>
          <w:t>将间接温室气体纳入气候框架</w:t>
        </w:r>
      </w:hyperlink>
    </w:p>
    <w:p>
      <w:pPr>
        <w:spacing w:before="0" w:after="80"/>
      </w:pPr>
      <w:r>
        <w:rPr>
          <w:i/>
          <w:sz w:val="20"/>
        </w:rPr>
        <w:t>EN: Integrating indirect greenhouse gases into climate frameworks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32">
        <w:r>
          <w:rPr>
            <w:color w:val="1155CC"/>
            <w:u w:val="single"/>
          </w:rPr>
          <w:t>10.1126/science.aee5790</w:t>
        </w:r>
      </w:hyperlink>
    </w:p>
    <w:p>
      <w:pPr>
        <w:spacing w:before="0" w:after="120"/>
      </w:pPr>
      <w:r>
        <w:rPr>
          <w:b/>
        </w:rPr>
        <w:t xml:space="preserve">Notes: </w:t>
      </w:r>
      <w:r>
        <w:t>abstract_source=crossref</w:t>
      </w:r>
    </w:p>
    <w:p>
      <w:pPr>
        <w:spacing w:before="0" w:after="80" w:lineRule="auto" w:line="276"/>
      </w:pPr>
      <w:r>
        <w:rPr>
          <w:b/>
        </w:rPr>
        <w:t xml:space="preserve">摘要（ZH）: </w:t>
      </w:r>
      <w:r>
        <w:t>这些物质对气候的直接影响很小，但会引发化学反应，导致变暖</w:t>
      </w:r>
    </w:p>
    <w:p>
      <w:pPr>
        <w:spacing w:before="0" w:after="200" w:lineRule="auto" w:line="276"/>
      </w:pPr>
      <w:r>
        <w:rPr>
          <w:b/>
        </w:rPr>
        <w:t xml:space="preserve">Abstract (EN): </w:t>
      </w:r>
      <w:r>
        <w:t>These substances have minimal direct climate effects but trigger chemical reactions that can lead to warming</w:t>
      </w:r>
    </w:p>
    <w:p>
      <w:pPr>
        <w:spacing w:before="120" w:after="120"/>
      </w:pPr>
      <w:r>
        <w:rPr>
          <w:sz w:val="18"/>
        </w:rPr>
        <w:t>——————————————————————————————————————————————————————————————————————</w:t>
      </w:r>
    </w:p>
    <w:p>
      <w:pPr>
        <w:spacing w:before="160" w:after="40" w:line="240" w:lineRule="auto"/>
      </w:pPr>
      <w:r>
        <w:rPr>
          <w:b/>
        </w:rPr>
        <w:t xml:space="preserve">[377] </w:t>
      </w:r>
      <w:hyperlink r:id="rId1033">
        <w:r>
          <w:rPr>
            <w:color w:val="1155CC"/>
            <w:u w:val="single"/>
          </w:rPr>
          <w:t>科学侦探在中国获得罕见赞誉</w:t>
        </w:r>
      </w:hyperlink>
    </w:p>
    <w:p>
      <w:pPr>
        <w:spacing w:before="0" w:after="80"/>
      </w:pPr>
      <w:r>
        <w:rPr>
          <w:i/>
          <w:sz w:val="20"/>
        </w:rPr>
        <w:t>EN: Science sleuth finds rare acclaim in China</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34">
        <w:r>
          <w:rPr>
            <w:color w:val="1155CC"/>
            <w:u w:val="single"/>
          </w:rPr>
          <w:t>10.1126/science.aej5918</w:t>
        </w:r>
      </w:hyperlink>
    </w:p>
    <w:p>
      <w:pPr>
        <w:spacing w:before="0" w:after="120"/>
      </w:pPr>
      <w:r>
        <w:rPr>
          <w:b/>
        </w:rPr>
        <w:t xml:space="preserve">Notes: </w:t>
      </w:r>
      <w:r>
        <w:t>abstract_source=crossref</w:t>
      </w:r>
    </w:p>
    <w:p>
      <w:pPr>
        <w:spacing w:before="0" w:after="80" w:lineRule="auto" w:line="276"/>
      </w:pPr>
      <w:r>
        <w:rPr>
          <w:b/>
        </w:rPr>
        <w:t xml:space="preserve">摘要（ZH）: </w:t>
      </w:r>
      <w:r>
        <w:t>耿宏伟对中国著名科学家的调查引发异常迅速的反应</w:t>
      </w:r>
    </w:p>
    <w:p>
      <w:pPr>
        <w:spacing w:before="0" w:after="200" w:lineRule="auto" w:line="276"/>
      </w:pPr>
      <w:r>
        <w:rPr>
          <w:b/>
        </w:rPr>
        <w:t xml:space="preserve">Abstract (EN): </w:t>
      </w:r>
      <w:r>
        <w:t>Geng Hongwei’s investigations into prominent Chinese scientists have triggered unusually swift responses</w:t>
      </w:r>
    </w:p>
    <w:p>
      <w:pPr>
        <w:spacing w:before="120" w:after="120"/>
      </w:pPr>
      <w:r>
        <w:rPr>
          <w:sz w:val="18"/>
        </w:rPr>
        <w:t>——————————————————————————————————————————————————————————————————————</w:t>
      </w:r>
    </w:p>
    <w:p>
      <w:pPr>
        <w:spacing w:before="160" w:after="40" w:line="240" w:lineRule="auto"/>
      </w:pPr>
      <w:r>
        <w:rPr>
          <w:b/>
        </w:rPr>
        <w:t xml:space="preserve">[378] </w:t>
      </w:r>
      <w:hyperlink r:id="rId1035">
        <w:r>
          <w:rPr>
            <w:color w:val="1155CC"/>
            <w:u w:val="single"/>
          </w:rPr>
          <w:t>（合格）捍卫研究项目补助金</w:t>
        </w:r>
      </w:hyperlink>
    </w:p>
    <w:p>
      <w:pPr>
        <w:spacing w:before="0" w:after="80"/>
      </w:pPr>
      <w:r>
        <w:rPr>
          <w:i/>
          <w:sz w:val="20"/>
        </w:rPr>
        <w:t>EN: In (qualified) defense of the research project grant</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36">
        <w:r>
          <w:rPr>
            <w:color w:val="1155CC"/>
            <w:u w:val="single"/>
          </w:rPr>
          <w:t>10.1126/science.aej2947</w:t>
        </w:r>
      </w:hyperlink>
    </w:p>
    <w:p>
      <w:pPr>
        <w:spacing w:before="0" w:after="120"/>
      </w:pPr>
      <w:r>
        <w:rPr>
          <w:b/>
        </w:rPr>
        <w:t xml:space="preserve">Notes: </w:t>
      </w:r>
      <w:r>
        <w:t>abstract_source=crossref</w:t>
      </w:r>
    </w:p>
    <w:p>
      <w:pPr>
        <w:spacing w:before="0" w:after="80" w:lineRule="auto" w:line="276"/>
      </w:pPr>
      <w:r>
        <w:rPr>
          <w:b/>
        </w:rPr>
        <w:t xml:space="preserve">摘要（ZH）: </w:t>
      </w:r>
      <w:r>
        <w:t>在一场持续多年的争论中，越来越多的改革者联盟得出结论，美国许多科学资助者所使用的基于竞争性、研究者发起和同行评审提案的研究项目资助（RPG）方法无法支持变革性科学。为了具体化这场争论，美国国家科学基金会 (NSF) 刚刚承诺在未来十年向 X-Labs 提供 15 亿美元资金，X-Labs 是一个独立且具有里程碑意义的研究组织，其目的不仅是绕过 RPG，还绕过长期以来作为其主要接受者的大学。尽管改革的冲动可能值得同情，但 X 实验室的处方值得怀疑。</w:t>
      </w:r>
    </w:p>
    <w:p>
      <w:pPr>
        <w:spacing w:before="0" w:after="200" w:lineRule="auto" w:line="276"/>
      </w:pPr>
      <w:r>
        <w:rPr>
          <w:b/>
        </w:rPr>
        <w:t xml:space="preserve">Abstract (EN): </w:t>
      </w:r>
      <w:r>
        <w:t>In a debate that has been building for years, a growing coalition of reformers has concluded that the research project grant (RPG) approach used by many science funders in the United States and based on competitive, investigator-initiated, and peer-reviewed proposals cannot support transformative science. Crystallizing this debate, the US National Science Foundation (NSF) has just committed $1.5 billion over the next decade to X-Labs, independent and milestone-driven research organizations meant to bypass not only the RPG but also the universities that have long been its principal recipients. Although the reform impulse may warrant sympathy, the X-Labs prescription merits skepticism.</w:t>
      </w:r>
    </w:p>
    <w:p>
      <w:pPr>
        <w:spacing w:before="120" w:after="120"/>
      </w:pPr>
      <w:r>
        <w:rPr>
          <w:sz w:val="18"/>
        </w:rPr>
        <w:t>——————————————————————————————————————————————————————————————————————</w:t>
      </w:r>
    </w:p>
    <w:p>
      <w:pPr>
        <w:spacing w:before="160" w:after="40" w:line="240" w:lineRule="auto"/>
      </w:pPr>
      <w:r>
        <w:rPr>
          <w:b/>
        </w:rPr>
        <w:t xml:space="preserve">[379] </w:t>
      </w:r>
      <w:hyperlink r:id="rId1037">
        <w:r>
          <w:rPr>
            <w:color w:val="1155CC"/>
            <w:u w:val="single"/>
          </w:rPr>
          <w:t>美国国立卫生研究院科学家被控将病毒走私到美国</w:t>
        </w:r>
      </w:hyperlink>
    </w:p>
    <w:p>
      <w:pPr>
        <w:spacing w:before="0" w:after="80"/>
      </w:pPr>
      <w:r>
        <w:rPr>
          <w:i/>
          <w:sz w:val="20"/>
        </w:rPr>
        <w:t>EN: NIH scientists charged with smuggling viruses into U.S.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38">
        <w:r>
          <w:rPr>
            <w:color w:val="1155CC"/>
            <w:u w:val="single"/>
          </w:rPr>
          <w:t>10.1126/science.aej5923</w:t>
        </w:r>
      </w:hyperlink>
    </w:p>
    <w:p>
      <w:pPr>
        <w:spacing w:before="0" w:after="120"/>
      </w:pPr>
      <w:r>
        <w:rPr>
          <w:b/>
        </w:rPr>
        <w:t xml:space="preserve">Notes: </w:t>
      </w:r>
      <w:r>
        <w:t>abstract_source=crossref</w:t>
      </w:r>
    </w:p>
    <w:p>
      <w:pPr>
        <w:spacing w:before="0" w:after="80" w:lineRule="auto" w:line="276"/>
      </w:pPr>
      <w:r>
        <w:rPr>
          <w:b/>
        </w:rPr>
        <w:t xml:space="preserve">摘要（ZH）: </w:t>
      </w:r>
      <w:r>
        <w:t>灭活的猴痘病毒样本可能已用于常规诊断</w:t>
      </w:r>
    </w:p>
    <w:p>
      <w:pPr>
        <w:spacing w:before="0" w:after="200" w:lineRule="auto" w:line="276"/>
      </w:pPr>
      <w:r>
        <w:rPr>
          <w:b/>
        </w:rPr>
        <w:t xml:space="preserve">Abstract (EN): </w:t>
      </w:r>
      <w:r>
        <w:t>Inactivated monkeypox virus samples may have been used for routine diagnostics</w:t>
      </w:r>
    </w:p>
    <w:p>
      <w:pPr>
        <w:spacing w:before="120" w:after="120"/>
      </w:pPr>
      <w:r>
        <w:rPr>
          <w:sz w:val="18"/>
        </w:rPr>
        <w:t>——————————————————————————————————————————————————————————————————————</w:t>
      </w:r>
    </w:p>
    <w:p>
      <w:pPr>
        <w:spacing w:before="160" w:after="40" w:line="240" w:lineRule="auto"/>
      </w:pPr>
      <w:r>
        <w:rPr>
          <w:b/>
        </w:rPr>
        <w:t xml:space="preserve">[380] </w:t>
      </w:r>
      <w:hyperlink r:id="rId1039">
        <w:r>
          <w:rPr>
            <w:color w:val="1155CC"/>
            <w:u w:val="single"/>
          </w:rPr>
          <w:t>变化的电流</w:t>
        </w:r>
      </w:hyperlink>
    </w:p>
    <w:p>
      <w:pPr>
        <w:spacing w:before="0" w:after="80"/>
      </w:pPr>
      <w:r>
        <w:rPr>
          <w:i/>
          <w:sz w:val="20"/>
        </w:rPr>
        <w:t>EN: Shifting currents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40">
        <w:r>
          <w:rPr>
            <w:color w:val="1155CC"/>
            <w:u w:val="single"/>
          </w:rPr>
          <w:t>10.1126/science.aej5876</w:t>
        </w:r>
      </w:hyperlink>
    </w:p>
    <w:p>
      <w:pPr>
        <w:spacing w:before="0" w:after="120"/>
      </w:pPr>
      <w:r>
        <w:rPr>
          <w:b/>
        </w:rPr>
        <w:t xml:space="preserve">Notes: </w:t>
      </w:r>
      <w:r>
        <w:t>abstract_source=crossref</w:t>
      </w:r>
    </w:p>
    <w:p>
      <w:pPr>
        <w:spacing w:before="0" w:after="80" w:lineRule="auto" w:line="276"/>
      </w:pPr>
      <w:r>
        <w:rPr>
          <w:b/>
        </w:rPr>
        <w:t xml:space="preserve">摘要（ZH）: </w:t>
      </w:r>
      <w:r>
        <w:t>经过数十年的警告后，新数据表明大西洋的重要环流可能比人们担心的更好地抵御气候变暖</w:t>
      </w:r>
    </w:p>
    <w:p>
      <w:pPr>
        <w:spacing w:before="0" w:after="200" w:lineRule="auto" w:line="276"/>
      </w:pPr>
      <w:r>
        <w:rPr>
          <w:b/>
        </w:rPr>
        <w:t xml:space="preserve">Abstract (EN): </w:t>
      </w:r>
      <w:r>
        <w:t>After decades of warnings, new data suggest the Atlantic Ocean’s vital circulation may withstand climate warming better than feared</w:t>
      </w:r>
    </w:p>
    <w:p>
      <w:pPr>
        <w:spacing w:before="120" w:after="120"/>
      </w:pPr>
      <w:r>
        <w:rPr>
          <w:sz w:val="18"/>
        </w:rPr>
        <w:t>——————————————————————————————————————————————————————————————————————</w:t>
      </w:r>
    </w:p>
    <w:p>
      <w:pPr>
        <w:spacing w:before="160" w:after="40" w:line="240" w:lineRule="auto"/>
      </w:pPr>
      <w:r>
        <w:rPr>
          <w:b/>
        </w:rPr>
        <w:t xml:space="preserve">[381] </w:t>
      </w:r>
      <w:hyperlink r:id="rId1041">
        <w:r>
          <w:rPr>
            <w:color w:val="1155CC"/>
            <w:u w:val="single"/>
          </w:rPr>
          <w:t>胎盘代谢时钟</w:t>
        </w:r>
      </w:hyperlink>
    </w:p>
    <w:p>
      <w:pPr>
        <w:spacing w:before="0" w:after="80"/>
      </w:pPr>
      <w:r>
        <w:rPr>
          <w:i/>
          <w:sz w:val="20"/>
        </w:rPr>
        <w:t>EN: The placental metabolic clock</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42">
        <w:r>
          <w:rPr>
            <w:color w:val="1155CC"/>
            <w:u w:val="single"/>
          </w:rPr>
          <w:t>10.1126/science.aei4119</w:t>
        </w:r>
      </w:hyperlink>
    </w:p>
    <w:p>
      <w:pPr>
        <w:spacing w:before="0" w:after="120"/>
      </w:pPr>
      <w:r>
        <w:rPr>
          <w:b/>
        </w:rPr>
        <w:t xml:space="preserve">Notes: </w:t>
      </w:r>
      <w:r>
        <w:t>abstract_source=crossref</w:t>
      </w:r>
    </w:p>
    <w:p>
      <w:pPr>
        <w:spacing w:before="0" w:after="80" w:lineRule="auto" w:line="276"/>
      </w:pPr>
      <w:r>
        <w:rPr>
          <w:b/>
        </w:rPr>
        <w:t xml:space="preserve">摘要（ZH）: </w:t>
      </w:r>
      <w:r>
        <w:t>辅酶A</w:t>
      </w:r>
      <w:r>
        <w:t xml:space="preserve"> </w:t>
      </w:r>
      <w:r>
        <w:t>+</w:t>
      </w:r>
      <w:r>
        <w:t xml:space="preserve"> </w:t>
      </w:r>
      <w:r>
        <w:t>耗尽会触发小鼠的出生倒计时</w:t>
      </w:r>
    </w:p>
    <w:p>
      <w:pPr>
        <w:spacing w:before="0" w:after="200" w:lineRule="auto" w:line="276"/>
      </w:pPr>
      <w:r>
        <w:rPr>
          <w:b/>
        </w:rPr>
        <w:t xml:space="preserve">Abstract (EN): </w:t>
      </w:r>
      <w:r>
        <w:t>NAD</w:t>
      </w:r>
      <w:r>
        <w:t xml:space="preserve"> </w:t>
      </w:r>
      <w:r>
        <w:t>+</w:t>
      </w:r>
      <w:r>
        <w:t xml:space="preserve"> </w:t>
      </w:r>
      <w:r>
        <w:t>depletion triggers a countdown to birth in mice</w:t>
      </w:r>
    </w:p>
    <w:p>
      <w:pPr>
        <w:spacing w:before="120" w:after="120"/>
      </w:pPr>
      <w:r>
        <w:rPr>
          <w:sz w:val="18"/>
        </w:rPr>
        <w:t>——————————————————————————————————————————————————————————————————————</w:t>
      </w:r>
    </w:p>
    <w:p>
      <w:pPr>
        <w:spacing w:before="160" w:after="40" w:line="240" w:lineRule="auto"/>
      </w:pPr>
      <w:r>
        <w:rPr>
          <w:b/>
        </w:rPr>
        <w:t xml:space="preserve">[382] </w:t>
      </w:r>
      <w:hyperlink r:id="rId1043">
        <w:r>
          <w:rPr>
            <w:color w:val="1155CC"/>
            <w:u w:val="single"/>
          </w:rPr>
          <w:t>超越大自然的生物速度限制</w:t>
        </w:r>
      </w:hyperlink>
    </w:p>
    <w:p>
      <w:pPr>
        <w:spacing w:before="0" w:after="80"/>
      </w:pPr>
      <w:r>
        <w:rPr>
          <w:i/>
          <w:sz w:val="20"/>
        </w:rPr>
        <w:t>EN: Exceeding nature’s biological speed limits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44">
        <w:r>
          <w:rPr>
            <w:color w:val="1155CC"/>
            <w:u w:val="single"/>
          </w:rPr>
          <w:t>10.1126/science.aei3453</w:t>
        </w:r>
      </w:hyperlink>
    </w:p>
    <w:p>
      <w:pPr>
        <w:spacing w:before="0" w:after="120"/>
      </w:pPr>
      <w:r>
        <w:rPr>
          <w:b/>
        </w:rPr>
        <w:t xml:space="preserve">Notes: </w:t>
      </w:r>
      <w:r>
        <w:t>abstract_source=crossref</w:t>
      </w:r>
    </w:p>
    <w:p>
      <w:pPr>
        <w:spacing w:before="0" w:after="80" w:lineRule="auto" w:line="276"/>
      </w:pPr>
      <w:r>
        <w:rPr>
          <w:b/>
        </w:rPr>
        <w:t xml:space="preserve">摘要（ZH）: </w:t>
      </w:r>
      <w:r>
        <w:t>细胞壁快速松弛引发捕蝇草的折断</w:t>
      </w:r>
    </w:p>
    <w:p>
      <w:pPr>
        <w:spacing w:before="0" w:after="200" w:lineRule="auto" w:line="276"/>
      </w:pPr>
      <w:r>
        <w:rPr>
          <w:b/>
        </w:rPr>
        <w:t xml:space="preserve">Abstract (EN): </w:t>
      </w:r>
      <w:r>
        <w:t>Rapid cell wall relaxation initiates the snap of the Venus flytrap</w:t>
      </w:r>
    </w:p>
    <w:p>
      <w:pPr>
        <w:spacing w:before="120" w:after="120"/>
      </w:pPr>
      <w:r>
        <w:rPr>
          <w:sz w:val="18"/>
        </w:rPr>
        <w:t>——————————————————————————————————————————————————————————————————————</w:t>
      </w:r>
    </w:p>
    <w:p>
      <w:pPr>
        <w:spacing w:before="160" w:after="40" w:line="240" w:lineRule="auto"/>
      </w:pPr>
      <w:r>
        <w:rPr>
          <w:b/>
        </w:rPr>
        <w:t xml:space="preserve">[383] </w:t>
      </w:r>
      <w:hyperlink r:id="rId1045">
        <w:r>
          <w:rPr>
            <w:color w:val="1155CC"/>
            <w:u w:val="single"/>
          </w:rPr>
          <w:t>氮循环的不同轨迹</w:t>
        </w:r>
      </w:hyperlink>
    </w:p>
    <w:p>
      <w:pPr>
        <w:spacing w:before="0" w:after="80"/>
      </w:pPr>
      <w:r>
        <w:rPr>
          <w:i/>
          <w:sz w:val="20"/>
        </w:rPr>
        <w:t>EN: Divergent trajectories of the nitrogen cycle</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46">
        <w:r>
          <w:rPr>
            <w:color w:val="1155CC"/>
            <w:u w:val="single"/>
          </w:rPr>
          <w:t>10.1126/science.aei3391</w:t>
        </w:r>
      </w:hyperlink>
    </w:p>
    <w:p>
      <w:pPr>
        <w:spacing w:before="0" w:after="120"/>
      </w:pPr>
      <w:r>
        <w:rPr>
          <w:b/>
        </w:rPr>
        <w:t xml:space="preserve">Notes: </w:t>
      </w:r>
      <w:r>
        <w:t>abstract_source=crossref</w:t>
      </w:r>
    </w:p>
    <w:p>
      <w:pPr>
        <w:spacing w:before="0" w:after="80" w:lineRule="auto" w:line="276"/>
      </w:pPr>
      <w:r>
        <w:rPr>
          <w:b/>
        </w:rPr>
        <w:t xml:space="preserve">摘要（ZH）: </w:t>
      </w:r>
      <w:r>
        <w:t>水同位素测量用于模拟大陆范围内的地表水氮流</w:t>
      </w:r>
    </w:p>
    <w:p>
      <w:pPr>
        <w:spacing w:before="0" w:after="200" w:lineRule="auto" w:line="276"/>
      </w:pPr>
      <w:r>
        <w:rPr>
          <w:b/>
        </w:rPr>
        <w:t xml:space="preserve">Abstract (EN): </w:t>
      </w:r>
      <w:r>
        <w:t>Water isotope measurements are used to model surface water nitrogen flows on a continental scale</w:t>
      </w:r>
    </w:p>
    <w:p>
      <w:pPr>
        <w:spacing w:before="120" w:after="120"/>
      </w:pPr>
      <w:r>
        <w:rPr>
          <w:sz w:val="18"/>
        </w:rPr>
        <w:t>——————————————————————————————————————————————————————————————————————</w:t>
      </w:r>
    </w:p>
    <w:p>
      <w:pPr>
        <w:spacing w:before="160" w:after="40" w:line="240" w:lineRule="auto"/>
      </w:pPr>
      <w:r>
        <w:rPr>
          <w:b/>
        </w:rPr>
        <w:t xml:space="preserve">[384] </w:t>
      </w:r>
      <w:hyperlink r:id="rId1047">
        <w:r>
          <w:rPr>
            <w:color w:val="1155CC"/>
            <w:u w:val="single"/>
          </w:rPr>
          <w:t>我母亲的教训</w:t>
        </w:r>
      </w:hyperlink>
    </w:p>
    <w:p>
      <w:pPr>
        <w:spacing w:before="0" w:after="80"/>
      </w:pPr>
      <w:r>
        <w:rPr>
          <w:i/>
          <w:sz w:val="20"/>
        </w:rPr>
        <w:t>EN: Lessons from my mother</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48">
        <w:r>
          <w:rPr>
            <w:color w:val="1155CC"/>
            <w:u w:val="single"/>
          </w:rPr>
          <w:t>10.1126/science.aej5479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[385] </w:t>
      </w:r>
      <w:hyperlink r:id="rId1049">
        <w:r>
          <w:rPr>
            <w:color w:val="1155CC"/>
            <w:u w:val="single"/>
          </w:rPr>
          <w:t>童年环境塑造大脑</w:t>
        </w:r>
      </w:hyperlink>
    </w:p>
    <w:p>
      <w:pPr>
        <w:spacing w:before="0" w:after="80"/>
      </w:pPr>
      <w:r>
        <w:rPr>
          <w:i/>
          <w:sz w:val="20"/>
        </w:rPr>
        <w:t>EN: Childhood environments shape the brain</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50">
        <w:r>
          <w:rPr>
            <w:color w:val="1155CC"/>
            <w:u w:val="single"/>
          </w:rPr>
          <w:t>10.1126/science.aei3393</w:t>
        </w:r>
      </w:hyperlink>
    </w:p>
    <w:p>
      <w:pPr>
        <w:spacing w:before="0" w:after="120"/>
      </w:pPr>
      <w:r>
        <w:rPr>
          <w:b/>
        </w:rPr>
        <w:t xml:space="preserve">Notes: </w:t>
      </w:r>
      <w:r>
        <w:t>abstract_source=crossref</w:t>
      </w:r>
    </w:p>
    <w:p>
      <w:pPr>
        <w:spacing w:before="0" w:after="80" w:lineRule="auto" w:line="276"/>
      </w:pPr>
      <w:r>
        <w:rPr>
          <w:b/>
        </w:rPr>
        <w:t xml:space="preserve">摘要（ZH）: </w:t>
      </w:r>
      <w:r>
        <w:t>社会经济因素对儿童大脑结构和功能的影响位居榜首</w:t>
      </w:r>
    </w:p>
    <w:p>
      <w:pPr>
        <w:spacing w:before="0" w:after="200" w:lineRule="auto" w:line="276"/>
      </w:pPr>
      <w:r>
        <w:rPr>
          <w:b/>
        </w:rPr>
        <w:t xml:space="preserve">Abstract (EN): </w:t>
      </w:r>
      <w:r>
        <w:t>Socioeconomic factors top the list of influences on children’s brain structure and function</w:t>
      </w:r>
    </w:p>
    <w:p>
      <w:pPr>
        <w:spacing w:before="120" w:after="120"/>
      </w:pPr>
      <w:r>
        <w:rPr>
          <w:sz w:val="18"/>
        </w:rPr>
        <w:t>——————————————————————————————————————————————————————————————————————</w:t>
      </w:r>
    </w:p>
    <w:p>
      <w:pPr>
        <w:spacing w:before="160" w:after="40" w:line="240" w:lineRule="auto"/>
      </w:pPr>
      <w:r>
        <w:rPr>
          <w:b/>
        </w:rPr>
        <w:t xml:space="preserve">[386] </w:t>
      </w:r>
      <w:hyperlink r:id="rId1051">
        <w:r>
          <w:rPr>
            <w:color w:val="1155CC"/>
            <w:u w:val="single"/>
          </w:rPr>
          <w:t>氮循环沿景观水速梯度的发散演化</w:t>
        </w:r>
      </w:hyperlink>
    </w:p>
    <w:p>
      <w:pPr>
        <w:spacing w:before="0" w:after="80"/>
      </w:pPr>
      <w:r>
        <w:rPr>
          <w:i/>
          <w:sz w:val="20"/>
        </w:rPr>
        <w:t>EN: Divergent evolution of nitrogen cycling along gradients of landscape water velocities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52">
        <w:r>
          <w:rPr>
            <w:color w:val="1155CC"/>
            <w:u w:val="single"/>
          </w:rPr>
          <w:t>10.1126/science.aed0399</w:t>
        </w:r>
      </w:hyperlink>
    </w:p>
    <w:p>
      <w:pPr>
        <w:spacing w:before="0" w:after="120"/>
      </w:pPr>
      <w:r>
        <w:rPr>
          <w:b/>
        </w:rPr>
        <w:t xml:space="preserve">Notes: </w:t>
      </w:r>
      <w:r>
        <w:t>abstract_source=crossref</w:t>
      </w:r>
    </w:p>
    <w:p>
      <w:pPr>
        <w:spacing w:before="0" w:after="80" w:lineRule="auto" w:line="276"/>
      </w:pPr>
      <w:r>
        <w:rPr>
          <w:b/>
        </w:rPr>
        <w:t xml:space="preserve">摘要（ZH）: </w:t>
      </w:r>
      <w:r>
        <w:t>施肥的增加已将氮循环推向了地球边界之外，但由于氮模型中长期忽视景观水流速度，其命运仍然不确定。利用欧洲 3821 个流域的同位素辅助建模，我们证明氮循环的演变与 1980 年以来景观水流速度的变化密切相关。我们提出了“湿度边界”的概念，其中边界之外的水文转变会放大氮的积累和淋滤，而边界内的条件会减轻这些过程。应用这一框架，我们预计到 2100 年，在温和的水文变化下，欧洲 76% 的氮淋滤将减少，但在东欧和南欧水循环明显减速的情况下，氮积累将增加。这些发现强调了气候变化下新出现的水质风险以及缓解极端水文变化的必要性。</w:t>
      </w:r>
    </w:p>
    <w:p>
      <w:pPr>
        <w:spacing w:before="0" w:after="200" w:lineRule="auto" w:line="276"/>
      </w:pPr>
      <w:r>
        <w:rPr>
          <w:b/>
        </w:rPr>
        <w:t xml:space="preserve">Abstract (EN): </w:t>
      </w:r>
      <w:r>
        <w:t>Increasing fertilization has pushed the nitrogen cycle beyond planetary boundaries, yet its fate remains uncertain owing to long-standing neglect of landscape water velocities in nitrogen models. Leveraging isotope-aided modeling across 3821 European catchments, we demonstrate that evolution of nitrogen cycling is strongly linked to shifts in landscape water velocities since 1980. We propose the concept of “wetness boundaries,” where hydrological transitions beyond boundaries amplify nitrogen accumulation and leaching, whereas conditions remaining within boundaries mitigate these processes. Applying this framework, we project reduced nitrogen leaching across 76% of Europe under mild hydrological shifts by 2100 but increasing nitrogen accumulation under pronounced deceleration of water cycling in Eastern and Southern Europe. These findings underscore emerging water quality risks under climate change and the need to mitigate extreme hydrological shifts.</w:t>
      </w:r>
    </w:p>
    <w:p>
      <w:pPr>
        <w:spacing w:before="120" w:after="120"/>
      </w:pPr>
      <w:r>
        <w:rPr>
          <w:sz w:val="18"/>
        </w:rPr>
        <w:t>——————————————————————————————————————————————————————————————————————</w:t>
      </w:r>
    </w:p>
    <w:p>
      <w:pPr>
        <w:spacing w:before="160" w:after="40" w:line="240" w:lineRule="auto"/>
      </w:pPr>
      <w:r>
        <w:rPr>
          <w:b/>
        </w:rPr>
        <w:t xml:space="preserve">[387] </w:t>
      </w:r>
      <w:hyperlink r:id="rId1053">
        <w:r>
          <w:rPr>
            <w:color w:val="1155CC"/>
            <w:u w:val="single"/>
          </w:rPr>
          <w:t>细胞壁快速软化导致捕蝇草闭合</w:t>
        </w:r>
      </w:hyperlink>
    </w:p>
    <w:p>
      <w:pPr>
        <w:spacing w:before="0" w:after="80"/>
      </w:pPr>
      <w:r>
        <w:rPr>
          <w:i/>
          <w:sz w:val="20"/>
        </w:rPr>
        <w:t>EN: Fast cell wall softening causes Venus flytrap closure</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54">
        <w:r>
          <w:rPr>
            <w:color w:val="1155CC"/>
            <w:u w:val="single"/>
          </w:rPr>
          <w:t>10.1126/science.aed5051</w:t>
        </w:r>
      </w:hyperlink>
    </w:p>
    <w:p>
      <w:pPr>
        <w:spacing w:before="0" w:after="120"/>
      </w:pPr>
      <w:r>
        <w:rPr>
          <w:b/>
        </w:rPr>
        <w:t xml:space="preserve">Notes: </w:t>
      </w:r>
      <w:r>
        <w:t>abstract_source=crossref</w:t>
      </w:r>
    </w:p>
    <w:p>
      <w:pPr>
        <w:spacing w:before="0" w:after="80" w:lineRule="auto" w:line="276"/>
      </w:pPr>
      <w:r>
        <w:rPr>
          <w:b/>
        </w:rPr>
        <w:t xml:space="preserve">摘要（ZH）: </w:t>
      </w:r>
      <w:r>
        <w:t>植物可以在没有肌肉的情况下快速移动，正如维纳斯捕蝇草的折断瓣所示，这是植物生物力学中长期存在的难题。陷阱闭合涉及弹性不稳定性，但主动机械驱动器仍然难以捉摸。通过现场液压和机械测量，我们确定了驱动这一转变的电机。关闭发生得太快，无法用水输送来解释，揭示了一种独特的非水力机制：表皮细胞壁快速（约一秒）软化，释放储存在陷阱中的弹性能量。这代表了植物中报道的最快的壁力学调节。我们的发现揭示了一种基于材料特性动态调整的植物运动模式，提出了无肌肉、仿生驱动的原理。</w:t>
      </w:r>
    </w:p>
    <w:p>
      <w:pPr>
        <w:spacing w:before="0" w:after="200" w:lineRule="auto" w:line="276"/>
      </w:pPr>
      <w:r>
        <w:rPr>
          <w:b/>
        </w:rPr>
        <w:t xml:space="preserve">Abstract (EN): </w:t>
      </w:r>
      <w:r>
        <w:t>Plants can move rapidly without muscles, as seen in the Venus flytrap’s snapping lobes—a long-standing puzzle in plant biomechanics. Trap closure involves an elastic instability, but the active mechanical driver has remained elusive. Using in situ hydraulic and mechanical measurements, we identified the motor driving this transition. Closure occurs too quickly to be explained by water transport, revealing a distinct, nonhydraulic mechanism: a rapid (about one second) softening of the epidermal cell wall, releasing elastic energy stored in the trap. This represents the fastest modulation of wall mechanics reported in plants. Our finding reveals a mode of plant motility based on dynamic tuning of material properties, suggesting principles for muscle-free, bioinspired actuation.</w:t>
      </w:r>
    </w:p>
    <w:p>
      <w:pPr>
        <w:spacing w:before="120" w:after="120"/>
      </w:pPr>
      <w:r>
        <w:rPr>
          <w:sz w:val="18"/>
        </w:rPr>
        <w:t>——————————————————————————————————————————————————————————————————————</w:t>
      </w:r>
    </w:p>
    <w:p>
      <w:pPr>
        <w:spacing w:before="160" w:after="40" w:line="240" w:lineRule="auto"/>
      </w:pPr>
      <w:r>
        <w:rPr>
          <w:b/>
        </w:rPr>
        <w:t xml:space="preserve">[388] </w:t>
      </w:r>
      <w:hyperlink r:id="rId1055">
        <w:r>
          <w:rPr>
            <w:color w:val="1155CC"/>
            <w:u w:val="single"/>
          </w:rPr>
          <w:t>胎盘烟酰胺腺嘌呤二核苷酸调节分娩时间</w:t>
        </w:r>
      </w:hyperlink>
    </w:p>
    <w:p>
      <w:pPr>
        <w:spacing w:before="0" w:after="80"/>
      </w:pPr>
      <w:r>
        <w:rPr>
          <w:i/>
          <w:sz w:val="20"/>
        </w:rPr>
        <w:t>EN: Placental nicotinamide adenine dinucleotide modulates the timing of labor</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56">
        <w:r>
          <w:rPr>
            <w:color w:val="1155CC"/>
            <w:u w:val="single"/>
          </w:rPr>
          <w:t>10.1126/science.adz1624</w:t>
        </w:r>
      </w:hyperlink>
    </w:p>
    <w:p>
      <w:pPr>
        <w:spacing w:before="0" w:after="120"/>
      </w:pPr>
      <w:r>
        <w:rPr>
          <w:b/>
        </w:rPr>
        <w:t xml:space="preserve">Notes: </w:t>
      </w:r>
      <w:r>
        <w:t>abstract_source=crossref</w:t>
      </w:r>
    </w:p>
    <w:p>
      <w:pPr>
        <w:spacing w:before="0" w:after="80" w:lineRule="auto" w:line="276"/>
      </w:pPr>
      <w:r>
        <w:rPr>
          <w:b/>
        </w:rPr>
        <w:t xml:space="preserve">摘要（ZH）: </w:t>
      </w:r>
      <w:r>
        <w:t>分娩是由妊娠组织内的前列腺素信号传导直接介导的，并且必须严格调节，以便在胎儿适当发育后发生分娩。伴随妊娠衰老的代谢变化被认为是出生时间的决定因素，但具体的营养物质、传感器和信使仍然不清楚。我们报告胎盘烟酰胺腺嘌呤二核苷酸（NAD</w:t>
      </w:r>
      <w:r>
        <w:t xml:space="preserve"> </w:t>
      </w:r>
      <w:r>
        <w:t>+</w:t>
      </w:r>
      <w:r>
        <w:t xml:space="preserve"> </w:t>
      </w:r>
      <w:r>
        <w:t>）动态调整妊娠长度。胎盘 NAD 耗尽</w:t>
      </w:r>
      <w:r>
        <w:t xml:space="preserve"> </w:t>
      </w:r>
      <w:r>
        <w:t>+</w:t>
      </w:r>
      <w:r>
        <w:t xml:space="preserve"> </w:t>
      </w:r>
      <w:r>
        <w:t>在小鼠中通过 NAD 的作用引发分娩</w:t>
      </w:r>
      <w:r>
        <w:t xml:space="preserve"> </w:t>
      </w:r>
      <w:r>
        <w:t>+</w:t>
      </w:r>
      <w:r>
        <w:t xml:space="preserve"> </w:t>
      </w:r>
      <w:r>
        <w:t>作为 15-羟基前列腺素脱氢酶的辅助因子，15-羟基前列腺素脱氢酶是一种负责抑制前列腺素积累的酶。胎盘NAD增强</w:t>
      </w:r>
      <w:r>
        <w:t xml:space="preserve"> </w:t>
      </w:r>
      <w:r>
        <w:t>+</w:t>
      </w:r>
      <w:r>
        <w:t xml:space="preserve"> </w:t>
      </w:r>
      <w:r>
        <w:t>基线和早产模型中妊娠延长。这些发现表明代谢衰竭在引发分娩中发挥着核心作用，并揭示了早产和优化引产的潜在治疗途径。</w:t>
      </w:r>
    </w:p>
    <w:p>
      <w:pPr>
        <w:spacing w:before="0" w:after="200" w:lineRule="auto" w:line="276"/>
      </w:pPr>
      <w:r>
        <w:rPr>
          <w:b/>
        </w:rPr>
        <w:t xml:space="preserve">Abstract (EN): </w:t>
      </w:r>
      <w:r>
        <w:t>Labor is mediated proximately by prostaglandin signaling within gestational tissues and must be tightly regulated for birth to occur after appropriate fetal development. Metabolic changes accompanying gestational aging have been postulated as a determinant of birth timing, but specific nutrients, sensors, and messengers remain obscure. We report that placental nicotinamide adenine dinucleotide (NAD</w:t>
      </w:r>
      <w:r>
        <w:t xml:space="preserve"> </w:t>
      </w:r>
      <w:r>
        <w:t>+</w:t>
      </w:r>
      <w:r>
        <w:t xml:space="preserve"> </w:t>
      </w:r>
      <w:r>
        <w:t>) dynamically tunes gestational length. Depletion of placental NAD</w:t>
      </w:r>
      <w:r>
        <w:t xml:space="preserve"> </w:t>
      </w:r>
      <w:r>
        <w:t>+</w:t>
      </w:r>
      <w:r>
        <w:t xml:space="preserve"> </w:t>
      </w:r>
      <w:r>
        <w:t>in mice provoked labor onset, mediated by the role of NAD</w:t>
      </w:r>
      <w:r>
        <w:t xml:space="preserve"> </w:t>
      </w:r>
      <w:r>
        <w:t>+</w:t>
      </w:r>
      <w:r>
        <w:t xml:space="preserve"> </w:t>
      </w:r>
      <w:r>
        <w:t>as a cofactor for 15-hydroxy prostaglandin dehydrogenase, an enzyme responsible for suppressing prostaglandin accumulation. Augmentation of placental NAD</w:t>
      </w:r>
      <w:r>
        <w:t xml:space="preserve"> </w:t>
      </w:r>
      <w:r>
        <w:t>+</w:t>
      </w:r>
      <w:r>
        <w:t xml:space="preserve"> </w:t>
      </w:r>
      <w:r>
        <w:t>prolonged gestation at baseline and in a model of preterm labor. These findings suggest a central role for metabolic exhaustion in provoking labor and reveal potential therapeutic avenues for preterm labor and the optimization of labor induction.</w:t>
      </w:r>
    </w:p>
    <w:p>
      <w:pPr>
        <w:spacing w:before="120" w:after="120"/>
      </w:pPr>
      <w:r>
        <w:rPr>
          <w:sz w:val="18"/>
        </w:rPr>
        <w:t>——————————————————————————————————————————————————————————————————————</w:t>
      </w:r>
    </w:p>
    <w:p>
      <w:pPr>
        <w:spacing w:before="160" w:after="40" w:line="240" w:lineRule="auto"/>
      </w:pPr>
      <w:r>
        <w:rPr>
          <w:b/>
        </w:rPr>
        <w:t xml:space="preserve">[389] </w:t>
      </w:r>
      <w:hyperlink r:id="rId1057">
        <w:r>
          <w:rPr>
            <w:color w:val="1155CC"/>
            <w:u w:val="single"/>
          </w:rPr>
          <w:t>轨道太阳能反射器的生态风险</w:t>
        </w:r>
      </w:hyperlink>
    </w:p>
    <w:p>
      <w:pPr>
        <w:spacing w:before="0" w:after="80"/>
      </w:pPr>
      <w:r>
        <w:rPr>
          <w:i/>
          <w:sz w:val="20"/>
        </w:rPr>
        <w:t>EN: Ecological risks of orbital solar reflectors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58">
        <w:r>
          <w:rPr>
            <w:color w:val="1155CC"/>
            <w:u w:val="single"/>
          </w:rPr>
          <w:t>10.1126/science.aeh6580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[390] </w:t>
      </w:r>
      <w:hyperlink r:id="rId1059">
        <w:r>
          <w:rPr>
            <w:color w:val="1155CC"/>
            <w:u w:val="single"/>
          </w:rPr>
          <w:t>超级地球和迷你海王星遵循不同的轨道周期-偏心率关系</w:t>
        </w:r>
      </w:hyperlink>
    </w:p>
    <w:p>
      <w:pPr>
        <w:spacing w:before="0" w:after="80"/>
      </w:pPr>
      <w:r>
        <w:rPr>
          <w:i/>
          <w:sz w:val="20"/>
        </w:rPr>
        <w:t>EN: Super-earths and mini-neptunes follow different orbital period–eccentricity relations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60">
        <w:r>
          <w:rPr>
            <w:color w:val="1155CC"/>
            <w:u w:val="single"/>
          </w:rPr>
          <w:t>10.1126/science.adu3916</w:t>
        </w:r>
      </w:hyperlink>
    </w:p>
    <w:p>
      <w:pPr>
        <w:spacing w:before="0" w:after="120"/>
      </w:pPr>
      <w:r>
        <w:rPr>
          <w:b/>
        </w:rPr>
        <w:t xml:space="preserve">Notes: </w:t>
      </w:r>
      <w:r>
        <w:t>abstract_source=crossref</w:t>
      </w:r>
    </w:p>
    <w:p>
      <w:pPr>
        <w:spacing w:before="0" w:after="80" w:lineRule="auto" w:line="276"/>
      </w:pPr>
      <w:r>
        <w:rPr>
          <w:b/>
        </w:rPr>
        <w:t xml:space="preserve">摘要（ZH）: </w:t>
      </w:r>
      <w:r>
        <w:t>人们观察到许多系外行星的半径大小介于地球和海王星之间，因此被分为两类：超级地球（SE）和迷你海王星（MN）。太阳系中不存在SE或MN，其形成和演化的机制存在争议。我们使用集合统计分析和单独测量研究了 SE 和 MN 的轨道周期与偏心率之间的关系。我们发现 MN 遵循轨道周期和偏心率之间的反相关关系，但 SE 遵循不同的关系，可能是相反的方向。这些趋势意味着 MN 和 SE 是动态不同的群体。我们认为 SE 更强烈地受到重力散射和巨大撞击等暴力过程的影响，而 MN 主要经历静态的长期进化。</w:t>
      </w:r>
    </w:p>
    <w:p>
      <w:pPr>
        <w:spacing w:before="0" w:after="200" w:lineRule="auto" w:line="276"/>
      </w:pPr>
      <w:r>
        <w:rPr>
          <w:b/>
        </w:rPr>
        <w:t xml:space="preserve">Abstract (EN): </w:t>
      </w:r>
      <w:r>
        <w:t>Many exoplanets have been observed with radius sizes between that of Earth and that of Neptune and are thus classified into two groups: super-earths (SEs) and mini-neptunes (MNs). There are no SEs or MNs in the Solar System, and the mechanisms responsible for their formation and evolution are debated. We investigated the relationships between the orbital period and eccentricity of SEs and MNs using both ensemble statistical analyses and individual measurements. We found that MNs follow an anticorrelation between orbital period and eccentricity, but SEs follow a different relation, possibly in the opposite direction. These trends imply that MNs and SEs are dynamically distinct populations. We suggest that SEs have been more strongly influenced by violent processes such as gravitational scattering and giant impacts, whereas MNs predominantly experienced quiescent secular evolution.</w:t>
      </w:r>
    </w:p>
    <w:p>
      <w:pPr>
        <w:spacing w:before="120" w:after="120"/>
      </w:pPr>
      <w:r>
        <w:rPr>
          <w:sz w:val="18"/>
        </w:rPr>
        <w:t>——————————————————————————————————————————————————————————————————————</w:t>
      </w:r>
    </w:p>
    <w:p>
      <w:pPr>
        <w:spacing w:before="160" w:after="40" w:line="240" w:lineRule="auto"/>
      </w:pPr>
      <w:r>
        <w:rPr>
          <w:b/>
        </w:rPr>
        <w:t xml:space="preserve">[391] </w:t>
      </w:r>
      <w:hyperlink r:id="rId1061">
        <w:r>
          <w:rPr>
            <w:color w:val="1155CC"/>
            <w:u w:val="single"/>
          </w:rPr>
          <w:t>2D 规划无法管理 3D 海洋</w:t>
        </w:r>
      </w:hyperlink>
    </w:p>
    <w:p>
      <w:pPr>
        <w:spacing w:before="0" w:after="80"/>
      </w:pPr>
      <w:r>
        <w:rPr>
          <w:i/>
          <w:sz w:val="20"/>
        </w:rPr>
        <w:t>EN: A 2D plan cannot govern a 3D ocean</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62">
        <w:r>
          <w:rPr>
            <w:color w:val="1155CC"/>
            <w:u w:val="single"/>
          </w:rPr>
          <w:t>10.1126/science.aei0666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[392] </w:t>
      </w:r>
      <w:hyperlink r:id="rId1063">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2026-06-11 06:00:12+00:00</w:t>
      </w:r>
      <w:r>
        <w:t xml:space="preserve">    </w:t>
      </w:r>
      <w:r>
        <w:rPr>
          <w:b/>
        </w:rPr>
        <w:t xml:space="preserve">DOI: </w:t>
      </w:r>
      <w:hyperlink r:id="rId1064">
        <w:r>
          <w:rPr>
            <w:color w:val="1155CC"/>
            <w:u w:val="single"/>
          </w:rPr>
          <w:t>10.1126/science.aej5478</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[393] </w:t>
      </w:r>
      <w:hyperlink r:id="rId1065">
        <w:r>
          <w:rPr>
            <w:color w:val="1155CC"/>
            <w:u w:val="single"/>
          </w:rPr>
          <w:t>生物系统中的染色体选择性转化：前景和挑战</w:t>
        </w:r>
      </w:hyperlink>
    </w:p>
    <w:p>
      <w:pPr>
        <w:spacing w:before="0" w:after="80"/>
      </w:pPr>
      <w:r>
        <w:rPr>
          <w:i/>
          <w:sz w:val="20"/>
        </w:rPr>
        <w:t>EN: Toward Chromoselective Transformations in Biological Systems: Perspectives and Challenges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06:04:41+00:00</w:t>
      </w:r>
      <w:r>
        <w:t xml:space="preserve">    </w:t>
      </w:r>
      <w:r>
        <w:rPr>
          <w:b/>
        </w:rPr>
        <w:t xml:space="preserve">DOI: </w:t>
      </w:r>
      <w:hyperlink r:id="rId1066">
        <w:r>
          <w:rPr>
            <w:color w:val="1155CC"/>
            <w:u w:val="single"/>
          </w:rPr>
          <w:t>10.1002/anie.202526148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几十年来，处理具有生物活性的小分子发色团已被确立为控制生物系统的有效手段。然而，体外系统，尤其是体内系统的复杂性无法通过单一波长的光激活（去）激活一种发色团来匹配。因此，开发在同一系统内组合和单独控制多个发色团的方法非常重要。越来越多的策略依赖于小分子的颜色选择性转化。本文介绍了光开关、光点击化学和光笼的色彩选择性控制，并重点介绍了生物系统背景下需要克服的观点和未来挑战。</w:t>
      </w:r>
    </w:p>
    <w:p>
      <w:pPr>
        <w:spacing w:before="0" w:after="200" w:lineRule="auto" w:line="276"/>
      </w:pPr>
      <w:r>
        <w:rPr>
          <w:b/>
        </w:rPr>
        <w:t xml:space="preserve">Abstract (EN): </w:t>
      </w:r>
      <w:r>
        <w:t>Addressing small‐molecule chromophores with bioactive properties has been established as an effective means of controlling biological systems for several decades. However, the complexity of in vitro and especially in vivo systems cannot be matched by a single wavelength of light (de)activating one kind of chromophore. Consequently, developing methods to combine and individually control multiple chromophores within the same system is of high importance. An increasing number of strategies have become available relying on the chromoselective transformation of small molecules. This article features the chromoselective control of photoswitches, photoclick chemistry, and photocages, and highlights perspectives and future challenges to be overcome in the context of biological systems.</w:t>
      </w:r>
    </w:p>
    <w:p>
      <w:pPr>
        <w:spacing w:before="120" w:after="120"/>
      </w:pPr>
      <w:r>
        <w:rPr>
          <w:sz w:val="18"/>
        </w:rPr>
        <w:t>——————————————————————————————————————————————————————————————————————</w:t>
      </w:r>
    </w:p>
    <w:p>
      <w:pPr>
        <w:spacing w:before="160" w:after="40" w:line="240" w:lineRule="auto"/>
      </w:pPr>
      <w:r>
        <w:rPr>
          <w:b/>
        </w:rPr>
        <w:t xml:space="preserve">[394] </w:t>
      </w:r>
      <w:hyperlink r:id="rId1067">
        <w:r>
          <w:rPr>
            <w:color w:val="1155CC"/>
            <w:u w:val="single"/>
          </w:rPr>
          <w:t>对“还原电合成中硼氢化物氧化作为反反应”的更正</w:t>
        </w:r>
      </w:hyperlink>
    </w:p>
    <w:p>
      <w:pPr>
        <w:spacing w:before="0" w:after="80"/>
      </w:pPr>
      <w:r>
        <w:rPr>
          <w:i/>
          <w:sz w:val="20"/>
        </w:rPr>
        <w:t>EN: Correction to “Borohydride Oxidation as Counter Reaction in Reductive Electrosynthesis”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06:05:30+00:00</w:t>
      </w:r>
      <w:r>
        <w:t xml:space="preserve">    </w:t>
      </w:r>
      <w:r>
        <w:rPr>
          <w:b/>
        </w:rPr>
        <w:t xml:space="preserve">DOI: </w:t>
      </w:r>
      <w:hyperlink r:id="rId1068">
        <w:r>
          <w:rPr>
            <w:color w:val="1155CC"/>
            <w:u w:val="single"/>
          </w:rPr>
          <w:t>10.1002/anie.1331602</w:t>
        </w:r>
      </w:hyperlink>
    </w:p>
    <w:p>
      <w:pPr>
        <w:spacing w:before="0" w:after="120"/>
      </w:pPr>
      <w:r>
        <w:rPr>
          <w:b/>
        </w:rPr>
        <w:t xml:space="preserve">Notes: </w:t>
      </w:r>
      <w:r>
        <w:t>abstract_source=openalex</w:t>
      </w:r>
    </w:p>
    <w:p>
      <w:pPr>
        <w:spacing w:before="0" w:after="80" w:lineRule="auto" w:line="276"/>
      </w:pPr>
      <w:r>
        <w:rPr>
          <w:b/>
        </w:rPr>
        <w:t xml:space="preserve">摘要（ZH）: </w:t>
      </w:r>
      <w:r>
        <w:t>J. Kuzmin、M. Lill、G. Ahumada 等人，“硼氢化物氧化作为还原电合成中的反反应”，Angewandte Chemie International Edition 64 (2025)：e202501653，https://doi.org/10.1002/anie.202501653。在发表后审查期间，我们发现了以下错误，希望予以纠正： 缺少对使用方法 A 报告的产量的参考文献 55 和对方法 K 报告的产量的参考文献 63 的交叉引用。图 2 标题中的注释 b 应指分离产量，而注释 c 指 GC 测定的产量。在图 3 的标题中，注释 a 应指 HPLC 测定的产率，并且应删除当前的注释 c。原始支持信息文件被更正版本替换，其中化合物 2c 的 1H 和 13C-NMR 谱被替换为正确版本。我们希望强调，这些更正不会影响已发表作品的科学结论、叙述或完整性。所有主要发现和解释均保持不变。对于这个错误，我们深表歉意。</w:t>
      </w:r>
    </w:p>
    <w:p>
      <w:pPr>
        <w:spacing w:before="0" w:after="200" w:lineRule="auto" w:line="276"/>
      </w:pPr>
      <w:r>
        <w:rPr>
          <w:b/>
        </w:rPr>
        <w:t xml:space="preserve">Abstract (EN): </w:t>
      </w:r>
      <w:r>
        <w:t>J. Kuzmin, M. Lill, G. Ahumada, et al., “Borohydride Oxidation as Counter Reaction in Reductive Electrosynthesis”, Angewandte Chemie International Edition 64 (2025): e202501653, https://doi.org/10.1002/anie.202501653. During post-publication review, we identified the following errors that we wish to correct: Cross-references to reference 55 for the yields reported using Method A and reference 63 for yields reported for Method K are missing. Note b in the caption for Figure 2 should refer to isolated yields, whereas note c refers to yield determined by GC. In the caption for Figure 3, note a should refer to yield determined by HPLC, and the current note c should be removed. The original Supporting Information file was replaced with a corrected version in which the 1H- and 13C-NMR spectra for compound 2c were replaced with the correct versions. We wish to emphasize that none of these corrections affect the scientific conclusions, narrative, or integrity of the published work. All key findings and interpretations remain unchanged. We apologize for this error.</w:t>
      </w:r>
    </w:p>
    <w:p>
      <w:pPr>
        <w:spacing w:before="120" w:after="120"/>
      </w:pPr>
      <w:r>
        <w:rPr>
          <w:sz w:val="18"/>
        </w:rPr>
        <w:t>——————————————————————————————————————————————————————————————————————</w:t>
      </w:r>
    </w:p>
    <w:p>
      <w:pPr>
        <w:spacing w:before="160" w:after="40" w:line="240" w:lineRule="auto"/>
      </w:pPr>
      <w:r>
        <w:rPr>
          <w:b/>
        </w:rPr>
        <w:t xml:space="preserve">[395] </w:t>
      </w:r>
      <w:hyperlink r:id="rId1069">
        <w:r>
          <w:rPr>
            <w:color w:val="1155CC"/>
            <w:u w:val="single"/>
          </w:rPr>
          <w:t>笼型多孔有机盐作为瓶中船纳米反应器，用于透明且可重复使用的分子光催化剂</w:t>
        </w:r>
      </w:hyperlink>
    </w:p>
    <w:p>
      <w:pPr>
        <w:spacing w:before="0" w:after="80"/>
      </w:pPr>
      <w:r>
        <w:rPr>
          <w:i/>
          <w:sz w:val="20"/>
        </w:rPr>
        <w:t>EN: Cage‐Type Porous Organic Salts as Ship‐in‐a‐Bottle Nanoreactors for Light‐Transparent and Reusable Molecular Photocatalysts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06:08:45+00:00</w:t>
      </w:r>
      <w:r>
        <w:t xml:space="preserve">    </w:t>
      </w:r>
      <w:r>
        <w:rPr>
          <w:b/>
        </w:rPr>
        <w:t xml:space="preserve">DOI: </w:t>
      </w:r>
      <w:hyperlink r:id="rId1070">
        <w:r>
          <w:rPr>
            <w:color w:val="1155CC"/>
            <w:u w:val="single"/>
          </w:rPr>
          <w:t>10.1002/anie.6654151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不重新设计主体的情况下，使分子光催化剂异质化，同时保留其完整的、预先设计的结构，仍然是一个基本挑战。多孔材料内的固定化可以控制反应环境并提高可回收性；然而，大多数宿主系统需要催化剂特定的结构重新设计，限制了通用性。我们引入了笼型多孔有机盐（POS）作为基于瓶中船策略的均质、分子定义的光催化剂（有机分子和金属配位配合物）的模块化宿主平台。由金刚烷基磺酸和三（乙炔基苯基）甲胺构建的方钠石型 POS 提供了轮廓分明、透光、笼状的内腔。单晶X射线衍射表明，POS通过统一的重结晶方案可容纳多种光催化剂，包括蒽醌、菲醌和酞菁。该框架在可见光区域表现出可忽略不计的吸收，从而能够选择性激发光催化剂而无需竞争性光吸收。孔表面乙炔基的合成后硫醇-炔交联增强了框架并使其不溶，同时保留了笼状空腔。例如，菲醌封装的 POS 作为可重复使用的异质光催化剂，用于可见光驱动的异丙醇和氧气生产过氧化氢，其产率高达 4.2 mmol g</w:t>
      </w:r>
      <w:r>
        <w:t xml:space="preserve"> </w:t>
      </w:r>
      <w:r>
        <w:t>−1</w:t>
      </w:r>
      <w:r>
        <w:t xml:space="preserve"> </w:t>
      </w:r>
      <w:r>
        <w:t>小时</w:t>
      </w:r>
    </w:p>
    <w:p>
      <w:pPr>
        <w:spacing w:before="0" w:after="200" w:lineRule="auto" w:line="276"/>
      </w:pPr>
      <w:r>
        <w:rPr>
          <w:b/>
        </w:rPr>
        <w:t xml:space="preserve">Abstract (EN): </w:t>
      </w:r>
      <w:r>
        <w:t>Heterogenizing molecular photocatalysts while preserving their intact, pre‐designed structures—without redesigning the host—remains a fundamental challenge. Immobilization within porous materials offers control over reaction environments and improved recyclability; however, most host systems require catalyst‐specific structural redesign, limiting generality. We introduce a cage‐type porous organic salt (POS) as a modular host platform for homogeneous, molecularly defined photocatalysts (organic molecules and metal coordination complexes) based on a ship‐in‐a‐bottle strategy. A sodalite‐type POS constructed from adamantane‐based sulfonic acid and tri(ethynylphenyl)methylamine provides well‐defined, light‐transparent, cage‐like internal cavities. Single‐crystal X‐ray diffraction reveals that the POS accommodates diverse photocatalysts, including anthraquinone, phenanthrenequinone, and phthalocyanine, through a unified recrystallization protocol. The framework exhibits negligible absorption in the visible region, enabling selective excitation of photocatalysts without competitive light absorption. Post‐synthetic thiol–yne crosslinking of ethynyl groups on the pore surface reinforces the framework and renders it insoluble while preserving cage‐like cavities. For example, a phenanthrenequinone‐encapsulated POS functions as a reusable heterogeneous photocatalyst for visible‐light‐driven hydrogen peroxide production from isopropanol and oxygen, achieving rates of up to 4.2 mmol g</w:t>
      </w:r>
      <w:r>
        <w:t xml:space="preserve"> </w:t>
      </w:r>
      <w:r>
        <w:t>−1</w:t>
      </w:r>
      <w:r>
        <w:t xml:space="preserve"> </w:t>
      </w:r>
      <w:r>
        <w:t>h</w:t>
      </w:r>
      <w:r>
        <w:t xml:space="preserve"> </w:t>
      </w:r>
      <w:r>
        <w:t>−1</w:t>
      </w:r>
      <w:r>
        <w:t xml:space="preserve"> </w:t>
      </w:r>
      <w:r>
        <w:t>without catalyst leaching. Overall, cage‐type POSs serve as light‐transparent nanoreactors for intact molecular photocatalysts, providing a modular, expandable platform for photocatalyst immobilization and post‐synthetic functionalization.</w:t>
      </w:r>
    </w:p>
    <w:p>
      <w:pPr>
        <w:spacing w:before="120" w:after="120"/>
      </w:pPr>
      <w:r>
        <w:rPr>
          <w:sz w:val="18"/>
        </w:rPr>
        <w:t>——————————————————————————————————————————————————————————————————————</w:t>
      </w:r>
    </w:p>
    <w:p>
      <w:pPr>
        <w:spacing w:before="160" w:after="40" w:line="240" w:lineRule="auto"/>
      </w:pPr>
      <w:r>
        <w:rPr>
          <w:b/>
        </w:rPr>
        <w:t xml:space="preserve">[396] </w:t>
      </w:r>
      <w:hyperlink r:id="rId1071">
        <w:r>
          <w:rPr>
            <w:color w:val="1155CC"/>
            <w:u w:val="single"/>
          </w:rPr>
          <w:t>噻吩工程脂质 II 识别可有效膜解根除 MRSA</w:t>
        </w:r>
      </w:hyperlink>
    </w:p>
    <w:p>
      <w:pPr>
        <w:spacing w:before="0" w:after="80"/>
      </w:pPr>
      <w:r>
        <w:rPr>
          <w:i/>
          <w:sz w:val="20"/>
        </w:rPr>
        <w:t>EN: Thiophene‐Engineered Lipid II Recognition Enables Potent Membranolytic Eradication of MRSA</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06:09:27+00:00</w:t>
      </w:r>
      <w:r>
        <w:t xml:space="preserve">    </w:t>
      </w:r>
      <w:r>
        <w:rPr>
          <w:b/>
        </w:rPr>
        <w:t xml:space="preserve">DOI: </w:t>
      </w:r>
      <w:hyperlink r:id="rId1072">
        <w:r>
          <w:rPr>
            <w:color w:val="1155CC"/>
            <w:u w:val="single"/>
          </w:rPr>
          <w:t>10.1002/anie.5919230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甲氧西林耐药</w:t>
      </w:r>
      <w:r>
        <w:t xml:space="preserve"> </w:t>
      </w:r>
      <w:r>
        <w:t>金黄色葡萄球菌</w:t>
      </w:r>
      <w:r>
        <w:t xml:space="preserve"> </w:t>
      </w:r>
      <w:r>
        <w:t>（耐甲氧西林金黄色葡萄球菌）仍然是一个重大的全球健康威胁，因此需要开发新的抗菌药物。我们报告了小分子 TPL(II)-07 的合理设计，它结合了多个功能模块：(i) 2-苯基噻吩，用于特异性识别和结合脂质 II，脂质 II 是肽聚糖生物合成的关键中间体； (ii) 具有高界面渗透性的金刚烷片段，可破坏脂质堆积的稳定性； (iii)用于分散生物膜的阳离子赖氨酸部分； (iv) 适度的脂肪链以破坏膜的完整性。在七种类似物中，TPL(II)-07 表现出最高的效力，突出了每个成分的协同贡献。机理分析证实脂质 II 的优先结合、杀菌效力、生物膜分散和活性氧的产生，对耐药性 (MIC 19 µM) 和药物敏感型 (MIC 9 µM) 均有效</w:t>
      </w:r>
      <w:r>
        <w:t xml:space="preserve"> </w:t>
      </w:r>
      <w:r>
        <w:t>金黄色葡萄球菌</w:t>
      </w:r>
      <w:r>
        <w:t xml:space="preserve"> </w:t>
      </w:r>
      <w:r>
        <w:t>菌株。 TPL(II)-07表现出优异的生物相容性，具有IC</w:t>
      </w:r>
      <w:r>
        <w:rPr>
          <w:vertAlign w:val="subscript"/>
        </w:rPr>
        <w:t>50</w:t>
      </w:r>
      <w:r>
        <w:t>HEK-293 和 WI38 细胞中 &gt; 50 mM，溶血活性可忽略不计。此外，它还抑制了关键的毒力特征，包括溶血素活性、生物膜形成和葡萄球菌黄质产生。此外，掺有 TPL(II)-07 的硼酸官能化瓜尔胶水凝胶在小鼠切除模型中实现了有效的感染控制和增强的伤口修复，建立了基于噻吩的唇部</w:t>
      </w:r>
    </w:p>
    <w:p>
      <w:pPr>
        <w:spacing w:before="0" w:after="200" w:lineRule="auto" w:line="276"/>
      </w:pPr>
      <w:r>
        <w:rPr>
          <w:b/>
        </w:rPr>
        <w:t xml:space="preserve">Abstract (EN): </w:t>
      </w:r>
      <w:r>
        <w:t>Methicillin‐resistant</w:t>
      </w:r>
      <w:r>
        <w:t xml:space="preserve"> </w:t>
      </w:r>
      <w:r>
        <w:t>Staphylococcus aureus</w:t>
      </w:r>
      <w:r>
        <w:t xml:space="preserve"> </w:t>
      </w:r>
      <w:r>
        <w:t>(MRSA) remains a significant global health threat, necessitating the development of new antimicrobials. We report the rational design of a small molecule TPL(II)‐07, that combines multiple functional modules: (i) 2‐phenylthiophene for specific recognition and binding to lipid II, a key intermediate in peptidoglycan biosynthesis; (ii) an adamantane fragment with high interfacial permeability to destabilize lipid packing; (iii) a cationic lysine moiety to disperse biofilms; and (iv) a moderate aliphatic chain to disrupt membrane integrity. Among seven analogues, TPL(II)‐07 exhibited the highest potency, highlighting the synergistic contribution of each component. Mechanistic assays confirmed preferential binding of lipid II, bactericidal potency, biofilm dispersion, and the generation of reactive oxygen species, effective against both drug‐resistant (MIC 19 µM) and drug‐sensitive (MIC 9 µM)</w:t>
      </w:r>
      <w:r>
        <w:t xml:space="preserve"> </w:t>
      </w:r>
      <w:r>
        <w:t>S. aureus</w:t>
      </w:r>
      <w:r>
        <w:t xml:space="preserve"> </w:t>
      </w:r>
      <w:r>
        <w:t>strains. TPL(II)‐07 demonstrated excellent biocompatibility, with IC</w:t>
      </w:r>
      <w:r>
        <w:rPr>
          <w:vertAlign w:val="subscript"/>
        </w:rPr>
        <w:t>50</w:t>
      </w:r>
      <w:r>
        <w:t>&amp;gt; 50 mM in HEK‐293 and WI38 cells and negligible hemolytic activity. In addition, it suppressed key virulence traits, including hemolysin activity, biofilm formation, and staphyloxanthin production. Further, a borate‐functionalized guar gum hydrogel incorporating TPL(II)‐07 achieved effective infection control and enhanced wound repair in a murine excisional model, establishing thiophene‐based lipid II targeting as a versatile platform for next‐generation antimicrobials with dual antibacterial and wound‐healing potential.</w:t>
      </w:r>
    </w:p>
    <w:p>
      <w:pPr>
        <w:spacing w:before="120" w:after="120"/>
      </w:pPr>
      <w:r>
        <w:rPr>
          <w:sz w:val="18"/>
        </w:rPr>
        <w:t>——————————————————————————————————————————————————————————————————————</w:t>
      </w:r>
    </w:p>
    <w:p>
      <w:pPr>
        <w:spacing w:before="160" w:after="40" w:line="240" w:lineRule="auto"/>
      </w:pPr>
      <w:r>
        <w:rPr>
          <w:b/>
        </w:rPr>
        <w:t xml:space="preserve">[397] </w:t>
      </w:r>
      <w:hyperlink r:id="rId1073">
        <w:r>
          <w:rPr>
            <w:color w:val="1155CC"/>
            <w:u w:val="single"/>
          </w:rPr>
          <w:t>用于高通量合成聚合物生物共轭物的耐氧光诱导小型加速原子转移自由基聚合（OPTIMA-ATRP）</w:t>
        </w:r>
      </w:hyperlink>
    </w:p>
    <w:p>
      <w:pPr>
        <w:spacing w:before="0" w:after="80"/>
      </w:pPr>
      <w:r>
        <w:rPr>
          <w:i/>
          <w:sz w:val="20"/>
        </w:rPr>
        <w:t>EN: Oxygen‐Tolerant Photo‐Induced Miniaturized Accelerated Atom Transfer Radical Polymerization (OPTIMA‐ATRP) for High‐Throughput Synthesis of Polymer Bioconjugates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06:13:15+00:00</w:t>
      </w:r>
      <w:r>
        <w:t xml:space="preserve">    </w:t>
      </w:r>
      <w:r>
        <w:rPr>
          <w:b/>
        </w:rPr>
        <w:t xml:space="preserve">DOI: </w:t>
      </w:r>
      <w:hyperlink r:id="rId1074">
        <w:r>
          <w:rPr>
            <w:color w:val="1155CC"/>
            <w:u w:val="single"/>
          </w:rPr>
          <w:t>10.1002/anie.6617585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成聚合物与生物分子的缀合物形成聚合物生物缀合物（PBC），用于改善许多生物疗法的药代动力学特性。通过可逆失活自由基聚合（RDRP）从生物分子生长合成聚合物，证明了作为合成生物杂化物“接枝”方法的替代方法的巨大潜力。然而，应用于生物分子的传统“嫁接”方法受到反应体积大、反应时间长、严格脱氧和复杂工作流程的阻碍，使得它们不适合合成为新兴材料发现收集大量数据集所需的 PBC 库。本文开发了水中耐氧光诱导小型加速原子转移自由基聚合 (OPTIMA-ATRP)，用于在环境或低于环境 (4°C) 的温度和大气条件下聚合亲水性 (甲基) 丙烯酸酯单体，无需事先脱气，时间 &lt; 10 分钟。丙酮酸钠 (SP) 与紫外线 (380–395 nm, 28.5–30 mW/cm</w:t>
      </w:r>
      <w:r>
        <w:rPr>
          <w:vertAlign w:val="subscript"/>
        </w:rPr>
        <w:t>2</w:t>
      </w:r>
      <w:r>
        <w:t>）促进了微量移液器吸头或 96 孔板中超小规模（&lt; 50 µL）水中的快速受控聚合。通过利用这种 OPTIMA-ATRP，使用并行、高通量方法对多种类型的 PBC（例如 DNA、肽、脂质和蛋白质聚合物杂化物）进行了经济有效的合成。该技术能够快速优化生物杂交合成，这是以前无法实现的</w:t>
      </w:r>
    </w:p>
    <w:p>
      <w:pPr>
        <w:spacing w:before="0" w:after="200" w:lineRule="auto" w:line="276"/>
      </w:pPr>
      <w:r>
        <w:rPr>
          <w:b/>
        </w:rPr>
        <w:t xml:space="preserve">Abstract (EN): </w:t>
      </w:r>
      <w:r>
        <w:t>Conjugates of synthetic polymers with biomolecules, forming polymer bioconjugates (PBCs), are used to improve the pharmacokinetic properties of many biological therapeutics. Growing synthetic polymers from biomolecules via reversible deactivation radical polymerization (RDRP) demonstrated enormous potential as an alternative to the “grafting to” method in synthesizing biohybrids. However, conventional “grafting from” approaches applied to biomolecules are hindered by large reaction volumes, long reaction times, rigorous deoxygenation, and complex workflows, rendering them unsuitable for synthesizing libraries of PBCs needed to collect large data sets for emerging materials discovery. Herein, Oxygen‐tolerant photo‐induced miniaturized accelerated atom transfer radical polymerization (OPTIMA‐ATRP) in water was developed for the polymerization of hydrophilic (meth)acrylate monomers under ambient or sub‐ambient (4°C) temperature and atmospheric conditions, without prior degassing, in &amp;lt; 10 min. Sodium pyruvate (SP) in conjunction with UV light (380–395 nm, 28.5–30 mW/cm</w:t>
      </w:r>
      <w:r>
        <w:rPr>
          <w:vertAlign w:val="subscript"/>
        </w:rPr>
        <w:t>2</w:t>
      </w:r>
      <w:r>
        <w:t>) promoted rapid controlled polymerization in water, on an ultra‐small scale (&amp;lt; 50 µL) in micropipette tips or 96‐well plate. By exploiting this OPTIMA‐ATRP, cost‐effective syntheses of several types of PBCs (e.g., DNA‐, peptide‐, lipid‐, and protein–polymer hybrids) were carried out using a parallel, high‐throughput approach. This technique enables rapid optimization of biohybrid synthesis, previously inaccessible under conventional conditions, and empowers non‐specialists to use ATRP in various areas.</w:t>
      </w:r>
    </w:p>
    <w:p>
      <w:pPr>
        <w:spacing w:before="120" w:after="120"/>
      </w:pPr>
      <w:r>
        <w:rPr>
          <w:sz w:val="18"/>
        </w:rPr>
        <w:t>——————————————————————————————————————————————————————————————————————</w:t>
      </w:r>
    </w:p>
    <w:p>
      <w:pPr>
        <w:spacing w:before="160" w:after="40" w:line="240" w:lineRule="auto"/>
      </w:pPr>
      <w:r>
        <w:rPr>
          <w:b/>
        </w:rPr>
        <w:t xml:space="preserve">[398] </w:t>
      </w:r>
      <w:hyperlink r:id="rId1075">
        <w:r>
          <w:rPr>
            <w:color w:val="1155CC"/>
            <w:u w:val="single"/>
          </w:rPr>
          <w:t>通过桨轮二铜分子催化剂切换氢转移路径以实现高效电催化乙炔半加氢</w:t>
        </w:r>
      </w:hyperlink>
    </w:p>
    <w:p>
      <w:pPr>
        <w:spacing w:before="0" w:after="80"/>
      </w:pPr>
      <w:r>
        <w:rPr>
          <w:i/>
          <w:sz w:val="20"/>
        </w:rPr>
        <w:t>EN: Switching Hydrogen Transfer Pathway Over Paddle‐Wheel Dicopper Molecular Catalysts for Efficient Electrocatalytic Acetylene Semihydrogenation</w:t>
      </w:r>
    </w:p>
    <w:p>
      <w:pPr>
        <w:spacing w:before="0" w:after="120"/>
      </w:pPr>
      <w:r>
        <w:rPr>
          <w:b/>
        </w:rPr>
        <w:t xml:space="preserve">Source: </w:t>
      </w:r>
      <w:r>
        <w:t>Wiley-Online-Library: Advanced Materials: Table of Contents</w:t>
      </w:r>
      <w:r>
        <w:t xml:space="preserve">    </w:t>
      </w:r>
      <w:r>
        <w:rPr>
          <w:b/>
        </w:rPr>
        <w:t xml:space="preserve">Pub date: </w:t>
      </w:r>
      <w:r>
        <w:t>2026-06-11 06:13:33+00:00</w:t>
      </w:r>
      <w:r>
        <w:t xml:space="preserve">    </w:t>
      </w:r>
      <w:r>
        <w:rPr>
          <w:b/>
        </w:rPr>
        <w:t xml:space="preserve">DOI: </w:t>
      </w:r>
      <w:hyperlink r:id="rId1076">
        <w:r>
          <w:rPr>
            <w:color w:val="1155CC"/>
            <w:u w:val="single"/>
          </w:rPr>
          <w:t>10.1002/adma.73644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阐明电催化乙炔半加氢（EAH）的氢转移途径对于理解催化机理和设计高性能催化剂至关重要，但面临着巨大的挑战。在此，我们在叶轮二铜分子催化剂上前所未有地转换了Eley-Rideal机制和Langmuir-Hinshelwood机制之间的氢转移途径，其中Cu位点的电荷密度受到具有不同吸电子能力的配体的有效调节。扩展X射线吸收精细结构（EXAFS）、操作表征和理论计算共同表明，苯甲酸-Cu催化剂（BA-Cu）中Cu位点的中等电荷密度抑制H</w:t>
      </w:r>
      <w:r>
        <w:rPr>
          <w:vertAlign w:val="subscript"/>
        </w:rPr>
        <w:t>2</w:t>
      </w:r>
      <w:r>
        <w:t>O解离并减少C</w:t>
      </w:r>
      <w:r>
        <w:rPr>
          <w:vertAlign w:val="subscript"/>
        </w:rPr>
        <w:t>2</w:t>
      </w:r>
      <w:r>
        <w:t>H</w:t>
      </w:r>
      <w:r>
        <w:rPr>
          <w:vertAlign w:val="subscript"/>
        </w:rPr>
        <w:t>2</w:t>
      </w:r>
      <w:r>
        <w:t>吸附能，促进C的共吸附</w:t>
      </w:r>
      <w:r>
        <w:rPr>
          <w:vertAlign w:val="subscript"/>
        </w:rPr>
        <w:t>2</w:t>
      </w:r>
      <w:r>
        <w:t>H</w:t>
      </w:r>
      <w:r>
        <w:rPr>
          <w:vertAlign w:val="subscript"/>
        </w:rPr>
        <w:t>2</w:t>
      </w:r>
      <w:r>
        <w:t>和H</w:t>
      </w:r>
      <w:r>
        <w:rPr>
          <w:vertAlign w:val="subscript"/>
        </w:rPr>
        <w:t>2</w:t>
      </w:r>
      <w:r>
        <w:t>O 并通过 Eley‐Rideal 机构操纵 EAH。在具有低电荷密度的乙酸-Cu (AA-Cu)和具有高电荷密度的一氟苯甲酸-Cu (MFBA-Cu)中，Cu位点促进H</w:t>
      </w:r>
      <w:r>
        <w:rPr>
          <w:vertAlign w:val="subscript"/>
        </w:rPr>
        <w:t>2</w:t>
      </w:r>
      <w:r>
        <w:t>O 解离为 *H 并氢化 C</w:t>
      </w:r>
      <w:r>
        <w:rPr>
          <w:vertAlign w:val="subscript"/>
        </w:rPr>
        <w:t>2</w:t>
      </w:r>
      <w:r>
        <w:t>H</w:t>
      </w:r>
      <w:r>
        <w:rPr>
          <w:vertAlign w:val="subscript"/>
        </w:rPr>
        <w:t>2</w:t>
      </w:r>
      <w:r>
        <w:t>通过 Langmuir-Hinshelwood 机制。在 1</w:t>
      </w:r>
      <w:r>
        <w:t xml:space="preserve"> </w:t>
      </w:r>
      <w:r>
        <w:t>中号</w:t>
      </w:r>
      <w:r>
        <w:t xml:space="preserve"> </w:t>
      </w:r>
      <w:r>
        <w:t>KOH水溶液</w:t>
      </w:r>
    </w:p>
    <w:p>
      <w:pPr>
        <w:spacing w:before="0" w:after="200" w:lineRule="auto" w:line="276"/>
      </w:pPr>
      <w:r>
        <w:rPr>
          <w:b/>
        </w:rPr>
        <w:t xml:space="preserve">Abstract (EN): </w:t>
      </w:r>
      <w:r>
        <w:t>Elucidating the hydrogen transfer pathway of electrocatalytic acetylene semihydrogenation (EAH) is crucial for understanding the catalytic mechanism and designing high‐performance catalysts, but faces grand challenges. Herein, we unprecedentedly switch the hydrogen transfer pathway between Eley‐Rideal mechanism and Langmuir‐Hinshelwood mechanism over paddle‐wheel dicopper molecular catalysts, where the charge density of the Cu sites is effectively modulated by the ligands with different electron‐withdrawing ability. Extended X‐ray absorption fine structure (EXAFS), operando characterizations, and theoretical calculations together reveal that the moderate charge density of Cu sites in benzoic acid‐Cu catalyst (BA‐Cu) inhibits H</w:t>
      </w:r>
      <w:r>
        <w:rPr>
          <w:vertAlign w:val="subscript"/>
        </w:rPr>
        <w:t>2</w:t>
      </w:r>
      <w:r>
        <w:t>O dissociation and reduces C</w:t>
      </w:r>
      <w:r>
        <w:rPr>
          <w:vertAlign w:val="subscript"/>
        </w:rPr>
        <w:t>2</w:t>
      </w:r>
      <w:r>
        <w:t>H</w:t>
      </w:r>
      <w:r>
        <w:rPr>
          <w:vertAlign w:val="subscript"/>
        </w:rPr>
        <w:t>2</w:t>
      </w:r>
      <w:r>
        <w:t>adsorption energy, promoting the co‐adsorption of C</w:t>
      </w:r>
      <w:r>
        <w:rPr>
          <w:vertAlign w:val="subscript"/>
        </w:rPr>
        <w:t>2</w:t>
      </w:r>
      <w:r>
        <w:t>H</w:t>
      </w:r>
      <w:r>
        <w:rPr>
          <w:vertAlign w:val="subscript"/>
        </w:rPr>
        <w:t>2</w:t>
      </w:r>
      <w:r>
        <w:t>and H</w:t>
      </w:r>
      <w:r>
        <w:rPr>
          <w:vertAlign w:val="subscript"/>
        </w:rPr>
        <w:t>2</w:t>
      </w:r>
      <w:r>
        <w:t>O and steering the EAH through the Eley‐Rideal mechanism. In acetic acid‐Cu (AA‐Cu) with low charge density and monofluorobenzoic acid‐Cu (MFBA‐Cu) with high charge density, the Cu sites facilitate H</w:t>
      </w:r>
      <w:r>
        <w:rPr>
          <w:vertAlign w:val="subscript"/>
        </w:rPr>
        <w:t>2</w:t>
      </w:r>
      <w:r>
        <w:t>O dissociation to *H and hydrogenate C</w:t>
      </w:r>
      <w:r>
        <w:rPr>
          <w:vertAlign w:val="subscript"/>
        </w:rPr>
        <w:t>2</w:t>
      </w:r>
      <w:r>
        <w:t>H</w:t>
      </w:r>
      <w:r>
        <w:rPr>
          <w:vertAlign w:val="subscript"/>
        </w:rPr>
        <w:t>2</w:t>
      </w:r>
      <w:r>
        <w:t>via the Langmuir‐Hinshelwood mechanism. In 1</w:t>
      </w:r>
      <w:r>
        <w:t xml:space="preserve"> </w:t>
      </w:r>
      <w:r>
        <w:t>M</w:t>
      </w:r>
      <w:r>
        <w:t xml:space="preserve"> </w:t>
      </w:r>
      <w:r>
        <w:t>KOH aqueous solution, the BA‐Cu delivers an ethylene partial current density of 328 mA/cm</w:t>
      </w:r>
      <w:r>
        <w:rPr>
          <w:vertAlign w:val="subscript"/>
        </w:rPr>
        <w:t>2</w:t>
      </w:r>
      <w:r>
        <w:t>with an ethylene Faradaic efficiency (FE) of 96.4% at –0.9 V versus RHE, which is about 2‐fold and 1.4‐fold higher than AA‐Cu and MFBA‐Cu. This work provides mechanistic insights for the rational design of high‐performance electrocatalysts by regulating the hydrogenation kinetics.</w:t>
      </w:r>
    </w:p>
    <w:p>
      <w:pPr>
        <w:spacing w:before="120" w:after="120"/>
      </w:pPr>
      <w:r>
        <w:rPr>
          <w:sz w:val="18"/>
        </w:rPr>
        <w:t>——————————————————————————————————————————————————————————————————————</w:t>
      </w:r>
    </w:p>
    <w:p>
      <w:pPr>
        <w:spacing w:before="160" w:after="40" w:line="240" w:lineRule="auto"/>
      </w:pPr>
      <w:r>
        <w:rPr>
          <w:b/>
        </w:rPr>
        <w:t xml:space="preserve">[399] </w:t>
      </w:r>
      <w:hyperlink r:id="rId1077">
        <w:r>
          <w:rPr>
            <w:color w:val="1155CC"/>
            <w:u w:val="single"/>
          </w:rPr>
          <w:t>肽在固相上的后期功能化</w:t>
        </w:r>
      </w:hyperlink>
    </w:p>
    <w:p>
      <w:pPr>
        <w:spacing w:before="0" w:after="80"/>
      </w:pPr>
      <w:r>
        <w:rPr>
          <w:i/>
          <w:sz w:val="20"/>
        </w:rPr>
        <w:t>EN: Late‐Stage Functionalization of Peptides on the Solid Phase</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06:14:37+00:00</w:t>
      </w:r>
      <w:r>
        <w:t xml:space="preserve">    </w:t>
      </w:r>
      <w:r>
        <w:rPr>
          <w:b/>
        </w:rPr>
        <w:t xml:space="preserve">DOI: </w:t>
      </w:r>
      <w:hyperlink r:id="rId1078">
        <w:r>
          <w:rPr>
            <w:color w:val="1155CC"/>
            <w:u w:val="single"/>
          </w:rPr>
          <w:t>10.1002/anie.4556652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修饰是调整肽结构和功能的一种手段。这在肽药物开发领域特别令人感兴趣。因此，迫切需要能够直接修饰具有非规范残基的肽的方法。树脂后期功能化是一种强大的、经济高效的肽修饰工具。它还允许进行高通量实验，使其非常适合简化肽疗法的开发。在这篇小综述中，我们概述了树脂上后期肽功能化的化学方法，其中大部分是在过去十年中开发的。这些反应的范围从亲核取代和羰基化学到金属催化和光催化。许多提出的方法已被证明与短肽和长肽兼容，并调节它们的生物活性。高通量格式的肽库合成的令人印象深刻的例子证明了后期肽功能化对于未来几年肽疗法开发的巨大潜力。</w:t>
      </w:r>
    </w:p>
    <w:p>
      <w:pPr>
        <w:spacing w:before="0" w:after="200" w:lineRule="auto" w:line="276"/>
      </w:pPr>
      <w:r>
        <w:rPr>
          <w:b/>
        </w:rPr>
        <w:t xml:space="preserve">Abstract (EN): </w:t>
      </w:r>
      <w:r>
        <w:t>Chemical modification is a means of tailoring the structure and function of peptides. This is of particular interest in the field of peptide drug development. Methods that enable straightforward modification of peptides with non‐canonical residues are therefore in high demand. On‐resin late‐stage functionalization is a powerful, cost‐ and time‐efficient tool for modifying peptides. It also allows for high‐throughput experimentation, making it well suited to streamlining the development of peptide therapeutics. In this minireview, we provide an overview of the chemical approaches for on‐resin late‐stage peptide functionalization , most of which have been developed over the past decade. These reactions range from nucleophilic substitution and carbonyl chemistry to metal catalysis and photocatalysis. Many of the presented approaches have been shown to be compatible with short and long peptides, and to modulate their bioactivity. Impressive examples of peptide library synthesis in high‐throughput formats demonstrate the enormous potential of late‐stage peptide functionalization for the development of peptide therapeutics in the years to come.</w:t>
      </w:r>
    </w:p>
    <w:p>
      <w:pPr>
        <w:spacing w:before="120" w:after="120"/>
      </w:pPr>
      <w:r>
        <w:rPr>
          <w:sz w:val="18"/>
        </w:rPr>
        <w:t>——————————————————————————————————————————————————————————————————————</w:t>
      </w:r>
    </w:p>
    <w:p>
      <w:pPr>
        <w:spacing w:before="160" w:after="40" w:line="240" w:lineRule="auto"/>
      </w:pPr>
      <w:r>
        <w:rPr>
          <w:b/>
        </w:rPr>
        <w:t xml:space="preserve">[400] </w:t>
      </w:r>
      <w:hyperlink r:id="rId1079">
        <w:r>
          <w:rPr>
            <w:color w:val="1155CC"/>
            <w:u w:val="single"/>
          </w:rPr>
          <w:t>高Z和快速有机闪烁体的空间分子解耦设计</w:t>
        </w:r>
      </w:hyperlink>
    </w:p>
    <w:p>
      <w:pPr>
        <w:spacing w:before="0" w:after="80"/>
      </w:pPr>
      <w:r>
        <w:rPr>
          <w:i/>
          <w:sz w:val="20"/>
        </w:rPr>
        <w:t>EN: Spatial Molecular Decoupling Design for High‐Z and Fast Organic Scintillators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06:16:35+00:00</w:t>
      </w:r>
      <w:r>
        <w:t xml:space="preserve">    </w:t>
      </w:r>
      <w:r>
        <w:rPr>
          <w:b/>
        </w:rPr>
        <w:t xml:space="preserve">DOI: </w:t>
      </w:r>
      <w:hyperlink r:id="rId1080">
        <w:r>
          <w:rPr>
            <w:color w:val="1155CC"/>
            <w:u w:val="single"/>
          </w:rPr>
          <w:t>10.1002/anie.4586495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闪烁体对于灵活且低成本的辐射检测至关重要；然而，它们面临着长期存在的“吸收速度”权衡：结合高Z元素来增强X射线衰减通常会触发强自旋轨道耦合（SOC），从而猝灭瞬时荧光并将激发能量转移到缓慢的微秒级三重态路径中。在这里，我们提出了一种分子解偶联策略来克服这一困境，该策略在供体-受体-供体（D-A-D）杂化局部和电荷转移（HLCT）分子中实现，4,7-双（4-（双（4-碘苯基）甲基）苯基）苯并[</w:t>
      </w:r>
      <w:r>
        <w:t xml:space="preserve"> </w:t>
      </w:r>
      <w:r>
        <w:t>c</w:t>
      </w:r>
      <w:r>
        <w:t xml:space="preserve"> </w:t>
      </w:r>
      <w:r>
        <w:t>][1,2,5]噻二唑（TPBI）。通过将碘原子末端束缚在三苯胺单元上，我们实现了强大的 X 射线衰减，同时保留了快速的“热激子”发射通道。分子固有的非平面几何形状和战略空间排列成功地将重原子效应与发射核心隔离，保持了 T 之间关键的准简并性。</w:t>
      </w:r>
      <w:r>
        <w:rPr>
          <w:vertAlign w:val="subscript"/>
        </w:rPr>
        <w:t>2</w:t>
      </w:r>
      <w:r>
        <w:t>和S</w:t>
      </w:r>
      <w:r>
        <w:rPr>
          <w:vertAlign w:val="subscript"/>
        </w:rPr>
        <w:t>1</w:t>
      </w:r>
      <w:r>
        <w:t>州。这种配置有利于快速高位反向系间窜越（hRISC），在不影响纳秒级衰变动力学的情况下实现近乎一致的激子利用。我们基于 TPBI 的闪烁体展示了有效 X 射线相互作用的协同性能特征（衰减效率 5.672 cm</w:t>
      </w:r>
      <w:r>
        <w:rPr>
          <w:vertAlign w:val="subscript"/>
        </w:rPr>
        <w:t>2</w:t>
      </w:r>
      <w:r>
        <w:t>克</w:t>
      </w:r>
      <w:r>
        <w:t xml:space="preserve"> </w:t>
      </w:r>
      <w:r>
        <w:t>−1</w:t>
      </w:r>
      <w:r>
        <w:t xml:space="preserve"> </w:t>
      </w:r>
      <w:r>
        <w:t>28 keV）和快速的温度</w:t>
      </w:r>
    </w:p>
    <w:p>
      <w:pPr>
        <w:spacing w:before="0" w:after="200" w:lineRule="auto" w:line="276"/>
      </w:pPr>
      <w:r>
        <w:rPr>
          <w:b/>
        </w:rPr>
        <w:t xml:space="preserve">Abstract (EN): </w:t>
      </w:r>
      <w:r>
        <w:t>Organic scintillators are pivotal for flexible and low‐cost radiation detection; however, they face a long‐standing “absorption–speed” trade‐off: incorporating high‐Z elements to enhance X‐ray attenuation typically triggers strong spin–orbit coupling (SOC), which quenches prompt fluorescence and diverts excitation energy into slow, microsecond‐scale triplet pathways. Here, we present a molecular decoupling strategy to overcome this dilemma, realized in a donor–acceptor–donor (D–A–D) hybridized local and charge‐transfer (HLCT) molecule, 4,7‐bis(4‐(bis(4‐iodophenyl)methyl)phenyl)benzo[</w:t>
      </w:r>
      <w:r>
        <w:t xml:space="preserve"> </w:t>
      </w:r>
      <w:r>
        <w:t>c</w:t>
      </w:r>
      <w:r>
        <w:t xml:space="preserve"> </w:t>
      </w:r>
      <w:r>
        <w:t>][1,2,5]thiadiazole (TPBI). By terminally tethering iodine atoms to the triphenylamine units, we achieve robust X‐ray attenuation while preserving a fast “hot‐exciton” emission channel. The intrinsic nonplanar geometry and strategic spatial arrangement of the molecule successfully isolate the heavy‐atom effect from the emissive core, maintaining the crucial quasi‐degeneracy between the T</w:t>
      </w:r>
      <w:r>
        <w:rPr>
          <w:vertAlign w:val="subscript"/>
        </w:rPr>
        <w:t>2</w:t>
      </w:r>
      <w:r>
        <w:t>and S</w:t>
      </w:r>
      <w:r>
        <w:rPr>
          <w:vertAlign w:val="subscript"/>
        </w:rPr>
        <w:t>1</w:t>
      </w:r>
      <w:r>
        <w:t>states. This configuration facilitates rapid high‐lying reverse intersystem crossing (hRISC), enabling near‐unity exciton utilization without compromising nanosecond‐scale decay kinetics. Our TPBI‐based scintillator demonstrates a synergized performance profile of potent X‐ray interaction (attenuation efficiency 5.672 cm</w:t>
      </w:r>
      <w:r>
        <w:rPr>
          <w:vertAlign w:val="subscript"/>
        </w:rPr>
        <w:t>2</w:t>
      </w:r>
      <w:r>
        <w:t>g</w:t>
      </w:r>
      <w:r>
        <w:t xml:space="preserve"> </w:t>
      </w:r>
      <w:r>
        <w:t>−1</w:t>
      </w:r>
      <w:r>
        <w:t xml:space="preserve"> </w:t>
      </w:r>
      <w:r>
        <w:t>at 28 keV) and a fast temporal response (2.96 ns), providing a general molecular design paradigm for next‐generation, high‐performance organic radiation detectors.</w:t>
      </w:r>
    </w:p>
    <w:p>
      <w:pPr>
        <w:spacing w:before="120" w:after="120"/>
      </w:pPr>
      <w:r>
        <w:rPr>
          <w:sz w:val="18"/>
        </w:rPr>
        <w:t>——————————————————————————————————————————————————————————————————————</w:t>
      </w:r>
    </w:p>
    <w:p>
      <w:pPr>
        <w:spacing w:before="160" w:after="40" w:line="240" w:lineRule="auto"/>
      </w:pPr>
      <w:r>
        <w:rPr>
          <w:b/>
        </w:rPr>
        <w:t xml:space="preserve">[401] </w:t>
      </w:r>
      <w:hyperlink r:id="rId1081">
        <w:r>
          <w:rPr>
            <w:color w:val="1155CC"/>
            <w:u w:val="single"/>
          </w:rPr>
          <w:t>软硬件，流动软件：用于适应性化学计算的可重构微流体</w:t>
        </w:r>
      </w:hyperlink>
    </w:p>
    <w:p>
      <w:pPr>
        <w:spacing w:before="0" w:after="80"/>
      </w:pPr>
      <w:r>
        <w:rPr>
          <w:i/>
          <w:sz w:val="20"/>
        </w:rPr>
        <w:t>EN: Soft Hardware, Flowing Software: Reconfigurable Microfluidics for Adaptable Chemical Computation</w:t>
      </w:r>
    </w:p>
    <w:p>
      <w:pPr>
        <w:spacing w:before="0" w:after="120"/>
      </w:pPr>
      <w:r>
        <w:rPr>
          <w:b/>
        </w:rPr>
        <w:t xml:space="preserve">Source: </w:t>
      </w:r>
      <w:r>
        <w:t>Wiley-Online-Library: Advanced Materials: Table of Contents</w:t>
      </w:r>
      <w:r>
        <w:t xml:space="preserve">    </w:t>
      </w:r>
      <w:r>
        <w:rPr>
          <w:b/>
        </w:rPr>
        <w:t xml:space="preserve">Pub date: </w:t>
      </w:r>
      <w:r>
        <w:t>2026-06-11 06:17:39+00:00</w:t>
      </w:r>
      <w:r>
        <w:t xml:space="preserve">    </w:t>
      </w:r>
      <w:r>
        <w:rPr>
          <w:b/>
        </w:rPr>
        <w:t xml:space="preserve">DOI: </w:t>
      </w:r>
      <w:hyperlink r:id="rId1082">
        <w:r>
          <w:rPr>
            <w:color w:val="1155CC"/>
            <w:u w:val="single"/>
          </w:rPr>
          <w:t>10.1002/adma.73669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和物理计算系统有望以传统电子技术无法达到的性能状态进行信息处理。然而，它们通常受到静态硬件架构的限制，从而限制了适应性和计算丰富性。在这里，我们介绍了一种可重构的微流体平台，其中软水凝胶结构被 3D 打印并原位擦除，以动态重塑化学计算发生的物理环境。通过将微流体几何结构视为主动、可编程元件而不是被动容器，我们展示了对化学信息处理的硬件可重构控制。我们演示了可切换的脱氧核糖核酸 (DNA) 逻辑门，可在 AND 和 OR 功能之间交替，而不修改底层反应网络，从而将逻辑功能与分子组成解耦。将其扩展到反馈控制 pH 振荡器形式的非平衡化学反应网络，我们证明印刷结构可以引导反应动力学和空间图案形成，从而产生几何依赖的时空状态。利用这些动力学，我们实现了一个物理储层计算机，其中可重构的微流体硬件能够通过简单的线性读出来实现各种非线性函数。我们的工作建立了可重构软微流体硬件作为化学计算的控制层，强调了适应性物理环境如何主动扩展化学软件的计算状态空间。</w:t>
      </w:r>
    </w:p>
    <w:p>
      <w:pPr>
        <w:spacing w:before="0" w:after="200" w:lineRule="auto" w:line="276"/>
      </w:pPr>
      <w:r>
        <w:rPr>
          <w:b/>
        </w:rPr>
        <w:t xml:space="preserve">Abstract (EN): </w:t>
      </w:r>
      <w:r>
        <w:t>Chemical and physical computing systems promise information processing in performance regimes inaccessible to conventional electronics. However, they are typically constrained by static hardware architectures that limit adaptability and computational richness. Here, we introduce a reconfigurable microfluidic platform where soft hydrogel structures are 3D‐printed and erased in situ to dynamically reshape the physical environment in which chemical computation occurs. By treating microfluidic geometry as an active, programmable element rather than a passive container, we demonstrate hardware‐reconfigurable control over chemical information processing. We demonstrate switchable Deoxyribonucleic acid (DNA) logic gates that alternate between AND and OR functionality without modifying the underlying reaction network, decoupling logic function from molecular composition. Extending this to a non‐equilibrium chemical reaction network in the form of a feedback‐controlled pH oscillator, we demonstrate that printed structures steer reaction kinetics and spatial pattern formation, giving rise to geometry‐dependent spatiotemporal states. Leveraging these dynamics, we implement a physical reservoir computer in which reconfigurable microfluidic hardware enables the realization of diverse nonlinear functions through simple linear readout. Our work establishes reconfigurable soft microfluidic hardware as a control layer for chemical computation, highlighting how adaptable physical environments actively expand the computational state space of chemical software.</w:t>
      </w:r>
    </w:p>
    <w:p>
      <w:pPr>
        <w:spacing w:before="120" w:after="120"/>
      </w:pPr>
      <w:r>
        <w:rPr>
          <w:sz w:val="18"/>
        </w:rPr>
        <w:t>——————————————————————————————————————————————————————————————————————</w:t>
      </w:r>
    </w:p>
    <w:p>
      <w:pPr>
        <w:spacing w:before="160" w:after="40" w:line="240" w:lineRule="auto"/>
      </w:pPr>
      <w:r>
        <w:rPr>
          <w:b/>
        </w:rPr>
        <w:t xml:space="preserve">[402] </w:t>
      </w:r>
      <w:hyperlink r:id="rId1083">
        <w:r>
          <w:rPr>
            <w:color w:val="1155CC"/>
            <w:u w:val="single"/>
          </w:rPr>
          <w:t>用于隐形可写 2D 和 3D 显示器的可逆 900 nm 近红外光电开关</w:t>
        </w:r>
      </w:hyperlink>
    </w:p>
    <w:p>
      <w:pPr>
        <w:spacing w:before="0" w:after="80"/>
      </w:pPr>
      <w:r>
        <w:rPr>
          <w:i/>
          <w:sz w:val="20"/>
        </w:rPr>
        <w:t>EN: A Reversible 900 nm Near‐Infrared Photoswitch for Invisibly Writable 2D and 3D Displays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06:18:49+00:00</w:t>
      </w:r>
      <w:r>
        <w:t xml:space="preserve">    </w:t>
      </w:r>
      <w:r>
        <w:rPr>
          <w:b/>
        </w:rPr>
        <w:t xml:space="preserve">DOI: </w:t>
      </w:r>
      <w:hyperlink r:id="rId1084">
        <w:r>
          <w:rPr>
            <w:color w:val="1155CC"/>
            <w:u w:val="single"/>
          </w:rPr>
          <w:t>10.1002/anie.5802775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光电开关响应光照射而在不同状态之间交换，是有意控制最小尺度变化的重要工具。它们的开发面临的一个长期挑战是将吸收推向电磁波谱的低能端，这对于避免光损伤、允许混合光响应成分并最大化可用的颜色范围是非常理想的。在这里，我们报告了一种新颖的光电开关主题，</w:t>
      </w:r>
      <w:r>
        <w:t xml:space="preserve"> </w:t>
      </w:r>
      <w:r>
        <w:t>佩里</w:t>
      </w:r>
      <w:r>
        <w:t xml:space="preserve"> </w:t>
      </w:r>
      <w:r>
        <w:t>‐苯并[</w:t>
      </w:r>
      <w:r>
        <w:t xml:space="preserve"> </w:t>
      </w:r>
      <w:r>
        <w:t>一个</w:t>
      </w:r>
      <w:r>
        <w:t xml:space="preserve"> </w:t>
      </w:r>
      <w:r>
        <w:t>]荧蒽硫靛蓝 (PBFT)，能够以完全可逆的方式用波长高达 900 nm 的近红外 (NIR) 光直接激发。 PBFT 具有出色的性能特征，具有高异构体产率、良好的热双稳定性以及从浅绿色到深蓝色的强烈明显的颜色变化。在市售且易于使用的聚合物材料中应用，可以利用极长的光波长实现可逆且空间分辨的信息刻录。因此，可以通过肉眼不可见的无损伤辐射将信息写入多功能手持式 2D 和 3D 光学显示器和光学存储器中。</w:t>
      </w:r>
    </w:p>
    <w:p>
      <w:pPr>
        <w:spacing w:before="0" w:after="200" w:lineRule="auto" w:line="276"/>
      </w:pPr>
      <w:r>
        <w:rPr>
          <w:b/>
        </w:rPr>
        <w:t xml:space="preserve">Abstract (EN): </w:t>
      </w:r>
      <w:r>
        <w:t>Molecular photoswitches interchange between different states in response to light irradiation and represent prominent tools to deliberately control changes at the smallest scales. A standing challenge for their development is pushing absorptions into the low‐energy end of the electromagnetic spectrum, which is highly desirable to avoid photodamage, allows mixing of photoresponsive components, and maximizes the available color range. Here we report on a novel photoswitch motif,</w:t>
      </w:r>
      <w:r>
        <w:t xml:space="preserve"> </w:t>
      </w:r>
      <w:r>
        <w:t>peri</w:t>
      </w:r>
      <w:r>
        <w:t xml:space="preserve"> </w:t>
      </w:r>
      <w:r>
        <w:t>‐benzo[</w:t>
      </w:r>
      <w:r>
        <w:t xml:space="preserve"> </w:t>
      </w:r>
      <w:r>
        <w:t>a</w:t>
      </w:r>
      <w:r>
        <w:t xml:space="preserve"> </w:t>
      </w:r>
      <w:r>
        <w:t>]fluoranthenethioindigo (PBFT), enabling direct excitation with near‐infrared (NIR) light up to 900 nm wavelengths in a fully reversible fashion. PBFT provides an outstanding property profile with high isomer yields, good thermal bistability, and strongly distinct color changes from pale green to deep blue. Application within a commercially available and easy‐to‐use polymer material allows to realize reversible and spatially resolved inscription of information with extremely long wavelengths of light. Writing information into versatile handheld 2D and 3D optical displays and optical memories is thus possible with non‐damaging irradiation, invisible to the naked eye.</w:t>
      </w:r>
    </w:p>
    <w:p>
      <w:pPr>
        <w:spacing w:before="120" w:after="120"/>
      </w:pPr>
      <w:r>
        <w:rPr>
          <w:sz w:val="18"/>
        </w:rPr>
        <w:t>——————————————————————————————————————————————————————————————————————</w:t>
      </w:r>
    </w:p>
    <w:p>
      <w:pPr>
        <w:spacing w:before="160" w:after="40" w:line="240" w:lineRule="auto"/>
      </w:pPr>
      <w:r>
        <w:rPr>
          <w:b/>
        </w:rPr>
        <w:t xml:space="preserve">[403] </w:t>
      </w:r>
      <w:hyperlink r:id="rId1085">
        <w:r>
          <w:rPr>
            <w:color w:val="1155CC"/>
            <w:u w:val="single"/>
          </w:rPr>
          <w:t>通过均苯四甲酸二酰亚胺共晶中的可逆结构转换实现刺激响应三重态发射和 X 射线闪烁</w:t>
        </w:r>
      </w:hyperlink>
    </w:p>
    <w:p>
      <w:pPr>
        <w:spacing w:before="0" w:after="80"/>
      </w:pPr>
      <w:r>
        <w:rPr>
          <w:i/>
          <w:sz w:val="20"/>
        </w:rPr>
        <w:t>EN: Stimuli‐Responsive Triplet Emission and X‐Ray Scintillation via Reversible Structural Switching in Pyromellitic Diimide Cocrystals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06:22:58+00:00</w:t>
      </w:r>
      <w:r>
        <w:t xml:space="preserve">    </w:t>
      </w:r>
      <w:r>
        <w:rPr>
          <w:b/>
        </w:rPr>
        <w:t xml:space="preserve">DOI: </w:t>
      </w:r>
      <w:hyperlink r:id="rId1086">
        <w:r>
          <w:rPr>
            <w:color w:val="1155CC"/>
            <w:u w:val="single"/>
          </w:rPr>
          <w:t>10.1002/anie.3402295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具有可编程和可逆发射的智能刺激响应发光材料对于智能成像和信息安全来说是非常理想的。利用三线态激子的刺激响应有机材料由于其对固态堆积的显着敏感性而特别有吸引力。然而，能够同时控制 X 射线激发发光（闪烁）的保持结晶度的可逆结构转换仍然很大程度上尚未被探索。在此，使用卤素键合的供体-受体共晶构建</w:t>
      </w:r>
      <w:r>
        <w:t xml:space="preserve"> </w:t>
      </w:r>
      <w:r>
        <w:t>氮</w:t>
      </w:r>
      <w:r>
        <w:t xml:space="preserve"> </w:t>
      </w:r>
      <w:r>
        <w:t>,</w:t>
      </w:r>
      <w:r>
        <w:t xml:space="preserve"> </w:t>
      </w:r>
      <w:r>
        <w:t>氮</w:t>
      </w:r>
      <w:r>
        <w:t xml:space="preserve"> </w:t>
      </w:r>
      <w:r>
        <w:t>'-双（正丁基）均苯四甲酸二酰亚胺（Bu</w:t>
      </w:r>
      <w:r>
        <w:rPr>
          <w:vertAlign w:val="subscript"/>
        </w:rPr>
        <w:t>2</w:t>
      </w:r>
      <w:r>
        <w:t>PMDI) 和 3,6-二溴咔唑 (Br</w:t>
      </w:r>
      <w:r>
        <w:rPr>
          <w:vertAlign w:val="subscript"/>
        </w:rPr>
        <w:t>2</w:t>
      </w:r>
      <w:r>
        <w:t>Cz) 或 3,6-二碘咔唑 (I</w:t>
      </w:r>
      <w:r>
        <w:rPr>
          <w:vertAlign w:val="subscript"/>
        </w:rPr>
        <w:t>2</w:t>
      </w:r>
      <w:r>
        <w:t>捷克）。绿色共晶卜</w:t>
      </w:r>
      <w:r>
        <w:rPr>
          <w:vertAlign w:val="subscript"/>
        </w:rPr>
        <w:t>2</w:t>
      </w:r>
      <w:r>
        <w:t>PMDI-溴</w:t>
      </w:r>
      <w:r>
        <w:rPr>
          <w:vertAlign w:val="subscript"/>
        </w:rPr>
        <w:t>2</w:t>
      </w:r>
      <w:r>
        <w:t>Cz-G 表现出室温磷光（RTP）和明亮的放射发光，而其橙色多晶型物几乎不发射。相比之下，我</w:t>
      </w:r>
      <w:r>
        <w:rPr>
          <w:vertAlign w:val="subscript"/>
        </w:rPr>
        <w:t>2</w:t>
      </w:r>
      <w:r>
        <w:t>基于 Cz 的共晶体显示出热激活延迟荧光 (TADF)，代表了另一种三线态激子利用途径。值得注意的是，温和的有机蒸气刺激触发了 Bu 的可逆有序多晶型互变</w:t>
      </w:r>
      <w:r>
        <w:rPr>
          <w:vertAlign w:val="subscript"/>
        </w:rPr>
        <w:t>2</w:t>
      </w:r>
      <w:r>
        <w:t>PMDI-溴</w:t>
      </w:r>
      <w:r>
        <w:rPr>
          <w:vertAlign w:val="subscript"/>
        </w:rPr>
        <w:t>2</w:t>
      </w:r>
      <w:r>
        <w:t>Cz，这重新</w:t>
      </w:r>
    </w:p>
    <w:p>
      <w:pPr>
        <w:spacing w:before="0" w:after="200" w:lineRule="auto" w:line="276"/>
      </w:pPr>
      <w:r>
        <w:rPr>
          <w:b/>
        </w:rPr>
        <w:t xml:space="preserve">Abstract (EN): </w:t>
      </w:r>
      <w:r>
        <w:t>Smart stimuli‐responsive luminescent materials with programmable and reversible emission are highly desirable for intelligent imaging and information security. Stimuli‐responsive organic materials utilizing triplet excitons are particularly attractive owing to their pronounced sensitivity to solid‐state packing. However, crystallinity‐preserving reversible structural switching that enables simultaneous control over X‐ray‐excited luminescence (scintillation) remains largely unexplored. Herein, donor‐acceptor halogen‐bonded cocrystals were constructed using</w:t>
      </w:r>
      <w:r>
        <w:t xml:space="preserve"> </w:t>
      </w:r>
      <w:r>
        <w:t>N</w:t>
      </w:r>
      <w:r>
        <w:t xml:space="preserve"> </w:t>
      </w:r>
      <w:r>
        <w:t>,</w:t>
      </w:r>
      <w:r>
        <w:t xml:space="preserve"> </w:t>
      </w:r>
      <w:r>
        <w:t>N</w:t>
      </w:r>
      <w:r>
        <w:t xml:space="preserve"> </w:t>
      </w:r>
      <w:r>
        <w:t>′‐bis(n‐butyl)pyromellitic diimide (Bu</w:t>
      </w:r>
      <w:r>
        <w:rPr>
          <w:vertAlign w:val="subscript"/>
        </w:rPr>
        <w:t>2</w:t>
      </w:r>
      <w:r>
        <w:t>PMDI) and 3,6‐dibromocarbazole (Br</w:t>
      </w:r>
      <w:r>
        <w:rPr>
          <w:vertAlign w:val="subscript"/>
        </w:rPr>
        <w:t>2</w:t>
      </w:r>
      <w:r>
        <w:t>Cz) or 3,6‐diiodocarbazole (I</w:t>
      </w:r>
      <w:r>
        <w:rPr>
          <w:vertAlign w:val="subscript"/>
        </w:rPr>
        <w:t>2</w:t>
      </w:r>
      <w:r>
        <w:t>Cz). The green cocrystal Bu</w:t>
      </w:r>
      <w:r>
        <w:rPr>
          <w:vertAlign w:val="subscript"/>
        </w:rPr>
        <w:t>2</w:t>
      </w:r>
      <w:r>
        <w:t>PMDI‐Br</w:t>
      </w:r>
      <w:r>
        <w:rPr>
          <w:vertAlign w:val="subscript"/>
        </w:rPr>
        <w:t>2</w:t>
      </w:r>
      <w:r>
        <w:t>Cz‐G exhibits room‐temperature phosphorescence (RTP) and bright radioluminescence, whereas its orange polymorph is nearly non‐emissive. In contrast, the I</w:t>
      </w:r>
      <w:r>
        <w:rPr>
          <w:vertAlign w:val="subscript"/>
        </w:rPr>
        <w:t>2</w:t>
      </w:r>
      <w:r>
        <w:t>Cz‐based cocrystal displays thermally activated delayed fluorescence (TADF), representing an alternative triplet exciton utilization pathway. Notably, mild organic‐vapor stimulation triggers reversible order‐to‐order polymorphic interconversion of Bu</w:t>
      </w:r>
      <w:r>
        <w:rPr>
          <w:vertAlign w:val="subscript"/>
        </w:rPr>
        <w:t>2</w:t>
      </w:r>
      <w:r>
        <w:t>PMDI‐Br</w:t>
      </w:r>
      <w:r>
        <w:rPr>
          <w:vertAlign w:val="subscript"/>
        </w:rPr>
        <w:t>2</w:t>
      </w:r>
      <w:r>
        <w:t>Cz, which reorganizes halogen‐bonding motifs and, thus achieves crystallinity‐retained “on/off” switching of radioluminescence. Benefiting from efficient triplet exciton utilization, Bu</w:t>
      </w:r>
      <w:r>
        <w:rPr>
          <w:vertAlign w:val="subscript"/>
        </w:rPr>
        <w:t>2</w:t>
      </w:r>
      <w:r>
        <w:t>PMDI‐Br</w:t>
      </w:r>
      <w:r>
        <w:rPr>
          <w:vertAlign w:val="subscript"/>
        </w:rPr>
        <w:t>2</w:t>
      </w:r>
      <w:r>
        <w:t>Cz‐G enables high‐resolution static X‐ray imaging (37 lp mm</w:t>
      </w:r>
      <w:r>
        <w:t xml:space="preserve"> </w:t>
      </w:r>
      <w:r>
        <w:t>−1</w:t>
      </w:r>
      <w:r>
        <w:t xml:space="preserve"> </w:t>
      </w:r>
      <w:r>
        <w:t>) and real‐time dynamic imaging (2 K, 60 fps) with negligible afterglow. Furthermore, the reversible solvent‐triggered luminescence switching facilitates rewritable multimodal information encryption by integrating photoluminescence and radioluminescence as orthogonal readout channels. This work demonstrates cocrystal engineering as a powerful strategy for reversibly programming triplet‐exciton emission and X‐ray scintillation via structural switching in organic solids.</w:t>
      </w:r>
    </w:p>
    <w:p>
      <w:pPr>
        <w:spacing w:before="120" w:after="120"/>
      </w:pPr>
      <w:r>
        <w:rPr>
          <w:sz w:val="18"/>
        </w:rPr>
        <w:t>——————————————————————————————————————————————————————————————————————</w:t>
      </w:r>
    </w:p>
    <w:p>
      <w:pPr>
        <w:spacing w:before="160" w:after="40" w:line="240" w:lineRule="auto"/>
      </w:pPr>
      <w:r>
        <w:rPr>
          <w:b/>
        </w:rPr>
        <w:t xml:space="preserve">[404] </w:t>
      </w:r>
      <w:hyperlink r:id="rId1087">
        <w:r>
          <w:rPr>
            <w:color w:val="1155CC"/>
            <w:u w:val="single"/>
          </w:rPr>
          <w:t>电荷转移注入的动能瓶颈控制有机太阳能电池的能量损失</w:t>
        </w:r>
      </w:hyperlink>
    </w:p>
    <w:p>
      <w:pPr>
        <w:spacing w:before="0" w:after="80"/>
      </w:pPr>
      <w:r>
        <w:rPr>
          <w:i/>
          <w:sz w:val="20"/>
        </w:rPr>
        <w:t>EN: A Kinetic–Energetic Bottleneck of Charge‐Transfer Injection Governs Energy Loss in Organic Solar Cells</w:t>
      </w:r>
    </w:p>
    <w:p>
      <w:pPr>
        <w:spacing w:before="0" w:after="120"/>
      </w:pPr>
      <w:r>
        <w:rPr>
          <w:b/>
        </w:rPr>
        <w:t xml:space="preserve">Source: </w:t>
      </w:r>
      <w:r>
        <w:t>Wiley-Online-Library: Advanced Energy Materials: Table of Contents</w:t>
      </w:r>
      <w:r>
        <w:t xml:space="preserve">    </w:t>
      </w:r>
      <w:r>
        <w:rPr>
          <w:b/>
        </w:rPr>
        <w:t xml:space="preserve">Pub date: </w:t>
      </w:r>
      <w:r>
        <w:t>2026-06-11 06:26:44+00:00</w:t>
      </w:r>
      <w:r>
        <w:t xml:space="preserve">    </w:t>
      </w:r>
      <w:r>
        <w:rPr>
          <w:b/>
        </w:rPr>
        <w:t xml:space="preserve">DOI: </w:t>
      </w:r>
      <w:hyperlink r:id="rId1088">
        <w:r>
          <w:rPr>
            <w:color w:val="1155CC"/>
            <w:u w:val="single"/>
          </w:rPr>
          <w:t>10.1002/aenm.71177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有机太阳能电池中的电荷转移（CT）状态构成了同时控制电荷产生和非辐射电压损失的动能瓶颈。通过将时间分辨光致发光（100 ps–20 ns）与物理约束的贝叶斯优化框架相结合，我们表明多维动力学网络崩溃为单个新兴描述符：有效 CT 注射速率，</w:t>
      </w:r>
      <w:r>
        <w:t xml:space="preserve"> </w:t>
      </w:r>
      <w:r>
        <w:t>k</w:t>
      </w:r>
      <w:r>
        <w:t xml:space="preserve"> </w:t>
      </w:r>
      <w:r>
        <w:t>CT</w:t>
      </w:r>
      <w:r>
        <w:t xml:space="preserve"> </w:t>
      </w:r>
      <w:r>
        <w:t>。至关重要的是，</w:t>
      </w:r>
      <w:r>
        <w:t xml:space="preserve"> </w:t>
      </w:r>
      <w:r>
        <w:t>k</w:t>
      </w:r>
      <w:r>
        <w:t xml:space="preserve"> </w:t>
      </w:r>
      <w:r>
        <w:t>CT</w:t>
      </w:r>
      <w:r>
        <w:t xml:space="preserve"> </w:t>
      </w:r>
      <w:r>
        <w:t>不是微观速率常数，而是由激子注入、CT粒子群重新分布和CT非辐射复合之间的耦合竞争产生的重整化集体参数。跨越近两个数量级的六个供体-受体系统</w:t>
      </w:r>
      <w:r>
        <w:t xml:space="preserve"> </w:t>
      </w:r>
      <w:r>
        <w:t>k</w:t>
      </w:r>
      <w:r>
        <w:t xml:space="preserve"> </w:t>
      </w:r>
      <w:r>
        <w:t>CT</w:t>
      </w:r>
      <w:r>
        <w:t xml:space="preserve"> </w:t>
      </w:r>
      <w:r>
        <w:t>，我们发现了一个普遍的尺度：注入速率每增加十年就会导致额外的~85 meV非辐射能量损失。这种缩放揭示了 CT 流形拓扑所带来的内在动能权衡——加速注入不可避免地会放大复合损失。打破这一瓶颈需要重组 CT 网络，以将电荷解离与重组路径解耦，从而提供超越有机光伏当前电压上限的途径。</w:t>
      </w:r>
    </w:p>
    <w:p>
      <w:pPr>
        <w:spacing w:before="0" w:after="200" w:lineRule="auto" w:line="276"/>
      </w:pPr>
      <w:r>
        <w:rPr>
          <w:b/>
        </w:rPr>
        <w:t xml:space="preserve">Abstract (EN): </w:t>
      </w:r>
      <w:r>
        <w:t>The charge‐transfer (CT) state in organic solar cells constitutes a kinetic–energetic bottleneck that simultaneously controls charge generation and nonradiative voltage loss. By combining time‐resolved photoluminescence (100 ps–20 ns) with a physics‐constrained Bayesian optimization framework, we show that the multidimensional kinetic network collapses onto a single emergent descriptor: the effective CT injection rate,</w:t>
      </w:r>
      <w:r>
        <w:t xml:space="preserve"> </w:t>
      </w:r>
      <w:r>
        <w:t>k</w:t>
      </w:r>
      <w:r>
        <w:t xml:space="preserve"> </w:t>
      </w:r>
      <w:r>
        <w:t>CT</w:t>
      </w:r>
      <w:r>
        <w:t xml:space="preserve"> </w:t>
      </w:r>
      <w:r>
        <w:t>. Crucially,</w:t>
      </w:r>
      <w:r>
        <w:t xml:space="preserve"> </w:t>
      </w:r>
      <w:r>
        <w:t>k</w:t>
      </w:r>
      <w:r>
        <w:t xml:space="preserve"> </w:t>
      </w:r>
      <w:r>
        <w:t>CT</w:t>
      </w:r>
      <w:r>
        <w:t xml:space="preserve"> </w:t>
      </w:r>
      <w:r>
        <w:t>is not a microscopic rate constant but a renormalized collective parameter arising from the coupled competition among exciton injection, CT population redistribution, and CT nonradiative recombination. Across six donor–acceptor systems spanning nearly two orders of magnitude in</w:t>
      </w:r>
      <w:r>
        <w:t xml:space="preserve"> </w:t>
      </w:r>
      <w:r>
        <w:t>k</w:t>
      </w:r>
      <w:r>
        <w:t xml:space="preserve"> </w:t>
      </w:r>
      <w:r>
        <w:t>CT</w:t>
      </w:r>
      <w:r>
        <w:t xml:space="preserve"> </w:t>
      </w:r>
      <w:r>
        <w:t>, we uncover a universal scaling: each decade increase in injection rate incurs an additional ∼85 meV nonradiative energy loss. This scaling reveals an intrinsic kinetic–energetic trade‐off imposed by the topology of the CT manifold—accelerating injection inevitably amplifies recombination loss. Breaking this bottleneck requires restructuring the CT network to decouple charge dissociation from recombination pathways, offering a route beyond the present voltage ceiling of organic photovoltaics.</w:t>
      </w:r>
    </w:p>
    <w:p>
      <w:pPr>
        <w:spacing w:before="120" w:after="120"/>
      </w:pPr>
      <w:r>
        <w:rPr>
          <w:sz w:val="18"/>
        </w:rPr>
        <w:t>——————————————————————————————————————————————————————————————————————</w:t>
      </w:r>
    </w:p>
    <w:p>
      <w:pPr>
        <w:spacing w:before="160" w:after="40" w:line="240" w:lineRule="auto"/>
      </w:pPr>
      <w:r>
        <w:rPr>
          <w:b/>
        </w:rPr>
        <w:t xml:space="preserve">[405] </w:t>
      </w:r>
      <w:hyperlink r:id="rId1089">
        <w:r>
          <w:rPr>
            <w:color w:val="1155CC"/>
            <w:u w:val="single"/>
          </w:rPr>
          <w:t>一艘游轮经常出入的阿拉斯加峡湾发生了 481 米高的山体滑坡海啸</w:t>
        </w:r>
      </w:hyperlink>
    </w:p>
    <w:p>
      <w:pPr>
        <w:spacing w:before="0" w:after="80"/>
      </w:pPr>
      <w:r>
        <w:rPr>
          <w:i/>
          <w:sz w:val="20"/>
        </w:rPr>
        <w:t>EN: A 481-meter-high landslide-tsunami in a cruise ship–frequented Alaska fjord</w:t>
      </w:r>
    </w:p>
    <w:p>
      <w:pPr>
        <w:spacing w:before="0" w:after="120"/>
      </w:pPr>
      <w:r>
        <w:rPr>
          <w:b/>
        </w:rPr>
        <w:t xml:space="preserve">Source: </w:t>
      </w:r>
      <w:r>
        <w:t>AAAS: Science: Table of Contents</w:t>
      </w:r>
      <w:r>
        <w:t xml:space="preserve">    </w:t>
      </w:r>
      <w:r>
        <w:rPr>
          <w:b/>
        </w:rPr>
        <w:t xml:space="preserve">Pub date: </w:t>
      </w:r>
      <w:r>
        <w:t>2026-06-11 07:00:00+00:00</w:t>
      </w:r>
      <w:r>
        <w:t xml:space="preserve">    </w:t>
      </w:r>
      <w:r>
        <w:rPr>
          <w:b/>
        </w:rPr>
        <w:t xml:space="preserve">DOI: </w:t>
      </w:r>
      <w:hyperlink r:id="rId1090">
        <w:r>
          <w:rPr>
            <w:color w:val="1155CC"/>
            <w:u w:val="single"/>
          </w:rPr>
          <w:t>10.1126/science.aec3187</w:t>
        </w:r>
      </w:hyperlink>
    </w:p>
    <w:p>
      <w:pPr>
        <w:spacing w:before="0" w:after="120"/>
      </w:pPr>
      <w:r>
        <w:rPr>
          <w:b/>
        </w:rPr>
        <w:t xml:space="preserve">Notes: </w:t>
      </w:r>
      <w:r>
        <w:t>abstract_source=crossref</w:t>
      </w:r>
    </w:p>
    <w:p>
      <w:pPr>
        <w:spacing w:before="0" w:after="80" w:lineRule="auto" w:line="276"/>
      </w:pPr>
      <w:r>
        <w:rPr>
          <w:b/>
        </w:rPr>
        <w:t xml:space="preserve">摘要（ZH）: </w:t>
      </w:r>
      <w:r>
        <w:t>2025 年 8 月 10 日清晨，&gt;64 × 10</w:t>
      </w:r>
      <w:r>
        <w:rPr>
          <w:vertAlign w:val="subscript"/>
        </w:rPr>
        <w:t>6</w:t>
      </w:r>
      <w:r>
        <w:t>– 立方米的山体滑坡袭击了阿拉斯加的特雷西湾。此次山体滑坡的发生是由于气候变化引起的冰川退缩。最初的 100 米高的破碎波以每秒 &gt; 70 米的速度行进，随后引发了 481 米的上升巨型海啸。山体滑坡之前会发生几天的微震，其速度和震级都在增加，直到滑坡发生前约 1 小时。这次滑坡产生了全球观测到的长周期地震波，其大小相当于一次 5.4 级地震。由峡湾内滑坡引发的塞米什产生的长周期（约 66 秒）全球地震信号持续长达 36 小时，这是第二次观测到长达一天的塞米什。随着游轮越来越多地访问峡湾地区，而气候变化使类似事件发生的可能性更大，这一意想不到的、险些发生的事件凸显了沿海环境中山体滑坡和海啸的风险日益增加。</w:t>
      </w:r>
    </w:p>
    <w:p>
      <w:pPr>
        <w:spacing w:before="0" w:after="200" w:lineRule="auto" w:line="276"/>
      </w:pPr>
      <w:r>
        <w:rPr>
          <w:b/>
        </w:rPr>
        <w:t xml:space="preserve">Abstract (EN): </w:t>
      </w:r>
      <w:r>
        <w:t>Early in the morning of 10 August 2025, a &amp;gt;64 × 10</w:t>
      </w:r>
      <w:r>
        <w:rPr>
          <w:vertAlign w:val="subscript"/>
        </w:rPr>
        <w:t>6</w:t>
      </w:r>
      <w:r>
        <w:t>–cubic meter landslide struck Tracy Arm fjord in Alaska. The landslide was preconditioned by glacial retreat caused by climate change. The resulting 481-meter runup megatsunami followed an initial 100-meter-high breaking wave traveling at &amp;gt;70 meters per second. The landslide was preceded by several days of microseismicity, which increased in rate and magnitude until ~1 hour before failure. The landslide produced globally observed long-period seismic waves equivalent in size to a moment magnitude 5.4 earthquake. A long-period (~66 second) global seismic signal, produced by a landslide-induced seiche trapped within the fjord, persisted for up to 36 hours, the second time a days-long seiche had thus been observed. With fjord regions increasingly visited by cruise ships, and climate change making similar events more likely, this unanticipated, near-miss event highlights the growing risk from landslides and tsunamis in coastal environments.</w:t>
      </w:r>
    </w:p>
    <w:p>
      <w:pPr>
        <w:spacing w:before="120" w:after="120"/>
      </w:pPr>
      <w:r>
        <w:rPr>
          <w:sz w:val="18"/>
        </w:rPr>
        <w:t>——————————————————————————————————————————————————————————————————————</w:t>
      </w:r>
    </w:p>
    <w:p>
      <w:pPr>
        <w:spacing w:before="160" w:after="40" w:line="240" w:lineRule="auto"/>
      </w:pPr>
      <w:r>
        <w:rPr>
          <w:b/>
        </w:rPr>
        <w:t xml:space="preserve">[406] </w:t>
      </w:r>
      <w:hyperlink r:id="rId1091">
        <w:r>
          <w:rPr>
            <w:color w:val="1155CC"/>
            <w:u w:val="single"/>
          </w:rPr>
          <w:t>人类渐渗结构变异和选择的全球图谱</w:t>
        </w:r>
      </w:hyperlink>
    </w:p>
    <w:p>
      <w:pPr>
        <w:spacing w:before="0" w:after="80"/>
      </w:pPr>
      <w:r>
        <w:rPr>
          <w:i/>
          <w:sz w:val="20"/>
        </w:rPr>
        <w:t>EN: A global map for introgressed structural variation and selection in humans</w:t>
      </w:r>
    </w:p>
    <w:p>
      <w:pPr>
        <w:spacing w:before="0" w:after="120"/>
      </w:pPr>
      <w:r>
        <w:rPr>
          <w:b/>
        </w:rPr>
        <w:t xml:space="preserve">Source: </w:t>
      </w:r>
      <w:r>
        <w:t>AAAS: Science: Table of Contents</w:t>
      </w:r>
      <w:r>
        <w:t xml:space="preserve">    </w:t>
      </w:r>
      <w:r>
        <w:rPr>
          <w:b/>
        </w:rPr>
        <w:t xml:space="preserve">Pub date: </w:t>
      </w:r>
      <w:r>
        <w:t>2026-06-11 07:00:00+00:00</w:t>
      </w:r>
      <w:r>
        <w:t xml:space="preserve">    </w:t>
      </w:r>
      <w:r>
        <w:rPr>
          <w:b/>
        </w:rPr>
        <w:t xml:space="preserve">DOI: </w:t>
      </w:r>
      <w:hyperlink r:id="rId1092">
        <w:r>
          <w:rPr>
            <w:color w:val="1155CC"/>
            <w:u w:val="single"/>
          </w:rPr>
          <w:t>10.1126/science.adz7518</w:t>
        </w:r>
      </w:hyperlink>
    </w:p>
    <w:p>
      <w:pPr>
        <w:spacing w:before="0" w:after="120"/>
      </w:pPr>
      <w:r>
        <w:rPr>
          <w:b/>
        </w:rPr>
        <w:t xml:space="preserve">Notes: </w:t>
      </w:r>
      <w:r>
        <w:t>abstract_source=crossref</w:t>
      </w:r>
    </w:p>
    <w:p>
      <w:pPr>
        <w:spacing w:before="0" w:after="80" w:lineRule="auto" w:line="276"/>
      </w:pPr>
      <w:r>
        <w:rPr>
          <w:b/>
        </w:rPr>
        <w:t xml:space="preserve">摘要（ZH）: </w:t>
      </w:r>
      <w:r>
        <w:t>尼安德特人和丹尼索瓦人的基因渗入塑造了现代人类基因组；然而，基因渗入的结构变异（SV ≥ 50 个碱基对）仍然难以发现。我们将来自 4 个新巴布亚新几内亚 (PNG) 单倍体基因组的高质量定相组装与 94 个已发表的不同祖先的组装进行了整合，以推断渗入的 SV 图谱。渗入的 SV 富含基因 (47%)，包括关键基因组紊乱区域，并且在 PNG 基因组中最为丰富。我们鉴定出 11 个可能源自古人类的着丝粒，为着丝粒基因组学增添了未经探索的多样性。对 1363 个样本中的 98 个组装体进行的泛基因组基因分型揭示了 PNG 基因组中的 16 个适应性 SV，其中许多与免疫相关基因和表达相关。我们假设古老的 SV 有助于繁殖成功，强调基因渗入是人类适应性进化的主要力量。</w:t>
      </w:r>
    </w:p>
    <w:p>
      <w:pPr>
        <w:spacing w:before="0" w:after="200" w:lineRule="auto" w:line="276"/>
      </w:pPr>
      <w:r>
        <w:rPr>
          <w:b/>
        </w:rPr>
        <w:t xml:space="preserve">Abstract (EN): </w:t>
      </w:r>
      <w:r>
        <w:t>Genetic introgression from Neanderthals and Denisovans shaped modern human genomes; however, introgressed structural variants (SVs ≥ 50 base pairs) remain challenging to discover. We integrated high-quality phased assemblies from four new Papua New Guinea (PNG) haploid genomes with 94 published assemblies of diverse ancestry to infer an introgressed SV map. Introgressed SVs are enriched in genes (47%), including critical genomic disorder regions, and are most abundant in PNG genomes. We identified 11 centromeres likely derived from archaic hominins, adding unexplored diversity to centromere genomics. Pangenome genotyping of these 98 assemblies across 1363 samples revealed 16 adaptive SVs, many associated with immune-related genes and expression, in the PNG genomes. We hypothesize that archaic SVs contributed to reproductive success, underscoring introgression as a major force in human adaptive evolution.</w:t>
      </w:r>
    </w:p>
    <w:p>
      <w:pPr>
        <w:spacing w:before="120" w:after="120"/>
      </w:pPr>
      <w:r>
        <w:rPr>
          <w:sz w:val="18"/>
        </w:rPr>
        <w:t>——————————————————————————————————————————————————————————————————————</w:t>
      </w:r>
    </w:p>
    <w:p>
      <w:pPr>
        <w:spacing w:before="160" w:after="40" w:line="240" w:lineRule="auto"/>
      </w:pPr>
      <w:r>
        <w:rPr>
          <w:b/>
        </w:rPr>
        <w:t xml:space="preserve">[407] </w:t>
      </w:r>
      <w:hyperlink r:id="rId1093">
        <w:r>
          <w:rPr>
            <w:color w:val="1155CC"/>
            <w:u w:val="single"/>
          </w:rPr>
          <w:t>全球南方正在塑造农业的未来</w:t>
        </w:r>
      </w:hyperlink>
    </w:p>
    <w:p>
      <w:pPr>
        <w:spacing w:before="0" w:after="80"/>
      </w:pPr>
      <w:r>
        <w:rPr>
          <w:i/>
          <w:sz w:val="20"/>
        </w:rPr>
        <w:t>EN: The Global South is shaping the future of agriculture</w:t>
      </w:r>
    </w:p>
    <w:p>
      <w:pPr>
        <w:spacing w:before="0" w:after="120"/>
      </w:pPr>
      <w:r>
        <w:rPr>
          <w:b/>
        </w:rPr>
        <w:t xml:space="preserve">Source: </w:t>
      </w:r>
      <w:r>
        <w:t>AAAS: Science: Table of Contents</w:t>
      </w:r>
      <w:r>
        <w:t xml:space="preserve">    </w:t>
      </w:r>
      <w:r>
        <w:rPr>
          <w:b/>
        </w:rPr>
        <w:t xml:space="preserve">Pub date: </w:t>
      </w:r>
      <w:r>
        <w:t>2026-06-11 07:00:00+00:00</w:t>
      </w:r>
      <w:r>
        <w:t xml:space="preserve">    </w:t>
      </w:r>
      <w:r>
        <w:rPr>
          <w:b/>
        </w:rPr>
        <w:t xml:space="preserve">DOI: </w:t>
      </w:r>
      <w:hyperlink r:id="rId1094">
        <w:r>
          <w:rPr>
            <w:color w:val="1155CC"/>
            <w:u w:val="single"/>
          </w:rPr>
          <w:t>10.1126/science.aei4424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[408] </w:t>
      </w:r>
      <w:hyperlink r:id="rId1095">
        <w:r>
          <w:rPr>
            <w:color w:val="1155CC"/>
            <w:u w:val="single"/>
          </w:rPr>
          <w:t>全脑关联模式反映了社会经济学</w:t>
        </w:r>
      </w:hyperlink>
    </w:p>
    <w:p>
      <w:pPr>
        <w:spacing w:before="0" w:after="80"/>
      </w:pPr>
      <w:r>
        <w:rPr>
          <w:i/>
          <w:sz w:val="20"/>
        </w:rPr>
        <w:t>EN: Patterns of brain-wide associations reflect socioeconomics</w:t>
      </w:r>
    </w:p>
    <w:p>
      <w:pPr>
        <w:spacing w:before="0" w:after="120"/>
      </w:pPr>
      <w:r>
        <w:rPr>
          <w:b/>
        </w:rPr>
        <w:t xml:space="preserve">Source: </w:t>
      </w:r>
      <w:r>
        <w:t>AAAS: Science: Table of Contents</w:t>
      </w:r>
      <w:r>
        <w:t xml:space="preserve">    </w:t>
      </w:r>
      <w:r>
        <w:rPr>
          <w:b/>
        </w:rPr>
        <w:t xml:space="preserve">Pub date: </w:t>
      </w:r>
      <w:r>
        <w:t>2026-06-11 07:00:00+00:00</w:t>
      </w:r>
      <w:r>
        <w:t xml:space="preserve">    </w:t>
      </w:r>
      <w:r>
        <w:rPr>
          <w:b/>
        </w:rPr>
        <w:t xml:space="preserve">DOI: </w:t>
      </w:r>
      <w:hyperlink r:id="rId1096">
        <w:r>
          <w:rPr>
            <w:color w:val="1155CC"/>
            <w:u w:val="single"/>
          </w:rPr>
          <w:t>10.1126/science.aee6213</w:t>
        </w:r>
      </w:hyperlink>
    </w:p>
    <w:p>
      <w:pPr>
        <w:spacing w:before="0" w:after="120"/>
      </w:pPr>
      <w:r>
        <w:rPr>
          <w:b/>
        </w:rPr>
        <w:t xml:space="preserve">Notes: </w:t>
      </w:r>
      <w:r>
        <w:t>abstract_source=crossref</w:t>
      </w:r>
    </w:p>
    <w:p>
      <w:pPr>
        <w:spacing w:before="0" w:after="80" w:lineRule="auto" w:line="276"/>
      </w:pPr>
      <w:r>
        <w:rPr>
          <w:b/>
        </w:rPr>
        <w:t xml:space="preserve">摘要（ZH）: </w:t>
      </w:r>
      <w:r>
        <w:t>先前的全脑关联研究（BWAS）已将特定的环境和行为变量与大脑变异性联系起来。在这项工作中，我们将 649 个变量映射到儿童的大脑，并将所得的 BWAS 映射相互比较并与神经生物学参考模式进行比较。社会经济地位（SES）显示出最强的全脑关联。 SES 关联在运动和感觉区域最强，但在认知区域则不然，这是许多 BWAS 地图（包括智商 (IQ)）所共有的模式。跨变量存在一种单一、常见的 BWAS 大脑模式，最能反映儿童的社会经济学。针对 SES 进行调整会削弱大脑与智商的关联，从而消除 BWAS 运动和感觉模式。当接受较高 SES 子样本的训练时，大脑与 IQ 的关联也不能泛化。因此，儿童的大脑因 SES 而变化最大，这可能是由于 SES 依赖性的睡眠不足和压力所致。</w:t>
      </w:r>
    </w:p>
    <w:p>
      <w:pPr>
        <w:spacing w:before="0" w:after="200" w:lineRule="auto" w:line="276"/>
      </w:pPr>
      <w:r>
        <w:rPr>
          <w:b/>
        </w:rPr>
        <w:t xml:space="preserve">Abstract (EN): </w:t>
      </w:r>
      <w:r>
        <w:t>Previous brain-wide association studies (BWAS) have linked specific environmental and behavioral variables to brain variability. In this work, we mapped 649 variables to children’s brains and compared the resultant BWAS maps with each other and with neurobiological reference patterns. Socioeconomic status (SES) showed the strongest brain-wide associations. The SES associations were strongest in motor and sensory but not cognitive regions, a pattern shared across many BWAS maps, including intelligence quotient (IQ). A single, common BWAS brain pattern existed across variables that was most reflective of a child’s socioeconomics. Adjusting for SES weakened brain-IQ associations, eliminating the BWAS motor and sensory pattern. Brain-with-IQ associations also did not generalize when trained on higher-SES subsamples. Thus, children’s brains vary the most with SES, potentially through SES-dependent sleep deprivation and stress.</w:t>
      </w:r>
    </w:p>
    <w:p>
      <w:pPr>
        <w:spacing w:before="120" w:after="120"/>
      </w:pPr>
      <w:r>
        <w:rPr>
          <w:sz w:val="18"/>
        </w:rPr>
        <w:t>——————————————————————————————————————————————————————————————————————</w:t>
      </w:r>
    </w:p>
    <w:p>
      <w:pPr>
        <w:spacing w:before="160" w:after="40" w:line="240" w:lineRule="auto"/>
      </w:pPr>
      <w:r>
        <w:rPr>
          <w:b/>
        </w:rPr>
        <w:t xml:space="preserve">[409] </w:t>
      </w:r>
      <w:hyperlink r:id="rId1097">
        <w:r>
          <w:rPr>
            <w:color w:val="1155CC"/>
            <w:u w:val="single"/>
          </w:rPr>
          <w:t>不同磷脂酰肌醇核心蛋白的糖基化独立功能驱动皮质生成中的细胞特异性反应</w:t>
        </w:r>
      </w:hyperlink>
    </w:p>
    <w:p>
      <w:pPr>
        <w:spacing w:before="0" w:after="80"/>
      </w:pPr>
      <w:r>
        <w:rPr>
          <w:i/>
          <w:sz w:val="20"/>
        </w:rPr>
        <w:t>EN: Glycosylation-independent functions for distinct glypican core proteins drive cell-specific responses in corticogenesis</w:t>
      </w:r>
    </w:p>
    <w:p>
      <w:pPr>
        <w:spacing w:before="0" w:after="120"/>
      </w:pPr>
      <w:r>
        <w:rPr>
          <w:b/>
        </w:rPr>
        <w:t xml:space="preserve">Source: </w:t>
      </w:r>
      <w:r>
        <w:t>Proceedings of the National Academy of Sciences: Keyword search for query</w:t>
      </w:r>
      <w:r>
        <w:t xml:space="preserve">    </w:t>
      </w:r>
      <w:r>
        <w:rPr>
          <w:b/>
        </w:rPr>
        <w:t xml:space="preserve">Pub date: </w:t>
      </w:r>
      <w:r>
        <w:t>2026-06-11 07:00:00+00:00</w:t>
      </w:r>
      <w:r>
        <w:t xml:space="preserve">    </w:t>
      </w:r>
      <w:r>
        <w:rPr>
          <w:b/>
        </w:rPr>
        <w:t xml:space="preserve">DOI: </w:t>
      </w:r>
      <w:hyperlink r:id="rId1098">
        <w:r>
          <w:rPr>
            <w:color w:val="1155CC"/>
            <w:u w:val="single"/>
          </w:rPr>
          <w:t>10.1073/pnas.2531481123</w:t>
        </w:r>
      </w:hyperlink>
    </w:p>
    <w:p>
      <w:pPr>
        <w:spacing w:before="0" w:after="120"/>
      </w:pPr>
      <w:r>
        <w:rPr>
          <w:b/>
        </w:rPr>
        <w:t xml:space="preserve">Notes: </w:t>
      </w:r>
      <w:r>
        <w:t>abstract_source=crossref</w:t>
      </w:r>
    </w:p>
    <w:p>
      <w:pPr>
        <w:spacing w:before="0" w:after="80" w:lineRule="auto" w:line="276"/>
      </w:pPr>
      <w:r>
        <w:rPr>
          <w:b/>
        </w:rPr>
        <w:t xml:space="preserve">摘要（ZH）: </w:t>
      </w:r>
      <w:r>
        <w:t>细胞外基质在协调细胞通讯和响应各种细胞外信号的行为方面发挥着关键作用。它是一个由蛋白质和多糖组成的复杂网络，其在细胞信号传导、结构完整性和组织稳态中的单独和协同作用仍然是活跃的研究领域。在这里，我们发现在发育中的大脑皮层中，不同的磷脂酰肌醇蛋白聚糖（硫酸乙酰肝素蛋白聚糖）呈现出非常精确和互补的表达模式。更准确地说，在皮质祖细胞中表达的 GPC4 促进其增殖和中间祖细胞的产生，而神经元 GPC2 则充当径向神经元迁移的制动器。这些蛋白聚糖的多种生物学功能被广泛认为与其糖胺聚糖 (GAG) 链有着内在的联系。引人注目的是，我们发现这些作用仅通过磷脂酰肌醇蛋白聚糖核心蛋白介导，而不是通过其硫酸乙酰肝素糖基化介导。我们发现它们之间的唯一区别在于它们的 C 端无序区域，该区域具有高密度的带电残基。 GPC2 呈强碱性，而 GPC4 呈酸性。总之，我们的研究结果强调了在皮质发育过程中如何需要特定的蛋白聚糖蛋白核心以独立于糖基化的方式驱动连续的细胞反应。</w:t>
      </w:r>
    </w:p>
    <w:p>
      <w:pPr>
        <w:spacing w:before="0" w:after="200" w:lineRule="auto" w:line="276"/>
      </w:pPr>
      <w:r>
        <w:rPr>
          <w:b/>
        </w:rPr>
        <w:t xml:space="preserve">Abstract (EN): </w:t>
      </w:r>
      <w:r>
        <w:t>The extracellular matrix plays critical roles in orchestrating cell communication and behaviors in response to various extracellular signals. It is a complex network composed of proteins and polysaccharides, whose individual and synergistic roles in cellular signaling, structural integrity, and tissue homeostasis remain active areas of investigation. Here, we find that in the developing cerebral cortex, distinct glypicans, which are heparan sulfate proteoglycans, present very precise and complementary expression patterns. More precisely, GPC4, which is expressed in cortical progenitors, promotes their proliferation and the generation of intermediate progenitors, whereas neuronal GPC2 acts as a brake on radial neuronal migration. The diverse biological functions of these proteoglycans are widely regarded as being intrinsically tied to their glycosaminoglycan (GAG) chains. Strikingly, we found that these effects are mediated only through glypican core proteins, rather than their heparan sulfate glycosylations. We found that the only difference between them is in their C-terminal disordered regions, which have a high density of charged residues. GPC2 is strongly basic, whereas GPC4 is acidic. Together, our findings highlight how specific proteoglycan protein cores are required to drive sequential cellular responses during cortical development in a glycosylation independent manner.</w:t>
      </w:r>
    </w:p>
    <w:p>
      <w:pPr>
        <w:spacing w:before="120" w:after="120"/>
      </w:pPr>
      <w:r>
        <w:rPr>
          <w:sz w:val="18"/>
        </w:rPr>
        <w:t>——————————————————————————————————————————————————————————————————————</w:t>
      </w:r>
    </w:p>
    <w:p>
      <w:pPr>
        <w:spacing w:before="160" w:after="40" w:line="240" w:lineRule="auto"/>
      </w:pPr>
      <w:r>
        <w:rPr>
          <w:b/>
        </w:rPr>
        <w:t xml:space="preserve">[410] </w:t>
      </w:r>
      <w:hyperlink r:id="rId1099">
        <w:r>
          <w:rPr>
            <w:color w:val="1155CC"/>
            <w:u w:val="single"/>
          </w:rPr>
          <w:t>实现太比特每秒实时均衡的全光信号处理器</w:t>
        </w:r>
      </w:hyperlink>
    </w:p>
    <w:p>
      <w:pPr>
        <w:spacing w:before="0" w:after="80"/>
      </w:pPr>
      <w:r>
        <w:rPr>
          <w:i/>
          <w:sz w:val="20"/>
        </w:rPr>
        <w:t>EN: An all-optical signal processor enabling terabit-per-second real-time equalization</w:t>
      </w:r>
    </w:p>
    <w:p>
      <w:pPr>
        <w:spacing w:before="0" w:after="120"/>
      </w:pPr>
      <w:r>
        <w:rPr>
          <w:b/>
        </w:rPr>
        <w:t xml:space="preserve">Source: </w:t>
      </w:r>
      <w:r>
        <w:t>AAAS: Science: Table of Contents</w:t>
      </w:r>
      <w:r>
        <w:t xml:space="preserve">    </w:t>
      </w:r>
      <w:r>
        <w:rPr>
          <w:b/>
        </w:rPr>
        <w:t xml:space="preserve">Pub date: </w:t>
      </w:r>
      <w:r>
        <w:t>2026-06-11 07:00:00+00:00</w:t>
      </w:r>
      <w:r>
        <w:t xml:space="preserve">    </w:t>
      </w:r>
      <w:r>
        <w:rPr>
          <w:b/>
        </w:rPr>
        <w:t xml:space="preserve">DOI: </w:t>
      </w:r>
      <w:hyperlink r:id="rId1100">
        <w:r>
          <w:rPr>
            <w:color w:val="1155CC"/>
            <w:u w:val="single"/>
          </w:rPr>
          <w:t>10.1126/science.ady5344</w:t>
        </w:r>
      </w:hyperlink>
    </w:p>
    <w:p>
      <w:pPr>
        <w:spacing w:before="0" w:after="120"/>
      </w:pPr>
      <w:r>
        <w:rPr>
          <w:b/>
        </w:rPr>
        <w:t xml:space="preserve">Notes: </w:t>
      </w:r>
      <w:r>
        <w:t>abstract_source=crossref</w:t>
      </w:r>
    </w:p>
    <w:p>
      <w:pPr>
        <w:spacing w:before="0" w:after="80" w:lineRule="auto" w:line="276"/>
      </w:pPr>
      <w:r>
        <w:rPr>
          <w:b/>
        </w:rPr>
        <w:t xml:space="preserve">摘要（ZH）: </w:t>
      </w:r>
      <w:r>
        <w:t>大规模人工智能训练需要大规模图形处理单元集群的超低延迟、节能互连。在强度调制/直接检测链路中，数字信号处理 (DSP) 均衡受到相位损失以及紧张的功率和延迟预算导致的非理想均衡的限制。我们推出了一款集成的可编程光信号处理器 (OSP)，它可用作非线性通用均衡器，并执行全光、无 DSP 的实时均衡。具有全光学读出功能的深储层可实现具有约 1 皮秒 (ps) 采样分辨率和可调内存窗口的游标方案。 OSP 同时均衡 8 个波分复用 (WDM) 通道，提供 1.6 太比特/秒的总吞吐量，延迟小于 60 皮秒，能耗仅为数十飞焦耳/比特。它在检测前运行，提供卓越的色散补偿，减轻收发器带宽限制和光纤非线性，并将可用 WDM 窗口扩展 6.8 倍。</w:t>
      </w:r>
    </w:p>
    <w:p>
      <w:pPr>
        <w:spacing w:before="0" w:after="200" w:lineRule="auto" w:line="276"/>
      </w:pPr>
      <w:r>
        <w:rPr>
          <w:b/>
        </w:rPr>
        <w:t xml:space="preserve">Abstract (EN): </w:t>
      </w:r>
      <w:r>
        <w:t>Large-scale artificial intelligence training demands ultralow-latency, energy-efficient interconnects for massive graphics processing unit clusters. In intensity-modulation/direct-detection links, digital signal processing (DSP) equalization is limited by nonideal equalization caused by phase loss as well as tight power and latency budgets. We present an integrated, programmable optical signal processor (OSP) that functions as a nonlinear universal equalizer and performs all-optical, DSP-free, real-time equalization. A deep reservoir with all-optical readout enables a Vernier scheme with ~1-picosecond (ps) sampling resolution and a tunable memory window. The OSP simultaneously equalizes eight wavelength-division–multiplexing (WDM) channels, delivering 1.6-terabits/second aggregate throughput with &amp;lt;60-picoseconds latency and tens of femtojoules/bit energy consumption. Operating before detection, it provides superior chromatic dispersion compensation, mitigates transceiver bandwidth limits and fiber nonlinearity, and expands the usable WDM window by a factor of 6.8.</w:t>
      </w:r>
    </w:p>
    <w:p>
      <w:pPr>
        <w:spacing w:before="120" w:after="120"/>
      </w:pPr>
      <w:r>
        <w:rPr>
          <w:sz w:val="18"/>
        </w:rPr>
        <w:t>——————————————————————————————————————————————————————————————————————</w:t>
      </w:r>
    </w:p>
    <w:p>
      <w:pPr>
        <w:spacing w:before="160" w:after="40" w:line="240" w:lineRule="auto"/>
      </w:pPr>
      <w:r>
        <w:rPr>
          <w:b/>
        </w:rPr>
        <w:t xml:space="preserve">[411] </w:t>
      </w:r>
      <w:hyperlink r:id="rId1101">
        <w:r>
          <w:rPr>
            <w:color w:val="1155CC"/>
            <w:u w:val="single"/>
          </w:rPr>
          <w:t>利用古代 DNA 揭示潘诺尼亚后罗马政体形成的复杂性</w:t>
        </w:r>
      </w:hyperlink>
    </w:p>
    <w:p>
      <w:pPr>
        <w:spacing w:before="0" w:after="80"/>
      </w:pPr>
      <w:r>
        <w:rPr>
          <w:i/>
          <w:sz w:val="20"/>
        </w:rPr>
        <w:t>EN: Unveiling the complexity of post-Roman polity formation in Pannonia using ancient DNA</w:t>
      </w:r>
    </w:p>
    <w:p>
      <w:pPr>
        <w:spacing w:before="0" w:after="120"/>
      </w:pPr>
      <w:r>
        <w:rPr>
          <w:b/>
        </w:rPr>
        <w:t xml:space="preserve">Source: </w:t>
      </w:r>
      <w:r>
        <w:t>AAAS: Science: Table of Contents</w:t>
      </w:r>
      <w:r>
        <w:t xml:space="preserve">    </w:t>
      </w:r>
      <w:r>
        <w:rPr>
          <w:b/>
        </w:rPr>
        <w:t xml:space="preserve">Pub date: </w:t>
      </w:r>
      <w:r>
        <w:t>2026-06-11 07:00:00+00:00</w:t>
      </w:r>
      <w:r>
        <w:t xml:space="preserve">    </w:t>
      </w:r>
      <w:r>
        <w:rPr>
          <w:b/>
        </w:rPr>
        <w:t xml:space="preserve">DOI: </w:t>
      </w:r>
      <w:hyperlink r:id="rId1102">
        <w:r>
          <w:rPr>
            <w:color w:val="1155CC"/>
            <w:u w:val="single"/>
          </w:rPr>
          <w:t>10.1126/science.aec2634</w:t>
        </w:r>
      </w:hyperlink>
    </w:p>
    <w:p>
      <w:pPr>
        <w:spacing w:before="0" w:after="120"/>
      </w:pPr>
      <w:r>
        <w:rPr>
          <w:b/>
        </w:rPr>
        <w:t xml:space="preserve">Notes: </w:t>
      </w:r>
      <w:r>
        <w:t>abstract_source=crossref</w:t>
      </w:r>
    </w:p>
    <w:p>
      <w:pPr>
        <w:spacing w:before="0" w:after="80" w:lineRule="auto" w:line="276"/>
      </w:pPr>
      <w:r>
        <w:rPr>
          <w:b/>
        </w:rPr>
        <w:t xml:space="preserve">摘要（ZH）: </w:t>
      </w:r>
      <w:r>
        <w:t>罗马世界的转变[公元四至九世纪]最终导致西罗马帝国的衰落，标志着欧洲历史的根本转变。关于这一转变的区域特殊性的关键问题仍然存在。我们生成了一个古基因组数据集，以微区域分辨率重建匈牙利小平原的后罗马组织。两个罗马人的遗传和考古分析（</w:t>
      </w:r>
      <w:r>
        <w:t xml:space="preserve"> </w:t>
      </w:r>
      <w:r>
        <w:t>n</w:t>
      </w:r>
      <w:r>
        <w:t xml:space="preserve"> </w:t>
      </w:r>
      <w:r>
        <w:t>= 68）和五个后罗马（</w:t>
      </w:r>
      <w:r>
        <w:t xml:space="preserve"> </w:t>
      </w:r>
      <w:r>
        <w:t>n</w:t>
      </w:r>
      <w:r>
        <w:t xml:space="preserve"> </w:t>
      </w:r>
      <w:r>
        <w:t>= 246）遗址揭示了北欧血统的增加，反映了大规模人口迁移到该地区。此外，尽管后罗马遗址具有相似的遗传特征、物质文化和埋葬习俗，但它们表现出不同的社会结构，特别是在生物相关性所发挥的作用方面。这些发现凸显了地方等级制度并揭示了后罗马政体的形成。</w:t>
      </w:r>
    </w:p>
    <w:p>
      <w:pPr>
        <w:spacing w:before="0" w:after="200" w:lineRule="auto" w:line="276"/>
      </w:pPr>
      <w:r>
        <w:rPr>
          <w:b/>
        </w:rPr>
        <w:t xml:space="preserve">Abstract (EN): </w:t>
      </w:r>
      <w:r>
        <w:t>The transformation of the Roman world [fourth to ninth centuries common era (CE)], culminating in the Western Roman Empire’s fall, marked a fundamental transition in European history. Key questions persist regarding the regionally specific nature of this transformation. We generated a paleogenomic dataset to reconstruct post-Roman organizations in the Little Hungarian Plain at microregional resolution. Genetic and archaeological analyses of two Roman (</w:t>
      </w:r>
      <w:r>
        <w:t xml:space="preserve"> </w:t>
      </w:r>
      <w:r>
        <w:t>n</w:t>
      </w:r>
      <w:r>
        <w:t xml:space="preserve"> </w:t>
      </w:r>
      <w:r>
        <w:t>= 68) and five post-Roman (</w:t>
      </w:r>
      <w:r>
        <w:t xml:space="preserve"> </w:t>
      </w:r>
      <w:r>
        <w:t>n</w:t>
      </w:r>
      <w:r>
        <w:t xml:space="preserve"> </w:t>
      </w:r>
      <w:r>
        <w:t>= 246) sites reveal a rise in Northern European ancestry, reflecting large-scale population movements into this region. Moreover, despite post-Roman sites sharing similar genetic profiles, material culture, and burial practices, they show distinct social structures, especially regarding the role played by biological relatedness. These findings highlight local hierarchies and reveal the making of a post-Roman polity.</w:t>
      </w:r>
    </w:p>
    <w:p>
      <w:pPr>
        <w:spacing w:before="120" w:after="120"/>
      </w:pPr>
      <w:r>
        <w:rPr>
          <w:sz w:val="18"/>
        </w:rPr>
        <w:t>——————————————————————————————————————————————————————————————————————</w:t>
      </w:r>
    </w:p>
    <w:p>
      <w:pPr>
        <w:spacing w:before="160" w:after="40" w:line="240" w:lineRule="auto"/>
      </w:pPr>
      <w:r>
        <w:rPr>
          <w:b/>
        </w:rPr>
        <w:t xml:space="preserve">[412] </w:t>
      </w:r>
      <w:hyperlink r:id="rId1103">
        <w:r>
          <w:rPr>
            <w:color w:val="1155CC"/>
            <w:u w:val="single"/>
          </w:rPr>
          <w:t>亚细胞金属组学网络协调生理结果：通过集成 SEM-FIB-TOF-SIMS 平台进行单细胞绘图</w:t>
        </w:r>
      </w:hyperlink>
    </w:p>
    <w:p>
      <w:pPr>
        <w:spacing w:before="0" w:after="80"/>
      </w:pPr>
      <w:r>
        <w:rPr>
          <w:i/>
          <w:sz w:val="20"/>
        </w:rPr>
        <w:t>EN: Subcellular metallomic networks orchestrate physiological outcomes: Single-cell mapping via an integrated SEM-FIB-TOF-SIMS platform</w:t>
      </w:r>
    </w:p>
    <w:p>
      <w:pPr>
        <w:spacing w:before="0" w:after="120"/>
      </w:pPr>
      <w:r>
        <w:rPr>
          <w:b/>
        </w:rPr>
        <w:t xml:space="preserve">Source: </w:t>
      </w:r>
      <w:r>
        <w:t>Proceedings of the National Academy of Sciences: Keyword search for query</w:t>
      </w:r>
      <w:r>
        <w:t xml:space="preserve">    </w:t>
      </w:r>
      <w:r>
        <w:rPr>
          <w:b/>
        </w:rPr>
        <w:t xml:space="preserve">Pub date: </w:t>
      </w:r>
      <w:r>
        <w:t>2026-06-11 07:00:00+00:00</w:t>
      </w:r>
      <w:r>
        <w:t xml:space="preserve">    </w:t>
      </w:r>
      <w:r>
        <w:rPr>
          <w:b/>
        </w:rPr>
        <w:t xml:space="preserve">DOI: </w:t>
      </w:r>
      <w:hyperlink r:id="rId1104">
        <w:r>
          <w:rPr>
            <w:color w:val="1155CC"/>
            <w:u w:val="single"/>
          </w:rPr>
          <w:t>10.1073/pnas.2601472123</w:t>
        </w:r>
      </w:hyperlink>
    </w:p>
    <w:p>
      <w:pPr>
        <w:spacing w:before="0" w:after="120"/>
      </w:pPr>
      <w:r>
        <w:rPr>
          <w:b/>
        </w:rPr>
        <w:t xml:space="preserve">Notes: </w:t>
      </w:r>
      <w:r>
        <w:t>abstract_source=crossref</w:t>
      </w:r>
    </w:p>
    <w:p>
      <w:pPr>
        <w:spacing w:before="0" w:after="80" w:lineRule="auto" w:line="276"/>
      </w:pPr>
      <w:r>
        <w:rPr>
          <w:b/>
        </w:rPr>
        <w:t xml:space="preserve">摘要（ZH）: </w:t>
      </w:r>
      <w:r>
        <w:t>植物细胞内必需、非必需和有毒金属（类）元素（ME）的空间组织支撑着生理功能。然而，由于空间分辨率、元素覆盖度和结构相关性之间的权衡，全 ME 谱的全面亚细胞成像仍然具有挑战性。在这里，我们提出了一个集成扫描电子显微镜-聚焦离子束-飞行时间-二次离子质谱平台，该平台通过实现超微结构与 ME 分布的纳米级共配克服了这些限制。将此高保真工作流程应用于</w:t>
      </w:r>
      <w:r>
        <w:t xml:space="preserve"> </w:t>
      </w:r>
      <w:r>
        <w:t>拟南芥</w:t>
      </w:r>
      <w:r>
        <w:t xml:space="preserve"> </w:t>
      </w:r>
      <w:r>
        <w:t>、大豆和小麦，我们构建了单细胞金属组图，揭示了进化上保守的亚细胞结构：叶绿体富集必需的微量元素（例如镁、铁、铜），而液泡则分隔非必需的微量元素[例如镧（La）]和有毒的微量元素[例如镉（Cd）、铅、砷]。我们证明，虽然这种结构在稳态下保持稳定，但它在压力下会经历动态、刺激特异性和剂量依赖性重塑。低剂量 La(III) 增强叶绿体内必需 ME 的成对和高阶共定位，与提高光合效率和生长相关。高剂量的 La(III) 会诱导非生理性的 La-ME 关联，并且更重要的是，会导致叶绿体中异常的 Cd(II) 积累，这揭示了一种交叉毒性机制，其中 La(III) 破坏了天然的隔离屏障。相比之下，尽管高剂量的 Cd(II) 基本上被排除在叶绿体之外</w:t>
      </w:r>
    </w:p>
    <w:p>
      <w:pPr>
        <w:spacing w:before="0" w:after="200" w:lineRule="auto" w:line="276"/>
      </w:pPr>
      <w:r>
        <w:rPr>
          <w:b/>
        </w:rPr>
        <w:t xml:space="preserve">Abstract (EN): </w:t>
      </w:r>
      <w:r>
        <w:t>The spatial organization of essential, nonessential, and toxic metal(loid) elements (MEs) within plant cells underpins physiological function. Yet, comprehensive subcellular imaging of the full ME spectrum remains challenging due to trade-offs among spatial resolution, elemental coverage, and structural correlation. Here, we present an integrated scanning electron microscopy–focused ion beam–time-of-flight-secondary ion mass spectrometry platform that overcomes these limitations by achieving nanoscale coregistration of ultrastructure with ME distribution. Applying this high-fidelity workflow to</w:t>
      </w:r>
      <w:r>
        <w:t xml:space="preserve"> </w:t>
      </w:r>
      <w:r>
        <w:t>Arabidopsis</w:t>
      </w:r>
      <w:r>
        <w:t xml:space="preserve"> </w:t>
      </w:r>
      <w:r>
        <w:t>, soybean, and wheat, we constructed single-cell metallome maps revealing an evolutionarily conserved subcellular architecture: chloroplasts enrich essential MEs (e.g., magnesium, iron, copper), whereas vacuoles compartmentalize nonessential [e.g., lanthanum (La)] and toxic MEs [e.g., cadmium (Cd), lead, arsenic]. We demonstrate that while this architecture remains stable under homeostasis, it undergoes dynamic, stimulus-specific, and dose-dependent remodeling under stress. Low-dose La(III) enhances pairwise and higher-order colocalizations of essential MEs within chloroplasts, correlating with improved photosynthetic efficiency and growth. High-dose La(III) induces nonphysiological La-ME associations and, critically, drives aberrant Cd(II) accumulation in chloroplasts—revealing a cross-toxicity mechanism wherein La(III) disrupts native sequestration barriers. In contrast, although high-dose Cd(II) is largely excluded from chloroplasts, it triggers a widespread redistribution of essential MEs, progressively eroding spatial organization. Thus, while both ions inhibit growth, they perturb metallomic networks via distinct mechanisms: La(III)-mediated disruption of sequestration vs. Cd(II)-induced systemic compartmental collapse. Our findings establish that subcellular ME networks are dynamically regulated and orchestrate physiological outcomes.</w:t>
      </w:r>
    </w:p>
    <w:p>
      <w:pPr>
        <w:spacing w:before="120" w:after="120"/>
      </w:pPr>
      <w:r>
        <w:rPr>
          <w:sz w:val="18"/>
        </w:rPr>
        <w:t>——————————————————————————————————————————————————————————————————————</w:t>
      </w:r>
    </w:p>
    <w:p>
      <w:pPr>
        <w:spacing w:before="160" w:after="40" w:line="240" w:lineRule="auto"/>
      </w:pPr>
      <w:r>
        <w:rPr>
          <w:b/>
        </w:rPr>
        <w:t xml:space="preserve">[413] </w:t>
      </w:r>
      <w:hyperlink r:id="rId1105">
        <w:r>
          <w:rPr>
            <w:color w:val="1155CC"/>
            <w:u w:val="single"/>
          </w:rPr>
          <w:t>电荷密度波材料中的相选择 Floquet 工程</w:t>
        </w:r>
      </w:hyperlink>
    </w:p>
    <w:p>
      <w:pPr>
        <w:spacing w:before="0" w:after="80"/>
      </w:pPr>
      <w:r>
        <w:rPr>
          <w:i/>
          <w:sz w:val="20"/>
        </w:rPr>
        <w:t>EN: Phase-selective Floquet engineering in a charge density wave material</w:t>
      </w:r>
    </w:p>
    <w:p>
      <w:pPr>
        <w:spacing w:before="0" w:after="120"/>
      </w:pPr>
      <w:r>
        <w:rPr>
          <w:b/>
        </w:rPr>
        <w:t xml:space="preserve">Source: </w:t>
      </w:r>
      <w:r>
        <w:t>Proceedings of the National Academy of Sciences: Keyword search for query</w:t>
      </w:r>
      <w:r>
        <w:t xml:space="preserve">    </w:t>
      </w:r>
      <w:r>
        <w:rPr>
          <w:b/>
        </w:rPr>
        <w:t xml:space="preserve">Pub date: </w:t>
      </w:r>
      <w:r>
        <w:t>2026-06-11 07:00:00+00:00</w:t>
      </w:r>
      <w:r>
        <w:t xml:space="preserve">    </w:t>
      </w:r>
      <w:r>
        <w:rPr>
          <w:b/>
        </w:rPr>
        <w:t xml:space="preserve">DOI: </w:t>
      </w:r>
      <w:hyperlink r:id="rId1106">
        <w:r>
          <w:rPr>
            <w:color w:val="1155CC"/>
            <w:u w:val="single"/>
          </w:rPr>
          <w:t>10.1073/pnas.2538027123</w:t>
        </w:r>
      </w:hyperlink>
    </w:p>
    <w:p>
      <w:pPr>
        <w:spacing w:before="0" w:after="120"/>
      </w:pPr>
      <w:r>
        <w:rPr>
          <w:b/>
        </w:rPr>
        <w:t xml:space="preserve">Notes: </w:t>
      </w:r>
      <w:r>
        <w:t>abstract_source=crossref</w:t>
      </w:r>
    </w:p>
    <w:p>
      <w:pPr>
        <w:spacing w:before="0" w:after="80" w:lineRule="auto" w:line="276"/>
      </w:pPr>
      <w:r>
        <w:rPr>
          <w:b/>
        </w:rPr>
        <w:t xml:space="preserve">摘要（ZH）: </w:t>
      </w:r>
      <w:r>
        <w:t>Floquet 工程已成为一种通过时间周期光场动态定制量子材料电子结构的强大方法。超快激光脉冲产生的光场可以瞬时修饰布洛赫电子，创造出平衡状态下无法达到的新型电子态。虽然这种时间调制提供了动态控制，但空间周期性调制（例如由电荷密度波（CDW）阶次产生的调制）也可以通过实空间对称性破缺来显着重建电子结构。这两种不同形式的调制（时间和空间）之间的相互作用开辟了相选择 Floquet 工程的前沿。在这里，我们在典型 CDW 材料 1T-TiSe 中通过实验证明了这一概念</w:t>
      </w:r>
      <w:r>
        <w:rPr>
          <w:vertAlign w:val="subscript"/>
        </w:rPr>
        <w:t>2</w:t>
      </w:r>
      <w:r>
        <w:t>。使用具有中红外泵浦的时间和角度分辨光电子能谱，我们观察到了价带最大值（VBM）的惊人的动量依赖泵浦引起的瞬时下移，这与随后与 CDW 熔化相关的皮秒时间尺度上的上移形成鲜明对比。值得注意的是，光诱导的 VBM 下移仅在 CDW 相中且仅在存在泵浦脉冲时观察到，当泵浦接近与 CDW 间隙共振时达到最大值。这些观察结果明确揭示了 CDW 在实现 TiSe 相选择性 Floquet 工程中的关键作用</w:t>
      </w:r>
      <w:r>
        <w:rPr>
          <w:vertAlign w:val="subscript"/>
        </w:rPr>
        <w:t>2</w:t>
      </w:r>
      <w:r>
        <w:t>。我们的工作展示了时间周期驱动如何与空间周期驱动协同耦合</w:t>
      </w:r>
    </w:p>
    <w:p>
      <w:pPr>
        <w:spacing w:before="0" w:after="200" w:lineRule="auto" w:line="276"/>
      </w:pPr>
      <w:r>
        <w:rPr>
          <w:b/>
        </w:rPr>
        <w:t xml:space="preserve">Abstract (EN): </w:t>
      </w:r>
      <w:r>
        <w:t>Floquet engineering has emerged as a powerful approach for dynamically tailoring the electronic structures of quantum materials through time-periodic light fields. The light fields generated by ultrafast laser pulses can transiently dress Bloch electrons, creating novel electronic states inaccessible in equilibrium. While such temporal modulation provides a dynamic control, spatially periodic modulations, such as those arising from charge density wave (CDW) order, can also dramatically reconstruct the electronic structure through real-space symmetry breaking. The interplay between these two distinct forms of modulation—temporal and spatial—opens a frontier in phase-selective Floquet engineering. Here we demonstrate this concept experimentally in the prototypical CDW material 1T-TiSe</w:t>
      </w:r>
      <w:r>
        <w:rPr>
          <w:vertAlign w:val="subscript"/>
        </w:rPr>
        <w:t>2</w:t>
      </w:r>
      <w:r>
        <w:t>. Using time- and angle-resolved photoemission spectroscopy with mid-infrared pumping, we observe a striking momentum-dependent pump-induced instantaneous downshift of the valence band maximum (VBM), which is in sharp contrast to the subsequent upward shift on picosecond timescale associated with CDW melting. Remarkably, the light-induced VBM downshift is observed exclusively in the CDW phase and only when the pump pulse is present, reaching maximum when pumping near resonance with the CDW gap. These observations unequivocally reveal the critical role of CDW in enabling the phase-selective Floquet engineering of TiSe</w:t>
      </w:r>
      <w:r>
        <w:rPr>
          <w:vertAlign w:val="subscript"/>
        </w:rPr>
        <w:t>2</w:t>
      </w:r>
      <w:r>
        <w:t>. Our work demonstrates how time-periodic drives can synergistically couple to spatially periodic modulations, establishing a paradigm for phase-selective Floquet engineering enabled by spontaneous symmetry breaking.</w:t>
      </w:r>
    </w:p>
    <w:p>
      <w:pPr>
        <w:spacing w:before="120" w:after="120"/>
      </w:pPr>
      <w:r>
        <w:rPr>
          <w:sz w:val="18"/>
        </w:rPr>
        <w:t>——————————————————————————————————————————————————————————————————————</w:t>
      </w:r>
    </w:p>
    <w:p>
      <w:pPr>
        <w:spacing w:before="160" w:after="40" w:line="240" w:lineRule="auto"/>
      </w:pPr>
      <w:r>
        <w:rPr>
          <w:b/>
        </w:rPr>
        <w:t xml:space="preserve">[414] </w:t>
      </w:r>
      <w:hyperlink r:id="rId1107">
        <w:r>
          <w:rPr>
            <w:color w:val="1155CC"/>
            <w:u w:val="single"/>
          </w:rPr>
          <w:t>低强度火灾对空气污染的好处</w:t>
        </w:r>
      </w:hyperlink>
    </w:p>
    <w:p>
      <w:pPr>
        <w:spacing w:before="0" w:after="80"/>
      </w:pPr>
      <w:r>
        <w:rPr>
          <w:i/>
          <w:sz w:val="20"/>
        </w:rPr>
        <w:t>EN: The air pollution benefits of low-severity fire</w:t>
      </w:r>
    </w:p>
    <w:p>
      <w:pPr>
        <w:spacing w:before="0" w:after="120"/>
      </w:pPr>
      <w:r>
        <w:rPr>
          <w:b/>
        </w:rPr>
        <w:t xml:space="preserve">Source: </w:t>
      </w:r>
      <w:r>
        <w:t>AAAS: Science: Table of Contents</w:t>
      </w:r>
      <w:r>
        <w:t xml:space="preserve">    </w:t>
      </w:r>
      <w:r>
        <w:rPr>
          <w:b/>
        </w:rPr>
        <w:t xml:space="preserve">Pub date: </w:t>
      </w:r>
      <w:r>
        <w:t>2026-06-11 07:00:00+00:00</w:t>
      </w:r>
      <w:r>
        <w:t xml:space="preserve">    </w:t>
      </w:r>
      <w:r>
        <w:rPr>
          <w:b/>
        </w:rPr>
        <w:t xml:space="preserve">DOI: </w:t>
      </w:r>
      <w:hyperlink r:id="rId1108">
        <w:r>
          <w:rPr>
            <w:color w:val="1155CC"/>
            <w:u w:val="single"/>
          </w:rPr>
          <w:t>10.1126/science.aea2490</w:t>
        </w:r>
      </w:hyperlink>
    </w:p>
    <w:p>
      <w:pPr>
        <w:spacing w:before="0" w:after="120"/>
      </w:pPr>
      <w:r>
        <w:rPr>
          <w:b/>
        </w:rPr>
        <w:t xml:space="preserve">Notes: </w:t>
      </w:r>
      <w:r>
        <w:t>abstract_source=crossref</w:t>
      </w:r>
    </w:p>
    <w:p>
      <w:pPr>
        <w:spacing w:before="0" w:after="80" w:lineRule="auto" w:line="276"/>
      </w:pPr>
      <w:r>
        <w:rPr>
          <w:b/>
        </w:rPr>
        <w:t xml:space="preserve">摘要（ZH）: </w:t>
      </w:r>
      <w:r>
        <w:t>野火正在逆转美国大部分地区数十年来空气质量的改善。扩大使用规定的火灾是提出的主要解决方案，但空气质量的权衡（最初烟雾较多，以后烟雾较少）仍然缺乏量化。利用二十年来卫星对加州火灾严重程度和烟雾颗粒物的测量结果，我们评估了低严重程度野火（规定燃烧的代表）对随后野火活动和空气质量的因果影响。我们发现，低严重程度的火灾将发生极高严重程度的野火的可能性降低了 92%，这种减少持续了十年，并且从处理过的地点延伸了 5 公里。未来减少的烟雾远远超过治疗过程中产生的烟雾，十年后效益成本比超过五。每年持续治理 50 万英亩土地，可减少累积烟雾细颗粒物 (PM</w:t>
      </w:r>
      <w:r>
        <w:t xml:space="preserve"> </w:t>
      </w:r>
      <w:r>
        <w:t>2.5</w:t>
      </w:r>
      <w:r>
        <w:t xml:space="preserve"> </w:t>
      </w:r>
      <w:r>
        <w:t>）十年后大约减少10%。</w:t>
      </w:r>
    </w:p>
    <w:p>
      <w:pPr>
        <w:spacing w:before="0" w:after="200" w:lineRule="auto" w:line="276"/>
      </w:pPr>
      <w:r>
        <w:rPr>
          <w:b/>
        </w:rPr>
        <w:t xml:space="preserve">Abstract (EN): </w:t>
      </w:r>
      <w:r>
        <w:t>Wildfires are reversing decades of air quality improvements across much of the US. Expanded use of prescribed fire is a primary proposed solution, but air quality trade-offs—more initial smoke for less smoke later—remain poorly quantified. Using two decades of satellite-derived measurements of fire severity and smoke particulate matter across California, we assessed the causal effect of low-severity wildfire, a proxy for prescribed burning, on subsequent wildfire activity and air quality. We found that low-severity fire reduced the probability of very-high-severity wildfire by 92%, with reductions lasting a decade and extending 5 kilometers from treated locations. Reduced future smoke far outweighed the smoke produced during treatment, with benefit-cost ratios exceeding five after a decade. Sustained treatment of 500,000 acres annually would reduce cumulative smoke fine particulate matter (PM</w:t>
      </w:r>
      <w:r>
        <w:t xml:space="preserve"> </w:t>
      </w:r>
      <w:r>
        <w:t>2.5</w:t>
      </w:r>
      <w:r>
        <w:t xml:space="preserve"> </w:t>
      </w:r>
      <w:r>
        <w:t>) by about 10% after a decade.</w:t>
      </w:r>
    </w:p>
    <w:p>
      <w:pPr>
        <w:spacing w:before="120" w:after="120"/>
      </w:pPr>
      <w:r>
        <w:rPr>
          <w:sz w:val="18"/>
        </w:rPr>
        <w:t>——————————————————————————————————————————————————————————————————————</w:t>
      </w:r>
    </w:p>
    <w:p>
      <w:pPr>
        <w:spacing w:before="160" w:after="40" w:line="240" w:lineRule="auto"/>
      </w:pPr>
      <w:r>
        <w:rPr>
          <w:b/>
        </w:rPr>
        <w:t xml:space="preserve">[415] </w:t>
      </w:r>
      <w:hyperlink r:id="rId1109">
        <w:r>
          <w:rPr>
            <w:color w:val="1155CC"/>
            <w:u w:val="single"/>
          </w:rPr>
          <w:t>开发一种从妊娠晚期胎盘中提取人滋养层干细胞的稳健方法及其在先兆子痫中的应用</w:t>
        </w:r>
      </w:hyperlink>
    </w:p>
    <w:p>
      <w:pPr>
        <w:spacing w:before="0" w:after="80"/>
      </w:pPr>
      <w:r>
        <w:rPr>
          <w:i/>
          <w:sz w:val="20"/>
        </w:rPr>
        <w:t>EN: Development of a robust method to derive human trophoblast stem cells from late-gestation placentas and its application to preeclampsia</w:t>
      </w:r>
    </w:p>
    <w:p>
      <w:pPr>
        <w:spacing w:before="0" w:after="120"/>
      </w:pPr>
      <w:r>
        <w:rPr>
          <w:b/>
        </w:rPr>
        <w:t xml:space="preserve">Source: </w:t>
      </w:r>
      <w:r>
        <w:t>Proceedings of the National Academy of Sciences: Keyword search for query</w:t>
      </w:r>
      <w:r>
        <w:t xml:space="preserve">    </w:t>
      </w:r>
      <w:r>
        <w:rPr>
          <w:b/>
        </w:rPr>
        <w:t xml:space="preserve">Pub date: </w:t>
      </w:r>
      <w:r>
        <w:t>2026-06-11 07:00:00+00:00</w:t>
      </w:r>
      <w:r>
        <w:t xml:space="preserve">    </w:t>
      </w:r>
      <w:r>
        <w:rPr>
          <w:b/>
        </w:rPr>
        <w:t xml:space="preserve">DOI: </w:t>
      </w:r>
      <w:hyperlink r:id="rId1110">
        <w:r>
          <w:rPr>
            <w:color w:val="1155CC"/>
            <w:u w:val="single"/>
          </w:rPr>
          <w:t>10.1073/pnas.2537884123</w:t>
        </w:r>
      </w:hyperlink>
    </w:p>
    <w:p>
      <w:pPr>
        <w:spacing w:before="0" w:after="120"/>
      </w:pPr>
      <w:r>
        <w:rPr>
          <w:b/>
        </w:rPr>
        <w:t xml:space="preserve">Notes: </w:t>
      </w:r>
      <w:r>
        <w:t>abstract_source=crossref</w:t>
      </w:r>
    </w:p>
    <w:p>
      <w:pPr>
        <w:spacing w:before="0" w:after="80" w:lineRule="auto" w:line="276"/>
      </w:pPr>
      <w:r>
        <w:rPr>
          <w:b/>
        </w:rPr>
        <w:t xml:space="preserve">摘要（ZH）: </w:t>
      </w:r>
      <w:r>
        <w:t>滋养层细胞是胎盘中的多功能细胞，对于正常妊娠至关重要。尽管滋养层功能障碍可导致妊娠并发症，但其潜在机制仍不清楚，有效的治疗方法也有限，部分原因是缺乏合适的实验模型。我们之前报道了从妊娠早期胎盘和囊胚中衍生出人类滋养层干细胞（hTSC），为研究人类滋养层发育和功能提供了强大的工具。然而，从妊娠晚期胎盘中获取 hTSC 的困难限制了其在妊娠并发症研究中的应用。在这里，我们报告了一种基于 p53 显性失活突变体、SALL4 和针对细胞周期蛋白依赖性激酶抑制剂的 shRNA 的瞬时表达，从足月胎盘中衍生 hTSC 的强大技术。利用这项技术，我们从早发性先兆子痫 (PE) 患者的胎盘中提取并表征了 hTSC。 PE 衍生的 hTSC 表现出滋养层侵袭受损和胎盘生长因子分泌减少，与 PE 中报道的滋养层异常一致。因此，本研究为研究与滋养层功能障碍相关的妊娠并发症提供了技术基础。</w:t>
      </w:r>
    </w:p>
    <w:p>
      <w:pPr>
        <w:spacing w:before="0" w:after="200" w:lineRule="auto" w:line="276"/>
      </w:pPr>
      <w:r>
        <w:rPr>
          <w:b/>
        </w:rPr>
        <w:t xml:space="preserve">Abstract (EN): </w:t>
      </w:r>
      <w:r>
        <w:t>Trophoblasts are multifunctional cells in the placenta and essential for normal pregnancy. Although trophoblast dysfunction can cause pregnancy complications, the underlying mechanisms remain unclear, and effective treatments are limited, partly because of the scarcity of appropriate experimental models. We previously reported the derivation of human trophoblast stem cells (hTSCs) from 1st-trimester placentas and blastocysts, providing a powerful tool to investigate human trophoblast development and function. However, the difficulty in deriving hTSCs from late-gestation placentas has limited their application to pregnancy complication research. Here we report a robust technique to derive hTSCs from term placentas based on the transient expression of a p53 dominant negative mutant, SALL4, and shRNAs against cyclin-dependent kinase inhibitors. Using this technique, we derived and characterized hTSCs from placentas obtained from patients with early-onset preeclampsia (PE). PE-derived hTSCs exhibit impaired trophoblast invasion and reduced placental growth factor secretion, consistent with trophoblast abnormalities reported in PE. Therefore, this study provides a technological basis for investigating pregnancy complications associated with trophoblast dysfunction.</w:t>
      </w:r>
    </w:p>
    <w:p>
      <w:pPr>
        <w:spacing w:before="120" w:after="120"/>
      </w:pPr>
      <w:r>
        <w:rPr>
          <w:sz w:val="18"/>
        </w:rPr>
        <w:t>——————————————————————————————————————————————————————————————————————</w:t>
      </w:r>
    </w:p>
    <w:p>
      <w:pPr>
        <w:spacing w:before="160" w:after="40" w:line="240" w:lineRule="auto"/>
      </w:pPr>
      <w:r>
        <w:rPr>
          <w:b/>
        </w:rPr>
        <w:t xml:space="preserve">[416] </w:t>
      </w:r>
      <w:hyperlink r:id="rId1111">
        <w:r>
          <w:rPr>
            <w:color w:val="1155CC"/>
            <w:u w:val="single"/>
          </w:rPr>
          <w:t>长期隔离和古老的基因渗入塑造了近大洋洲的功能性遗传变异</w:t>
        </w:r>
      </w:hyperlink>
    </w:p>
    <w:p>
      <w:pPr>
        <w:spacing w:before="0" w:after="80"/>
      </w:pPr>
      <w:r>
        <w:rPr>
          <w:i/>
          <w:sz w:val="20"/>
        </w:rPr>
        <w:t>EN: Long-term isolation and archaic introgression shape functional genetic variation in Near Oceania</w:t>
      </w:r>
    </w:p>
    <w:p>
      <w:pPr>
        <w:spacing w:before="0" w:after="120"/>
      </w:pPr>
      <w:r>
        <w:rPr>
          <w:b/>
        </w:rPr>
        <w:t xml:space="preserve">Source: </w:t>
      </w:r>
      <w:r>
        <w:t>AAAS: Science: Table of Contents</w:t>
      </w:r>
      <w:r>
        <w:t xml:space="preserve">    </w:t>
      </w:r>
      <w:r>
        <w:rPr>
          <w:b/>
        </w:rPr>
        <w:t xml:space="preserve">Pub date: </w:t>
      </w:r>
      <w:r>
        <w:t>2026-06-11 07:00:00+00:00</w:t>
      </w:r>
      <w:r>
        <w:t xml:space="preserve">    </w:t>
      </w:r>
      <w:r>
        <w:rPr>
          <w:b/>
        </w:rPr>
        <w:t xml:space="preserve">DOI: </w:t>
      </w:r>
      <w:hyperlink r:id="rId1112">
        <w:r>
          <w:rPr>
            <w:color w:val="1155CC"/>
            <w:u w:val="single"/>
          </w:rPr>
          <w:t>10.1126/science.adr6749</w:t>
        </w:r>
      </w:hyperlink>
    </w:p>
    <w:p>
      <w:pPr>
        <w:spacing w:before="0" w:after="120"/>
      </w:pPr>
      <w:r>
        <w:rPr>
          <w:b/>
        </w:rPr>
        <w:t xml:space="preserve">Notes: </w:t>
      </w:r>
      <w:r>
        <w:t>abstract_source=crossref</w:t>
      </w:r>
    </w:p>
    <w:p>
      <w:pPr>
        <w:spacing w:before="0" w:after="80" w:lineRule="auto" w:line="276"/>
      </w:pPr>
      <w:r>
        <w:rPr>
          <w:b/>
        </w:rPr>
        <w:t xml:space="preserve">摘要（ZH）: </w:t>
      </w:r>
      <w:r>
        <w:t>近大洋种群拥有丰富的文化、表型和遗传多样性，但在人类基因组学中的代表性却严重不足。我们生成了 177 个高覆盖率的近大洋洲全基因组，并将它们与 1284 个全球基因组一起进行了分析，揭示了岛屿之间和岛屿内部的主要区别，包括长期隔离和严重的人口瓶颈。我们重建了古老基因组的 18.97 亿个碱基对，其中包括丹尼索瓦人序列的 8.319 亿个碱基对，并发现了近大洋洲三个类丹尼索瓦人群体基因渗入的证据，以及位于大洋洲的适应性丹尼索瓦人基因渗入的证据。</w:t>
      </w:r>
      <w:r>
        <w:t xml:space="preserve"> </w:t>
      </w:r>
      <w:r>
        <w:t>TRPS1</w:t>
      </w:r>
      <w:r>
        <w:t xml:space="preserve"> </w:t>
      </w:r>
      <w:r>
        <w:t>，一种骨骼发育基因也在中非雨林狩猎采集者和厄瓜多尔高原人中进行选择。然后，我们进行了大规模并行报告分析，发现了 3127 个高频渗入表达调节变体，发现了对干扰素-γ 信号通路中基因的功能影响的丰富性，包括</w:t>
      </w:r>
      <w:r>
        <w:t xml:space="preserve"> </w:t>
      </w:r>
      <w:r>
        <w:t>贾克1</w:t>
      </w:r>
      <w:r>
        <w:t xml:space="preserve"> </w:t>
      </w:r>
      <w:r>
        <w:t>,</w:t>
      </w:r>
      <w:r>
        <w:t xml:space="preserve"> </w:t>
      </w:r>
      <w:r>
        <w:t>英镑2</w:t>
      </w:r>
      <w:r>
        <w:t xml:space="preserve"> </w:t>
      </w:r>
      <w:r>
        <w:t>, 和</w:t>
      </w:r>
      <w:r>
        <w:t xml:space="preserve"> </w:t>
      </w:r>
      <w:r>
        <w:t>美洲国家组织1</w:t>
      </w:r>
      <w:r>
        <w:t xml:space="preserve"> </w:t>
      </w:r>
      <w:r>
        <w:t>。</w:t>
      </w:r>
    </w:p>
    <w:p>
      <w:pPr>
        <w:spacing w:before="0" w:after="200" w:lineRule="auto" w:line="276"/>
      </w:pPr>
      <w:r>
        <w:rPr>
          <w:b/>
        </w:rPr>
        <w:t xml:space="preserve">Abstract (EN): </w:t>
      </w:r>
      <w:r>
        <w:t>Near Oceanic populations harbor substantial cultural, phenotypic, and genetic diversity yet are drastically underrepresented in human genomics. We generated 177 high-coverage Near Oceanian whole genomes and analyzed them alongside 1284 worldwide genomes, revealing major distinctions among and within islands, including long-term isolation and strong population bottlenecks. We reconstructed 1.897 billion base pairs of the archaic genome, including 831.9 million base pairs of Denisovan sequence, and found evidence for introgression from three Denisovan-like groups in Near Oceanians and adaptive Denisovan introgression at</w:t>
      </w:r>
      <w:r>
        <w:t xml:space="preserve"> </w:t>
      </w:r>
      <w:r>
        <w:t>TRPS1</w:t>
      </w:r>
      <w:r>
        <w:t xml:space="preserve"> </w:t>
      </w:r>
      <w:r>
        <w:t>, a skeletal development gene also under selection in central African rainforest hunter-gatherers and highland Ecuadorians. We then performed a massively parallel reporter assay and discovered 3127 high-frequency introgressed expression-modulating variants, finding an enrichment of functional impacts on genes in the interferon-γ signaling pathway including</w:t>
      </w:r>
      <w:r>
        <w:t xml:space="preserve"> </w:t>
      </w:r>
      <w:r>
        <w:t>JAK1</w:t>
      </w:r>
      <w:r>
        <w:t xml:space="preserve"> </w:t>
      </w:r>
      <w:r>
        <w:t>,</w:t>
      </w:r>
      <w:r>
        <w:t xml:space="preserve"> </w:t>
      </w:r>
      <w:r>
        <w:t>GBP2</w:t>
      </w:r>
      <w:r>
        <w:t xml:space="preserve"> </w:t>
      </w:r>
      <w:r>
        <w:t>, and</w:t>
      </w:r>
      <w:r>
        <w:t xml:space="preserve"> </w:t>
      </w:r>
      <w:r>
        <w:t>OAS1</w:t>
      </w:r>
      <w:r>
        <w:t xml:space="preserve"> </w:t>
      </w:r>
      <w:r>
        <w:t>.</w:t>
      </w:r>
    </w:p>
    <w:p>
      <w:pPr>
        <w:spacing w:before="120" w:after="120"/>
      </w:pPr>
      <w:r>
        <w:rPr>
          <w:sz w:val="18"/>
        </w:rPr>
        <w:t>——————————————————————————————————————————————————————————————————————</w:t>
      </w:r>
    </w:p>
    <w:p>
      <w:pPr>
        <w:spacing w:before="160" w:after="40" w:line="240" w:lineRule="auto"/>
      </w:pPr>
      <w:r>
        <w:rPr>
          <w:b/>
        </w:rPr>
        <w:t xml:space="preserve">[417] </w:t>
      </w:r>
      <w:hyperlink r:id="rId1113">
        <w:r>
          <w:rPr>
            <w:color w:val="1155CC"/>
            <w:u w:val="single"/>
          </w:rPr>
          <w:t>APP 通过溶酶体胞吐作用清除核废物中的保护作用</w:t>
        </w:r>
      </w:hyperlink>
    </w:p>
    <w:p>
      <w:pPr>
        <w:spacing w:before="0" w:after="80"/>
      </w:pPr>
      <w:r>
        <w:rPr>
          <w:i/>
          <w:sz w:val="20"/>
        </w:rPr>
        <w:t>EN: A protective role for APP in nuclear waste clearance via lysosomal exocytosis</w:t>
      </w:r>
    </w:p>
    <w:p>
      <w:pPr>
        <w:spacing w:before="0" w:after="120"/>
      </w:pPr>
      <w:r>
        <w:rPr>
          <w:b/>
        </w:rPr>
        <w:t xml:space="preserve">Source: </w:t>
      </w:r>
      <w:r>
        <w:t>Proceedings of the National Academy of Sciences: Keyword search for query</w:t>
      </w:r>
      <w:r>
        <w:t xml:space="preserve">    </w:t>
      </w:r>
      <w:r>
        <w:rPr>
          <w:b/>
        </w:rPr>
        <w:t xml:space="preserve">Pub date: </w:t>
      </w:r>
      <w:r>
        <w:t>2026-06-11 07:00:00+00:00</w:t>
      </w:r>
      <w:r>
        <w:t xml:space="preserve">    </w:t>
      </w:r>
      <w:r>
        <w:rPr>
          <w:b/>
        </w:rPr>
        <w:t xml:space="preserve">DOI: </w:t>
      </w:r>
      <w:hyperlink r:id="rId1114">
        <w:r>
          <w:rPr>
            <w:color w:val="1155CC"/>
            <w:u w:val="single"/>
          </w:rPr>
          <w:t>10.1073/pnas.2524190123</w:t>
        </w:r>
      </w:hyperlink>
    </w:p>
    <w:p>
      <w:pPr>
        <w:spacing w:before="0" w:after="120"/>
      </w:pPr>
      <w:r>
        <w:rPr>
          <w:b/>
        </w:rPr>
        <w:t xml:space="preserve">Notes: </w:t>
      </w:r>
      <w:r>
        <w:t>abstract_source=crossref</w:t>
      </w:r>
    </w:p>
    <w:p>
      <w:pPr>
        <w:spacing w:before="0" w:after="80" w:lineRule="auto" w:line="276"/>
      </w:pPr>
      <w:r>
        <w:rPr>
          <w:b/>
        </w:rPr>
        <w:t xml:space="preserve">摘要（ZH）: </w:t>
      </w:r>
      <w:r>
        <w:t>淀粉样前体蛋白 (APP) 因其蛋白水解加工成淀粉样β肽而在阿尔茨海默病 (AD) 发病机制中发挥的作用而广为人知。然而，其生理功能仍不完全清楚。在这里，我们发现了全长 APP 在促进基因毒性胁迫下核衍生碎片的处理方面的保护作用。在培养细胞和体内小鼠模型中，APP 的缺失会导致核废物积累、炎症增加和细胞死亡，而 APP 过度表达会减轻这些影响。从机制上讲，我们表明 APP 通过溶酶体胞吐作用支持核废料的细胞外释放。与家族性 AD 相关的 APP 突变体无法介导这一过程。人类 AD 脑组织始终表现出异常的核形态、细胞质中核废物的积累以及每个神经元 APP 水平的降低。这些发现强调了 APP 促进核和细胞稳态的保守细胞机制，并表明核废物清除受损可能是神经变性的一个未被充分认识的因素。</w:t>
      </w:r>
    </w:p>
    <w:p>
      <w:pPr>
        <w:spacing w:before="0" w:after="200" w:lineRule="auto" w:line="276"/>
      </w:pPr>
      <w:r>
        <w:rPr>
          <w:b/>
        </w:rPr>
        <w:t xml:space="preserve">Abstract (EN): </w:t>
      </w:r>
      <w:r>
        <w:t>Amyloid precursor protein (APP) is widely known for its role in Alzheimer’s disease (AD) pathogenesis through its proteolytic processing into amyloid-β peptides. However, its physiological functions remain incompletely understood. Here, we uncover a protective role for full-length APP in facilitating the disposal of nuclear-derived debris under genotoxic stress. In both cultured cells and in vivo mouse models, loss of APP leads to nuclear waste accumulation, increased inflammation, and cell death, whereas APP overexpression mitigates these effects. Mechanistically, we show that APP supports the extracellular release of nuclear waste material through lysosomal exocytosis. APP mutants associated with familial AD fail to mediate this process. Consistently, human AD brain tissue exhibits abnormal nuclear morphology, accumulation of nuclear waste in the cytoplasm, and reduced APP levels per neuron. These findings highlight a conserved cellular mechanism by which APP contributes to nuclear and cellular homeostasis, and suggest that impaired nuclear waste clearance may represent an underappreciated contributor to neurodegeneration.</w:t>
      </w:r>
    </w:p>
    <w:p>
      <w:pPr>
        <w:spacing w:before="120" w:after="120"/>
      </w:pPr>
      <w:r>
        <w:rPr>
          <w:sz w:val="18"/>
        </w:rPr>
        <w:t>——————————————————————————————————————————————————————————————————————</w:t>
      </w:r>
    </w:p>
    <w:p>
      <w:pPr>
        <w:spacing w:before="160" w:after="40" w:line="240" w:lineRule="auto"/>
      </w:pPr>
      <w:r>
        <w:rPr>
          <w:b/>
        </w:rPr>
        <w:t xml:space="preserve">[418] </w:t>
      </w:r>
      <w:hyperlink r:id="rId1115">
        <w:r>
          <w:rPr>
            <w:color w:val="1155CC"/>
            <w:u w:val="single"/>
          </w:rPr>
          <w:t>克雅氏病朊病毒变种在人源化神经细胞中的菌株特异性繁殖</w:t>
        </w:r>
      </w:hyperlink>
    </w:p>
    <w:p>
      <w:pPr>
        <w:spacing w:before="0" w:after="80"/>
      </w:pPr>
      <w:r>
        <w:rPr>
          <w:i/>
          <w:sz w:val="20"/>
        </w:rPr>
        <w:t>EN: Strain-specific propagation of variant Creutzfeldt–Jakob disease prions in humanized neural cells</w:t>
      </w:r>
    </w:p>
    <w:p>
      <w:pPr>
        <w:spacing w:before="0" w:after="120"/>
      </w:pPr>
      <w:r>
        <w:rPr>
          <w:b/>
        </w:rPr>
        <w:t xml:space="preserve">Source: </w:t>
      </w:r>
      <w:r>
        <w:t>Proceedings of the National Academy of Sciences: Keyword search for query</w:t>
      </w:r>
      <w:r>
        <w:t xml:space="preserve">    </w:t>
      </w:r>
      <w:r>
        <w:rPr>
          <w:b/>
        </w:rPr>
        <w:t xml:space="preserve">Pub date: </w:t>
      </w:r>
      <w:r>
        <w:t>2026-06-11 07:00:00+00:00</w:t>
      </w:r>
      <w:r>
        <w:t xml:space="preserve">    </w:t>
      </w:r>
      <w:r>
        <w:rPr>
          <w:b/>
        </w:rPr>
        <w:t xml:space="preserve">DOI: </w:t>
      </w:r>
      <w:hyperlink r:id="rId1116">
        <w:r>
          <w:rPr>
            <w:color w:val="1155CC"/>
            <w:u w:val="single"/>
          </w:rPr>
          <w:t>10.1073/pnas.2609054123</w:t>
        </w:r>
      </w:hyperlink>
    </w:p>
    <w:p>
      <w:pPr>
        <w:spacing w:before="0" w:after="120"/>
      </w:pPr>
      <w:r>
        <w:rPr>
          <w:b/>
        </w:rPr>
        <w:t xml:space="preserve">Notes: </w:t>
      </w:r>
      <w:r>
        <w:t>abstract_source=crossref</w:t>
      </w:r>
    </w:p>
    <w:p>
      <w:pPr>
        <w:spacing w:before="0" w:after="80" w:lineRule="auto" w:line="276"/>
      </w:pPr>
      <w:r>
        <w:rPr>
          <w:b/>
        </w:rPr>
        <w:t xml:space="preserve">摘要（ZH）: </w:t>
      </w:r>
      <w:r>
        <w:t>朊病毒是宿主朊病毒蛋白的自模板组装体，其中构象模板编码可遗传的“菌株”信息。人类朊病毒病，包括克雅氏病（CJD），是一种罕见但均致命的神经退行性疾病，通过流行病和医源性传播与公共卫生相关，并为神经退行性变的构象模板提供了范例。由于缺乏复制真正的传染性人类朊病毒的哺乳动物细胞系统，人类朊病毒传播的机制分析和公共卫生监测感染性测定的发展受到限制。在这里，我们建立了一种人源化神经细胞系统，该系统能够传播变异型克雅氏病（vCJD）朊病毒，并揭示了朊病毒复制受到菌株相容的细胞状态的限制。该平台是使用类似于人类朊病毒病转基因小鼠模型中使用的沉默后重建策略并结合高通量克隆选择而生成的。这些细胞繁殖脑源性 vCJD 朊病毒并支持慢性感染。朊病毒在体外繁殖，将疾病传播给人源化转基因小鼠和野生型小鼠，同时保留定义的生化和菌株特异性神经病理学特征，证明了忠实的繁殖。传播具有菌株特异性：细胞允许 vCJD，但对散发的 CJD 分离株耐药，表明朊病毒复制受到菌株相容的细胞状态的限制。这些人源化细胞能够在高浓度下定量检测感染</w:t>
      </w:r>
    </w:p>
    <w:p>
      <w:pPr>
        <w:spacing w:before="0" w:after="200" w:lineRule="auto" w:line="276"/>
      </w:pPr>
      <w:r>
        <w:rPr>
          <w:b/>
        </w:rPr>
        <w:t xml:space="preserve">Abstract (EN): </w:t>
      </w:r>
      <w:r>
        <w:t>Prions are self-templating assemblies of the host prion protein in which conformational templating encodes heritable “strain” information. Human prion diseases, including Creutzfeldt–Jakob disease (CJD), are rare but uniformly fatal neurodegenerative disorders with established public-health relevance through epidemic and iatrogenic transmission and provide a paradigm for conformational templating in neurodegeneration. Mechanistic analysis of human prion propagation and development of infectivity assays for public health surveillance have been limited by the absence of mammalian cell systems that replicate authentic infectious human prions. Here, we establish a humanized neural cell system that enables propagation of variant CJD (vCJD) prions and reveals that prion replication is constrained by strain-compatible cellular states. The platform was generated using a silencing-followed-by-reconstitution strategy analogous to that used in transgenic mouse models of human prion disease, combined with high-throughput clonal selection. These cells propagate brain-derived vCJD prions and support chronic infection. Prions propagated in vitro transmit disease to humanized transgenic and wild-type mice while preserving defining biochemical and strain-specific neuropathological features, demonstrating faithful propagation. Propagation is strain specific: The cells are permissive to vCJD but refractory to sporadic CJD isolates, indicating that prion replication is constrained by strain-compatible cellular states. These humanized cells enable quantitative detection of infection at high dilution, support systematic genetic manipulation, and are readily adaptable to automation. By overcoming a longstanding barrier of propagating authentic human prions, this platform enables mechanistic dissection of the cellular determinants of prion replication and strain specificity and provides a scalable system for genetic analysis and sensitive detection of infectious human prions.</w:t>
      </w:r>
    </w:p>
    <w:p>
      <w:pPr>
        <w:spacing w:before="120" w:after="120"/>
      </w:pPr>
      <w:r>
        <w:rPr>
          <w:sz w:val="18"/>
        </w:rPr>
        <w:t>——————————————————————————————————————————————————————————————————————</w:t>
      </w:r>
    </w:p>
    <w:p>
      <w:pPr>
        <w:spacing w:before="160" w:after="40" w:line="240" w:lineRule="auto"/>
      </w:pPr>
      <w:r>
        <w:rPr>
          <w:b/>
        </w:rPr>
        <w:t xml:space="preserve">[419] </w:t>
      </w:r>
      <w:hyperlink r:id="rId1117">
        <w:r>
          <w:rPr>
            <w:color w:val="1155CC"/>
            <w:u w:val="single"/>
          </w:rPr>
          <w:t>超窄间隔极性绿色芳香族 Dion-Jacobson 杂化钙钛矿可实现高灵敏度和稳定的自供电 X 射线检测</w:t>
        </w:r>
      </w:hyperlink>
    </w:p>
    <w:p>
      <w:pPr>
        <w:spacing w:before="0" w:after="80"/>
      </w:pPr>
      <w:r>
        <w:rPr>
          <w:i/>
          <w:sz w:val="20"/>
        </w:rPr>
        <w:t>EN: Ultranarrow‐Spaced Polar Green Aromatic Dion–Jacobson Hybrid Perovskite Enables Highly Sensitive and Stable Self‐Powered X‐Ray Detection</w:t>
      </w:r>
    </w:p>
    <w:p>
      <w:pPr>
        <w:spacing w:before="0" w:after="120"/>
      </w:pPr>
      <w:r>
        <w:rPr>
          <w:b/>
        </w:rPr>
        <w:t xml:space="preserve">Source: </w:t>
      </w:r>
      <w:r>
        <w:t>Wiley-Online-Library: Advanced Materials: Table of Contents</w:t>
      </w:r>
      <w:r>
        <w:t xml:space="preserve">    </w:t>
      </w:r>
      <w:r>
        <w:rPr>
          <w:b/>
        </w:rPr>
        <w:t xml:space="preserve">Pub date: </w:t>
      </w:r>
      <w:r>
        <w:t>2026-06-11 07:12:21+00:00</w:t>
      </w:r>
      <w:r>
        <w:t xml:space="preserve">    </w:t>
      </w:r>
      <w:r>
        <w:rPr>
          <w:b/>
        </w:rPr>
        <w:t xml:space="preserve">DOI: </w:t>
      </w:r>
      <w:hyperlink r:id="rId1118">
        <w:r>
          <w:rPr>
            <w:color w:val="1155CC"/>
            <w:u w:val="single"/>
          </w:rPr>
          <w:t>10.1002/adma.73657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迪翁-雅各布森 (DJ) 杂化钙钛矿由于其高稳定性和短层间距而被认为是非常有前途的 X 射线检测材料。然而，由于高电压下严重的离子迁移和铅毒性，这些材料的大规模商业开发受到挑战。在这里，我们成功获得了DJ型极性无铅绿色杂化钙钛矿（4AMPY）</w:t>
      </w:r>
      <w:r>
        <w:rPr>
          <w:vertAlign w:val="subscript"/>
        </w:rPr>
        <w:t>2</w:t>
      </w:r>
      <w:r>
        <w:t>溴化银</w:t>
      </w:r>
      <w:r>
        <w:rPr>
          <w:vertAlign w:val="subscript"/>
        </w:rPr>
        <w:t>8</w:t>
      </w:r>
      <w:r>
        <w:t>（</w:t>
      </w:r>
      <w:r>
        <w:rPr>
          <w:vertAlign w:val="subscript"/>
        </w:rPr>
        <w:t>1</w:t>
      </w:r>
      <w:r>
        <w:t>）通过将4-氨基甲基吡啶（4AMPY）芳香族二胺插入到3D Cs中</w:t>
      </w:r>
      <w:r>
        <w:rPr>
          <w:vertAlign w:val="subscript"/>
        </w:rPr>
        <w:t>2</w:t>
      </w:r>
      <w:r>
        <w:t>溴化银</w:t>
      </w:r>
      <w:r>
        <w:rPr>
          <w:vertAlign w:val="subscript"/>
        </w:rPr>
        <w:t>6</w:t>
      </w:r>
      <w:r>
        <w:t>，实现了高效稳定的自供电X射线检测。具体来说，由于 4AMPY 的插入，</w:t>
      </w:r>
      <w:r>
        <w:rPr>
          <w:vertAlign w:val="subscript"/>
        </w:rPr>
        <w:t>1</w:t>
      </w:r>
      <w:r>
        <w:t>在极性空间群中结晶</w:t>
      </w:r>
      <w:r>
        <w:t xml:space="preserve"> </w:t>
      </w:r>
      <w:r>
        <w:t>磷</w:t>
      </w:r>
      <w:r>
        <w:rPr>
          <w:vertAlign w:val="subscript"/>
        </w:rPr>
        <w:t>2</w:t>
      </w:r>
      <w:r>
        <w:rPr>
          <w:vertAlign w:val="subscript"/>
        </w:rPr>
        <w:t>1</w:t>
      </w:r>
      <w:r>
        <w:t>并表现出显着的体光伏效应。此外，4AMPY 和相邻无机层之间的强氢键相互作用导致超窄层间距为 3.09 Å。同时，芳香二胺中电子云密度的增强改善了电荷转移通道</w:t>
      </w:r>
      <w:r>
        <w:rPr>
          <w:vertAlign w:val="subscript"/>
        </w:rPr>
        <w:t>1</w:t>
      </w:r>
      <w:r>
        <w:t>并增强其X射线检测性能。因此，在所有DJ型无铅杂化钙钛矿中，</w:t>
      </w:r>
      <w:r>
        <w:rPr>
          <w:vertAlign w:val="subscript"/>
        </w:rPr>
        <w:t>1</w:t>
      </w:r>
      <w:r>
        <w:t>达到破纪录的 661.4 和 9465.2 µC Gy 灵敏度</w:t>
      </w:r>
      <w:r>
        <w:t xml:space="preserve"> </w:t>
      </w:r>
      <w:r>
        <w:t>−1</w:t>
      </w:r>
    </w:p>
    <w:p>
      <w:pPr>
        <w:spacing w:before="0" w:after="200" w:lineRule="auto" w:line="276"/>
      </w:pPr>
      <w:r>
        <w:rPr>
          <w:b/>
        </w:rPr>
        <w:t xml:space="preserve">Abstract (EN): </w:t>
      </w:r>
      <w:r>
        <w:t>Dion‐Jacobson (DJ) hybrid perovskites are considered as highly promising X‐ray detection materials due to their high stability and short interlayer spacing. However, the large‐scale commercial development of these materials is challenged due to severe ion migration at high voltage and lead toxicity. Here, we successfully obtained a DJ‐type polar lead‐free green hybrid perovskite (4AMPY)</w:t>
      </w:r>
      <w:r>
        <w:rPr>
          <w:vertAlign w:val="subscript"/>
        </w:rPr>
        <w:t>2</w:t>
      </w:r>
      <w:r>
        <w:t>AgBiBr</w:t>
      </w:r>
      <w:r>
        <w:rPr>
          <w:vertAlign w:val="subscript"/>
        </w:rPr>
        <w:t>8</w:t>
      </w:r>
      <w:r>
        <w:t>(</w:t>
      </w:r>
      <w:r>
        <w:rPr>
          <w:vertAlign w:val="subscript"/>
        </w:rPr>
        <w:t>1</w:t>
      </w:r>
      <w:r>
        <w:t>) by inserting 4‐aminomethylpyridine (4AMPY) aromatic diamine into 3D Cs</w:t>
      </w:r>
      <w:r>
        <w:rPr>
          <w:vertAlign w:val="subscript"/>
        </w:rPr>
        <w:t>2</w:t>
      </w:r>
      <w:r>
        <w:t>AgBiBr</w:t>
      </w:r>
      <w:r>
        <w:rPr>
          <w:vertAlign w:val="subscript"/>
        </w:rPr>
        <w:t>6</w:t>
      </w:r>
      <w:r>
        <w:t>, and achieved efficient and stable self‐powered X‐ray detection. Specifically, owing to the insertion of 4AMPY,</w:t>
      </w:r>
      <w:r>
        <w:rPr>
          <w:vertAlign w:val="subscript"/>
        </w:rPr>
        <w:t>1</w:t>
      </w:r>
      <w:r>
        <w:t>crystallizes in polar space group</w:t>
      </w:r>
      <w:r>
        <w:t xml:space="preserve"> </w:t>
      </w:r>
      <w:r>
        <w:t>P</w:t>
      </w:r>
      <w:r>
        <w:rPr>
          <w:vertAlign w:val="subscript"/>
        </w:rPr>
        <w:t>2</w:t>
      </w:r>
      <w:r>
        <w:rPr>
          <w:vertAlign w:val="subscript"/>
        </w:rPr>
        <w:t>1</w:t>
      </w:r>
      <w:r>
        <w:t>and exhibits a significant bulk photovoltaic effect. Additionally, strong hydrogen‐bonding interactions between 4AMPY and adjacent inorganic layers lead to an ultranarrow interlayer spacing of 3.09 Å. Meanwhile, the enhanced electron cloud density in aromatic diamines improves the charge transfer channel of</w:t>
      </w:r>
      <w:r>
        <w:rPr>
          <w:vertAlign w:val="subscript"/>
        </w:rPr>
        <w:t>1</w:t>
      </w:r>
      <w:r>
        <w:t>and enhances its X‐ray detection performance. Therefore, among all DJ‐type lead‐free hybrid perovskites,</w:t>
      </w:r>
      <w:r>
        <w:rPr>
          <w:vertAlign w:val="subscript"/>
        </w:rPr>
        <w:t>1</w:t>
      </w:r>
      <w:r>
        <w:t>achieves record‐breaking sensitivities of 661.4 and 9465.2 µC Gy</w:t>
      </w:r>
      <w:r>
        <w:t xml:space="preserve"> </w:t>
      </w:r>
      <w:r>
        <w:t>−1</w:t>
      </w:r>
      <w:r>
        <w:t xml:space="preserve"> </w:t>
      </w:r>
      <w:r>
        <w:t>cm</w:t>
      </w:r>
      <w:r>
        <w:t xml:space="preserve"> </w:t>
      </w:r>
      <w:r>
        <w:t>−2</w:t>
      </w:r>
      <w:r>
        <w:t xml:space="preserve"> </w:t>
      </w:r>
      <w:r>
        <w:t>at 0 and 100 V, respectively. Importantly,</w:t>
      </w:r>
      <w:r>
        <w:rPr>
          <w:vertAlign w:val="subscript"/>
        </w:rPr>
        <w:t>1</w:t>
      </w:r>
      <w:r>
        <w:t>exhibits excellent storage stability, with its sensitivity remaining at 97.5% (0 V) and 96.6% (100 V) of the initial value after three months. This work will greatly promote the development of polar DJ‐type lead‐free perovskite‐based self‐powered X‐ray detectors.</w:t>
      </w:r>
    </w:p>
    <w:p>
      <w:pPr>
        <w:spacing w:before="120" w:after="120"/>
      </w:pPr>
      <w:r>
        <w:rPr>
          <w:sz w:val="18"/>
        </w:rPr>
        <w:t>——————————————————————————————————————————————————————————————————————</w:t>
      </w:r>
    </w:p>
    <w:p>
      <w:pPr>
        <w:spacing w:before="160" w:after="40" w:line="240" w:lineRule="auto"/>
      </w:pPr>
      <w:r>
        <w:rPr>
          <w:b/>
        </w:rPr>
        <w:t xml:space="preserve">[420] </w:t>
      </w:r>
      <w:hyperlink r:id="rId1119">
        <w:r>
          <w:rPr>
            <w:color w:val="1155CC"/>
            <w:u w:val="single"/>
          </w:rPr>
          <w:t>双原子催化剂爆炸</w:t>
        </w:r>
      </w:hyperlink>
    </w:p>
    <w:p>
      <w:pPr>
        <w:spacing w:before="0" w:after="80"/>
      </w:pPr>
      <w:r>
        <w:rPr>
          <w:i/>
          <w:sz w:val="20"/>
        </w:rPr>
        <w:t>EN: Dual Atom Catalysts Through Explosion</w:t>
      </w:r>
    </w:p>
    <w:p>
      <w:pPr>
        <w:spacing w:before="0" w:after="120"/>
      </w:pPr>
      <w:r>
        <w:rPr>
          <w:b/>
        </w:rPr>
        <w:t xml:space="preserve">Source: </w:t>
      </w:r>
      <w:r>
        <w:t>Wiley-Online-Library: Angewandte Chemie International Edition: Table of Contents</w:t>
      </w:r>
      <w:r>
        <w:t xml:space="preserve">    </w:t>
      </w:r>
      <w:r>
        <w:rPr>
          <w:b/>
        </w:rPr>
        <w:t xml:space="preserve">Pub date: </w:t>
      </w:r>
      <w:r>
        <w:t>2026-06-11 07:56:10+00:00</w:t>
      </w:r>
      <w:r>
        <w:t xml:space="preserve">    </w:t>
      </w:r>
      <w:r>
        <w:rPr>
          <w:b/>
        </w:rPr>
        <w:t xml:space="preserve">DOI: </w:t>
      </w:r>
      <w:hyperlink r:id="rId1120">
        <w:r>
          <w:rPr>
            <w:color w:val="1155CC"/>
            <w:u w:val="single"/>
          </w:rPr>
          <w:t>10.1002/anie.3998491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双原子催化剂（DAC）因其在增强各种催化反应方面的协同效应而受到广泛关注，为化学和材料科学领域开辟了新的研究方向。从战略上讲，构建具有不对称活性位点的双金属对是进一步提高 DAC 性能的关键策略。然而，实现无机材料支持的结构可控 DAC 库的通用合成仍然是一个重大挑战。在这项工作中，我们提出了一种通过分子爆炸合成不对称DAC（A-DAC）的通用策略，它可以在有限的空间内瞬时产生极端条件，提供传统方法难以实现的功能。利用该技术，我们成功制备并系统表征了15种</w:t>
      </w:r>
      <w:r>
        <w:t xml:space="preserve"> </w:t>
      </w:r>
      <w:r>
        <w:t>一个</w:t>
      </w:r>
      <w:r>
        <w:t xml:space="preserve"> </w:t>
      </w:r>
      <w:r>
        <w:t>‐DACs含有不同的金属组合（Cu-Fe、Cu-Co、Fe-Pt、Ni-Cu、Pt-Pd等）并将它们负载到不同的无机载体（Ti</w:t>
      </w:r>
      <w:r>
        <w:rPr>
          <w:vertAlign w:val="subscript"/>
        </w:rPr>
        <w:t>3</w:t>
      </w:r>
      <w:r>
        <w:t>C</w:t>
      </w:r>
      <w:r>
        <w:rPr>
          <w:vertAlign w:val="subscript"/>
        </w:rPr>
        <w:t>2</w:t>
      </w:r>
      <w:r>
        <w:t>时间</w:t>
      </w:r>
      <w:r>
        <w:t xml:space="preserve"> </w:t>
      </w:r>
      <w:r>
        <w:t>x</w:t>
      </w:r>
      <w:r>
        <w:t xml:space="preserve"> </w:t>
      </w:r>
      <w:r>
        <w:t>, 氮化钛, 钛白粉</w:t>
      </w:r>
      <w:r>
        <w:rPr>
          <w:vertAlign w:val="subscript"/>
        </w:rPr>
        <w:t>2</w:t>
      </w:r>
      <w:r>
        <w:t>,氧化铈</w:t>
      </w:r>
      <w:r>
        <w:rPr>
          <w:vertAlign w:val="subscript"/>
        </w:rPr>
        <w:t>2</w:t>
      </w:r>
      <w:r>
        <w:t>, 二硫化钼</w:t>
      </w:r>
      <w:r>
        <w:rPr>
          <w:vertAlign w:val="subscript"/>
        </w:rPr>
        <w:t>2</w:t>
      </w:r>
      <w:r>
        <w:t>等）。此外，铜</w:t>
      </w:r>
      <w:r>
        <w:rPr>
          <w:vertAlign w:val="subscript"/>
        </w:rPr>
        <w:t>1</w:t>
      </w:r>
      <w:r>
        <w:t>铁</w:t>
      </w:r>
      <w:r>
        <w:rPr>
          <w:vertAlign w:val="subscript"/>
        </w:rPr>
        <w:t>1</w:t>
      </w:r>
      <w:r>
        <w:t>/钛</w:t>
      </w:r>
      <w:r>
        <w:rPr>
          <w:vertAlign w:val="subscript"/>
        </w:rPr>
        <w:t>3</w:t>
      </w:r>
      <w:r>
        <w:t>C</w:t>
      </w:r>
    </w:p>
    <w:p>
      <w:pPr>
        <w:spacing w:before="0" w:after="200" w:lineRule="auto" w:line="276"/>
      </w:pPr>
      <w:r>
        <w:rPr>
          <w:b/>
        </w:rPr>
        <w:t xml:space="preserve">Abstract (EN): </w:t>
      </w:r>
      <w:r>
        <w:t>Dual atom catalysts (DACs) have attracted extensive attention due to their synergistic effects in enhancing various catalytic reactions, opening up new research directions in the fields of chemistry and material science. Strategically, constructing bimetallic pairs with asymmetric active sites is a key strategy for further improving DACs performances. However, achieving the universal synthesis of a structurally controllable library for DACs supported on inorganic materials remains a significant challenge. In this work, we propose a general strategy for synthesizing asymmetric DACs (A‐DACs) through molecular explosion, which can transiently generate extreme conditions in a confined space, offering capabilities that are difficult to realize by conventional approaches. Using this technology, we successfully prepared and systematically characterized 15 kinds of</w:t>
      </w:r>
      <w:r>
        <w:t xml:space="preserve"> </w:t>
      </w:r>
      <w:r>
        <w:t>A</w:t>
      </w:r>
      <w:r>
        <w:t xml:space="preserve"> </w:t>
      </w:r>
      <w:r>
        <w:t>‐DACs containing different metal combinations (Cu‐Fe, Cu‐Co, Fe‐Pt, Ni‐Cu, Pt‐Pd etc.) and loaded them onto different inorganic carriers (Ti</w:t>
      </w:r>
      <w:r>
        <w:rPr>
          <w:vertAlign w:val="subscript"/>
        </w:rPr>
        <w:t>3</w:t>
      </w:r>
      <w:r>
        <w:t>C</w:t>
      </w:r>
      <w:r>
        <w:rPr>
          <w:vertAlign w:val="subscript"/>
        </w:rPr>
        <w:t>2</w:t>
      </w:r>
      <w:r>
        <w:t>T</w:t>
      </w:r>
      <w:r>
        <w:t xml:space="preserve"> </w:t>
      </w:r>
      <w:r>
        <w:t>x</w:t>
      </w:r>
      <w:r>
        <w:t xml:space="preserve"> </w:t>
      </w:r>
      <w:r>
        <w:t>, TiN, TiO</w:t>
      </w:r>
      <w:r>
        <w:rPr>
          <w:vertAlign w:val="subscript"/>
        </w:rPr>
        <w:t>2</w:t>
      </w:r>
      <w:r>
        <w:t>, CeO</w:t>
      </w:r>
      <w:r>
        <w:rPr>
          <w:vertAlign w:val="subscript"/>
        </w:rPr>
        <w:t>2</w:t>
      </w:r>
      <w:r>
        <w:t>, MoS</w:t>
      </w:r>
      <w:r>
        <w:rPr>
          <w:vertAlign w:val="subscript"/>
        </w:rPr>
        <w:t>2</w:t>
      </w:r>
      <w:r>
        <w:t>, etc.). Moreover, Cu</w:t>
      </w:r>
      <w:r>
        <w:rPr>
          <w:vertAlign w:val="subscript"/>
        </w:rPr>
        <w:t>1</w:t>
      </w:r>
      <w:r>
        <w:t>Fe</w:t>
      </w:r>
      <w:r>
        <w:rPr>
          <w:vertAlign w:val="subscript"/>
        </w:rPr>
        <w:t>1</w:t>
      </w:r>
      <w:r>
        <w:t>/Ti</w:t>
      </w:r>
      <w:r>
        <w:rPr>
          <w:vertAlign w:val="subscript"/>
        </w:rPr>
        <w:t>3</w:t>
      </w:r>
      <w:r>
        <w:t>C</w:t>
      </w:r>
      <w:r>
        <w:rPr>
          <w:vertAlign w:val="subscript"/>
        </w:rPr>
        <w:t>2</w:t>
      </w:r>
      <w:r>
        <w:t>T</w:t>
      </w:r>
      <w:r>
        <w:t xml:space="preserve"> </w:t>
      </w:r>
      <w:r>
        <w:t>x</w:t>
      </w:r>
      <w:r>
        <w:t xml:space="preserve"> </w:t>
      </w:r>
      <w:r>
        <w:t>and Pt</w:t>
      </w:r>
      <w:r>
        <w:rPr>
          <w:vertAlign w:val="subscript"/>
        </w:rPr>
        <w:t>1</w:t>
      </w:r>
      <w:r>
        <w:t>Pd</w:t>
      </w:r>
      <w:r>
        <w:rPr>
          <w:vertAlign w:val="subscript"/>
        </w:rPr>
        <w:t>1</w:t>
      </w:r>
      <w:r>
        <w:t>/MoS</w:t>
      </w:r>
      <w:r>
        <w:rPr>
          <w:vertAlign w:val="subscript"/>
        </w:rPr>
        <w:t>2</w:t>
      </w:r>
      <w:r>
        <w:t>are selected as model catalysts to investigate their worthwhile applications in diverse electrochemical reactions. This study provides an ingenious method for the rational design of atomic dispersed catalysts, which is of great significance in the fields of energy conversion and environmental governance scenarios.</w:t>
      </w:r>
    </w:p>
    <w:p>
      <w:pPr>
        <w:spacing w:before="120" w:after="120"/>
      </w:pPr>
      <w:r>
        <w:rPr>
          <w:sz w:val="18"/>
        </w:rPr>
        <w:t>——————————————————————————————————————————————————————————————————————</w:t>
      </w:r>
    </w:p>
    <w:p>
      <w:pPr>
        <w:spacing w:before="160" w:after="40" w:line="240" w:lineRule="auto"/>
      </w:pPr>
      <w:r>
        <w:rPr>
          <w:b/>
        </w:rPr>
        <w:t xml:space="preserve">[421] </w:t>
      </w:r>
      <w:hyperlink r:id="rId1121">
        <w:r>
          <w:rPr>
            <w:color w:val="1155CC"/>
            <w:u w:val="single"/>
          </w:rPr>
          <w:t>由多磷酸盐驱动的通用核苷至核苷-5′-三磷酸酶级联</w:t>
        </w:r>
      </w:hyperlink>
    </w:p>
    <w:p>
      <w:pPr>
        <w:spacing w:before="0" w:after="80"/>
      </w:pPr>
      <w:r>
        <w:rPr>
          <w:i/>
          <w:sz w:val="20"/>
        </w:rPr>
        <w:t>EN: A Universal Nucleoside‐to‐Nucleoside‐5′‐Triphosphate Enzyme Cascade Driven by Polyphosphate</w:t>
      </w:r>
    </w:p>
    <w:p>
      <w:pPr>
        <w:spacing w:before="0" w:after="120"/>
      </w:pPr>
      <w:r>
        <w:rPr>
          <w:b/>
        </w:rPr>
        <w:t xml:space="preserve">Source: </w:t>
      </w:r>
      <w:r>
        <w:t>Wiley-Online-Library: Angewandte Chemie International Edition: Table of Contents</w:t>
      </w:r>
      <w:r>
        <w:t xml:space="preserve">    </w:t>
      </w:r>
      <w:r>
        <w:rPr>
          <w:b/>
        </w:rPr>
        <w:t xml:space="preserve">Pub date: </w:t>
      </w:r>
      <w:r>
        <w:t>2026-06-11 07:57:00+00:00</w:t>
      </w:r>
      <w:r>
        <w:t xml:space="preserve">    </w:t>
      </w:r>
      <w:r>
        <w:rPr>
          <w:b/>
        </w:rPr>
        <w:t xml:space="preserve">DOI: </w:t>
      </w:r>
      <w:hyperlink r:id="rId1122">
        <w:r>
          <w:rPr>
            <w:color w:val="1155CC"/>
            <w:u w:val="single"/>
          </w:rPr>
          <w:t>10.1002/anie.6720227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核苷-5′-三磷酸（NTP）是核酸的重要构建模块，但其化学合成的效率受到最终5′-三磷酸化反应的低产率的限制。在这里，我们提出了一种酶级联反应，仅涉及两种酶，可以将所有经典 rNTP 和 dNTP 的核苷转化为 NTP。该级联用于由经济高效的聚磷酸钠 (polyP) 驱动的单锅操作。广谱脱氧核苷激酶 (Dm-dNK)</w:t>
      </w:r>
      <w:r>
        <w:t xml:space="preserve"> </w:t>
      </w:r>
      <w:r>
        <w:t>黑腹果蝇</w:t>
      </w:r>
      <w:r>
        <w:t xml:space="preserve"> </w:t>
      </w:r>
      <w:r>
        <w:t>使用 ATP 将核苷转化为核苷-5'-单磷酸 (NMP)。多磷酸激酶家族 2，III 类 (EbPPK) 来自</w:t>
      </w:r>
      <w:r>
        <w:t xml:space="preserve"> </w:t>
      </w:r>
      <w:r>
        <w:t>丹毒科</w:t>
      </w:r>
      <w:r>
        <w:t xml:space="preserve"> </w:t>
      </w:r>
      <w:r>
        <w:t>细菌同时回收 Dm-dNK 所需的 ATP，并在 PolyP 依赖性反应中将 NMP 转化为 NTP。重要的是，只需要微量的催化 ATP（0.0001 当量或更少）。除了规范的 NTP 之外，级联还可以生成核糖和碱基修饰的 NTP 类似物。这通过一组 11 个修饰核苷酸的合成得到了证明，其中包括四个 2'-氟-2'-dNTP 和以 2,6-二氨基嘌呤作为核碱基的核苷酸。生产 mRNA 疗法的重要成分，</w:t>
      </w:r>
      <w:r>
        <w:t xml:space="preserve"> </w:t>
      </w:r>
      <w:r>
        <w:t>氮</w:t>
      </w:r>
      <w:r>
        <w:t xml:space="preserve"> </w:t>
      </w:r>
      <w:r>
        <w:t>1-甲基-ΨTP (m</w:t>
      </w:r>
      <w:r>
        <w:rPr>
          <w:vertAlign w:val="subscript"/>
        </w:rPr>
        <w:t>1</w:t>
      </w:r>
      <w:r>
        <w:t>ΨTP)，以毫克规模展示。</w:t>
      </w:r>
    </w:p>
    <w:p>
      <w:pPr>
        <w:spacing w:before="0" w:after="200" w:lineRule="auto" w:line="276"/>
      </w:pPr>
      <w:r>
        <w:rPr>
          <w:b/>
        </w:rPr>
        <w:t xml:space="preserve">Abstract (EN): </w:t>
      </w:r>
      <w:r>
        <w:t>Nucleoside‐5′‐triphosphates (NTPs) are important building blocks for nucleic acids, but the efficiency of their chemical synthesis is limited by the low yield of the final 5′‐triphosphorylation reaction. Here, we present an enzymatic cascade reaction involving just two enzymes that enable nucleosides‐to‐NTPs conversion for all canonical rNTPs and dNTPs. The cascade is used in a single one‐pot operation driven by cost‐efficient sodium polyphosphate (polyP). The broad‐spectrum deoxynucleoside kinase (Dm‐dNK) from</w:t>
      </w:r>
      <w:r>
        <w:t xml:space="preserve"> </w:t>
      </w:r>
      <w:r>
        <w:t>Drosophila melanogaster</w:t>
      </w:r>
      <w:r>
        <w:t xml:space="preserve"> </w:t>
      </w:r>
      <w:r>
        <w:t>converts nucleosides into nucleoside‐5′‐monophosphates (NMPs) using ATP. The polyphosphate kinase family 2, class III (EbPPK) from an</w:t>
      </w:r>
      <w:r>
        <w:t xml:space="preserve"> </w:t>
      </w:r>
      <w:r>
        <w:t>Erysipelotrichaceae</w:t>
      </w:r>
      <w:r>
        <w:t xml:space="preserve"> </w:t>
      </w:r>
      <w:r>
        <w:t>bacterium simultaneously recycles ATP required by Dm‐dNK and converts the NMPs to NTPs in a polyP‐dependent reaction. Importantly, only trace amounts of catalytic ATP (0.0001 equivalents or less) are required. In addition to canonical NTPs, the cascade can generate ribose‐ and base‐modified NTP analogues. This is demonstrated through the synthesis of a set of eleven modified nucleotides, including the four 2′‐fluoro‐2′‐dNTPs and nucleotides with 2,6‐diaminopurine as the nucleobase. Production of an essential component for mRNA therapeutics,</w:t>
      </w:r>
      <w:r>
        <w:t xml:space="preserve"> </w:t>
      </w:r>
      <w:r>
        <w:t>N</w:t>
      </w:r>
      <w:r>
        <w:t xml:space="preserve"> </w:t>
      </w:r>
      <w:r>
        <w:t>1‐methyl‐ΨTP (m</w:t>
      </w:r>
      <w:r>
        <w:rPr>
          <w:vertAlign w:val="subscript"/>
        </w:rPr>
        <w:t>1</w:t>
      </w:r>
      <w:r>
        <w:t>ΨTP), is demonstrated on a milligram scale.</w:t>
      </w:r>
    </w:p>
    <w:p>
      <w:pPr>
        <w:spacing w:before="120" w:after="120"/>
      </w:pPr>
      <w:r>
        <w:rPr>
          <w:sz w:val="18"/>
        </w:rPr>
        <w:t>——————————————————————————————————————————————————————————————————————</w:t>
      </w:r>
    </w:p>
    <w:p>
      <w:pPr>
        <w:spacing w:before="160" w:after="40" w:line="240" w:lineRule="auto"/>
      </w:pPr>
      <w:r>
        <w:rPr>
          <w:b/>
        </w:rPr>
        <w:t xml:space="preserve">[422] </w:t>
      </w:r>
      <w:hyperlink r:id="rId1123">
        <w:r>
          <w:rPr>
            <w:color w:val="1155CC"/>
            <w:u w:val="single"/>
          </w:rPr>
          <w:t>n 型有机电荷转移配合物中分子氧介导的电子陷阱钝化</w:t>
        </w:r>
      </w:hyperlink>
    </w:p>
    <w:p>
      <w:pPr>
        <w:spacing w:before="0" w:after="80"/>
      </w:pPr>
      <w:r>
        <w:rPr>
          <w:i/>
          <w:sz w:val="20"/>
        </w:rPr>
        <w:t>EN: Molecular Dioxygen‐Mediated Passivation of Electron Traps in n‐Type Organic Charge‐Transfer Complexes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07:59:30+00:00</w:t>
      </w:r>
      <w:r>
        <w:t xml:space="preserve">    </w:t>
      </w:r>
      <w:r>
        <w:rPr>
          <w:b/>
        </w:rPr>
        <w:t xml:space="preserve">DOI: </w:t>
      </w:r>
      <w:hyperlink r:id="rId1124">
        <w:r>
          <w:rPr>
            <w:color w:val="1155CC"/>
            <w:u w:val="single"/>
          </w:rPr>
          <w:t>10.1002/anie.9080202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 型有机半导体对分子双氧 (O</w:t>
      </w:r>
      <w:r>
        <w:rPr>
          <w:vertAlign w:val="subscript"/>
        </w:rPr>
        <w:t>2</w:t>
      </w:r>
      <w:r>
        <w:t>）导致电子捕获或意外的 p 掺杂，进而降低其电子迁移率。本研究通过探索 O 来挑战这个概念</w:t>
      </w:r>
      <w:r>
        <w:rPr>
          <w:vertAlign w:val="subscript"/>
        </w:rPr>
        <w:t>2</w:t>
      </w:r>
      <w:r>
        <w:t>与有机电荷转移复合物（CTC）的相互作用，其中电子供体-受体相互作用产生部分离域电子态。使用包含吩嗪电子供体和 7,7,8,8-四氰基醌二甲烷 (TCNQ) 电子受体的 CTC，我们证明了其暴露于 O</w:t>
      </w:r>
      <w:r>
        <w:rPr>
          <w:vertAlign w:val="subscript"/>
        </w:rPr>
        <w:t>2</w:t>
      </w:r>
      <w:r>
        <w:t>不会导致电子提取，而是增强电荷转移活性。 CTC 暴露于 O 后 TCNQ 受体处的电子密度增加</w:t>
      </w:r>
      <w:r>
        <w:rPr>
          <w:vertAlign w:val="subscript"/>
        </w:rPr>
        <w:t>2</w:t>
      </w:r>
      <w:r>
        <w:t>归因于 O 的电子陷阱态钝化</w:t>
      </w:r>
      <w:r>
        <w:rPr>
          <w:vertAlign w:val="subscript"/>
        </w:rPr>
        <w:t>2</w:t>
      </w:r>
      <w:r>
        <w:t>，没有化学吸附的证据。这种钝化减少了复合损失，导致光致发光量子产率增加三倍，增强电导率，并提高电荷转移态效率。类似O</w:t>
      </w:r>
      <w:r>
        <w:rPr>
          <w:vertAlign w:val="subscript"/>
        </w:rPr>
        <w:t>2</w:t>
      </w:r>
      <w:r>
        <w:t>在额外的供体-受体对中观察到介导的电导率增强，证明了这种效应的更广泛的适用性，并为设计O铺平了道路</w:t>
      </w:r>
      <w:r>
        <w:rPr>
          <w:vertAlign w:val="subscript"/>
        </w:rPr>
        <w:t>2</w:t>
      </w:r>
      <w:r>
        <w:t>‐增强型先进有机电子材料。</w:t>
      </w:r>
    </w:p>
    <w:p>
      <w:pPr>
        <w:spacing w:before="0" w:after="200" w:lineRule="auto" w:line="276"/>
      </w:pPr>
      <w:r>
        <w:rPr>
          <w:b/>
        </w:rPr>
        <w:t xml:space="preserve">Abstract (EN): </w:t>
      </w:r>
      <w:r>
        <w:t>The inherent susceptibility of n‐type organic semiconductors to molecular dioxygen (O</w:t>
      </w:r>
      <w:r>
        <w:rPr>
          <w:vertAlign w:val="subscript"/>
        </w:rPr>
        <w:t>2</w:t>
      </w:r>
      <w:r>
        <w:t>) results in electron trapping or in unintended p‐doping, which in turn diminishes their electron mobility. This concept is challenged in the present study by exploring O</w:t>
      </w:r>
      <w:r>
        <w:rPr>
          <w:vertAlign w:val="subscript"/>
        </w:rPr>
        <w:t>2</w:t>
      </w:r>
      <w:r>
        <w:t>interactions with organic charge‐transfer complexes (CTCs), where electron donor–acceptor interactions generate partially delocalized electronic states. Using a CTC comprising a phenazine electron donor and a 7,7,8,8‐tetracyanoquinodimethane (TCNQ) electron acceptor, we demonstrate that its exposure to O</w:t>
      </w:r>
      <w:r>
        <w:rPr>
          <w:vertAlign w:val="subscript"/>
        </w:rPr>
        <w:t>2</w:t>
      </w:r>
      <w:r>
        <w:t>does not lead to electron extraction but instead enhances the charge‐transfer activity. The increased electron density at the TCNQ acceptor upon CTC exposure to O</w:t>
      </w:r>
      <w:r>
        <w:rPr>
          <w:vertAlign w:val="subscript"/>
        </w:rPr>
        <w:t>2</w:t>
      </w:r>
      <w:r>
        <w:t>is attributed to electron trap‐states passivation by O</w:t>
      </w:r>
      <w:r>
        <w:rPr>
          <w:vertAlign w:val="subscript"/>
        </w:rPr>
        <w:t>2</w:t>
      </w:r>
      <w:r>
        <w:t>, without evidence of chemisorption. This passivation mitigates recombination losses, resulting in a threefold photoluminescence quantum yield increase, enhanced electrical conductivity, and improved charge‐transfer state efficiency. Similar O</w:t>
      </w:r>
      <w:r>
        <w:rPr>
          <w:vertAlign w:val="subscript"/>
        </w:rPr>
        <w:t>2</w:t>
      </w:r>
      <w:r>
        <w:t>‐mediated conductivity enhancements are observed across additional donor–acceptor pairs, proving the broader applicability of this effect, and paving the way for designing O</w:t>
      </w:r>
      <w:r>
        <w:rPr>
          <w:vertAlign w:val="subscript"/>
        </w:rPr>
        <w:t>2</w:t>
      </w:r>
      <w:r>
        <w:t>‐enhanced advanced organic electronic materials.</w:t>
      </w:r>
    </w:p>
    <w:p>
      <w:pPr>
        <w:spacing w:before="120" w:after="120"/>
      </w:pPr>
      <w:r>
        <w:rPr>
          <w:sz w:val="18"/>
        </w:rPr>
        <w:t>——————————————————————————————————————————————————————————————————————</w:t>
      </w:r>
    </w:p>
    <w:p>
      <w:pPr>
        <w:spacing w:before="160" w:after="40" w:line="240" w:lineRule="auto"/>
      </w:pPr>
      <w:r>
        <w:rPr>
          <w:b/>
        </w:rPr>
        <w:t xml:space="preserve">[423] </w:t>
      </w:r>
      <w:hyperlink r:id="rId1125">
        <w:r>
          <w:rPr>
            <w:color w:val="1155CC"/>
            <w:u w:val="single"/>
          </w:rPr>
          <w:t>生化结构演化的吡啶-活性碳点共组装作为精密抗肿瘤纳米酶</w:t>
        </w:r>
      </w:hyperlink>
    </w:p>
    <w:p>
      <w:pPr>
        <w:spacing w:before="0" w:after="80"/>
      </w:pPr>
      <w:r>
        <w:rPr>
          <w:i/>
          <w:sz w:val="20"/>
        </w:rPr>
        <w:t>EN: Biochemical Structure Evolved Pyridine‐Activated Carbon Dots Co‐Assembly as Precision Antitumor Nanozyme</w:t>
      </w:r>
    </w:p>
    <w:p>
      <w:pPr>
        <w:spacing w:before="0" w:after="120"/>
      </w:pPr>
      <w:r>
        <w:rPr>
          <w:b/>
        </w:rPr>
        <w:t xml:space="preserve">Source: </w:t>
      </w:r>
      <w:r>
        <w:t>Wiley-Online-Library: Angewandte Chemie International Edition: Table of Contents</w:t>
      </w:r>
      <w:r>
        <w:t xml:space="preserve">    </w:t>
      </w:r>
      <w:r>
        <w:rPr>
          <w:b/>
        </w:rPr>
        <w:t xml:space="preserve">Pub date: </w:t>
      </w:r>
      <w:r>
        <w:t>2026-06-11 08:00:34+00:00</w:t>
      </w:r>
      <w:r>
        <w:t xml:space="preserve">    </w:t>
      </w:r>
      <w:r>
        <w:rPr>
          <w:b/>
        </w:rPr>
        <w:t xml:space="preserve">DOI: </w:t>
      </w:r>
      <w:hyperlink r:id="rId1126">
        <w:r>
          <w:rPr>
            <w:color w:val="1155CC"/>
            <w:u w:val="single"/>
          </w:rPr>
          <w:t>10.1002/anie.6402787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酶具有稳定的活性和优异的生物相容性，在肿瘤催化治疗方面具有巨大的潜力。然而，缺乏合理的结构进化策略来增强纳米酶的生化活性及其几乎非肿瘤特异性阻碍了其临床转化。在这项研究中，我们报告了一种吡啶激活的供体-受体（D-A）型碳点（N-CD）及其与程序性死亡配体1（PD-L1）靶向肽（KK）的共组装纳米平台（N-CDs@KK），作为一种有效的肿瘤靶向纳米酶。 N-CDs通过结构进化进行改造，将吸电子吡啶单元均匀整合到富含氨基的共轭sp中</w:t>
      </w:r>
      <w:r>
        <w:rPr>
          <w:vertAlign w:val="subscript"/>
        </w:rPr>
        <w:t>2</w:t>
      </w:r>
      <w:r>
        <w:t>‐域，导致有效的电荷转移。由此产生的具有丰富极化域的D-A型N-CD获得了有效的吸附和活化位点，表现出过氧化物酶（POD）和氧化酶（OXD）样催化活性。此外，这种精心设计的吡啶激活D-A纳米结构具有生物调节功能，能够抑制PI3K/AKT抗氧化应激途径，从而放大活性氧（ROS）介导的肿瘤杀伤作用。此外，与 KK 共组装，所得的 N-CDs@KK 显示出增强的肿瘤靶向能力和特定的细胞内化。 N-CDs@KK 结合 ROS 介导的免疫原性细胞死亡（ICD）和 PD-L1 免疫检查点抑制（ICI），被证明是一种有效的肿瘤靶向纳米平台，可用于纳米酶催化和免疫</w:t>
      </w:r>
    </w:p>
    <w:p>
      <w:pPr>
        <w:spacing w:before="0" w:after="200" w:lineRule="auto" w:line="276"/>
      </w:pPr>
      <w:r>
        <w:rPr>
          <w:b/>
        </w:rPr>
        <w:t xml:space="preserve">Abstract (EN): </w:t>
      </w:r>
      <w:r>
        <w:t>Nanozymes with stable activity and excellent biocompatibility hold significant potential for tumor catalytic therapy. However, lacking rational structure evolution strategies to enhance nanozyme biochemical activity and their almost non‐tumor specificity have hindered their clinical translation. In this study, we report a pyridine‐activated donor–acceptor (D–A)‐typed carbon dots (N‐CDs), and their co‐assembled nanoplatform (N‐CDs@KK) with a programmed death‐ligand 1 (PD‐L1) targeting peptide (KK), as a potent tumor‐targeted nanozyme. N‐CDs were engineered through structure evolution via homogeneously integrating electron‐withdrawing pyridine units into amino‐rich conjugated sp</w:t>
      </w:r>
      <w:r>
        <w:rPr>
          <w:vertAlign w:val="subscript"/>
        </w:rPr>
        <w:t>2</w:t>
      </w:r>
      <w:r>
        <w:t>‐domains, leading to effective charge transfer. The resulting D–A‐typed N‐CDs with abundant polarized domains garnered effective adsorption and activation sites, which exhibited both peroxidase (POD)‐ and oxidase (OXD)‐like catalytic activities. Moreover, this elaborate pyridine‐activated D–A nanostructure endowed bio‐regulatory function, capable of suppressing PI3K/AKT antioxidant stress pathway, thus amplifying reactive oxygen species (ROS)‐mediated tumor killing effect. Furthermore, co‐assembling with KK, the resulting N‐CDs@KK showed enhanced tumor targeting capability with specific cellular internalization. Combining ROS‐mediated immunogenic cell death (ICD) and PD‐L1 immune checkpoint inhibition (ICI), N‐CDs@KK demonstrated to be an efficient tumor‐targeted nanoplatform for both nanozyme‐catalytic and immunotherapeutic antitumor therapy. We prospect that N‐CDs@KK development establishes a paradigm for the rational design of high‐performance nanozymes, paving the way for precision nanozyme‐based antitumor therapy.</w:t>
      </w:r>
    </w:p>
    <w:p>
      <w:pPr>
        <w:spacing w:before="120" w:after="120"/>
      </w:pPr>
      <w:r>
        <w:rPr>
          <w:sz w:val="18"/>
        </w:rPr>
        <w:t>——————————————————————————————————————————————————————————————————————</w:t>
      </w:r>
    </w:p>
    <w:p>
      <w:pPr>
        <w:spacing w:before="160" w:after="40" w:line="240" w:lineRule="auto"/>
      </w:pPr>
      <w:r>
        <w:rPr>
          <w:b/>
        </w:rPr>
        <w:t xml:space="preserve">[424] </w:t>
      </w:r>
      <w:hyperlink r:id="rId1127">
        <w:r>
          <w:rPr>
            <w:color w:val="1155CC"/>
            <w:u w:val="single"/>
          </w:rPr>
          <w:t>三正丙胺的局部积累延长了肿瘤模型球体分析的电化学发光</w:t>
        </w:r>
      </w:hyperlink>
    </w:p>
    <w:p>
      <w:pPr>
        <w:spacing w:before="0" w:after="80"/>
      </w:pPr>
      <w:r>
        <w:rPr>
          <w:i/>
          <w:sz w:val="20"/>
        </w:rPr>
        <w:t>EN: Localized Accumulation of Tri‐n‐Propylamine Prolongs Electrochemiluminescence for Tumor Model Spheroid Analysis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08:05:08+00:00</w:t>
      </w:r>
      <w:r>
        <w:t xml:space="preserve">    </w:t>
      </w:r>
      <w:r>
        <w:rPr>
          <w:b/>
        </w:rPr>
        <w:t xml:space="preserve">DOI: </w:t>
      </w:r>
      <w:hyperlink r:id="rId1128">
        <w:r>
          <w:rPr>
            <w:color w:val="1155CC"/>
            <w:u w:val="single"/>
          </w:rPr>
          <w:t>10.1002/anie.8508105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电化学发光 (ECL) 是一种将电化学控制与光子发射相结合的技术，无需外部光源即可实现高灵敏度、无标记成像。反应过程中产生的中间体的微秒寿命和短扩散长度赋予了优异的时空分辨率，而没有光毒性则促进了生物相容性。此前，ECL 显微镜已经照亮了从单细胞到多细胞球体的系统。然而，这些工作依赖于鲁米诺-过氧化氢化学，其受到弱信号和鲁米诺的牺牲性质的限制。在这里，我们引入三(2,2’-联吡啶基)钌(II)/三正丙胺([Ru(bpy)</w:t>
      </w:r>
      <w:r>
        <w:rPr>
          <w:vertAlign w:val="subscript"/>
        </w:rPr>
        <w:t>3</w:t>
      </w:r>
      <w:r>
        <w:t>]</w:t>
      </w:r>
      <w:r>
        <w:rPr>
          <w:vertAlign w:val="subscript"/>
        </w:rPr>
        <w:t>2</w:t>
      </w:r>
      <w:r>
        <w:t>+</w:t>
      </w:r>
      <w:r>
        <w:t xml:space="preserve"> </w:t>
      </w:r>
      <w:r>
        <w:t>/TPrA）化学作为球体成像的强大替代品。在 TprA 内预孵育细胞球，然后在 [Ru(bpy)</w:t>
      </w:r>
      <w:r>
        <w:rPr>
          <w:vertAlign w:val="subscript"/>
        </w:rPr>
        <w:t>3</w:t>
      </w:r>
      <w:r>
        <w:t>]</w:t>
      </w:r>
      <w:r>
        <w:rPr>
          <w:vertAlign w:val="subscript"/>
        </w:rPr>
        <w:t>2</w:t>
      </w:r>
      <w:r>
        <w:t>+</w:t>
      </w:r>
      <w:r>
        <w:t xml:space="preserve"> </w:t>
      </w:r>
      <w:r>
        <w:t>利用发光体的可回收性，产生明显更清晰的空间分辨率，并能够连续成像 3 小时以上。此外，该策略揭示了生物系统中第一个持续的余辉化学发光，在施加的电位结束后持续几分钟。引人注目的是，我们证明这种方法可以阐明癌性和非癌性细胞系球体中 ECL 发射强度的差异</w:t>
      </w:r>
    </w:p>
    <w:p>
      <w:pPr>
        <w:spacing w:before="0" w:after="200" w:lineRule="auto" w:line="276"/>
      </w:pPr>
      <w:r>
        <w:rPr>
          <w:b/>
        </w:rPr>
        <w:t xml:space="preserve">Abstract (EN): </w:t>
      </w:r>
      <w:r>
        <w:t>Electrochemiluminescence (ECL) is a technique that couples electrochemical control with photon emission, enabling highly sensitive, label‐free imaging without an external light source. The microsecond lifetimes and short diffusion lengths of intermediates generated during the reaction confer excellent spatiotemporal resolution, while the absence of phototoxicity promotes biocompatibility. Previously, ECL microscopy has illuminated systems ranging from single cells to multicellular spheroids. Yet, these works relied on luminol–hydrogen peroxide chemistry, which is limited by weak signals and the sacrificial nature of luminol. Here, we introduce tris(2,2’‐bipyridyl)ruthenium(II)/tri‐n‐propylamine ([Ru(bpy)</w:t>
      </w:r>
      <w:r>
        <w:rPr>
          <w:vertAlign w:val="subscript"/>
        </w:rPr>
        <w:t>3</w:t>
      </w:r>
      <w:r>
        <w:t>]</w:t>
      </w:r>
      <w:r>
        <w:rPr>
          <w:vertAlign w:val="subscript"/>
        </w:rPr>
        <w:t>2</w:t>
      </w:r>
      <w:r>
        <w:t>+</w:t>
      </w:r>
      <w:r>
        <w:t xml:space="preserve"> </w:t>
      </w:r>
      <w:r>
        <w:t>/TPrA) chemistry as a powerful alternative for spheroid imaging. Pre‐incubation of cellular spheroids within TPrA, followed by interrogation in [Ru(bpy)</w:t>
      </w:r>
      <w:r>
        <w:rPr>
          <w:vertAlign w:val="subscript"/>
        </w:rPr>
        <w:t>3</w:t>
      </w:r>
      <w:r>
        <w:t>]</w:t>
      </w:r>
      <w:r>
        <w:rPr>
          <w:vertAlign w:val="subscript"/>
        </w:rPr>
        <w:t>2</w:t>
      </w:r>
      <w:r>
        <w:t>+</w:t>
      </w:r>
      <w:r>
        <w:t xml:space="preserve"> </w:t>
      </w:r>
      <w:r>
        <w:t>produces markedly sharper spatial resolution and enables continuous imaging for over 3 h, exploiting the recyclability of the luminophore. Furthermore, this strategy reveals the first sustained afterglow chemiluminescence in a biological system, persisting for minutes after the applied potential has ended. Strikingly, we demonstrate that this methodology can elucidate differences in the ECL emission intensity in spheroids from cancerous and non‐cancerous cell lines, likely due to differences in TPrA accumulation. These advances establish [Ru(bpy)</w:t>
      </w:r>
      <w:r>
        <w:rPr>
          <w:vertAlign w:val="subscript"/>
        </w:rPr>
        <w:t>3</w:t>
      </w:r>
      <w:r>
        <w:t>]</w:t>
      </w:r>
      <w:r>
        <w:rPr>
          <w:vertAlign w:val="subscript"/>
        </w:rPr>
        <w:t>2</w:t>
      </w:r>
      <w:r>
        <w:t>+</w:t>
      </w:r>
      <w:r>
        <w:t xml:space="preserve"> </w:t>
      </w:r>
      <w:r>
        <w:t>/TPrA‐based ECL as a transformative approach for long‐term, high‐resolution imaging of three‐dimensional cellular architectures with application towards cancerous versus non‐cancerous tumor model differentiation.</w:t>
      </w:r>
    </w:p>
    <w:p>
      <w:pPr>
        <w:spacing w:before="120" w:after="120"/>
      </w:pPr>
      <w:r>
        <w:rPr>
          <w:sz w:val="18"/>
        </w:rPr>
        <w:t>——————————————————————————————————————————————————————————————————————</w:t>
      </w:r>
    </w:p>
    <w:p>
      <w:pPr>
        <w:spacing w:before="160" w:after="40" w:line="240" w:lineRule="auto"/>
      </w:pPr>
      <w:r>
        <w:rPr>
          <w:b/>
        </w:rPr>
        <w:t xml:space="preserve">[425] </w:t>
      </w:r>
      <w:hyperlink r:id="rId1129">
        <w:r>
          <w:rPr>
            <w:color w:val="1155CC"/>
            <w:u w:val="single"/>
          </w:rPr>
          <w:t>二次谐波超米氏光学活性实现闭环手性光化学</w:t>
        </w:r>
      </w:hyperlink>
    </w:p>
    <w:p>
      <w:pPr>
        <w:spacing w:before="0" w:after="80"/>
      </w:pPr>
      <w:r>
        <w:rPr>
          <w:i/>
          <w:sz w:val="20"/>
        </w:rPr>
        <w:t>EN: Second‐Harmonic Hyper‐Mie Optical Activity Enables Closed‐Loop Chiral Photochemistry</w:t>
      </w:r>
    </w:p>
    <w:p>
      <w:pPr>
        <w:spacing w:before="0" w:after="120"/>
      </w:pPr>
      <w:r>
        <w:rPr>
          <w:b/>
        </w:rPr>
        <w:t xml:space="preserve">Source: </w:t>
      </w:r>
      <w:r>
        <w:t>Wiley-Online-Library: Advanced Materials: Table of Contents</w:t>
      </w:r>
      <w:r>
        <w:t xml:space="preserve">    </w:t>
      </w:r>
      <w:r>
        <w:rPr>
          <w:b/>
        </w:rPr>
        <w:t xml:space="preserve">Pub date: </w:t>
      </w:r>
      <w:r>
        <w:t>2026-06-11 08:12:52+00:00</w:t>
      </w:r>
      <w:r>
        <w:t xml:space="preserve">    </w:t>
      </w:r>
      <w:r>
        <w:rPr>
          <w:b/>
        </w:rPr>
        <w:t xml:space="preserve">DOI: </w:t>
      </w:r>
      <w:hyperlink r:id="rId1130">
        <w:r>
          <w:rPr>
            <w:color w:val="1155CC"/>
            <w:u w:val="single"/>
          </w:rPr>
          <w:t>10.1002/adma.73593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光化学有望实现可持续的化学处理，但通常依赖于选择性和穿透力有限的紫外线。我们报告了非线性手性光化学，其中飞秒红外脉冲倍频以驱动和跟踪手性 CdTe/CdO 纳米螺旋向 CdO 纳米球的转变。圆偏振光诱导通过二次谐波散射强度和手性光学对比度实时监测的受控氧化序列。当 CdO 壳破裂并暴露出非中心对称的 CdTe 时，二次谐波强度增加了 20 倍，极化反转，并出现特征性的 CdTe 光致发光。这些发现是通过对二次谐波超米氏光学活动效应的实验观察得到实现的，该效应完成了 45 多年前预测的一系列非线性手性光学散射现象。我们的研究结果为材料转变提供了一种空间受限、选择性和时间分辨的方法。</w:t>
      </w:r>
    </w:p>
    <w:p>
      <w:pPr>
        <w:spacing w:before="0" w:after="200" w:lineRule="auto" w:line="276"/>
      </w:pPr>
      <w:r>
        <w:rPr>
          <w:b/>
        </w:rPr>
        <w:t xml:space="preserve">Abstract (EN): </w:t>
      </w:r>
      <w:r>
        <w:t>Photochemistry promises sustainable chemical processing but typically depends on ultraviolet light with limited selectivity and penetration. We report nonlinear chiral photochemistry, where femtosecond infrared pulses are frequency‐doubled to both drive and track a transformation of chiral CdTe/CdO nanohelices into CdO nanospheroids. Circularly polarized light induces a controlled oxidation sequence monitored in real time through second‐harmonic scattering intensity and chiroptical contrast. As the CdO shell fractures and exposes non‐centrosymmetric CdTe, second‐harmonic intensity rises twenty‐fold, polarization reverses, and characteristic CdTe photoluminescence emerges. These findings are enabled by the experimental observation of the second‐harmonic hyper‐Mie optical activity effect, which completes a suite of nonlinear chiroptical scattering phenomena predicted over 45 years ago. Our results offer a spatially confined, selective, and temporally‐resolved method for material transformation.</w:t>
      </w:r>
    </w:p>
    <w:p>
      <w:pPr>
        <w:spacing w:before="120" w:after="120"/>
      </w:pPr>
      <w:r>
        <w:rPr>
          <w:sz w:val="18"/>
        </w:rPr>
        <w:t>——————————————————————————————————————————————————————————————————————</w:t>
      </w:r>
    </w:p>
    <w:p>
      <w:pPr>
        <w:spacing w:before="160" w:after="40" w:line="240" w:lineRule="auto"/>
      </w:pPr>
      <w:r>
        <w:rPr>
          <w:b/>
        </w:rPr>
        <w:t xml:space="preserve">[426] </w:t>
      </w:r>
      <w:hyperlink r:id="rId1131">
        <w:r>
          <w:rPr>
            <w:color w:val="1155CC"/>
            <w:u w:val="single"/>
          </w:rPr>
          <w:t>宽带隙半导体缺陷的高通量 X 射线表征</w:t>
        </w:r>
      </w:hyperlink>
    </w:p>
    <w:p>
      <w:pPr>
        <w:spacing w:before="0" w:after="80"/>
      </w:pPr>
      <w:r>
        <w:rPr>
          <w:i/>
          <w:sz w:val="20"/>
        </w:rPr>
        <w:t>EN: High Throughput X‐Ray Characterization of Defects in Wide‐Bandgap Semiconductors</w:t>
      </w:r>
    </w:p>
    <w:p>
      <w:pPr>
        <w:spacing w:before="0" w:after="120"/>
      </w:pPr>
      <w:r>
        <w:rPr>
          <w:b/>
        </w:rPr>
        <w:t xml:space="preserve">Source: </w:t>
      </w:r>
      <w:r>
        <w:t>Wiley-Online-Library: Advanced Materials: Table of Contents</w:t>
      </w:r>
      <w:r>
        <w:t xml:space="preserve">    </w:t>
      </w:r>
      <w:r>
        <w:rPr>
          <w:b/>
        </w:rPr>
        <w:t xml:space="preserve">Pub date: </w:t>
      </w:r>
      <w:r>
        <w:t>2026-06-11 08:19:56+00:00</w:t>
      </w:r>
      <w:r>
        <w:t xml:space="preserve">    </w:t>
      </w:r>
      <w:r>
        <w:rPr>
          <w:b/>
        </w:rPr>
        <w:t xml:space="preserve">DOI: </w:t>
      </w:r>
      <w:hyperlink r:id="rId1132">
        <w:r>
          <w:rPr>
            <w:color w:val="1155CC"/>
            <w:u w:val="single"/>
          </w:rPr>
          <w:t>10.1002/adma.73678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隙材料是下一代高功率、射频和量子技术的核心，但其性能往往受到位错等晶体缺陷的限制。单晶金刚石尤其表现出优异的电子和热性能，然而，准确且可扩展地量化缺陷密度仍然具有挑战性。在这里，我们提出了一种使用高分辨率 X 射线衍射表征金刚石中位错密度的综合方法，并使用互补拉曼光谱、氢蚀坑分析和霍尔效应测量对其进行验证。这种方法的核心是一个基于 Python 的定制工具，用于处理 X 射线摇摆曲线和倒易空间图。该框架适用于四种市售等级的金刚石基材，涵盖了广泛的缺陷密度范围（∼10</w:t>
      </w:r>
      <w:r>
        <w:rPr>
          <w:vertAlign w:val="subscript"/>
        </w:rPr>
        <w:t>5</w:t>
      </w:r>
      <w:r>
        <w:t>至 10</w:t>
      </w:r>
      <w:r>
        <w:rPr>
          <w:vertAlign w:val="subscript"/>
        </w:rPr>
        <w:t>8</w:t>
      </w:r>
      <w:r>
        <w:t>厘米</w:t>
      </w:r>
      <w:r>
        <w:t xml:space="preserve"> </w:t>
      </w:r>
      <w:r>
        <w:t>−2</w:t>
      </w:r>
      <w:r>
        <w:t xml:space="preserve"> </w:t>
      </w:r>
      <w:r>
        <w:t>）。所有表征技术都观察到一致的趋势，电子级金刚石表现出最高的晶体质量和最低的缺陷密度。该分析工具在 GaN 样品上的应用进一步证明了其对其他宽带隙材料系统的适应性。总的来说，这项工作为金刚石和相关宽带隙半导体的高通量缺陷分析建立了一个强大的、可扩展的、多功能的平台。</w:t>
      </w:r>
    </w:p>
    <w:p>
      <w:pPr>
        <w:spacing w:before="0" w:after="200" w:lineRule="auto" w:line="276"/>
      </w:pPr>
      <w:r>
        <w:rPr>
          <w:b/>
        </w:rPr>
        <w:t xml:space="preserve">Abstract (EN): </w:t>
      </w:r>
      <w:r>
        <w:t>Wide‐bandgap materials are central to next‐generation high‐power, radio‐frequency, and quantum technologies, yet their performance is often limited by crystalline defects such as dislocations. Single‐crystal diamond in particular exhibits exceptional electronic and thermal properties, however, accurately and scalably quantifying defect density remains challenging. Here, we present an integrated methodology for characterizing dislocation densities in diamond using high‐resolution X‐ray diffraction and validate it using complementary Raman spectroscopy, hydrogen etch‐pit analysis, and Hall effect measurements. Central to this approach is a custom Python‐based tool that processes X‐ray rocking curves and reciprocal space maps. The framework is applied to four commercially available grades of diamond substrates, spanning a wide defect density range (∼10</w:t>
      </w:r>
      <w:r>
        <w:rPr>
          <w:vertAlign w:val="subscript"/>
        </w:rPr>
        <w:t>5</w:t>
      </w:r>
      <w:r>
        <w:t>to 10</w:t>
      </w:r>
      <w:r>
        <w:rPr>
          <w:vertAlign w:val="subscript"/>
        </w:rPr>
        <w:t>8</w:t>
      </w:r>
      <w:r>
        <w:t>cm</w:t>
      </w:r>
      <w:r>
        <w:t xml:space="preserve"> </w:t>
      </w:r>
      <w:r>
        <w:t>−2</w:t>
      </w:r>
      <w:r>
        <w:t xml:space="preserve"> </w:t>
      </w:r>
      <w:r>
        <w:t>). Consistent trends are observed across all characterization techniques, with electronic‐grade diamond exhibiting the highest crystalline quality and lowest defect density. Application of the analysis tool to GaN samples further demonstrates its adaptability to other wide‐bandgap material systems. Overall, this work establishes a robust, scalable, and versatile platform for high‐throughput defect analysis in diamond and related wide‐bandgap semiconductors.</w:t>
      </w:r>
    </w:p>
    <w:p>
      <w:pPr>
        <w:spacing w:before="120" w:after="120"/>
      </w:pPr>
      <w:r>
        <w:rPr>
          <w:sz w:val="18"/>
        </w:rPr>
        <w:t>——————————————————————————————————————————————————————————————————————</w:t>
      </w:r>
    </w:p>
    <w:p>
      <w:pPr>
        <w:spacing w:before="160" w:after="40" w:line="240" w:lineRule="auto"/>
      </w:pPr>
      <w:r>
        <w:rPr>
          <w:b/>
        </w:rPr>
        <w:t xml:space="preserve">[427] </w:t>
      </w:r>
      <w:hyperlink r:id="rId1133">
        <w:r>
          <w:rPr>
            <w:color w:val="1155CC"/>
            <w:u w:val="single"/>
          </w:rPr>
          <w:t>可编程光学百万像素纳米剪纸矩阵</w:t>
        </w:r>
      </w:hyperlink>
    </w:p>
    <w:p>
      <w:pPr>
        <w:spacing w:before="0" w:after="80"/>
      </w:pPr>
      <w:r>
        <w:rPr>
          <w:i/>
          <w:sz w:val="20"/>
        </w:rPr>
        <w:t>EN: Programmable Optical Megapixel Nano‐Kirigami Matrix</w:t>
      </w:r>
    </w:p>
    <w:p>
      <w:pPr>
        <w:spacing w:before="0" w:after="120"/>
      </w:pPr>
      <w:r>
        <w:rPr>
          <w:b/>
        </w:rPr>
        <w:t xml:space="preserve">Source: </w:t>
      </w:r>
      <w:r>
        <w:t>Wiley-Online-Library: Advanced Materials: Table of Contents</w:t>
      </w:r>
      <w:r>
        <w:t xml:space="preserve">    </w:t>
      </w:r>
      <w:r>
        <w:rPr>
          <w:b/>
        </w:rPr>
        <w:t xml:space="preserve">Pub date: </w:t>
      </w:r>
      <w:r>
        <w:t>2026-06-11 08:25:33+00:00</w:t>
      </w:r>
      <w:r>
        <w:t xml:space="preserve">    </w:t>
      </w:r>
      <w:r>
        <w:rPr>
          <w:b/>
        </w:rPr>
        <w:t xml:space="preserve">DOI: </w:t>
      </w:r>
      <w:hyperlink r:id="rId1134">
        <w:r>
          <w:rPr>
            <w:color w:val="1155CC"/>
            <w:u w:val="single"/>
          </w:rPr>
          <w:t>10.1002/adma.73647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大像素数的像素可编程小型光学阵列对于微型显示器、光子芯片和光检测模块等尖端领域至关重要。在最近的进展中，仍然缺乏具有超高像素数和高度灵活的可编程性的通用策略。在这里，我们报告了一种具有像素化机电重构的可编程光学纳米剪纸矩阵。具有高占空比和光学对比度的可变形像素阵列是基于悬浮的转弯形纳米剪纸结构进行概念设计和实验实现的。通过利用中心板感应静电力和变形臂散射入射光，通过对节距尺寸仅为几微米的纳米剪纸矩阵进行编程，演示了可切换的光学加密和可重构的信息显示。此外，通过使用3.87兆像素的条形可寻址纳米剪纸矩阵实现了基于线级调制的可编程信息传输和光投影，展示了具有大像素数和灵活可编程性的光学微阵列。我们的工作实现了具有海量像素的自由可控机电阵列的高可视性和精确寻址能力，可以极大地提高小型化光学阵列的实际适用性，并在微显示、光电芯片、智能机器视觉、高光谱图像传感器等领域带来潜在的应用。</w:t>
      </w:r>
    </w:p>
    <w:p>
      <w:pPr>
        <w:spacing w:before="0" w:after="200" w:lineRule="auto" w:line="276"/>
      </w:pPr>
      <w:r>
        <w:rPr>
          <w:b/>
        </w:rPr>
        <w:t xml:space="preserve">Abstract (EN): </w:t>
      </w:r>
      <w:r>
        <w:t>Pixel‐programmable miniaturized optical arrays with large pixel count are essential for cutting‐edge fields such as micro‐displays, photonic chips, and light detection modules. In recent advances, a universal strategy with ultrahigh pixel count and highly flexible programmability remains lacking. Here we report a programmable optical nano‐kirigami matrix with pixelated electromechanical reconfigurations. Deformable pixel arrays with high duty cycle and optical contrast are conceptually designed and experimentally realized based on a suspended turn‐shaped nano‐kirigami configuration. By employing the central plate to induce electrostatic force and the deformed arms to scatter incident light, switchable optical encryption and reconfigurable information display are demonstrated by programing the nano‐kirigami matrices with a pitch size of only a few micrometers. Furthermore, line‐level modulation based programmable information transmission and light projection are achieved by using a stripe‐shaped addressable nano‐kirigami matrix with 3.87 megapixels, showcasing an optical micro‐array with large pixel count and flexible programmability. Our work enables the high visibility and precise addressability of freely controllable electromechanical arrays with massive pixels, which could greatly improve the practical applicability for miniaturized optical arrays and brings potential applications in micro‐displays, photoelectronic chips, intelligent machine visions, hyperspectral image sensors, etc.</w:t>
      </w:r>
    </w:p>
    <w:p>
      <w:pPr>
        <w:spacing w:before="120" w:after="120"/>
      </w:pPr>
      <w:r>
        <w:rPr>
          <w:sz w:val="18"/>
        </w:rPr>
        <w:t>——————————————————————————————————————————————————————————————————————</w:t>
      </w:r>
    </w:p>
    <w:p>
      <w:pPr>
        <w:spacing w:before="160" w:after="40" w:line="240" w:lineRule="auto"/>
      </w:pPr>
      <w:r>
        <w:rPr>
          <w:b/>
        </w:rPr>
        <w:t xml:space="preserve">[428] </w:t>
      </w:r>
      <w:hyperlink r:id="rId1135">
        <w:r>
          <w:rPr>
            <w:color w:val="1155CC"/>
            <w:u w:val="single"/>
          </w:rPr>
          <w:t>利用邻近效应：使用招潮蟹型硼烷催化剂直接将酯脱氧为醚</w:t>
        </w:r>
      </w:hyperlink>
    </w:p>
    <w:p>
      <w:pPr>
        <w:spacing w:before="0" w:after="80"/>
      </w:pPr>
      <w:r>
        <w:rPr>
          <w:i/>
          <w:sz w:val="20"/>
        </w:rPr>
        <w:t>EN: Leveraging the Proximity Effect: Direct Ester to Ether Deoxygenation Using Fiddler‐Crab‐Type Borane Catalysts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09:16:52+00:00</w:t>
      </w:r>
      <w:r>
        <w:t xml:space="preserve">    </w:t>
      </w:r>
      <w:r>
        <w:rPr>
          <w:b/>
        </w:rPr>
        <w:t xml:space="preserve">DOI: </w:t>
      </w:r>
      <w:hyperlink r:id="rId1136">
        <w:r>
          <w:rPr>
            <w:color w:val="1155CC"/>
            <w:u w:val="single"/>
          </w:rPr>
          <w:t>10.1002/anie.8105704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选择性酯醚还原是一种有利但具有挑战性的转变。这是由于酯有还原成醇衍生物的固有倾向。在此，我们展示了如何使用市售的双齿硅烷试剂和低负载量的定制硼烷催化剂来颠覆酯的还原以形成醚。该催化方法操作简单，具有高选择性和官能团耐受性。这些催化剂的使用还可以实现区域选择性和化学发散还原，进一步简化醚的合成。除了这些优点之外，还可以实现烯醇酯向烯醇醚的还原转化——这是一种难以捉摸且具有挑战性的转化。计算结果支持邻近效应在推动醚形成反应中的关键作用。</w:t>
      </w:r>
    </w:p>
    <w:p>
      <w:pPr>
        <w:spacing w:before="0" w:after="200" w:lineRule="auto" w:line="276"/>
      </w:pPr>
      <w:r>
        <w:rPr>
          <w:b/>
        </w:rPr>
        <w:t xml:space="preserve">Abstract (EN): </w:t>
      </w:r>
      <w:r>
        <w:t>Selective ester‐to‐ether reduction is an advantageous yet challenging transformation. This is due to the inherent tendency of esters to undergo reduction to alcohol derivatives. Herein, we show how to subvert the reduction of esters toward ether formation using a commercially available bidentate silane reagent and low loadings of tailored borane catalysts. This catalytic method is operationally simple, exhibiting high selectivity and functional group tolerance. The use of these catalysts also allows regioselective and chemodivergent reductions, further simplifying the synthesis of ethers. Apart from these advantages, the reductive conversion of an enol ester to an enol ether –an elusive and challenging transformation—could also be achieved. Calculations support the critical role of the proximity effect in driving the reaction toward ether formation.</w:t>
      </w:r>
    </w:p>
    <w:p>
      <w:pPr>
        <w:spacing w:before="120" w:after="120"/>
      </w:pPr>
      <w:r>
        <w:rPr>
          <w:sz w:val="18"/>
        </w:rPr>
        <w:t>——————————————————————————————————————————————————————————————————————</w:t>
      </w:r>
    </w:p>
    <w:p>
      <w:pPr>
        <w:spacing w:before="160" w:after="40" w:line="240" w:lineRule="auto"/>
      </w:pPr>
      <w:r>
        <w:rPr>
          <w:b/>
        </w:rPr>
        <w:t xml:space="preserve">[429] </w:t>
      </w:r>
      <w:hyperlink r:id="rId1137">
        <w:r>
          <w:rPr>
            <w:color w:val="1155CC"/>
            <w:u w:val="single"/>
          </w:rPr>
          <w:t>使用未活化的烷基锍盐进行铁催化的丙二烯环丙烷化反应</w:t>
        </w:r>
      </w:hyperlink>
    </w:p>
    <w:p>
      <w:pPr>
        <w:spacing w:before="0" w:after="80"/>
      </w:pPr>
      <w:r>
        <w:rPr>
          <w:i/>
          <w:sz w:val="20"/>
        </w:rPr>
        <w:t>EN: Iron‐Catalyzed Cyclopropanation of Allenes Using Unactivated Alkyl Sulfonium Salts</w:t>
      </w:r>
    </w:p>
    <w:p>
      <w:pPr>
        <w:spacing w:before="0" w:after="120"/>
      </w:pPr>
      <w:r>
        <w:rPr>
          <w:b/>
        </w:rPr>
        <w:t xml:space="preserve">Source: </w:t>
      </w:r>
      <w:r>
        <w:t>Wiley-Online-Library: Angewandte Chemie International Edition: Table of Contents</w:t>
      </w:r>
      <w:r>
        <w:t xml:space="preserve">    </w:t>
      </w:r>
      <w:r>
        <w:rPr>
          <w:b/>
        </w:rPr>
        <w:t xml:space="preserve">Pub date: </w:t>
      </w:r>
      <w:r>
        <w:t>2026-06-11 09:18:41+00:00</w:t>
      </w:r>
      <w:r>
        <w:t xml:space="preserve">    </w:t>
      </w:r>
      <w:r>
        <w:rPr>
          <w:b/>
        </w:rPr>
        <w:t xml:space="preserve">DOI: </w:t>
      </w:r>
      <w:hyperlink r:id="rId1138">
        <w:r>
          <w:rPr>
            <w:color w:val="1155CC"/>
            <w:u w:val="single"/>
          </w:rPr>
          <w:t>10.1002/anie.3566616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稳定卡宾的催化生成和转移对合成化学来说是一个巨大的挑战，历史上需要使用危险的重氮烷或相对苛刻的还原条件。在此，我们描述了一种氧化还原中性、铁催化的方案，该方案将未活化的烷基锍盐释放为良性的、实验室稳定的非稳定卡宾前体，用于丙二烯的环丙烷化。与卡宾转移中的经典协同机制不同，该过程通过逐步的自由基参与途径进行，提供了一系列具有合成价值的亚烷基环丙烷（ACP），具有出色的区域控制和广泛的官能团相容性。此外，该方法还可以进一步推广到烯烃的环丙烷化反应。机理研究，包括氘标记、TEMPO 抑制、EPR 研究、立体化学探针、热稳定性实验和时程分析，为反应途径提供了有价值的见解。这项工作将未活化的烷基锍盐确立为一种通用且实用的非稳定卡宾前体，用于地球上丰富的金属催化。</w:t>
      </w:r>
    </w:p>
    <w:p>
      <w:pPr>
        <w:spacing w:before="0" w:after="200" w:lineRule="auto" w:line="276"/>
      </w:pPr>
      <w:r>
        <w:rPr>
          <w:b/>
        </w:rPr>
        <w:t xml:space="preserve">Abstract (EN): </w:t>
      </w:r>
      <w:r>
        <w:t>The catalytic generation and transfer of non‐stabilized carbenes represent a formidable challenge in synthetic chemistry, historically necessitating the use of hazardous diazoalkanes or relatively harsh reductive conditions. Herein, we describe a redox‐neutral, Fe‐catalyzed protocol that unlocks unactivated alkyl sulfonium salts as benign, bench‐stable non‐stabilized carbene precursors for the cyclopropanation of allenes. Diverging from the classical concerted mechanism in carbene transfer, this process proceeds via a stepwise radical‐involved pathway, delivering a broad range of synthetically valuable alkylidenecyclopropanes (ACPs) with exceptional regiocontrol and broad functional group compatibility. Moreover, this method can be further extended to the cyclopropanation of alkenes. Mechanistic studies, encompassing deuterium labeling, TEMPO inhibition, EPR study, stereochemical probe, thermal stability experiment, and time‐course analysis provide valuable insights into the reaction pathway. This work establishes unactivated alkyl sulfonium salts as a versatile and practical class of non‐stabilized carbene precursors for earth‐abundant metal catalysis.</w:t>
      </w:r>
    </w:p>
    <w:p>
      <w:pPr>
        <w:spacing w:before="120" w:after="120"/>
      </w:pPr>
      <w:r>
        <w:rPr>
          <w:sz w:val="18"/>
        </w:rPr>
        <w:t>——————————————————————————————————————————————————————————————————————</w:t>
      </w:r>
    </w:p>
    <w:p>
      <w:pPr>
        <w:spacing w:before="160" w:after="40" w:line="240" w:lineRule="auto"/>
      </w:pPr>
      <w:r>
        <w:rPr>
          <w:b/>
        </w:rPr>
        <w:t xml:space="preserve">[430] </w:t>
      </w:r>
      <w:hyperlink r:id="rId1139">
        <w:r>
          <w:rPr>
            <w:color w:val="1155CC"/>
            <w:u w:val="single"/>
          </w:rPr>
          <w:t>热化前的魔法屏障</w:t>
        </w:r>
      </w:hyperlink>
    </w:p>
    <w:p>
      <w:pPr>
        <w:spacing w:before="0" w:after="80"/>
      </w:pPr>
      <w:r>
        <w:rPr>
          <w:i/>
          <w:sz w:val="20"/>
        </w:rPr>
        <w:t>EN: Magic Barrier before Thermalization</w:t>
      </w:r>
    </w:p>
    <w:p>
      <w:pPr>
        <w:spacing w:before="0" w:after="120"/>
      </w:pPr>
      <w:r>
        <w:rPr>
          <w:b/>
        </w:rPr>
        <w:t xml:space="preserve">Source: </w:t>
      </w:r>
      <w:r>
        <w:t>Recent Articles in Phys. Rev. Lett.</w:t>
      </w:r>
      <w:r>
        <w:t xml:space="preserve">    </w:t>
      </w:r>
      <w:r>
        <w:rPr>
          <w:b/>
        </w:rPr>
        <w:t xml:space="preserve">Pub date: </w:t>
      </w:r>
      <w:r>
        <w:t>2026-06-11 10:00:00+00:00</w:t>
      </w:r>
      <w:r>
        <w:t xml:space="preserve">    </w:t>
      </w:r>
      <w:r>
        <w:rPr>
          <w:b/>
        </w:rPr>
        <w:t xml:space="preserve">DOI: </w:t>
      </w:r>
      <w:hyperlink r:id="rId1140">
        <w:r>
          <w:rPr>
            <w:color w:val="1155CC"/>
            <w:u w:val="single"/>
          </w:rPr>
          <w:t>10.1103/wtq7-qy11</w:t>
        </w:r>
      </w:hyperlink>
    </w:p>
    <w:p>
      <w:pPr>
        <w:spacing w:before="0" w:after="120"/>
      </w:pPr>
      <w:r>
        <w:rPr>
          <w:b/>
        </w:rPr>
        <w:t xml:space="preserve">Notes: </w:t>
      </w:r>
      <w:r>
        <w:t>abstract_source=rss_description</w:t>
      </w:r>
    </w:p>
    <w:p>
      <w:pPr>
        <w:spacing w:before="0" w:after="80" w:lineRule="auto" w:line="276"/>
      </w:pPr>
      <w:r>
        <w:rPr>
          <w:b/>
        </w:rPr>
        <w:t xml:space="preserve">摘要（ZH）: </w:t>
      </w:r>
      <w:r>
        <w:t>作者：Lukas Ebner、Berndt Müller、Andreas Schäfer、Leonhard Schmotzer、Clemens Seidl 和 Yao Jun 我们研究了热化过程中线性 SU(2) 斑块链子系统上纠缠谱中反平坦性的时间依赖性，这是非稳定性的度量和非局域量子魔法资源的下限。追踪大量初始状态的时间演化……[物理。莱特牧师。 136, 230403] 发布于 2026 年 6 月 11 日星期四</w:t>
      </w:r>
    </w:p>
    <w:p>
      <w:pPr>
        <w:spacing w:before="0" w:after="200" w:lineRule="auto" w:line="276"/>
      </w:pPr>
      <w:r>
        <w:rPr>
          <w:b/>
        </w:rPr>
        <w:t xml:space="preserve">Abstract (EN): </w:t>
      </w:r>
      <w:r>
        <w:t>Author(s): Lukas Ebner, Berndt Müller, Andreas Schäfer, Leonhard Schmotzer, Clemens Seidl, and Xiaojun YaoWe investigate the time dependence of antiflatness in the entanglement spectrum, a measure for nonstabilizerness and lower bound for nonlocal quantum magic resource, on a subsystem of a linear SU(2) plaquette chain during thermalization. Tracing the time evolution of a large number of initial states…[Phys. Rev. Lett. 136, 230403] Published Thu Jun 11, 2026</w:t>
      </w:r>
    </w:p>
    <w:p>
      <w:pPr>
        <w:spacing w:before="120" w:after="120"/>
      </w:pPr>
      <w:r>
        <w:rPr>
          <w:sz w:val="18"/>
        </w:rPr>
        <w:t>——————————————————————————————————————————————————————————————————————</w:t>
      </w:r>
    </w:p>
    <w:p>
      <w:pPr>
        <w:spacing w:before="160" w:after="40" w:line="240" w:lineRule="auto"/>
      </w:pPr>
      <w:r>
        <w:rPr>
          <w:b/>
        </w:rPr>
        <w:t xml:space="preserve">[431] </w:t>
      </w:r>
      <w:hyperlink r:id="rId1141">
        <w:r>
          <w:rPr>
            <w:color w:val="1155CC"/>
            <w:u w:val="single"/>
          </w:rPr>
          <w:t>${\mathrm{NiPS}}_{3}$ 中的晶体场调谐自旋翻转发光</w:t>
        </w:r>
      </w:hyperlink>
    </w:p>
    <w:p>
      <w:pPr>
        <w:spacing w:before="0" w:after="80"/>
      </w:pPr>
      <w:r>
        <w:rPr>
          <w:i/>
          <w:sz w:val="20"/>
        </w:rPr>
        <w:t>EN: Crystal-Field-Tuned Spin-Flip Luminescence in ${\mathrm{NiPS}}_{3}$</w:t>
      </w:r>
    </w:p>
    <w:p>
      <w:pPr>
        <w:spacing w:before="0" w:after="120"/>
      </w:pPr>
      <w:r>
        <w:rPr>
          <w:b/>
        </w:rPr>
        <w:t xml:space="preserve">Source: </w:t>
      </w:r>
      <w:r>
        <w:t>Recent Articles in Phys. Rev. Lett.</w:t>
      </w:r>
      <w:r>
        <w:t xml:space="preserve">    </w:t>
      </w:r>
      <w:r>
        <w:rPr>
          <w:b/>
        </w:rPr>
        <w:t xml:space="preserve">Pub date: </w:t>
      </w:r>
      <w:r>
        <w:t>2026-06-11 10:00:00+00:00</w:t>
      </w:r>
      <w:r>
        <w:t xml:space="preserve">    </w:t>
      </w:r>
      <w:r>
        <w:rPr>
          <w:b/>
        </w:rPr>
        <w:t xml:space="preserve">DOI: </w:t>
      </w:r>
      <w:hyperlink r:id="rId1142">
        <w:r>
          <w:rPr>
            <w:color w:val="1155CC"/>
            <w:u w:val="single"/>
          </w:rPr>
          <w:t>10.1103/7y26-3skd</w:t>
        </w:r>
      </w:hyperlink>
    </w:p>
    <w:p>
      <w:pPr>
        <w:spacing w:before="0" w:after="120"/>
      </w:pPr>
      <w:r>
        <w:rPr>
          <w:b/>
        </w:rPr>
        <w:t xml:space="preserve">Notes: </w:t>
      </w:r>
      <w:r>
        <w:t>abstract_source=rss_description</w:t>
      </w:r>
    </w:p>
    <w:p>
      <w:pPr>
        <w:spacing w:before="0" w:after="80" w:lineRule="auto" w:line="276"/>
      </w:pPr>
      <w:r>
        <w:rPr>
          <w:b/>
        </w:rPr>
        <w:t xml:space="preserve">摘要（ZH）: </w:t>
      </w:r>
      <w:r>
        <w:t>作者：Léonard Schué、Nashra Pistawala、Hebatalla Elnaggar、Yannick Klein、Christophe Bellin、Johan Biscaras、Fausto Sirotti、Yves Lassailly、Fabian Cadiz、Luminita Harnagea 和 Abhay Shukla 层状磁性材料为二维极限内的磁性基础研究提供了机会。 ${\mathrm{NiPS}}_{3}$ 是该家族的原型成员，在 155 K 以下具有反铁磁性，并表现出与三重态之间的转变相关的尖锐光致发光……[Phys.莱特牧师。 136, 236401] 发布于 2026 年 6 月 11 日星期四</w:t>
      </w:r>
    </w:p>
    <w:p>
      <w:pPr>
        <w:spacing w:before="0" w:after="200" w:lineRule="auto" w:line="276"/>
      </w:pPr>
      <w:r>
        <w:rPr>
          <w:b/>
        </w:rPr>
        <w:t xml:space="preserve">Abstract (EN): </w:t>
      </w:r>
      <w:r>
        <w:t>Author(s): Léonard Schué, Nashra Pistawala, Hebatalla Elnaggar, Yannick Klein, Christophe Bellin, Johan Biscaras, Fausto Sirotti, Yves Lassailly, Fabian Cadiz, Luminita Harnagea, and Abhay ShuklaLayered magnetic materials provide the opportunity for fundamental investigations of magnetism in the two-dimensional limit. ${\mathrm{NiPS}}_{3}$, a prototype member of this family, is antiferromagnetic below 155 K and exhibits sharp photoluminescence associated with a transition between a triplet …[Phys. Rev. Lett. 136, 236401] Published Thu Jun 11, 2026</w:t>
      </w:r>
    </w:p>
    <w:p>
      <w:pPr>
        <w:spacing w:before="120" w:after="120"/>
      </w:pPr>
      <w:r>
        <w:rPr>
          <w:sz w:val="18"/>
        </w:rPr>
        <w:t>——————————————————————————————————————————————————————————————————————</w:t>
      </w:r>
    </w:p>
    <w:p>
      <w:pPr>
        <w:spacing w:before="160" w:after="40" w:line="240" w:lineRule="auto"/>
      </w:pPr>
      <w:r>
        <w:rPr>
          <w:b/>
        </w:rPr>
        <w:t xml:space="preserve">[432] </w:t>
      </w:r>
      <w:hyperlink r:id="rId1143">
        <w:r>
          <w:rPr>
            <w:color w:val="1155CC"/>
            <w:u w:val="single"/>
          </w:rPr>
          <w:t>量子通道的逆因果能力：通过噪声闭合类时曲线进行通信</w:t>
        </w:r>
      </w:hyperlink>
    </w:p>
    <w:p>
      <w:pPr>
        <w:spacing w:before="0" w:after="80"/>
      </w:pPr>
      <w:r>
        <w:rPr>
          <w:i/>
          <w:sz w:val="20"/>
        </w:rPr>
        <w:t>EN: Retrocausal Capacity of a Quantum Channel: Communicating through Noisy Closed Timelike Curves</w:t>
      </w:r>
    </w:p>
    <w:p>
      <w:pPr>
        <w:spacing w:before="0" w:after="120"/>
      </w:pPr>
      <w:r>
        <w:rPr>
          <w:b/>
        </w:rPr>
        <w:t xml:space="preserve">Source: </w:t>
      </w:r>
      <w:r>
        <w:t>Recent Articles in Phys. Rev. Lett.</w:t>
      </w:r>
      <w:r>
        <w:t xml:space="preserve">    </w:t>
      </w:r>
      <w:r>
        <w:rPr>
          <w:b/>
        </w:rPr>
        <w:t xml:space="preserve">Pub date: </w:t>
      </w:r>
      <w:r>
        <w:t>2026-06-11 10:00:00+00:00</w:t>
      </w:r>
      <w:r>
        <w:t xml:space="preserve">    </w:t>
      </w:r>
      <w:r>
        <w:rPr>
          <w:b/>
        </w:rPr>
        <w:t xml:space="preserve">DOI: </w:t>
      </w:r>
      <w:hyperlink r:id="rId1144">
        <w:r>
          <w:rPr>
            <w:color w:val="1155CC"/>
            <w:u w:val="single"/>
          </w:rPr>
          <w:t>10.1103/znyd-npk5</w:t>
        </w:r>
      </w:hyperlink>
    </w:p>
    <w:p>
      <w:pPr>
        <w:spacing w:before="0" w:after="120"/>
      </w:pPr>
      <w:r>
        <w:rPr>
          <w:b/>
        </w:rPr>
        <w:t xml:space="preserve">Notes: </w:t>
      </w:r>
      <w:r>
        <w:t>abstract_source=rss_description</w:t>
      </w:r>
    </w:p>
    <w:p>
      <w:pPr>
        <w:spacing w:before="0" w:after="80" w:lineRule="auto" w:line="276"/>
      </w:pPr>
      <w:r>
        <w:rPr>
          <w:b/>
        </w:rPr>
        <w:t xml:space="preserve">摘要（ZH）: </w:t>
      </w:r>
      <w:r>
        <w:t>作者：Kaiyuan Ji、Seth Lloyd 和 Mark M. Wilde 我们研究用于逆因果通信的量子信道的容量，其中消息通过由信道数学表示的噪声后选择闭合类时曲线，从未来的发送者到过去的接收者在时间上向后传输。我们完全表征了...[物理。莱特牧师。 136, 230801] 发布于 2026 年 6 月 11 日星期四</w:t>
      </w:r>
    </w:p>
    <w:p>
      <w:pPr>
        <w:spacing w:before="0" w:after="200" w:lineRule="auto" w:line="276"/>
      </w:pPr>
      <w:r>
        <w:rPr>
          <w:b/>
        </w:rPr>
        <w:t xml:space="preserve">Abstract (EN): </w:t>
      </w:r>
      <w:r>
        <w:t>Author(s): Kaiyuan Ji, Seth Lloyd, and Mark M. WildeWe study the capacity of a quantum channel for retrocausal communication, where messages are transmitted backward in time, from a sender in the future to a receiver in the past, through a noisy postselected closed timelike curve mathematically represented by the channel. We completely characterize t…[Phys. Rev. Lett. 136, 230801] Published Thu Jun 11, 2026</w:t>
      </w:r>
    </w:p>
    <w:p>
      <w:pPr>
        <w:spacing w:before="120" w:after="120"/>
      </w:pPr>
      <w:r>
        <w:rPr>
          <w:sz w:val="18"/>
        </w:rPr>
        <w:t>——————————————————————————————————————————————————————————————————————</w:t>
      </w:r>
    </w:p>
    <w:p>
      <w:pPr>
        <w:spacing w:before="160" w:after="40" w:line="240" w:lineRule="auto"/>
      </w:pPr>
      <w:r>
        <w:rPr>
          <w:b/>
        </w:rPr>
        <w:t xml:space="preserve">[433] </w:t>
      </w:r>
      <w:hyperlink r:id="rId1145">
        <w:r>
          <w:rPr>
            <w:color w:val="1155CC"/>
            <w:u w:val="single"/>
          </w:rPr>
          <w:t>$N=84$ 的 Beta 延迟中子发射 $^{132}\mathrm{Cd}$</w:t>
        </w:r>
      </w:hyperlink>
    </w:p>
    <w:p>
      <w:pPr>
        <w:spacing w:before="0" w:after="80"/>
      </w:pPr>
      <w:r>
        <w:rPr>
          <w:i/>
          <w:sz w:val="20"/>
        </w:rPr>
        <w:t>EN: Beta-Delayed Neutron Emission of $N=84$ $^{132}\mathrm{Cd}$</w:t>
      </w:r>
    </w:p>
    <w:p>
      <w:pPr>
        <w:spacing w:before="0" w:after="120"/>
      </w:pPr>
      <w:r>
        <w:rPr>
          <w:b/>
        </w:rPr>
        <w:t xml:space="preserve">Source: </w:t>
      </w:r>
      <w:r>
        <w:t>Recent Articles in Phys. Rev. Lett.</w:t>
      </w:r>
      <w:r>
        <w:t xml:space="preserve">    </w:t>
      </w:r>
      <w:r>
        <w:rPr>
          <w:b/>
        </w:rPr>
        <w:t xml:space="preserve">Pub date: </w:t>
      </w:r>
      <w:r>
        <w:t>2026-06-11 10:00:00+00:00</w:t>
      </w:r>
      <w:r>
        <w:t xml:space="preserve">    </w:t>
      </w:r>
      <w:r>
        <w:rPr>
          <w:b/>
        </w:rPr>
        <w:t xml:space="preserve">DOI: </w:t>
      </w:r>
      <w:hyperlink r:id="rId1146">
        <w:r>
          <w:rPr>
            <w:color w:val="1155CC"/>
            <w:u w:val="single"/>
          </w:rPr>
          <w:t>10.1103/z93q-9g6y</w:t>
        </w:r>
      </w:hyperlink>
    </w:p>
    <w:p>
      <w:pPr>
        <w:spacing w:before="0" w:after="120"/>
      </w:pPr>
      <w:r>
        <w:rPr>
          <w:b/>
        </w:rPr>
        <w:t xml:space="preserve">Notes: </w:t>
      </w:r>
      <w:r>
        <w:t>abstract_source=rss_description</w:t>
      </w:r>
    </w:p>
    <w:p>
      <w:pPr>
        <w:spacing w:before="0" w:after="80" w:lineRule="auto" w:line="276"/>
      </w:pPr>
      <w:r>
        <w:rPr>
          <w:b/>
        </w:rPr>
        <w:t xml:space="preserve">摘要（ZH）: </w:t>
      </w:r>
      <w:r>
        <w:t>作者：M. Madurga 等人。利用飞行时间技术，我们测量了 $^{132}\mathrm{Cd}$ 的 β 延迟中子发射。根据我们使用 ${\mathrm{N}}^{3}\mathrm{LO}$ 交互作用 [, Phys.莱特牧师。 131, 022501 (2023)]，我们认为衰变主要由变换主导......[Phys. 131, 022501 (2023)]莱特牧师。 136, 232504] 发布于 2026 年 6 月 11 日星期四</w:t>
      </w:r>
    </w:p>
    <w:p>
      <w:pPr>
        <w:spacing w:before="0" w:after="200" w:lineRule="auto" w:line="276"/>
      </w:pPr>
      <w:r>
        <w:rPr>
          <w:b/>
        </w:rPr>
        <w:t xml:space="preserve">Abstract (EN): </w:t>
      </w:r>
      <w:r>
        <w:t>Author(s): M. Madurga et al.Using the time-of-flight technique, we measured the beta-delayed neutron emission of $^{132}\mathrm{Cd}$. From our large-scale shell model (LSSM) calculation using the ${\mathrm{N}}^{3}\mathrm{LO}$ interaction [, Phys. Rev. Lett. 131, 022501 (2023)], we suggest the decay is dominated by the transfor…[Phys. Rev. Lett. 136, 232504] Published Thu Jun 11, 2026</w:t>
      </w:r>
    </w:p>
    <w:p>
      <w:pPr>
        <w:spacing w:before="120" w:after="120"/>
      </w:pPr>
      <w:r>
        <w:rPr>
          <w:sz w:val="18"/>
        </w:rPr>
        <w:t>——————————————————————————————————————————————————————————————————————</w:t>
      </w:r>
    </w:p>
    <w:p>
      <w:pPr>
        <w:spacing w:before="160" w:after="40" w:line="240" w:lineRule="auto"/>
      </w:pPr>
      <w:r>
        <w:rPr>
          <w:b/>
        </w:rPr>
        <w:t xml:space="preserve">[434] </w:t>
      </w:r>
      <w:hyperlink r:id="rId1147">
        <w:r>
          <w:rPr>
            <w:color w:val="1155CC"/>
            <w:u w:val="single"/>
          </w:rPr>
          <w:t>光力学中的混合 SU(1,1) 干涉测量</w:t>
        </w:r>
      </w:hyperlink>
    </w:p>
    <w:p>
      <w:pPr>
        <w:spacing w:before="0" w:after="80"/>
      </w:pPr>
      <w:r>
        <w:rPr>
          <w:i/>
          <w:sz w:val="20"/>
        </w:rPr>
        <w:t>EN: Hybrid SU(1,1) Interferometry in Optomechanics</w:t>
      </w:r>
    </w:p>
    <w:p>
      <w:pPr>
        <w:spacing w:before="0" w:after="120"/>
      </w:pPr>
      <w:r>
        <w:rPr>
          <w:b/>
        </w:rPr>
        <w:t xml:space="preserve">Source: </w:t>
      </w:r>
      <w:r>
        <w:t>Recent Articles in Phys. Rev. Lett.</w:t>
      </w:r>
      <w:r>
        <w:t xml:space="preserve">    </w:t>
      </w:r>
      <w:r>
        <w:rPr>
          <w:b/>
        </w:rPr>
        <w:t xml:space="preserve">Pub date: </w:t>
      </w:r>
      <w:r>
        <w:t>2026-06-11 10:00:00+00:00</w:t>
      </w:r>
      <w:r>
        <w:t xml:space="preserve">    </w:t>
      </w:r>
      <w:r>
        <w:rPr>
          <w:b/>
        </w:rPr>
        <w:t xml:space="preserve">DOI: </w:t>
      </w:r>
      <w:hyperlink r:id="rId1148">
        <w:r>
          <w:rPr>
            <w:color w:val="1155CC"/>
            <w:u w:val="single"/>
          </w:rPr>
          <w:t>10.1103/t9tt-t5x2</w:t>
        </w:r>
      </w:hyperlink>
    </w:p>
    <w:p>
      <w:pPr>
        <w:spacing w:before="0" w:after="120"/>
      </w:pPr>
      <w:r>
        <w:rPr>
          <w:b/>
        </w:rPr>
        <w:t xml:space="preserve">Notes: </w:t>
      </w:r>
      <w:r>
        <w:t>abstract_source=rss_description</w:t>
      </w:r>
    </w:p>
    <w:p>
      <w:pPr>
        <w:spacing w:before="0" w:after="80" w:lineRule="auto" w:line="276"/>
      </w:pPr>
      <w:r>
        <w:rPr>
          <w:b/>
        </w:rPr>
        <w:t xml:space="preserve">摘要（ZH）: </w:t>
      </w:r>
      <w:r>
        <w:t>作者：Chao Ming、Emil Zeuthen 和 Polina R. Sharapova 在非简并 SU(1,1) 干涉仪中，分束器被双模压缩器取代，无需输入压缩即可实现亚散粒噪声灵敏度，并且对量子纠缠造成的检测损失具有鲁棒性。我们提出了一种光力学的混合实现，其中一个“手臂”是一个机械模型......[Phys。莱特牧师。 136, 233602] 发布于 2026 年 6 月 11 日星期四</w:t>
      </w:r>
    </w:p>
    <w:p>
      <w:pPr>
        <w:spacing w:before="0" w:after="200" w:lineRule="auto" w:line="276"/>
      </w:pPr>
      <w:r>
        <w:rPr>
          <w:b/>
        </w:rPr>
        <w:t xml:space="preserve">Abstract (EN): </w:t>
      </w:r>
      <w:r>
        <w:t>Author(s): Chao Meng, Emil Zeuthen, and Polina R. SharapovaIn nondegenerate SU(1,1) interferometers, beam splitters are replaced by two-mode squeezers, enabling sub-shot-noise sensitivity without input squeezing and robustness to detection losses by quantum entanglement. We propose a hybrid implementation in optomechanics where one “arm” is a mechanical mod…[Phys. Rev. Lett. 136, 233602] Published Thu Jun 11, 2026</w:t>
      </w:r>
    </w:p>
    <w:p>
      <w:pPr>
        <w:spacing w:before="120" w:after="120"/>
      </w:pPr>
      <w:r>
        <w:rPr>
          <w:sz w:val="18"/>
        </w:rPr>
        <w:t>——————————————————————————————————————————————————————————————————————</w:t>
      </w:r>
    </w:p>
    <w:p>
      <w:pPr>
        <w:spacing w:before="160" w:after="40" w:line="240" w:lineRule="auto"/>
      </w:pPr>
      <w:r>
        <w:rPr>
          <w:b/>
        </w:rPr>
        <w:t xml:space="preserve">[435] </w:t>
      </w:r>
      <w:hyperlink r:id="rId1149">
        <w:r>
          <w:rPr>
            <w:color w:val="1155CC"/>
            <w:u w:val="single"/>
          </w:rPr>
          <w:t>热气体超荧光的无腔模式控制</w:t>
        </w:r>
      </w:hyperlink>
    </w:p>
    <w:p>
      <w:pPr>
        <w:spacing w:before="0" w:after="80"/>
      </w:pPr>
      <w:r>
        <w:rPr>
          <w:i/>
          <w:sz w:val="20"/>
        </w:rPr>
        <w:t>EN: Cavity-Free Mode Control of Superfluorescence from Thermal Gas</w:t>
      </w:r>
    </w:p>
    <w:p>
      <w:pPr>
        <w:spacing w:before="0" w:after="120"/>
      </w:pPr>
      <w:r>
        <w:rPr>
          <w:b/>
        </w:rPr>
        <w:t xml:space="preserve">Source: </w:t>
      </w:r>
      <w:r>
        <w:t>Recent Articles in Phys. Rev. Lett.</w:t>
      </w:r>
      <w:r>
        <w:t xml:space="preserve">    </w:t>
      </w:r>
      <w:r>
        <w:rPr>
          <w:b/>
        </w:rPr>
        <w:t xml:space="preserve">Pub date: </w:t>
      </w:r>
      <w:r>
        <w:t>2026-06-11 10:00:00+00:00</w:t>
      </w:r>
      <w:r>
        <w:t xml:space="preserve">    </w:t>
      </w:r>
      <w:r>
        <w:rPr>
          <w:b/>
        </w:rPr>
        <w:t xml:space="preserve">DOI: </w:t>
      </w:r>
      <w:hyperlink r:id="rId1150">
        <w:r>
          <w:rPr>
            <w:color w:val="1155CC"/>
            <w:u w:val="single"/>
          </w:rPr>
          <w:t>10.1103/cbxq-8n45</w:t>
        </w:r>
      </w:hyperlink>
    </w:p>
    <w:p>
      <w:pPr>
        <w:spacing w:before="0" w:after="120"/>
      </w:pPr>
      <w:r>
        <w:rPr>
          <w:b/>
        </w:rPr>
        <w:t xml:space="preserve">Notes: </w:t>
      </w:r>
      <w:r>
        <w:t>abstract_source=rss_description</w:t>
      </w:r>
    </w:p>
    <w:p>
      <w:pPr>
        <w:spacing w:before="0" w:after="80" w:lineRule="auto" w:line="276"/>
      </w:pPr>
      <w:r>
        <w:rPr>
          <w:b/>
        </w:rPr>
        <w:t xml:space="preserve">摘要（ZH）: </w:t>
      </w:r>
      <w:r>
        <w:t>作者：H. Maeda 和 K. Kitano 光的横向模式控制传统上依赖于光学腔，而最近基于周期性排列的冷原子的利用集体辐射的无腔方法引起了越来越多的关注。在这里，我们展示了一种适用于热气体的新无腔方法......[Phys。莱特牧师。 136, 233603] 发布于 2026 年 6 月 11 日星期四</w:t>
      </w:r>
    </w:p>
    <w:p>
      <w:pPr>
        <w:spacing w:before="0" w:after="200" w:lineRule="auto" w:line="276"/>
      </w:pPr>
      <w:r>
        <w:rPr>
          <w:b/>
        </w:rPr>
        <w:t xml:space="preserve">Abstract (EN): </w:t>
      </w:r>
      <w:r>
        <w:t>Author(s): H. Maeda and K. KitanoTransverse-mode control of light has traditionally relied on optical cavities, whereas recent cavity-free approaches based on periodically arranged cold atoms that exploit collective radiation have attracted increasing attention. Here, we demonstrate a new cavity-free method applicable to thermal ga…[Phys. Rev. Lett. 136, 233603] Published Thu Jun 11, 2026</w:t>
      </w:r>
    </w:p>
    <w:p>
      <w:pPr>
        <w:spacing w:before="120" w:after="120"/>
      </w:pPr>
      <w:r>
        <w:rPr>
          <w:sz w:val="18"/>
        </w:rPr>
        <w:t>——————————————————————————————————————————————————————————————————————</w:t>
      </w:r>
    </w:p>
    <w:p>
      <w:pPr>
        <w:spacing w:before="160" w:after="40" w:line="240" w:lineRule="auto"/>
      </w:pPr>
      <w:r>
        <w:rPr>
          <w:b/>
        </w:rPr>
        <w:t xml:space="preserve">[436] </w:t>
      </w:r>
      <w:hyperlink r:id="rId1151">
        <w:r>
          <w:rPr>
            <w:color w:val="1155CC"/>
            <w:u w:val="single"/>
          </w:rPr>
          <w:t>在 $\sqrt{{s}_{NN}}=200 \mathrm{GeV}$ 处打开 $pp$ 和 $\mathrm{Au}+\mathrm{Au}$ 碰撞中的 ${\mathrm{Λ}}_{c}^{+}/{D}^{0}$ 比率</w:t>
        </w:r>
      </w:hyperlink>
    </w:p>
    <w:p>
      <w:pPr>
        <w:spacing w:before="0" w:after="80"/>
      </w:pPr>
      <w:r>
        <w:rPr>
          <w:i/>
          <w:sz w:val="20"/>
        </w:rPr>
        <w:t>EN: Open charm production and ${\mathrm{Λ}}_{c}^{+}/{D}^{0}$ ratio in $pp$ and $\mathrm{Au}+\mathrm{Au}$ collisions at $\sqrt{{s}_{NN}}=200 \mathrm{GeV}$</w:t>
      </w:r>
    </w:p>
    <w:p>
      <w:pPr>
        <w:spacing w:before="0" w:after="120"/>
      </w:pPr>
      <w:r>
        <w:rPr>
          <w:b/>
        </w:rPr>
        <w:t xml:space="preserve">Source: </w:t>
      </w:r>
      <w:r>
        <w:t>Recent Articles in Phys. Rev. C</w:t>
      </w:r>
      <w:r>
        <w:t xml:space="preserve">    </w:t>
      </w:r>
      <w:r>
        <w:rPr>
          <w:b/>
        </w:rPr>
        <w:t xml:space="preserve">Pub date: </w:t>
      </w:r>
      <w:r>
        <w:t>2026-06-11 10:00:00+00:00</w:t>
      </w:r>
      <w:r>
        <w:t xml:space="preserve">    </w:t>
      </w:r>
      <w:r>
        <w:rPr>
          <w:b/>
        </w:rPr>
        <w:t xml:space="preserve">DOI: </w:t>
      </w:r>
      <w:hyperlink r:id="rId1152">
        <w:r>
          <w:rPr>
            <w:color w:val="1155CC"/>
            <w:u w:val="single"/>
          </w:rPr>
          <w:t>10.1103/519h-2vrc</w:t>
        </w:r>
      </w:hyperlink>
    </w:p>
    <w:p>
      <w:pPr>
        <w:spacing w:before="0" w:after="120"/>
      </w:pPr>
      <w:r>
        <w:rPr>
          <w:b/>
        </w:rPr>
        <w:t xml:space="preserve">Notes: </w:t>
      </w:r>
      <w:r>
        <w:t>abstract_source=rss_description</w:t>
      </w:r>
    </w:p>
    <w:p>
      <w:pPr>
        <w:spacing w:before="0" w:after="80" w:lineRule="auto" w:line="276"/>
      </w:pPr>
      <w:r>
        <w:rPr>
          <w:b/>
        </w:rPr>
        <w:t xml:space="preserve">摘要（ZH）: </w:t>
      </w:r>
      <w:r>
        <w:t>作者：Bijun Fan、Shusu Shi、Chao Zhu 和梁正我们使用改进的多相输运 (AMPT) 模型研究 $\sqrt{{s}_{NN}}=200$ GeV 处 pp 和 $\mathrm{Au}+\mathrm{Au}$ 碰撞中的开放魅力强子产生。具体来说，我们展示了 ${D}^{0}$ 介子和 $...[Phys.牧师神父。 C 113 , 064904 ] 2026 年 6 月 11 日发布</w:t>
      </w:r>
    </w:p>
    <w:p>
      <w:pPr>
        <w:spacing w:before="0" w:after="200" w:lineRule="auto" w:line="276"/>
      </w:pPr>
      <w:r>
        <w:rPr>
          <w:b/>
        </w:rPr>
        <w:t xml:space="preserve">Abstract (EN): </w:t>
      </w:r>
      <w:r>
        <w:t>Author(s): Bijun Fan, Shusu Shi, Chao Zhang, and Liang ZhengWe study open-charm hadrons production in pp and $\mathrm{Au}+\mathrm{Au}$ collisions at $\sqrt{{s}_{NN}}=200$ GeV using an improved multiphase transport (AMPT) model. Specifically, we show the transverse-momentum spectra and nuclear modification factors ${R}_{\mathrm{AA}}$ of ${D}^{0}$ mesons and $…[Phys. Rev. C 113, 064904] Published Thu Jun 11, 2026</w:t>
      </w:r>
    </w:p>
    <w:p>
      <w:pPr>
        <w:spacing w:before="120" w:after="120"/>
      </w:pPr>
      <w:r>
        <w:rPr>
          <w:sz w:val="18"/>
        </w:rPr>
        <w:t>——————————————————————————————————————————————————————————————————————</w:t>
      </w:r>
    </w:p>
    <w:p>
      <w:pPr>
        <w:spacing w:before="160" w:after="40" w:line="240" w:lineRule="auto"/>
      </w:pPr>
      <w:r>
        <w:rPr>
          <w:b/>
        </w:rPr>
        <w:t xml:space="preserve">[437] </w:t>
      </w:r>
      <w:hyperlink r:id="rId1153">
        <w:r>
          <w:rPr>
            <w:color w:val="1155CC"/>
            <w:u w:val="single"/>
          </w:rPr>
          <w:t>量化弹性变形共价晶体中的晶格应变</w:t>
        </w:r>
      </w:hyperlink>
    </w:p>
    <w:p>
      <w:pPr>
        <w:spacing w:before="0" w:after="80"/>
      </w:pPr>
      <w:r>
        <w:rPr>
          <w:i/>
          <w:sz w:val="20"/>
        </w:rPr>
        <w:t>EN: Quantifying Lattice Strains in Elastically Deformed Covalent Crystals</w:t>
      </w:r>
    </w:p>
    <w:p>
      <w:pPr>
        <w:spacing w:before="0" w:after="120"/>
      </w:pPr>
      <w:r>
        <w:rPr>
          <w:b/>
        </w:rPr>
        <w:t xml:space="preserve">Source: </w:t>
      </w:r>
      <w:r>
        <w:t>Recent Articles in Phys. Rev. Lett.</w:t>
      </w:r>
      <w:r>
        <w:t xml:space="preserve">    </w:t>
      </w:r>
      <w:r>
        <w:rPr>
          <w:b/>
        </w:rPr>
        <w:t xml:space="preserve">Pub date: </w:t>
      </w:r>
      <w:r>
        <w:t>2026-06-11 10:00:00+00:00</w:t>
      </w:r>
      <w:r>
        <w:t xml:space="preserve">    </w:t>
      </w:r>
      <w:r>
        <w:rPr>
          <w:b/>
        </w:rPr>
        <w:t xml:space="preserve">DOI: </w:t>
      </w:r>
      <w:hyperlink r:id="rId1154">
        <w:r>
          <w:rPr>
            <w:color w:val="1155CC"/>
            <w:u w:val="single"/>
          </w:rPr>
          <w:t>10.1103/3pvs-gdp8</w:t>
        </w:r>
      </w:hyperlink>
    </w:p>
    <w:p>
      <w:pPr>
        <w:spacing w:before="0" w:after="120"/>
      </w:pPr>
      <w:r>
        <w:rPr>
          <w:b/>
        </w:rPr>
        <w:t xml:space="preserve">Notes: </w:t>
      </w:r>
      <w:r>
        <w:t>abstract_source=rss_description</w:t>
      </w:r>
    </w:p>
    <w:p>
      <w:pPr>
        <w:spacing w:before="0" w:after="80" w:lineRule="auto" w:line="276"/>
      </w:pPr>
      <w:r>
        <w:rPr>
          <w:b/>
        </w:rPr>
        <w:t xml:space="preserve">摘要（ZH）: </w:t>
      </w:r>
      <w:r>
        <w:t>作者：Jiayi Li、Heyi Wang、Juzheng Chen、Qian Zhu、Fanling Jia、Yiling Lian、Man Kit Cheng、Pak San Yip、KefanGuo、Wenjun Liang、Yu Deng 和 Yang Lu 硅和金刚石等共价半导体晶体已在微米和纳米尺度上表现出超大弹性应变，从而为应变工程电子和光电器件提供了所需的品质因数。然而，它们弹性的根本根源——是否来自于……[物理。莱特牧师。 136, 236102] 发布于 2026 年 6 月 11 日星期四</w:t>
      </w:r>
    </w:p>
    <w:p>
      <w:pPr>
        <w:spacing w:before="0" w:after="200" w:lineRule="auto" w:line="276"/>
      </w:pPr>
      <w:r>
        <w:rPr>
          <w:b/>
        </w:rPr>
        <w:t xml:space="preserve">Abstract (EN): </w:t>
      </w:r>
      <w:r>
        <w:t>Author(s): Jiayi Li, Heyi Wang, Juzheng Chen, Qian Zhang, Fanling Meng, Yiling Lian, Man Kit Cheng, Pak San Yip, Kefan Guo, Wenjun Liang, Yu Deng, and Yang LuCovalent semiconductor crystals such as silicon and diamond have demonstrated ultralarge elastic strains at micro and nanoscales, enabling desired figures of merit for strain engineered electronic and optoelectronic devices. However, the underlying origin of their elasticity—whether it arises from p…[Phys. Rev. Lett. 136, 236102] Published Thu Jun 11, 2026</w:t>
      </w:r>
    </w:p>
    <w:p>
      <w:pPr>
        <w:spacing w:before="120" w:after="120"/>
      </w:pPr>
      <w:r>
        <w:rPr>
          <w:sz w:val="18"/>
        </w:rPr>
        <w:t>——————————————————————————————————————————————————————————————————————</w:t>
      </w:r>
    </w:p>
    <w:p>
      <w:pPr>
        <w:spacing w:before="160" w:after="40" w:line="240" w:lineRule="auto"/>
      </w:pPr>
      <w:r>
        <w:rPr>
          <w:b/>
        </w:rPr>
        <w:t xml:space="preserve">[438] </w:t>
      </w:r>
      <w:hyperlink r:id="rId1155">
        <w:r>
          <w:rPr>
            <w:color w:val="1155CC"/>
            <w:u w:val="single"/>
          </w:rPr>
          <w:t>粲夸克色电偶极矩的精确测量</w:t>
        </w:r>
      </w:hyperlink>
    </w:p>
    <w:p>
      <w:pPr>
        <w:spacing w:before="0" w:after="80"/>
      </w:pPr>
      <w:r>
        <w:rPr>
          <w:i/>
          <w:sz w:val="20"/>
        </w:rPr>
        <w:t>EN: Precise Measurement of the Chromoelectric Dipole Moment of the Charm Quark</w:t>
      </w:r>
    </w:p>
    <w:p>
      <w:pPr>
        <w:spacing w:before="0" w:after="120"/>
      </w:pPr>
      <w:r>
        <w:rPr>
          <w:b/>
        </w:rPr>
        <w:t xml:space="preserve">Source: </w:t>
      </w:r>
      <w:r>
        <w:t>Recent Articles in Phys. Rev. Lett.</w:t>
      </w:r>
      <w:r>
        <w:t xml:space="preserve">    </w:t>
      </w:r>
      <w:r>
        <w:rPr>
          <w:b/>
        </w:rPr>
        <w:t xml:space="preserve">Pub date: </w:t>
      </w:r>
      <w:r>
        <w:t>2026-06-11 10:00:00+00:00</w:t>
      </w:r>
      <w:r>
        <w:t xml:space="preserve">    </w:t>
      </w:r>
      <w:r>
        <w:rPr>
          <w:b/>
        </w:rPr>
        <w:t xml:space="preserve">DOI: </w:t>
      </w:r>
      <w:hyperlink r:id="rId1156">
        <w:r>
          <w:rPr>
            <w:color w:val="1155CC"/>
            <w:u w:val="single"/>
          </w:rPr>
          <w:t>10.1103/ycwh-3gy8</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 合作）使用 BESIII 探测器在BEPCII 对撞机。由此产生的可观察到的不对称性是 ${A…[Phys.莱特牧师。 136, 231903] 发布于 2026 年 6 月 11 日星期四</w:t>
      </w:r>
    </w:p>
    <w:p>
      <w:pPr>
        <w:spacing w:before="0" w:after="200" w:lineRule="auto" w:line="276"/>
      </w:pPr>
      <w:r>
        <w:rPr>
          <w:b/>
        </w:rPr>
        <w:t xml:space="preserve">Abstract (EN): </w:t>
      </w:r>
      <w:r>
        <w:t>Author(s): M. Ablikim et al. (BESIII Collaboration)The combined symmetry of charge conjugation and parity ($CP$) is tested in the hadronic transition $ψ(3686)→{π}^{+}{π}^{−}J/ψ$, using a dataset of $(2712.4±14.3)×{10}^{6}\text{ }\text{ }ψ(3686)$ events collected by the BESIII detector at the BEPCII collider. The resulting asymmetry observable is ${A…[Phys. Rev. Lett. 136, 231903] Published Thu Jun 11, 2026</w:t>
      </w:r>
    </w:p>
    <w:p>
      <w:pPr>
        <w:spacing w:before="120" w:after="120"/>
      </w:pPr>
      <w:r>
        <w:rPr>
          <w:sz w:val="18"/>
        </w:rPr>
        <w:t>——————————————————————————————————————————————————————————————————————</w:t>
      </w:r>
    </w:p>
    <w:p>
      <w:pPr>
        <w:spacing w:before="160" w:after="40" w:line="240" w:lineRule="auto"/>
      </w:pPr>
      <w:r>
        <w:rPr>
          <w:b/>
        </w:rPr>
        <w:t xml:space="preserve">[439] </w:t>
      </w:r>
      <w:hyperlink r:id="rId1157">
        <w:r>
          <w:rPr>
            <w:color w:val="1155CC"/>
            <w:u w:val="single"/>
          </w:rPr>
          <w:t>软三轴偶偶Xe同位素中可能的摆动模式</w:t>
        </w:r>
      </w:hyperlink>
    </w:p>
    <w:p>
      <w:pPr>
        <w:spacing w:before="0" w:after="80"/>
      </w:pPr>
      <w:r>
        <w:rPr>
          <w:i/>
          <w:sz w:val="20"/>
        </w:rPr>
        <w:t>EN: Possible wobbling modes in soft triaxial even-even Xe isotopes</w:t>
      </w:r>
    </w:p>
    <w:p>
      <w:pPr>
        <w:spacing w:before="0" w:after="120"/>
      </w:pPr>
      <w:r>
        <w:rPr>
          <w:b/>
        </w:rPr>
        <w:t xml:space="preserve">Source: </w:t>
      </w:r>
      <w:r>
        <w:t>Recent Articles in Phys. Rev. C</w:t>
      </w:r>
      <w:r>
        <w:t xml:space="preserve">    </w:t>
      </w:r>
      <w:r>
        <w:rPr>
          <w:b/>
        </w:rPr>
        <w:t xml:space="preserve">Pub date: </w:t>
      </w:r>
      <w:r>
        <w:t>2026-06-11 10:00:00+00:00</w:t>
      </w:r>
      <w:r>
        <w:t xml:space="preserve">    </w:t>
      </w:r>
      <w:r>
        <w:rPr>
          <w:b/>
        </w:rPr>
        <w:t xml:space="preserve">DOI: </w:t>
      </w:r>
      <w:hyperlink r:id="rId1158">
        <w:r>
          <w:rPr>
            <w:color w:val="1155CC"/>
            <w:u w:val="single"/>
          </w:rPr>
          <w:t>10.1103/14kh-p5g3</w:t>
        </w:r>
      </w:hyperlink>
    </w:p>
    <w:p>
      <w:pPr>
        <w:spacing w:before="0" w:after="120"/>
      </w:pPr>
      <w:r>
        <w:rPr>
          <w:b/>
        </w:rPr>
        <w:t xml:space="preserve">Notes: </w:t>
      </w:r>
      <w:r>
        <w:t>abstract_source=rss_description</w:t>
      </w:r>
    </w:p>
    <w:p>
      <w:pPr>
        <w:spacing w:before="0" w:after="80" w:lineRule="auto" w:line="276"/>
      </w:pPr>
      <w:r>
        <w:rPr>
          <w:b/>
        </w:rPr>
        <w:t xml:space="preserve">摘要（ZH）: </w:t>
      </w:r>
      <w:r>
        <w:t>作者：Y. M. Wang、Q. B. Chen、Z. P. Li基于相对论密度泛函理论，采用五维集体哈密顿量，研究了软三轴偶偶 Xe 同位素 $^{122–128}\mathrm{Xe}$ 的 $γ$ 能带性质。理论计算成功地重现了实验的惊人参数……[Phys。修订版 C 113，L061301] 于 2026 年 6 月 11 日星期四发布</w:t>
      </w:r>
    </w:p>
    <w:p>
      <w:pPr>
        <w:spacing w:before="0" w:after="200" w:lineRule="auto" w:line="276"/>
      </w:pPr>
      <w:r>
        <w:rPr>
          <w:b/>
        </w:rPr>
        <w:t xml:space="preserve">Abstract (EN): </w:t>
      </w:r>
      <w:r>
        <w:t>Author(s): Y. M. Wang, Q. B. Chen, and Z. P. LiThe nature of the $γ$ band is studied for the soft triaxial even-even Xe isotopes $^{122–128}\mathrm{Xe}$ employing the five-dimensional collective Hamiltonian based on relativistic density functional theory. The theoretical calculations successfully reproduce the experimental staggering parameters …[Phys. Rev. C 113, L061301] Published Thu Jun 11, 2026</w:t>
      </w:r>
    </w:p>
    <w:p>
      <w:pPr>
        <w:spacing w:before="120" w:after="120"/>
      </w:pPr>
      <w:r>
        <w:rPr>
          <w:sz w:val="18"/>
        </w:rPr>
        <w:t>——————————————————————————————————————————————————————————————————————</w:t>
      </w:r>
    </w:p>
    <w:p>
      <w:pPr>
        <w:spacing w:before="160" w:after="40" w:line="240" w:lineRule="auto"/>
      </w:pPr>
      <w:r>
        <w:rPr>
          <w:b/>
        </w:rPr>
        <w:t xml:space="preserve">[440] </w:t>
      </w:r>
      <w:hyperlink r:id="rId1159">
        <w:r>
          <w:rPr>
            <w:color w:val="1155CC"/>
            <w:u w:val="single"/>
          </w:rPr>
          <w:t>首次测量 Ia 型超新星相关能量下的 $^{20}\mathrm{Ne}(α,p)^{23}\mathrm{Na}$ 反应</w:t>
        </w:r>
      </w:hyperlink>
    </w:p>
    <w:p>
      <w:pPr>
        <w:spacing w:before="0" w:after="80"/>
      </w:pPr>
      <w:r>
        <w:rPr>
          <w:i/>
          <w:sz w:val="20"/>
        </w:rPr>
        <w:t>EN: First measurement of the $^{20}\mathrm{Ne}(α,p)^{23}\mathrm{Na}$ reaction at energies relevant for type Ia supernovae</w:t>
      </w:r>
    </w:p>
    <w:p>
      <w:pPr>
        <w:spacing w:before="0" w:after="120"/>
      </w:pPr>
      <w:r>
        <w:rPr>
          <w:b/>
        </w:rPr>
        <w:t xml:space="preserve">Source: </w:t>
      </w:r>
      <w:r>
        <w:t>Recent Articles in Phys. Rev. C</w:t>
      </w:r>
      <w:r>
        <w:t xml:space="preserve">    </w:t>
      </w:r>
      <w:r>
        <w:rPr>
          <w:b/>
        </w:rPr>
        <w:t xml:space="preserve">Pub date: </w:t>
      </w:r>
      <w:r>
        <w:t>2026-06-11 10:00:00+00:00</w:t>
      </w:r>
      <w:r>
        <w:t xml:space="preserve">    </w:t>
      </w:r>
      <w:r>
        <w:rPr>
          <w:b/>
        </w:rPr>
        <w:t xml:space="preserve">DOI: </w:t>
      </w:r>
      <w:hyperlink r:id="rId1160">
        <w:r>
          <w:rPr>
            <w:color w:val="1155CC"/>
            <w:u w:val="single"/>
          </w:rPr>
          <w:t>10.1103/vkcb-8hzg</w:t>
        </w:r>
      </w:hyperlink>
    </w:p>
    <w:p>
      <w:pPr>
        <w:spacing w:before="0" w:after="120"/>
      </w:pPr>
      <w:r>
        <w:rPr>
          <w:b/>
        </w:rPr>
        <w:t xml:space="preserve">Notes: </w:t>
      </w:r>
      <w:r>
        <w:t>abstract_source=rss_description</w:t>
      </w:r>
    </w:p>
    <w:p>
      <w:pPr>
        <w:spacing w:before="0" w:after="80" w:lineRule="auto" w:line="276"/>
      </w:pPr>
      <w:r>
        <w:rPr>
          <w:b/>
        </w:rPr>
        <w:t xml:space="preserve">摘要（ZH）: </w:t>
      </w:r>
      <w:r>
        <w:t>作者：C. Boomershine、D. W. Bardayan、R. J. deBoer、P. D. O'Malley、S. R. Carmichael、L. Caves、A. Davis、A. Gula、K. Howard、R. Kelmar、A. Mitchell、L. Morales、S. Moylan、D. Robertson 和 E. Stech 敏感性研究发现， $^{20}\mathrm{Ne}(α,p)^{23}\mathrm{Na}$反应对超新星Ia (SNIa)核合成有显着影响，但之前没有报道过反应截面的测量。天体物理反应速率的估计是基于测量......[物理。 Rev. C 113, 065804] 2026 年 6 月 11 日星期四发布</w:t>
      </w:r>
    </w:p>
    <w:p>
      <w:pPr>
        <w:spacing w:before="0" w:after="200" w:lineRule="auto" w:line="276"/>
      </w:pPr>
      <w:r>
        <w:rPr>
          <w:b/>
        </w:rPr>
        <w:t xml:space="preserve">Abstract (EN): </w:t>
      </w:r>
      <w:r>
        <w:t>Author(s): C. Boomershine, D. W. Bardayan, R. J. deBoer, P. D. O'Malley, S. R. Carmichael, L. Caves, A. Davis, A. Gula, K. Howard, R. Kelmar, A. Mitchell, L. Morales, S. Moylan, D. Robertson, and E. StechSensitivity studies have found that the $^{20}\mathrm{Ne}(α,p)^{23}\mathrm{Na}$ reaction has a significant influence on supernovae Ia (SNIa) nucleosynthesis, but no previous measurements of the reaction cross section have been reported. Astrophysical reaction rate estimates have been based upon meas…[Phys. Rev. C 113, 065804] Published Thu Jun 11, 2026</w:t>
      </w:r>
    </w:p>
    <w:p>
      <w:pPr>
        <w:spacing w:before="120" w:after="120"/>
      </w:pPr>
      <w:r>
        <w:rPr>
          <w:sz w:val="18"/>
        </w:rPr>
        <w:t>——————————————————————————————————————————————————————————————————————</w:t>
      </w:r>
    </w:p>
    <w:p>
      <w:pPr>
        <w:spacing w:before="160" w:after="40" w:line="240" w:lineRule="auto"/>
      </w:pPr>
      <w:r>
        <w:rPr>
          <w:b/>
        </w:rPr>
        <w:t xml:space="preserve">[441] </w:t>
      </w:r>
      <w:hyperlink r:id="rId1161">
        <w:r>
          <w:rPr>
            <w:color w:val="1155CC"/>
            <w:u w:val="single"/>
          </w:rPr>
          <w:t>使用 $^{197}\mathrm{Au}$ 目标系统研究反应中的聚变裂变和准裂变</w:t>
        </w:r>
      </w:hyperlink>
    </w:p>
    <w:p>
      <w:pPr>
        <w:spacing w:before="0" w:after="80"/>
      </w:pPr>
      <w:r>
        <w:rPr>
          <w:i/>
          <w:sz w:val="20"/>
        </w:rPr>
        <w:t>EN: Systematic study of fusion-fission and quasifission in reactions using a $^{197}\mathrm{Au}$ target</w:t>
      </w:r>
    </w:p>
    <w:p>
      <w:pPr>
        <w:spacing w:before="0" w:after="120"/>
      </w:pPr>
      <w:r>
        <w:rPr>
          <w:b/>
        </w:rPr>
        <w:t xml:space="preserve">Source: </w:t>
      </w:r>
      <w:r>
        <w:t>Recent Articles in Phys. Rev. C</w:t>
      </w:r>
      <w:r>
        <w:t xml:space="preserve">    </w:t>
      </w:r>
      <w:r>
        <w:rPr>
          <w:b/>
        </w:rPr>
        <w:t xml:space="preserve">Pub date: </w:t>
      </w:r>
      <w:r>
        <w:t>2026-06-11 10:00:00+00:00</w:t>
      </w:r>
      <w:r>
        <w:t xml:space="preserve">    </w:t>
      </w:r>
      <w:r>
        <w:rPr>
          <w:b/>
        </w:rPr>
        <w:t xml:space="preserve">DOI: </w:t>
      </w:r>
      <w:hyperlink r:id="rId1162">
        <w:r>
          <w:rPr>
            <w:color w:val="1155CC"/>
            <w:u w:val="single"/>
          </w:rPr>
          <w:t>10.1103/vmdx-klxv</w:t>
        </w:r>
      </w:hyperlink>
    </w:p>
    <w:p>
      <w:pPr>
        <w:spacing w:before="0" w:after="120"/>
      </w:pPr>
      <w:r>
        <w:rPr>
          <w:b/>
        </w:rPr>
        <w:t xml:space="preserve">Notes: </w:t>
      </w:r>
      <w:r>
        <w:t>abstract_source=rss_description</w:t>
      </w:r>
    </w:p>
    <w:p>
      <w:pPr>
        <w:spacing w:before="0" w:after="80" w:lineRule="auto" w:line="276"/>
      </w:pPr>
      <w:r>
        <w:rPr>
          <w:b/>
        </w:rPr>
        <w:t xml:space="preserve">摘要（ZH）: </w:t>
      </w:r>
      <w:r>
        <w:t>作者：Shiva Prasad Nayak、E. Prasad、D. J. Hinde、M. Dasgupta、C. Simenel、K. J. Cook、E. C. Simpson、J. Walshe、D. Y. Jeung、C. Sengupta、K. Vo-Phuoc、J. F. Smith、I. P. Carter、H. Albers、J. Khuyagbaatar 和 Ch. E. Düllmann背景：准裂变是一种非平衡现象，它强烈抑制重离子聚变反应中重核的形成。这个过程表现出很强的入口通道依赖性。了解准裂变对于探索合成新超重电子的潜在途径至关重要……[物理。 Rev. C 113, 064605] 2026 年 6 月 11 日星期四发布</w:t>
      </w:r>
    </w:p>
    <w:p>
      <w:pPr>
        <w:spacing w:before="0" w:after="200" w:lineRule="auto" w:line="276"/>
      </w:pPr>
      <w:r>
        <w:rPr>
          <w:b/>
        </w:rPr>
        <w:t xml:space="preserve">Abstract (EN): </w:t>
      </w:r>
      <w:r>
        <w:t>Author(s): Shiva Prasad Nayak, E. Prasad, D. J. Hinde, M. Dasgupta, C. Simenel, K. J. Cook, E. C. Simpson, J. Walshe, D. Y. Jeung, C. Sengupta, K. Vo-Phuoc, J. F. Smith, I. P. Carter, H. Albers, J. Khuyagbaatar, and Ch. E. DüllmannBackground: Quasifission is a nonequilibrium phenomenon that strongly suppresses the formation of heavy nuclei in heavy-ion fusion reactions. This process shows a strong entrance channel dependence. Understanding quasifission is crucial for exploring potential avenues to synthesize new superheavy el…[Phys. Rev. C 113, 064605] Published Thu Jun 11, 2026</w:t>
      </w:r>
    </w:p>
    <w:p>
      <w:pPr>
        <w:spacing w:before="120" w:after="120"/>
      </w:pPr>
      <w:r>
        <w:rPr>
          <w:sz w:val="18"/>
        </w:rPr>
        <w:t>——————————————————————————————————————————————————————————————————————</w:t>
      </w:r>
    </w:p>
    <w:p>
      <w:pPr>
        <w:spacing w:before="160" w:after="40" w:line="240" w:lineRule="auto"/>
      </w:pPr>
      <w:r>
        <w:rPr>
          <w:b/>
        </w:rPr>
        <w:t xml:space="preserve">[442] </w:t>
      </w:r>
      <w:hyperlink r:id="rId1163">
        <w:r>
          <w:rPr>
            <w:color w:val="1155CC"/>
            <w:u w:val="single"/>
          </w:rPr>
          <w:t>非均匀晶格中的光学等时线和挤压动力学</w:t>
        </w:r>
      </w:hyperlink>
    </w:p>
    <w:p>
      <w:pPr>
        <w:spacing w:before="0" w:after="80"/>
      </w:pPr>
      <w:r>
        <w:rPr>
          <w:i/>
          <w:sz w:val="20"/>
        </w:rPr>
        <w:t>EN: Optical Tautochrone and Squeezing Dynamics in Nonuniform Lattices</w:t>
      </w:r>
    </w:p>
    <w:p>
      <w:pPr>
        <w:spacing w:before="0" w:after="120"/>
      </w:pPr>
      <w:r>
        <w:rPr>
          <w:b/>
        </w:rPr>
        <w:t xml:space="preserve">Source: </w:t>
      </w:r>
      <w:r>
        <w:t>Recent Articles in Phys. Rev. Lett.</w:t>
      </w:r>
      <w:r>
        <w:t xml:space="preserve">    </w:t>
      </w:r>
      <w:r>
        <w:rPr>
          <w:b/>
        </w:rPr>
        <w:t xml:space="preserve">Pub date: </w:t>
      </w:r>
      <w:r>
        <w:t>2026-06-11 10:00:00+00:00</w:t>
      </w:r>
      <w:r>
        <w:t xml:space="preserve">    </w:t>
      </w:r>
      <w:r>
        <w:rPr>
          <w:b/>
        </w:rPr>
        <w:t xml:space="preserve">DOI: </w:t>
      </w:r>
      <w:hyperlink r:id="rId1164">
        <w:r>
          <w:rPr>
            <w:color w:val="1155CC"/>
            <w:u w:val="single"/>
          </w:rPr>
          <w:t>10.1103/6b4n-v35x</w:t>
        </w:r>
      </w:hyperlink>
    </w:p>
    <w:p>
      <w:pPr>
        <w:spacing w:before="0" w:after="120"/>
      </w:pPr>
      <w:r>
        <w:rPr>
          <w:b/>
        </w:rPr>
        <w:t xml:space="preserve">Notes: </w:t>
      </w:r>
      <w:r>
        <w:t>abstract_source=rss_description</w:t>
      </w:r>
    </w:p>
    <w:p>
      <w:pPr>
        <w:spacing w:before="0" w:after="80" w:lineRule="auto" w:line="276"/>
      </w:pPr>
      <w:r>
        <w:rPr>
          <w:b/>
        </w:rPr>
        <w:t xml:space="preserve">摘要（ZH）: </w:t>
      </w:r>
      <w:r>
        <w:t>作者：Ioannis Kiorpelidis、Matthias Heinrich、Alexander Szameit、Georgios A. Siviloglou 和 Konstantinos G. Makris 我们提出了经典力学的等时线问题与量子光学到光学晶格的压缩态之间的精确类比。这两种现象都出现在同一物理系统中，即具有非均匀耦合的波导阵列。扩展到二维产生利萨如型tr…[物理。莱特牧师。 136, 233801] 发布于 2026 年 6 月 11 日星期四</w:t>
      </w:r>
    </w:p>
    <w:p>
      <w:pPr>
        <w:spacing w:before="0" w:after="200" w:lineRule="auto" w:line="276"/>
      </w:pPr>
      <w:r>
        <w:rPr>
          <w:b/>
        </w:rPr>
        <w:t xml:space="preserve">Abstract (EN): </w:t>
      </w:r>
      <w:r>
        <w:t>Author(s): Ioannis Kiorpelidis, Matthias Heinrich, Alexander Szameit, Georgios A. Siviloglou, and Konstantinos G. MakrisWe present exact analogies between the tautochrone problem of classical mechanics and the squeezed states of quantum optics to optical lattices. Both phenomena emerge in the same physical system, that of waveguide arrays with nonuniform couplings. Extension to two dimensions yields Lissajous-type tr…[Phys. Rev. Lett. 136, 233801] Published Thu Jun 11, 2026</w:t>
      </w:r>
    </w:p>
    <w:p>
      <w:pPr>
        <w:spacing w:before="120" w:after="120"/>
      </w:pPr>
      <w:r>
        <w:rPr>
          <w:sz w:val="18"/>
        </w:rPr>
        <w:t>——————————————————————————————————————————————————————————————————————</w:t>
      </w:r>
    </w:p>
    <w:p>
      <w:pPr>
        <w:spacing w:before="160" w:after="40" w:line="240" w:lineRule="auto"/>
      </w:pPr>
      <w:r>
        <w:rPr>
          <w:b/>
        </w:rPr>
        <w:t xml:space="preserve">[443] </w:t>
      </w:r>
      <w:hyperlink r:id="rId1165">
        <w:r>
          <w:rPr>
            <w:color w:val="1155CC"/>
            <w:u w:val="single"/>
          </w:rPr>
          <w:t>机器学习引导超材料实现可编程流体动力学隐形</w:t>
        </w:r>
      </w:hyperlink>
    </w:p>
    <w:p>
      <w:pPr>
        <w:spacing w:before="0" w:after="80"/>
      </w:pPr>
      <w:r>
        <w:rPr>
          <w:i/>
          <w:sz w:val="20"/>
        </w:rPr>
        <w:t>EN: Programmable Hydrodynamic Invisibility Enabled by Machine‐Learning‐Guided Metamaterials</w:t>
      </w:r>
    </w:p>
    <w:p>
      <w:pPr>
        <w:spacing w:before="0" w:after="120"/>
      </w:pPr>
      <w:r>
        <w:rPr>
          <w:b/>
        </w:rPr>
        <w:t xml:space="preserve">Source: </w:t>
      </w:r>
      <w:r>
        <w:t>Wiley-Online-Library: Advanced Materials: Table of Contents</w:t>
      </w:r>
      <w:r>
        <w:t xml:space="preserve">    </w:t>
      </w:r>
      <w:r>
        <w:rPr>
          <w:b/>
        </w:rPr>
        <w:t xml:space="preserve">Pub date: </w:t>
      </w:r>
      <w:r>
        <w:t>2026-06-11 11:10:06+00:00</w:t>
      </w:r>
      <w:r>
        <w:t xml:space="preserve">    </w:t>
      </w:r>
      <w:r>
        <w:rPr>
          <w:b/>
        </w:rPr>
        <w:t xml:space="preserve">DOI: </w:t>
      </w:r>
      <w:hyperlink r:id="rId1166">
        <w:r>
          <w:rPr>
            <w:color w:val="1155CC"/>
            <w:u w:val="single"/>
          </w:rPr>
          <w:t>10.1002/adma.73690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孔介质中流体输送的操纵支撑着广泛的技术应用和自然过程。水动力隐形可以在不干扰外部流场的情况下实现流体操纵，其代表性装置包括斗篷、集中器、旋转器和伪装。然而，大多数现有设备都是静态的，因此当背景磁导率变化时就会失效。在这里，我们提出了一种机器学习引导的超材料策略，用于可编程流体动力学隐形，使用斗篷作为模型系统。可调渗透率外壳可在各种背景渗透率下保持隐身效果，并通过匹配规定的外部参考流来实现流体动力伪装。逆向设计框架可快速将目标渗透率响应映射到可制造的几何形状，并通过实验验证高、中和低背景渗透率下的高保真性能。这些结果表明，可编程流体动力学超材料为多孔介质中流体传输的稳健、按需操纵提供了一种可扩展的通用策略，在分离科学、微流体、流网络工程以及软物质生物力学和多孔弹性方面具有潜在的应用。</w:t>
      </w:r>
    </w:p>
    <w:p>
      <w:pPr>
        <w:spacing w:before="0" w:after="200" w:lineRule="auto" w:line="276"/>
      </w:pPr>
      <w:r>
        <w:rPr>
          <w:b/>
        </w:rPr>
        <w:t xml:space="preserve">Abstract (EN): </w:t>
      </w:r>
      <w:r>
        <w:t>Manipulation of fluid transport in porous media underpins a broad range of technological applications and natural processes. Hydrodynamic invisibility enables flow manipulation without disturbing the external flow field, with representative devices including cloaks, concentrators, rotators, and camouflage. However, most existing devices are static and thus fail when background permeability varies. Here we present a machine‐learning‐guided metamaterial strategy for programmable hydrodynamic invisibility, using a cloak as a model system. A tunable‐permeability shell maintains cloaking across a wide range of background permeabilities and enables hydrodynamic camouflage by matching prescribed exterior reference flows. An inverse‐design framework rapidly maps target permeability responses to manufacturable geometries, and experiments validate high‐fidelity performance under high, medium, and low background permeabilities. These results indicate that programmable hydrodynamic metamaterials provide a scalable, general strategy for robust, on‐demand manipulation of fluid transport in porous media, with potential applications in separation science, microfluidics, flow‐network engineering, and soft‐matter biomechanics and poroelasticity.</w:t>
      </w:r>
    </w:p>
    <w:p>
      <w:pPr>
        <w:spacing w:before="120" w:after="120"/>
      </w:pPr>
      <w:r>
        <w:rPr>
          <w:sz w:val="18"/>
        </w:rPr>
        <w:t>——————————————————————————————————————————————————————————————————————</w:t>
      </w:r>
    </w:p>
    <w:p>
      <w:pPr>
        <w:spacing w:before="160" w:after="40" w:line="240" w:lineRule="auto"/>
      </w:pPr>
      <w:r>
        <w:rPr>
          <w:b/>
        </w:rPr>
        <w:t xml:space="preserve">[444] </w:t>
      </w:r>
      <w:hyperlink r:id="rId1167">
        <w:r>
          <w:rPr>
            <w:color w:val="1155CC"/>
            <w:u w:val="single"/>
          </w:rPr>
          <w:t>通过侧链工程实现 Kagome 共价有机框架晶体的分子精确三角终止</w:t>
        </w:r>
      </w:hyperlink>
    </w:p>
    <w:p>
      <w:pPr>
        <w:spacing w:before="0" w:after="80"/>
      </w:pPr>
      <w:r>
        <w:rPr>
          <w:i/>
          <w:sz w:val="20"/>
        </w:rPr>
        <w:t>EN: Molecularly Precise Triangular Termination of Kagome Covalent Organic Framework Crystals Enabled by Side‐Chain Engineering</w:t>
      </w:r>
    </w:p>
    <w:p>
      <w:pPr>
        <w:spacing w:before="0" w:after="120"/>
      </w:pPr>
      <w:r>
        <w:rPr>
          <w:b/>
        </w:rPr>
        <w:t xml:space="preserve">Source: </w:t>
      </w:r>
      <w:r>
        <w:t>Wiley-Online-Library: Angewandte Chemie International Edition: Table of Contents</w:t>
      </w:r>
      <w:r>
        <w:t xml:space="preserve">    </w:t>
      </w:r>
      <w:r>
        <w:rPr>
          <w:b/>
        </w:rPr>
        <w:t xml:space="preserve">Pub date: </w:t>
      </w:r>
      <w:r>
        <w:t>2026-06-11 17:09:21+00:00</w:t>
      </w:r>
      <w:r>
        <w:t xml:space="preserve">    </w:t>
      </w:r>
      <w:r>
        <w:rPr>
          <w:b/>
        </w:rPr>
        <w:t xml:space="preserve">DOI: </w:t>
      </w:r>
      <w:hyperlink r:id="rId1168">
        <w:r>
          <w:rPr>
            <w:color w:val="1155CC"/>
            <w:u w:val="single"/>
          </w:rPr>
          <w:t>10.1002/anie.5591473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二维（2D）kagome 共价有机框架（COF）的高分辨率结构表征仍然有限，通常导致有关晶格排序和表面终止功能的关键问题在很大程度上没有得到解答。为了应对这一挑战，我们设计了一系列基于苯并[1,2‐</w:t>
      </w:r>
      <w:r>
        <w:t xml:space="preserve"> </w:t>
      </w:r>
      <w:r>
        <w:t>乙</w:t>
      </w:r>
      <w:r>
        <w:t xml:space="preserve"> </w:t>
      </w:r>
      <w:r>
        <w:t>:4,5-</w:t>
      </w:r>
      <w:r>
        <w:t>乙</w:t>
      </w:r>
      <w:r>
        <w:t xml:space="preserve"> </w:t>
      </w:r>
      <w:r>
        <w:t>']二噻吩和 2,1,3-苯并噻二唑单元，具有系统变化的烷氧基侧链。通过这些连接体与二苯并[</w:t>
      </w:r>
      <w:r>
        <w:t xml:space="preserve"> </w:t>
      </w:r>
      <w:r>
        <w:t>克</w:t>
      </w:r>
      <w:r>
        <w:t xml:space="preserve"> </w:t>
      </w:r>
      <w:r>
        <w:t>,</w:t>
      </w:r>
      <w:r>
        <w:t xml:space="preserve"> </w:t>
      </w:r>
      <w:r>
        <w:t>p</w:t>
      </w:r>
      <w:r>
        <w:t xml:space="preserve"> </w:t>
      </w:r>
      <w:r>
        <w:t>]基于chrysene的节点。虽然具有相同的主链结构，但所得的 COF 表现出明显不同的结晶度，这证明了侧链长度在调节框架排序中的关键作用。由于其优异的结晶度和大孔径，甲氧基取代的 COF (OMe COF) 能够通过高分辨率透射电子显微镜 (HRTEM) 对扩展的 kagome 孔晶格进行直接实空间可视化。此外，还合成了高度结晶且择优取向的 OMe COF 薄膜，可进行详细的 HRTEM 分析。引人注目的是，HRTEM 可以清楚地解析 kagome 晶格的三角形终端，从而将半稠合二苯并节点建立为终止 t 的三角形孔。</w:t>
      </w:r>
    </w:p>
    <w:p>
      <w:pPr>
        <w:spacing w:before="0" w:after="200" w:lineRule="auto" w:line="276"/>
      </w:pPr>
      <w:r>
        <w:rPr>
          <w:b/>
        </w:rPr>
        <w:t xml:space="preserve">Abstract (EN): </w:t>
      </w:r>
      <w:r>
        <w:t>High‐resolution structural characterization of two‐dimensional (2D) kagome covalent organic frameworks (COFs) remains limited, often leaving critical questions about lattice ordering and surface‐terminating functionality largely unanswered. To address this challenge, we designed a series of acceptor–donor–acceptor linear linkers based on benzo[1,2‐</w:t>
      </w:r>
      <w:r>
        <w:t xml:space="preserve"> </w:t>
      </w:r>
      <w:r>
        <w:t>b</w:t>
      </w:r>
      <w:r>
        <w:t xml:space="preserve"> </w:t>
      </w:r>
      <w:r>
        <w:t>:4,5‐</w:t>
      </w:r>
      <w:r>
        <w:t xml:space="preserve"> </w:t>
      </w:r>
      <w:r>
        <w:t>b</w:t>
      </w:r>
      <w:r>
        <w:t xml:space="preserve"> </w:t>
      </w:r>
      <w:r>
        <w:t>′]dithiophene and 2,1,3‐benzothiadiazole units with systematically varied alkoxy side chains. Diverse 2D kagome COFs bearing methoxy, ethoxy, and propoxy side chains were synthesized by imine condensation of these linkers with a dibenzo[</w:t>
      </w:r>
      <w:r>
        <w:t xml:space="preserve"> </w:t>
      </w:r>
      <w:r>
        <w:t>g</w:t>
      </w:r>
      <w:r>
        <w:t xml:space="preserve"> </w:t>
      </w:r>
      <w:r>
        <w:t>,</w:t>
      </w:r>
      <w:r>
        <w:t xml:space="preserve"> </w:t>
      </w:r>
      <w:r>
        <w:t>p</w:t>
      </w:r>
      <w:r>
        <w:t xml:space="preserve"> </w:t>
      </w:r>
      <w:r>
        <w:t>]chrysene‐based node. While featuring identical backbone architecture, the resulting COFs exhibit remarkably different degrees of crystallinity, demonstrating the critical role of side‐chain length in regulating framework ordering. Owing to its superior crystallinity and large pore apertures, the methoxy‐substituted COF (OMe COF) enables direct real‐space visualization of extended kagome pore lattices by high‐resolution transmission electron microscopy (HRTEM). Furthermore, highly crystalline and preferentially oriented OMe COF thin films were synthesized, allowing for detailed HRTEM analysis. Strikingly, HRTEM could clearly resolve triangular terminations of the kagome lattice, thereby establishing the half‐condensed dibenzochrysene nodes as the triangular pores terminating the crystal facets and providing unprecedented real‐space evidence of exposed amino groups. These findings create a structural basis for the future rational design of surface functionalization and potential interfacial engineering in 2D kagome COFs.</w:t>
      </w:r>
    </w:p>
    <w:p>
      <w:pPr>
        <w:spacing w:before="120" w:after="120"/>
      </w:pPr>
      <w:r>
        <w:rPr>
          <w:sz w:val="18"/>
        </w:rPr>
        <w:t>——————————————————————————————————————————————————————————————————————</w:t>
      </w:r>
    </w:p>
    <w:p>
      <w:pPr>
        <w:spacing w:before="160" w:after="40" w:line="240" w:lineRule="auto"/>
      </w:pPr>
      <w:r>
        <w:rPr>
          <w:b/>
        </w:rPr>
        <w:t xml:space="preserve">[445] </w:t>
      </w:r>
      <w:hyperlink r:id="rId1169">
        <w:r>
          <w:rPr>
            <w:color w:val="1155CC"/>
            <w:u w:val="single"/>
          </w:rPr>
          <w:t>不同的氧化还原酶在噻吩氧化素生物合成中协调吲哚噻吩骨架的形成和 N-羟基化介导的生物活化</w:t>
        </w:r>
      </w:hyperlink>
    </w:p>
    <w:p>
      <w:pPr>
        <w:spacing w:before="0" w:after="80"/>
      </w:pPr>
      <w:r>
        <w:rPr>
          <w:i/>
          <w:sz w:val="20"/>
        </w:rPr>
        <w:t>EN: Distinct Oxidoreductases Orchestrate Indolethiophene Skeleton Formation and N‐Hydroxylation‐Mediated Bioactivation in Thienoxidolin Biosynthesis</w:t>
      </w:r>
    </w:p>
    <w:p>
      <w:pPr>
        <w:spacing w:before="0" w:after="120"/>
      </w:pPr>
      <w:r>
        <w:rPr>
          <w:b/>
        </w:rPr>
        <w:t xml:space="preserve">Source: </w:t>
      </w:r>
      <w:r>
        <w:t>Wiley-Online-Library: Angewandte Chemie International Edition: Table of Contents</w:t>
      </w:r>
      <w:r>
        <w:t xml:space="preserve">    </w:t>
      </w:r>
      <w:r>
        <w:rPr>
          <w:b/>
        </w:rPr>
        <w:t xml:space="preserve">Pub date: </w:t>
      </w:r>
      <w:r>
        <w:t>2026-06-11 17:10:52+00:00</w:t>
      </w:r>
      <w:r>
        <w:t xml:space="preserve">    </w:t>
      </w:r>
      <w:r>
        <w:rPr>
          <w:b/>
        </w:rPr>
        <w:t xml:space="preserve">DOI: </w:t>
      </w:r>
      <w:hyperlink r:id="rId1170">
        <w:r>
          <w:rPr>
            <w:color w:val="1155CC"/>
            <w:u w:val="single"/>
          </w:rPr>
          <w:t>10.1002/anie.7072895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微生物含硫次级代谢产物噻吩多林（</w:t>
      </w:r>
      <w:r>
        <w:rPr>
          <w:vertAlign w:val="subscript"/>
        </w:rPr>
        <w:t>1</w:t>
      </w:r>
      <w:r>
        <w:t>）具有独特的三环噻吩并[2,3‐</w:t>
      </w:r>
      <w:r>
        <w:t xml:space="preserve"> </w:t>
      </w:r>
      <w:r>
        <w:t>乙</w:t>
      </w:r>
      <w:r>
        <w:t xml:space="preserve"> </w:t>
      </w:r>
      <w:r>
        <w:t>]吲哚支架，但其生物合成仍然是个谜。在这里，我们发现了一种意想不到的酶逻辑，其中不同氧化还原酶的联合体合作协调吲哚噻吩骨架的形成和随后的生物活化，最终产生真正的抗菌代谢物噻吩氧化啉。</w:t>
      </w:r>
      <w:r>
        <w:rPr>
          <w:vertAlign w:val="subscript"/>
        </w:rPr>
        <w:t>10</w:t>
      </w:r>
      <w:r>
        <w:t>）。 SDR 酶 TndE 形成硫代色氨酸后，血红素依赖性 DUF6875 酶 TndD 通过以下方式启动 C-S 键形成：</w:t>
      </w:r>
      <w:r>
        <w:t xml:space="preserve"> </w:t>
      </w:r>
      <w:r>
        <w:t>氮</w:t>
      </w:r>
      <w:r>
        <w:t xml:space="preserve"> </w:t>
      </w:r>
      <w:r>
        <w:t>‐羟基化产生脱芳构化的三环物质，该三环物质通过 FAD 依赖性氧化还原酶 TndG 催化的芳构化作用有效地向前驱动和稳定。值得注意的是，TndD 充当双向氧化还原酶，恢复</w:t>
      </w:r>
      <w:r>
        <w:t xml:space="preserve"> </w:t>
      </w:r>
      <w:r>
        <w:t>氮</w:t>
      </w:r>
      <w:r>
        <w:t xml:space="preserve"> </w:t>
      </w:r>
      <w:r>
        <w:t>-羟基转变为稳定的N-H形式以完成吲哚噻吩支架的构建。酰胺形成后，后期</w:t>
      </w:r>
      <w:r>
        <w:t xml:space="preserve"> </w:t>
      </w:r>
      <w:r>
        <w:t>氮</w:t>
      </w:r>
      <w:r>
        <w:t xml:space="preserve"> </w:t>
      </w:r>
      <w:r>
        <w:t>‐细胞色素 P450 酶 TndC 的羟基化（之前被误认为是 C-S 键形成酶）产生生物活性产物</w:t>
      </w:r>
      <w:r>
        <w:rPr>
          <w:vertAlign w:val="subscript"/>
        </w:rPr>
        <w:t>10</w:t>
      </w:r>
      <w:r>
        <w:t>。有趣的是，TndD 也可能介导</w:t>
      </w:r>
      <w:r>
        <w:rPr>
          <w:vertAlign w:val="subscript"/>
        </w:rPr>
        <w:t>10</w:t>
      </w:r>
      <w:r>
        <w:t>回到</w:t>
      </w:r>
      <w:r>
        <w:rPr>
          <w:vertAlign w:val="subscript"/>
        </w:rPr>
        <w:t>1</w:t>
      </w:r>
      <w:r>
        <w:t>，代表内在的</w:t>
      </w:r>
    </w:p>
    <w:p>
      <w:pPr>
        <w:spacing w:before="0" w:after="200" w:lineRule="auto" w:line="276"/>
      </w:pPr>
      <w:r>
        <w:rPr>
          <w:b/>
        </w:rPr>
        <w:t xml:space="preserve">Abstract (EN): </w:t>
      </w:r>
      <w:r>
        <w:t>Microbial sulfur‐containing secondary metabolite thienodolin (</w:t>
      </w:r>
      <w:r>
        <w:rPr>
          <w:vertAlign w:val="subscript"/>
        </w:rPr>
        <w:t>1</w:t>
      </w:r>
      <w:r>
        <w:t>) features a unique tricyclic thieno[2,3‐</w:t>
      </w:r>
      <w:r>
        <w:t xml:space="preserve"> </w:t>
      </w:r>
      <w:r>
        <w:t>b</w:t>
      </w:r>
      <w:r>
        <w:t xml:space="preserve"> </w:t>
      </w:r>
      <w:r>
        <w:t>]indole scaffold, yet its biosynthesis has remained enigmatic. Here, we uncover an unexpected enzymatic logic in which a consortium of distinct oxidoreductases cooperatively orchestrates indolethiophene skeleton formation and subsequent bioactivation, ultimately generating the authentic antibacterial metabolite thienoxidolin (</w:t>
      </w:r>
      <w:r>
        <w:rPr>
          <w:vertAlign w:val="subscript"/>
        </w:rPr>
        <w:t>10</w:t>
      </w:r>
      <w:r>
        <w:t>). Following thiotryptophan formation by SDR enzyme TndE, the heme‐dependent DUF6875 enzyme TndD initiates C–S bond formation via</w:t>
      </w:r>
      <w:r>
        <w:t xml:space="preserve"> </w:t>
      </w:r>
      <w:r>
        <w:t>N</w:t>
      </w:r>
      <w:r>
        <w:t xml:space="preserve"> </w:t>
      </w:r>
      <w:r>
        <w:t>‐hydroxylation to yield a dearomatized tricyclic species, which is efficiently driven forward and stabilized by aromatization catalyzed by the FAD‐dependent oxidoreductase TndG. Notably, TndD functions as a bidirectional redox enzyme, reverting the</w:t>
      </w:r>
      <w:r>
        <w:t xml:space="preserve"> </w:t>
      </w:r>
      <w:r>
        <w:t>N</w:t>
      </w:r>
      <w:r>
        <w:t xml:space="preserve"> </w:t>
      </w:r>
      <w:r>
        <w:t>‐hydroxyl group to the stable N–H form to complete the indolethiophene scaffold construction. After amide formation, late‐stage</w:t>
      </w:r>
      <w:r>
        <w:t xml:space="preserve"> </w:t>
      </w:r>
      <w:r>
        <w:t>N</w:t>
      </w:r>
      <w:r>
        <w:t xml:space="preserve"> </w:t>
      </w:r>
      <w:r>
        <w:t>‐hydroxylation by the cytochrome P450 enzyme TndC, previously misassigned as the C–S bond‐forming enzyme, produces the bioactive product</w:t>
      </w:r>
      <w:r>
        <w:rPr>
          <w:vertAlign w:val="subscript"/>
        </w:rPr>
        <w:t>10</w:t>
      </w:r>
      <w:r>
        <w:t>. Intriguingly, TndD may also mediate the deactivation of</w:t>
      </w:r>
      <w:r>
        <w:rPr>
          <w:vertAlign w:val="subscript"/>
        </w:rPr>
        <w:t>10</w:t>
      </w:r>
      <w:r>
        <w:t>back to</w:t>
      </w:r>
      <w:r>
        <w:rPr>
          <w:vertAlign w:val="subscript"/>
        </w:rPr>
        <w:t>1</w:t>
      </w:r>
      <w:r>
        <w:t>, representing an intrinsic self‐protection mechanism. Together, these results expand the catalytic repertoire of heme‐dependent enzymes and highlight reversible</w:t>
      </w:r>
      <w:r>
        <w:t xml:space="preserve"> </w:t>
      </w:r>
      <w:r>
        <w:t>N</w:t>
      </w:r>
      <w:r>
        <w:t xml:space="preserve"> </w:t>
      </w:r>
      <w:r>
        <w:t>‐hydroxylation as a pivotal strategy for heterocycle formation and bioactivity regulation in microbial secondary metabolism.</w:t>
      </w:r>
    </w:p>
    <w:p>
      <w:pPr>
        <w:spacing w:before="120" w:after="120"/>
      </w:pPr>
      <w:r>
        <w:rPr>
          <w:sz w:val="18"/>
        </w:rPr>
        <w:t>——————————————————————————————————————————————————————————————————————</w:t>
      </w:r>
    </w:p>
    <w:p>
      <w:pPr>
        <w:spacing w:before="160" w:after="40" w:line="240" w:lineRule="auto"/>
      </w:pPr>
      <w:r>
        <w:rPr>
          <w:b/>
        </w:rPr>
        <w:t xml:space="preserve">[446] </w:t>
      </w:r>
      <w:hyperlink r:id="rId1171">
        <w:r>
          <w:rPr>
            <w:color w:val="1155CC"/>
            <w:u w:val="single"/>
          </w:rPr>
          <w:t>纯色有机发光体：特征、定义、物理基础和基本设计原则</w:t>
        </w:r>
      </w:hyperlink>
    </w:p>
    <w:p>
      <w:pPr>
        <w:spacing w:before="0" w:after="80"/>
      </w:pPr>
      <w:r>
        <w:rPr>
          <w:i/>
          <w:sz w:val="20"/>
        </w:rPr>
        <w:t>EN: Color‐Pure Organic Luminophores: Characteristics, Definitions, Physical Basis and Fundamental Design Principles</w:t>
      </w:r>
    </w:p>
    <w:p>
      <w:pPr>
        <w:spacing w:before="0" w:after="120"/>
      </w:pPr>
      <w:r>
        <w:rPr>
          <w:b/>
        </w:rPr>
        <w:t xml:space="preserve">Source: </w:t>
      </w:r>
      <w:r>
        <w:t>Wiley-Online-Library: Angewandte Chemie International Edition: Table of Contents</w:t>
      </w:r>
      <w:r>
        <w:t xml:space="preserve">    </w:t>
      </w:r>
      <w:r>
        <w:rPr>
          <w:b/>
        </w:rPr>
        <w:t xml:space="preserve">Pub date: </w:t>
      </w:r>
      <w:r>
        <w:t>2026-06-11 17:12:38+00:00</w:t>
      </w:r>
      <w:r>
        <w:t xml:space="preserve">    </w:t>
      </w:r>
      <w:r>
        <w:rPr>
          <w:b/>
        </w:rPr>
        <w:t xml:space="preserve">DOI: </w:t>
      </w:r>
      <w:hyperlink r:id="rId1172">
        <w:r>
          <w:rPr>
            <w:color w:val="1155CC"/>
            <w:u w:val="single"/>
          </w:rPr>
          <w:t>10.1002/anie.9990265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纯色全有机发射器，即具有窄光谱特性，正在针对高清有机 LED（主要基于多共振结构）以及多色生物成像（主要基于类聚次甲基结构）进行深入研究。为了指导目标材料设计超越繁琐的试错程序，这篇教育性评论讨论了光谱特性（包括光谱宽度的单位和明确定义以及伪影的出现）、光谱展宽的物理基础（振动耦合、环境效应以及对基态和激发态几何形状的基本理解）。随后，结构因素被提炼出来，这些因素控制着基态和激发态（GS，ES）之间几何形状变化的减少——量化为键长交替的变化（Δ</w:t>
      </w:r>
      <w:r>
        <w:t xml:space="preserve"> </w:t>
      </w:r>
      <w:r>
        <w:t>乙二胺四乙酸</w:t>
      </w:r>
      <w:r>
        <w:t xml:space="preserve"> </w:t>
      </w:r>
      <w:r>
        <w:t>）在激发时。在此基础上，出现了三种互补的设计策略，即：（a）完全键长均衡和（b）部分键长均衡，产生本质上小的混合BLA发射器，以及（c）MO拓扑反转，在GS和ES中具有大BLA；次要因素包括（d）刚性化和（e）共轭路径的延伸。最后，我们不仅针对纯色发射器，还针对明亮发射器，提出了挑战和解决方案。总而言之，我们的见解允许采用直观的化学方法来实现高效的纯色发射器，而不仅仅是单独生成结构和数字。</w:t>
      </w:r>
    </w:p>
    <w:p>
      <w:pPr>
        <w:spacing w:before="0" w:after="200" w:lineRule="auto" w:line="276"/>
      </w:pPr>
      <w:r>
        <w:rPr>
          <w:b/>
        </w:rPr>
        <w:t xml:space="preserve">Abstract (EN): </w:t>
      </w:r>
      <w:r>
        <w:t>Color‐pure all‐organic emitters, i.e., with narrow spectral characteristics, are intensively studied for high‐definition organic LEDs (mainly based on multi‐resonance structures), as well as for multi‐color bioimaging (mainly based on polymethine‐like structures). To guide targeted materials design beyond tedious trial‐and‐error procedures, this educative review discusses the spectral characteristics (including units and unambiguous definition of the spectral width, and the occurrence of artifacts), the physical basis of the spectral broadening (vibronic coupling, environmental effects, and a basal understanding of geometries in the ground and excited states). Subsequently, the structural factors are distilled, which govern reduced geometry change between ground and excited state (GS, ES)—quantified as the change in bond‐length alternation (Δ</w:t>
      </w:r>
      <w:r>
        <w:t xml:space="preserve"> </w:t>
      </w:r>
      <w:r>
        <w:t>BLA</w:t>
      </w:r>
      <w:r>
        <w:t xml:space="preserve"> </w:t>
      </w:r>
      <w:r>
        <w:t>) upon excitation. On this basis, three complementary design strategies emerge, that is: (a) full and (b) partial bond length equalization, yielding intrinsically small‐ and mixed‐BLA emitters, and (c) MO topology inversion, with large BLA in GS and ES; secondary factors include, (d) rigidification and (e) the extension of the conjugated path. Finally, we address challenges and solutions when targeting not only color‐pure but also bright emitters. In all, our insights allow for an intuitive, chemical approach towards efficient color‐pure emitters beyond sole generation of structures and numbers.</w:t>
      </w:r>
    </w:p>
    <w:p>
      <w:pPr>
        <w:spacing w:before="120" w:after="120"/>
      </w:pPr>
      <w:r>
        <w:rPr>
          <w:sz w:val="18"/>
        </w:rPr>
        <w:t>——————————————————————————————————————————————————————————————————————</w:t>
      </w:r>
    </w:p>
    <w:p>
      <w:pPr>
        <w:spacing w:before="160" w:after="40" w:line="240" w:lineRule="auto"/>
      </w:pPr>
      <w:r>
        <w:rPr>
          <w:b/>
        </w:rPr>
        <w:t xml:space="preserve">[447] </w:t>
      </w:r>
      <w:hyperlink r:id="rId1173">
        <w:r>
          <w:rPr>
            <w:color w:val="1155CC"/>
            <w:u w:val="single"/>
          </w:rPr>
          <w:t>1,7-二棓酸四碳硼烷：介于亲核闭簇和“反三明治”二棓烯之间</w:t>
        </w:r>
      </w:hyperlink>
    </w:p>
    <w:p>
      <w:pPr>
        <w:spacing w:before="0" w:after="80"/>
      </w:pPr>
      <w:r>
        <w:rPr>
          <w:i/>
          <w:sz w:val="20"/>
        </w:rPr>
        <w:t>EN: 1,7‐Digallatetracarborane: Between Nucleophilic closo‐Cluster and “Inverse Sandwich” Digallylene</w:t>
      </w:r>
    </w:p>
    <w:p>
      <w:pPr>
        <w:spacing w:before="0" w:after="120"/>
      </w:pPr>
      <w:r>
        <w:rPr>
          <w:b/>
        </w:rPr>
        <w:t xml:space="preserve">Source: </w:t>
      </w:r>
      <w:r>
        <w:t>Wiley-Online-Library: Angewandte Chemie International Edition: Table of Contents</w:t>
      </w:r>
      <w:r>
        <w:t xml:space="preserve">    </w:t>
      </w:r>
      <w:r>
        <w:rPr>
          <w:b/>
        </w:rPr>
        <w:t xml:space="preserve">Pub date: </w:t>
      </w:r>
      <w:r>
        <w:t>2026-06-11 17:14:28+00:00</w:t>
      </w:r>
      <w:r>
        <w:t xml:space="preserve">    </w:t>
      </w:r>
      <w:r>
        <w:rPr>
          <w:b/>
        </w:rPr>
        <w:t xml:space="preserve">DOI: </w:t>
      </w:r>
      <w:hyperlink r:id="rId1174">
        <w:r>
          <w:rPr>
            <w:color w:val="1155CC"/>
            <w:u w:val="single"/>
          </w:rPr>
          <w:t>10.1002/anie.6667904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该手稿描述了具有独特结构主题的前所未有的低价主族元素碳硼烷簇的合成和化学。基于双阴离子硼咯π配体平台（L = [R</w:t>
      </w:r>
      <w:r>
        <w:rPr>
          <w:vertAlign w:val="subscript"/>
        </w:rPr>
        <w:t>5</w:t>
      </w:r>
      <w:r>
        <w:t>（C</w:t>
      </w:r>
      <w:r>
        <w:rPr>
          <w:vertAlign w:val="subscript"/>
        </w:rPr>
        <w:t>4</w:t>
      </w:r>
      <w:r>
        <w:t>B)]</w:t>
      </w:r>
      <w:r>
        <w:t xml:space="preserve"> </w:t>
      </w:r>
      <w:r>
        <w:t>2−</w:t>
      </w:r>
      <w:r>
        <w:t>）一个“反三明治”，Janus型二加仑配合物L（Ga</w:t>
      </w:r>
      <w:r>
        <w:t xml:space="preserve"> </w:t>
      </w:r>
      <w:r>
        <w:t>+我</w:t>
      </w:r>
      <w:r>
        <w:t xml:space="preserve"> </w:t>
      </w:r>
      <w:r>
        <w:t>）</w:t>
      </w:r>
      <w:r>
        <w:rPr>
          <w:vertAlign w:val="subscript"/>
        </w:rPr>
        <w:t>2</w:t>
      </w:r>
      <w:r>
        <w:t>获得了具有两个亲核 Ga(I) 离子的特征。该化合物也可以描述为</w:t>
      </w:r>
      <w:r>
        <w:t xml:space="preserve"> </w:t>
      </w:r>
      <w:r>
        <w:t>克洛索</w:t>
      </w:r>
      <w:r>
        <w:t xml:space="preserve"> </w:t>
      </w:r>
      <w:r>
        <w:t>‐1,7-二没食子酸四碳硼烷簇。已经对这一新化合物类别进行了初步反应性研究。过渡金属和主族路易斯酸配位化学中路易斯碱度的评估表明Ga原子之间存在电子通讯。用游离硼 (L) 氧化产生弯曲二镓茂 L(Ga</w:t>
      </w:r>
      <w:r>
        <w:t xml:space="preserve"> </w:t>
      </w:r>
      <w:r>
        <w:t>+II</w:t>
      </w:r>
      <w:r>
        <w:t xml:space="preserve"> </w:t>
      </w:r>
      <w:r>
        <w:t>)–(Ga</w:t>
      </w:r>
      <w:r>
        <w:t xml:space="preserve"> </w:t>
      </w:r>
      <w:r>
        <w:t>+II</w:t>
      </w:r>
      <w:r>
        <w:t xml:space="preserve"> </w:t>
      </w:r>
      <w:r>
        <w:t>)L，第一个基于13族元素的二茂金属型化合物。例子表明 L(Ga</w:t>
      </w:r>
      <w:r>
        <w:t xml:space="preserve"> </w:t>
      </w:r>
      <w:r>
        <w:t>+我</w:t>
      </w:r>
      <w:r>
        <w:t xml:space="preserve"> </w:t>
      </w:r>
      <w:r>
        <w:t>）</w:t>
      </w:r>
      <w:r>
        <w:rPr>
          <w:vertAlign w:val="subscript"/>
        </w:rPr>
        <w:t>2</w:t>
      </w:r>
      <w:r>
        <w:t>既可以表现为离散的二没食子碳硼烷簇，也可以表现为能够释放 Ga 的双加仑 π 配合物</w:t>
      </w:r>
      <w:r>
        <w:t xml:space="preserve"> </w:t>
      </w:r>
      <w:r>
        <w:t>+</w:t>
      </w:r>
      <w:r>
        <w:t xml:space="preserve"> </w:t>
      </w:r>
      <w:r>
        <w:t>。</w:t>
      </w:r>
    </w:p>
    <w:p>
      <w:pPr>
        <w:spacing w:before="0" w:after="200" w:lineRule="auto" w:line="276"/>
      </w:pPr>
      <w:r>
        <w:rPr>
          <w:b/>
        </w:rPr>
        <w:t xml:space="preserve">Abstract (EN): </w:t>
      </w:r>
      <w:r>
        <w:t>This manuscript describes the synthesis and chemistry of an unprecedented carborane cluster of low‐valent main‐group elements with a unique structural motif. On the basis of a dianionic borole π‐ligand platform (L = [R</w:t>
      </w:r>
      <w:r>
        <w:rPr>
          <w:vertAlign w:val="subscript"/>
        </w:rPr>
        <w:t>5</w:t>
      </w:r>
      <w:r>
        <w:t>(C</w:t>
      </w:r>
      <w:r>
        <w:rPr>
          <w:vertAlign w:val="subscript"/>
        </w:rPr>
        <w:t>4</w:t>
      </w:r>
      <w:r>
        <w:t>B)]</w:t>
      </w:r>
      <w:r>
        <w:t xml:space="preserve"> </w:t>
      </w:r>
      <w:r>
        <w:t>2−</w:t>
      </w:r>
      <w:r>
        <w:t>) an “inverse sandwich”, Janus‐type digallylene complex L(Ga</w:t>
      </w:r>
      <w:r>
        <w:t xml:space="preserve"> </w:t>
      </w:r>
      <w:r>
        <w:t>+I</w:t>
      </w:r>
      <w:r>
        <w:t xml:space="preserve"> </w:t>
      </w:r>
      <w:r>
        <w:t>)</w:t>
      </w:r>
      <w:r>
        <w:rPr>
          <w:vertAlign w:val="subscript"/>
        </w:rPr>
        <w:t>2</w:t>
      </w:r>
      <w:r>
        <w:t>featuring two nucleophilic Ga(I) ions was accessed. This compound can also be described as a</w:t>
      </w:r>
      <w:r>
        <w:t xml:space="preserve"> </w:t>
      </w:r>
      <w:r>
        <w:t>closo</w:t>
      </w:r>
      <w:r>
        <w:t xml:space="preserve"> </w:t>
      </w:r>
      <w:r>
        <w:t>‐type 1,7‐digallatetracarborane cluster. Preliminary reactivity studies on this new compound class have been conducted. Assessment of Lewis‐basicity in coordination chemistry with transition metals and main group Lewis‐acids indicate electronic communication between the Ga‐atoms. Oxidation with free borole (L) gives rise to bent digallocene L(Ga</w:t>
      </w:r>
      <w:r>
        <w:t xml:space="preserve"> </w:t>
      </w:r>
      <w:r>
        <w:t>+II</w:t>
      </w:r>
      <w:r>
        <w:t xml:space="preserve"> </w:t>
      </w:r>
      <w:r>
        <w:t>)–(Ga</w:t>
      </w:r>
      <w:r>
        <w:t xml:space="preserve"> </w:t>
      </w:r>
      <w:r>
        <w:t>+II</w:t>
      </w:r>
      <w:r>
        <w:t xml:space="preserve"> </w:t>
      </w:r>
      <w:r>
        <w:t>)L, the first group 13 element‐based dimetallocene‐type compound. Examples demonstrate that L(Ga</w:t>
      </w:r>
      <w:r>
        <w:t xml:space="preserve"> </w:t>
      </w:r>
      <w:r>
        <w:t>+I</w:t>
      </w:r>
      <w:r>
        <w:t xml:space="preserve"> </w:t>
      </w:r>
      <w:r>
        <w:t>)</w:t>
      </w:r>
      <w:r>
        <w:rPr>
          <w:vertAlign w:val="subscript"/>
        </w:rPr>
        <w:t>2</w:t>
      </w:r>
      <w:r>
        <w:t>can behave as both a discrete digallacarborane cluster and a bis‐gallylene π‐complex capable of releasing Ga</w:t>
      </w:r>
      <w:r>
        <w:t xml:space="preserve"> </w:t>
      </w:r>
      <w:r>
        <w:t>+</w:t>
      </w:r>
      <w:r>
        <w:t xml:space="preserve"> </w:t>
      </w:r>
      <w:r>
        <w:t>.</w:t>
      </w:r>
    </w:p>
    <w:p>
      <w:pPr>
        <w:spacing w:before="120" w:after="120"/>
      </w:pPr>
      <w:r>
        <w:rPr>
          <w:sz w:val="18"/>
        </w:rPr>
        <w:t>——————————————————————————————————————————————————————————————————————</w:t>
      </w:r>
    </w:p>
    <w:p>
      <w:pPr>
        <w:spacing w:before="160" w:after="40" w:line="240" w:lineRule="auto"/>
      </w:pPr>
      <w:r>
        <w:rPr>
          <w:b/>
        </w:rPr>
        <w:t xml:space="preserve">[448] </w:t>
      </w:r>
      <w:hyperlink r:id="rId1175">
        <w:r>
          <w:rPr>
            <w:color w:val="1155CC"/>
            <w:u w:val="single"/>
          </w:rPr>
          <w:t>通过环氧化物化学进行逆硫化：形成富硫聚合物网络的低温非烯烃途径</w:t>
        </w:r>
      </w:hyperlink>
    </w:p>
    <w:p>
      <w:pPr>
        <w:spacing w:before="0" w:after="80"/>
      </w:pPr>
      <w:r>
        <w:rPr>
          <w:i/>
          <w:sz w:val="20"/>
        </w:rPr>
        <w:t>EN: Inverse Vulcanization Through Epoxide Chemistry: A Low Temperature Non‐Olefin Route to Sulfur‐Rich Polymer Networks</w:t>
      </w:r>
    </w:p>
    <w:p>
      <w:pPr>
        <w:spacing w:before="0" w:after="120"/>
      </w:pPr>
      <w:r>
        <w:rPr>
          <w:b/>
        </w:rPr>
        <w:t xml:space="preserve">Source: </w:t>
      </w:r>
      <w:r>
        <w:t>Wiley-Online-Library: Angewandte Chemie International Edition: Table of Contents</w:t>
      </w:r>
      <w:r>
        <w:t xml:space="preserve">    </w:t>
      </w:r>
      <w:r>
        <w:rPr>
          <w:b/>
        </w:rPr>
        <w:t xml:space="preserve">Pub date: </w:t>
      </w:r>
      <w:r>
        <w:t>2026-06-11 17:17:34+00:00</w:t>
      </w:r>
      <w:r>
        <w:t xml:space="preserve">    </w:t>
      </w:r>
      <w:r>
        <w:rPr>
          <w:b/>
        </w:rPr>
        <w:t xml:space="preserve">DOI: </w:t>
      </w:r>
      <w:hyperlink r:id="rId1176">
        <w:r>
          <w:rPr>
            <w:color w:val="1155CC"/>
            <w:u w:val="single"/>
          </w:rPr>
          <w:t>10.1002/anie.7470442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逆硫化是将多余的元素硫转化为增值聚合物材料的有效策略；然而，目前的方法很大程度上仅限于基于烯烃的单体，并且依赖于高温自由基过程。在这里，我们建立了一个环氧化物反硫化平台，可在无溶剂、碱催化条件下将富硫聚合物的形成扩展到烯烃化学之外。机理研究证实了一种亲核开环途径，其中硫在碱性催化剂的催化下结合到聚合物主链中。通过将生物基环氧化植物油与元素硫结合，通过催化可调的开环途径构建富硫网络，从而实现可控的网络形成。所得材料保持高硫含量，同时表现出可调的机械性能、形状记忆行为以及对不锈钢的强附着力，搭接剪切强度可调至 10 MPa。温和的加工条件、可再生单体原料和坚固的结构性能相结合，展示了一种可控且节能的途径，可推动逆向硫化走向可持续的粘合剂和功能材料应用。</w:t>
      </w:r>
    </w:p>
    <w:p>
      <w:pPr>
        <w:spacing w:before="0" w:after="200" w:lineRule="auto" w:line="276"/>
      </w:pPr>
      <w:r>
        <w:rPr>
          <w:b/>
        </w:rPr>
        <w:t xml:space="preserve">Abstract (EN): </w:t>
      </w:r>
      <w:r>
        <w:t>Inverse vulcanization represents an effective strategy for transforming surplus elemental sulfur into value‐added polymeric materials; however, current approaches are largely restricted to olefin‐based monomers and rely on high‐temperature radical processes. Here, we establish an epoxide‐enabled inverse vulcanization platform that expands sulfur‐rich polymer formation beyond olefin chemistry under solvent‐free, base‐catalyzed conditions. Mechanistic studies confirm a nucleophilic ring‐opening pathway in which sulfur is incorporated into the polymer backbone when catalyzed by base catalyst. By integrating bio‐based epoxidized vegetable oils with elemental sulfur, sulfur‐rich networks are constructed through a catalytically tunable ring‐opening pathway, enabling controllable network formation. The resulting materials maintain high sulfur content while exhibiting tunable mechanical properties, shape memory behavior, and strong adhesion on stainless steel, with lap shear strengths adjustable up to 10 MPa. The combination of mild processing conditions, renewable monomer feedstocks, and robust structural performance demonstrates a controllable and energy‐efficient route for advancing inverse vulcanization toward sustainable adhesive and functional material applications.</w:t>
      </w:r>
    </w:p>
    <w:p>
      <w:pPr>
        <w:spacing w:before="120" w:after="120"/>
      </w:pPr>
      <w:r>
        <w:rPr>
          <w:sz w:val="18"/>
        </w:rPr>
        <w:t>——————————————————————————————————————————————————————————————————————</w:t>
      </w:r>
    </w:p>
    <w:p>
      <w:pPr>
        <w:spacing w:before="160" w:after="40" w:line="240" w:lineRule="auto"/>
      </w:pPr>
      <w:r>
        <w:rPr>
          <w:b/>
        </w:rPr>
        <w:t xml:space="preserve">[449] </w:t>
      </w:r>
      <w:hyperlink r:id="rId1177">
        <w:r>
          <w:rPr>
            <w:color w:val="1155CC"/>
            <w:u w:val="single"/>
          </w:rPr>
          <w:t>肝细胞内活性氧物质控制的脂质结合策略</w:t>
        </w:r>
      </w:hyperlink>
    </w:p>
    <w:p>
      <w:pPr>
        <w:spacing w:before="0" w:after="80"/>
      </w:pPr>
      <w:r>
        <w:rPr>
          <w:i/>
          <w:sz w:val="20"/>
        </w:rPr>
        <w:t>EN: A Lipid‐Conjugation Strategy for Intracellular Reactive Oxygen Species Control in Hepatic Cells</w:t>
      </w:r>
    </w:p>
    <w:p>
      <w:pPr>
        <w:spacing w:before="0" w:after="120"/>
      </w:pPr>
      <w:r>
        <w:rPr>
          <w:b/>
        </w:rPr>
        <w:t xml:space="preserve">Source: </w:t>
      </w:r>
      <w:r>
        <w:t>Wiley-Online-Library: Angewandte Chemie International Edition: Table of Contents</w:t>
      </w:r>
      <w:r>
        <w:t xml:space="preserve">    </w:t>
      </w:r>
      <w:r>
        <w:rPr>
          <w:b/>
        </w:rPr>
        <w:t xml:space="preserve">Pub date: </w:t>
      </w:r>
      <w:r>
        <w:t>2026-06-11 17:22:29+00:00</w:t>
      </w:r>
      <w:r>
        <w:t xml:space="preserve">    </w:t>
      </w:r>
      <w:r>
        <w:rPr>
          <w:b/>
        </w:rPr>
        <w:t xml:space="preserve">DOI: </w:t>
      </w:r>
      <w:hyperlink r:id="rId1178">
        <w:r>
          <w:rPr>
            <w:color w:val="1155CC"/>
            <w:u w:val="single"/>
          </w:rPr>
          <w:t>10.1002/anie.5582949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合成催化抗氧化剂为酶促氧化还原调节剂提供了有吸引力的替代品，但其生物应用常常受到稳定性差、配方挑战和对细胞内定位控制不足的限制。在这里，我们报告了一种脂质缀合策略，该策略能够将锰 Salen (EUK) 催化剂共价整合到磷脂膜中。建立了一种模块化合成路线，其中将羧酸酯功能化的 EUK 衍生物与胺封端的磷脂尾偶联，产生结构明确的磷脂-EUK 缀合物，该缀合物在脂质体制剂中保留催化活性，并具有受控的催化剂负载和长期胶体完整性。所得脂质体表现出活性氧（ROS）的有效催化降解，活性随缀合物含量而变化。重要的是，脂质双层内催化剂的共价锚定可以防止非缀合类似物观察到的聚集和沉淀。使用对乙酰氨基酚挑战的脂肪变性 HepaRG 细胞模型，我们证明脂质缀合能够在细胞内递送催化剂并持续降低升高的 ROS 水平，而不诱导细胞毒性。这项工作建立了一种化学精确方法，用于将有机金属催化剂定位在仿生膜内，并强调这些缀合物作为受控细胞内氧化还原调节的多功能平台。</w:t>
      </w:r>
    </w:p>
    <w:p>
      <w:pPr>
        <w:spacing w:before="0" w:after="200" w:lineRule="auto" w:line="276"/>
      </w:pPr>
      <w:r>
        <w:rPr>
          <w:b/>
        </w:rPr>
        <w:t xml:space="preserve">Abstract (EN): </w:t>
      </w:r>
      <w:r>
        <w:t>Synthetic catalytic antioxidants offer attractive alternatives to enzymatic redox regulators, yet their biological application is frequently limited by poor stability, formulation challenges, and insufficient control over intracellular localization. Here, we report a lipid conjugation strategy that enables the covalent integration of manganese Salen (EUK) catalysts into phospholipid membranes. A modular synthetic route is established in which a carboxylate‐functionalized EUK derivative is coupled to an amine‐terminated phospholipid tail, yielding a structurally defined phospholipid‐EUK conjugate that retains catalytic activity upon liposome formulation, with controlled catalyst loading and long‐term colloidal integrity. The resulting liposomes exhibit efficient catalytic degradation of reactive oxygen species (ROS) with activity scaling with conjugate content. Importantly, covalent anchoring of the catalyst within the lipid bilayer prevents aggregation and precipitation observed for non‐conjugated analogues. Using an acetaminophen challenged steatotic HepaRG cell model, we demonstrate that lipid conjugation enables intracellular delivery of the catalyst and sustained reduction of elevated ROS levels without inducing cytotoxicity. This effort establishes a chemically precise approach for positioning organometallic catalysts within biomimetic membranes and highlights these conjugates as versatile platforms for controlled intracellular redox modulation.</w:t>
      </w:r>
    </w:p>
    <w:p>
      <w:pPr>
        <w:spacing w:before="120" w:after="120"/>
      </w:pPr>
      <w:r>
        <w:rPr>
          <w:sz w:val="18"/>
        </w:rPr>
        <w:t>——————————————————————————————————————————————————————————————————————</w:t>
      </w:r>
    </w:p>
    <w:p>
      <w:pPr>
        <w:spacing w:before="160" w:after="40" w:line="240" w:lineRule="auto"/>
      </w:pPr>
      <w:r>
        <w:rPr>
          <w:b/>
        </w:rPr>
        <w:t xml:space="preserve">[450] </w:t>
      </w:r>
      <w:hyperlink r:id="rId1179">
        <w:r>
          <w:rPr>
            <w:color w:val="1155CC"/>
            <w:u w:val="single"/>
          </w:rPr>
          <w:t>仿生响应聚合物的工程协调键</w:t>
        </w:r>
      </w:hyperlink>
    </w:p>
    <w:p>
      <w:pPr>
        <w:spacing w:before="0" w:after="80"/>
      </w:pPr>
      <w:r>
        <w:rPr>
          <w:i/>
          <w:sz w:val="20"/>
        </w:rPr>
        <w:t>EN: Engineering coordination bonds for bioinspired responsive polymers</w:t>
      </w:r>
    </w:p>
    <w:p>
      <w:pPr>
        <w:spacing w:before="0" w:after="120"/>
      </w:pPr>
      <w:r>
        <w:rPr>
          <w:b/>
        </w:rPr>
        <w:t xml:space="preserve">Source: </w:t>
      </w:r>
      <w:r>
        <w:t>RSC - Chem. Soc. Rev. latest articles</w:t>
      </w:r>
      <w:r>
        <w:t xml:space="preserve">    </w:t>
      </w:r>
      <w:r>
        <w:rPr>
          <w:b/>
        </w:rPr>
        <w:t xml:space="preserve">Pub date: </w:t>
      </w:r>
      <w:r>
        <w:t>2026-06-11 23:00:00+00:00</w:t>
      </w:r>
    </w:p>
    <w:p>
      <w:pPr>
        <w:spacing w:before="0" w:after="120"/>
      </w:pPr>
      <w:r>
        <w:rPr>
          <w:b/>
        </w:rPr>
        <w:t xml:space="preserve">Notes: </w:t>
      </w:r>
      <w:r>
        <w:t>abstract_source=rsc_html</w:t>
      </w:r>
    </w:p>
    <w:p>
      <w:pPr>
        <w:spacing w:before="0" w:after="80" w:lineRule="auto" w:line="276"/>
      </w:pPr>
      <w:r>
        <w:rPr>
          <w:b/>
        </w:rPr>
        <w:t xml:space="preserve">摘要（ZH）: </w:t>
      </w:r>
      <w:r>
        <w:t>能够将微弱和异质环境信号转化为自适应宏观功能的响应性聚合物材料对于软机器人、传感、生物界面和自主系统等新兴技术至关重要。通过将动态金属-配体相互作用嵌入聚合物基质中而构建的配位交联聚合物网络（CCPN），由于配位键独特的可调性、可逆性和多功能性，已成为用于此目的的强大材料平台。与传统的共价或其他超分子交联不同，配位键提供连续可调的键强度、明确的几何形状、刺激敏感的平衡以及电子、氧化还原和催化转变，从而能够将物理和化学刺激直接转导为机械、光学和形态响应。尽管取得了快速进展，但仍缺乏将分子水平的配位化学与跨长度和时间尺度的材料响应性联系起来的统一理解。在这篇综述中，我们系统地研究了配位键的内在特性如何引起 CCPN 中的材料响应性。我们首先介绍与响应网络设计相关的基本配位化学概念，并讨论这些因素如何控制聚合物网络内的键动力学、交换动力学和刺激敏感性。然后，我们分析协调动力学如何表现为宏观响应，重点关注刚度变化、光学和色彩切换、形状记忆和</w:t>
      </w:r>
    </w:p>
    <w:p>
      <w:pPr>
        <w:spacing w:before="0" w:after="200" w:lineRule="auto" w:line="276"/>
      </w:pPr>
      <w:r>
        <w:rPr>
          <w:b/>
        </w:rPr>
        <w:t xml:space="preserve">Abstract (EN): </w:t>
      </w:r>
      <w:r>
        <w:t>Responsive polymeric materials capable of converting weak and heterogeneous environmental cues into adaptive macroscopic functions are essential for emerging technologies spanning soft robotics, sensing, biointerfaces, and autonomous systems. Coordination-crosslinked polymer networks (CCPNs), constructed by embedding dynamic metal–ligand interactions into polymer matrices, have emerged as a powerful materials platform for this purpose, owing to the unique tunability, reversibility, and multifunctionality of coordination bonds. Unlike conventional covalent or other supramolecular crosslinks, coordination bonds provide continuously adjustable bond strength, well-defined geometry, stimulus-sensitive equilibria, and access to electronic, redox, and catalytic transitions, enabling direct transduction of physical and chemical stimuli into mechanical, optical, and morphological responses. Despite rapid progress, a unified understanding that links coordination chemistry at the molecular level to material responsiveness across length and time scales remains lacking. In this review, we systematically examine how the intrinsic properties of coordination bonds give rise to material responsiveness in CCPNs. We first introduce fundamental coordination chemistry concepts relevant to responsive network design and discuss how these factors govern bond dynamicity, exchange kinetics, and stimulus sensitivity within polymer networks. We then analyse how coordination dynamics manifest as macroscopic responses, with a focus on stiffness variation, optical and chromic switching, shape memory and actuation, and life-like homeostatic behaviors driven by non-equilibrium bond cycling. Moving beyond single-interaction systems, we highlight recent advances in bond coupling strategies, where multiple coordination motifs or coordination bonds integrated with other supramolecular bonds, dynamic covalent bonds, or mechanical bonds generate hierarchical relaxation, orthogonal responsiveness, and synergistic function expression reminiscent of biological materials. Finally, we discuss key challenges and outline future opportunities for transforming coordination chemistry from a crosslinking motif into a molecular-level control framework for engineering responsive and life-like soft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467-026-74107-8" TargetMode="External"/><Relationship Id="rId10" Type="http://schemas.openxmlformats.org/officeDocument/2006/relationships/hyperlink" Target="https://www.nature.com/articles/s41467-026-73739-0" TargetMode="External"/><Relationship Id="rId11" Type="http://schemas.openxmlformats.org/officeDocument/2006/relationships/hyperlink" Target="https://advanced.onlinelibrary.wiley.com/doi/10.1002/adma.202522825?af=R" TargetMode="External"/><Relationship Id="rId12" Type="http://schemas.openxmlformats.org/officeDocument/2006/relationships/hyperlink" Target="https://doi.org/10.1002/adma.202522825" TargetMode="External"/><Relationship Id="rId13" Type="http://schemas.openxmlformats.org/officeDocument/2006/relationships/hyperlink" Target="https://www.sciencedirect.com/science/article/pii/S0306261926008111?dgcid=rss_sd_all" TargetMode="External"/><Relationship Id="rId14" Type="http://schemas.openxmlformats.org/officeDocument/2006/relationships/hyperlink" Target="https://advanced.onlinelibrary.wiley.com/doi/10.1002/aenm.71170?af=R" TargetMode="External"/><Relationship Id="rId15" Type="http://schemas.openxmlformats.org/officeDocument/2006/relationships/hyperlink" Target="https://doi.org/10.1002/aenm.71170" TargetMode="External"/><Relationship Id="rId16" Type="http://schemas.openxmlformats.org/officeDocument/2006/relationships/hyperlink" Target="https://onlinelibrary.wiley.com/doi/10.1002/anie.7010126?af=R" TargetMode="External"/><Relationship Id="rId17" Type="http://schemas.openxmlformats.org/officeDocument/2006/relationships/hyperlink" Target="https://doi.org/10.1002/anie.7010126" TargetMode="External"/><Relationship Id="rId18" Type="http://schemas.openxmlformats.org/officeDocument/2006/relationships/hyperlink" Target="https://onlinelibrary.wiley.com/doi/10.1002/anie.4500167?af=R" TargetMode="External"/><Relationship Id="rId19" Type="http://schemas.openxmlformats.org/officeDocument/2006/relationships/hyperlink" Target="https://doi.org/10.1002/anie.4500167" TargetMode="External"/><Relationship Id="rId20" Type="http://schemas.openxmlformats.org/officeDocument/2006/relationships/hyperlink" Target="https://www.sciencedirect.com/science/article/pii/S0306261926007944?dgcid=rss_sd_all" TargetMode="External"/><Relationship Id="rId21" Type="http://schemas.openxmlformats.org/officeDocument/2006/relationships/hyperlink" Target="https://www.sciencedirect.com/science/article/pii/S0306261926007397?dgcid=rss_sd_all" TargetMode="External"/><Relationship Id="rId22" Type="http://schemas.openxmlformats.org/officeDocument/2006/relationships/hyperlink" Target="https://www.nature.com/articles/s41560-026-02097-4" TargetMode="External"/><Relationship Id="rId23" Type="http://schemas.openxmlformats.org/officeDocument/2006/relationships/hyperlink" Target="https://doi.org/10.1038/s41560-026-02097-4" TargetMode="External"/><Relationship Id="rId24" Type="http://schemas.openxmlformats.org/officeDocument/2006/relationships/hyperlink" Target="https://advanced.onlinelibrary.wiley.com/doi/10.1002/adma.202523685?af=R" TargetMode="External"/><Relationship Id="rId25" Type="http://schemas.openxmlformats.org/officeDocument/2006/relationships/hyperlink" Target="https://doi.org/10.1002/adma.202523685" TargetMode="External"/><Relationship Id="rId26" Type="http://schemas.openxmlformats.org/officeDocument/2006/relationships/hyperlink" Target="http://pubs.rsc.org/en/Content/ArticleLanding/2026/EE/D6EE02135B" TargetMode="External"/><Relationship Id="rId27" Type="http://schemas.openxmlformats.org/officeDocument/2006/relationships/hyperlink" Target="https://www.sciencedirect.com/science/article/pii/S0306261926008196?dgcid=rss_sd_all" TargetMode="External"/><Relationship Id="rId28" Type="http://schemas.openxmlformats.org/officeDocument/2006/relationships/hyperlink" Target="https://www.sciencedirect.com/science/article/pii/S0306261926007531?dgcid=rss_sd_all" TargetMode="External"/><Relationship Id="rId29" Type="http://schemas.openxmlformats.org/officeDocument/2006/relationships/hyperlink" Target="https://www.sciencedirect.com/science/article/pii/S0306261926007981?dgcid=rss_sd_all" TargetMode="External"/><Relationship Id="rId30" Type="http://schemas.openxmlformats.org/officeDocument/2006/relationships/hyperlink" Target="https://www.cell.com/joule/fulltext/S2542-4351(26)00185-6?rss=yes" TargetMode="External"/><Relationship Id="rId31" Type="http://schemas.openxmlformats.org/officeDocument/2006/relationships/hyperlink" Target="https://doi.org/10.1016/j.joule.2026.102501" TargetMode="External"/><Relationship Id="rId32" Type="http://schemas.openxmlformats.org/officeDocument/2006/relationships/hyperlink" Target="https://academic.oup.com/nsr/advance-article/doi/10.1093/nsr/nwag355/8706372?rss=1" TargetMode="External"/><Relationship Id="rId33" Type="http://schemas.openxmlformats.org/officeDocument/2006/relationships/hyperlink" Target="https://doi.org/10.1093/nsr/nwag355" TargetMode="External"/><Relationship Id="rId34" Type="http://schemas.openxmlformats.org/officeDocument/2006/relationships/hyperlink" Target="https://advanced.onlinelibrary.wiley.com/doi/10.1002/aenm.71184?af=R" TargetMode="External"/><Relationship Id="rId35" Type="http://schemas.openxmlformats.org/officeDocument/2006/relationships/hyperlink" Target="https://doi.org/10.1002/aenm.71184" TargetMode="External"/><Relationship Id="rId36" Type="http://schemas.openxmlformats.org/officeDocument/2006/relationships/hyperlink" Target="https://advanced.onlinelibrary.wiley.com/doi/10.1002/adma.73682?af=R" TargetMode="External"/><Relationship Id="rId37" Type="http://schemas.openxmlformats.org/officeDocument/2006/relationships/hyperlink" Target="https://doi.org/10.1002/adma.73682" TargetMode="External"/><Relationship Id="rId38" Type="http://schemas.openxmlformats.org/officeDocument/2006/relationships/hyperlink" Target="https://advanced.onlinelibrary.wiley.com/doi/10.1002/adma.73636?af=R" TargetMode="External"/><Relationship Id="rId39" Type="http://schemas.openxmlformats.org/officeDocument/2006/relationships/hyperlink" Target="https://doi.org/10.1002/adma.73636" TargetMode="External"/><Relationship Id="rId40" Type="http://schemas.openxmlformats.org/officeDocument/2006/relationships/hyperlink" Target="https://onlinelibrary.wiley.com/doi/10.1002/anie.8268985?af=R" TargetMode="External"/><Relationship Id="rId41" Type="http://schemas.openxmlformats.org/officeDocument/2006/relationships/hyperlink" Target="https://doi.org/10.1002/anie.8268985" TargetMode="External"/><Relationship Id="rId42" Type="http://schemas.openxmlformats.org/officeDocument/2006/relationships/hyperlink" Target="http://pubs.rsc.org/en/Content/ArticleLanding/2026/EE/D6EE02083F" TargetMode="External"/><Relationship Id="rId43" Type="http://schemas.openxmlformats.org/officeDocument/2006/relationships/hyperlink" Target="https://advanced.onlinelibrary.wiley.com/doi/10.1002/adma.73652?af=R" TargetMode="External"/><Relationship Id="rId44" Type="http://schemas.openxmlformats.org/officeDocument/2006/relationships/hyperlink" Target="https://doi.org/10.1002/adma.73652" TargetMode="External"/><Relationship Id="rId45" Type="http://schemas.openxmlformats.org/officeDocument/2006/relationships/hyperlink" Target="https://advanced.onlinelibrary.wiley.com/doi/10.1002/adma.73674?af=R" TargetMode="External"/><Relationship Id="rId46" Type="http://schemas.openxmlformats.org/officeDocument/2006/relationships/hyperlink" Target="https://doi.org/10.1002/adma.73674" TargetMode="External"/><Relationship Id="rId47" Type="http://schemas.openxmlformats.org/officeDocument/2006/relationships/hyperlink" Target="https://www.nature.com/articles/s41565-026-02189-y" TargetMode="External"/><Relationship Id="rId48" Type="http://schemas.openxmlformats.org/officeDocument/2006/relationships/hyperlink" Target="https://doi.org/10.1038/s41565-026-02189-y" TargetMode="External"/><Relationship Id="rId49" Type="http://schemas.openxmlformats.org/officeDocument/2006/relationships/hyperlink" Target="https://onlinelibrary.wiley.com/doi/10.1002/anie.5515760?af=R" TargetMode="External"/><Relationship Id="rId50" Type="http://schemas.openxmlformats.org/officeDocument/2006/relationships/hyperlink" Target="https://doi.org/10.1002/anie.5515760" TargetMode="External"/><Relationship Id="rId51" Type="http://schemas.openxmlformats.org/officeDocument/2006/relationships/hyperlink" Target="https://advanced.onlinelibrary.wiley.com/doi/10.1002/aenm.71175?af=R" TargetMode="External"/><Relationship Id="rId52" Type="http://schemas.openxmlformats.org/officeDocument/2006/relationships/hyperlink" Target="https://doi.org/10.1002/aenm.71175" TargetMode="External"/><Relationship Id="rId53" Type="http://schemas.openxmlformats.org/officeDocument/2006/relationships/hyperlink" Target="https://onlinelibrary.wiley.com/doi/10.1002/anie.6628239?af=R" TargetMode="External"/><Relationship Id="rId54" Type="http://schemas.openxmlformats.org/officeDocument/2006/relationships/hyperlink" Target="https://doi.org/10.1002/anie.6628239" TargetMode="External"/><Relationship Id="rId55" Type="http://schemas.openxmlformats.org/officeDocument/2006/relationships/hyperlink" Target="http://pubs.rsc.org/en/Content/ArticleLanding/2026/EE/D6EE03005J" TargetMode="External"/><Relationship Id="rId56" Type="http://schemas.openxmlformats.org/officeDocument/2006/relationships/hyperlink" Target="https://www.cell.com/matter/fulltext/S2590-2385(26)00230-4?rss=yes" TargetMode="External"/><Relationship Id="rId57" Type="http://schemas.openxmlformats.org/officeDocument/2006/relationships/hyperlink" Target="https://doi.org/10.1016/j.matt.2026.102867" TargetMode="External"/><Relationship Id="rId58" Type="http://schemas.openxmlformats.org/officeDocument/2006/relationships/hyperlink" Target="https://www.science.org/doi/abs/10.1126/sciadv.aec8124?af=R" TargetMode="External"/><Relationship Id="rId59" Type="http://schemas.openxmlformats.org/officeDocument/2006/relationships/hyperlink" Target="https://doi.org/10.1126/sciadv.aec8124" TargetMode="External"/><Relationship Id="rId60" Type="http://schemas.openxmlformats.org/officeDocument/2006/relationships/hyperlink" Target="https://www.science.org/doi/abs/10.1126/sciadv.aed1629?af=R" TargetMode="External"/><Relationship Id="rId61" Type="http://schemas.openxmlformats.org/officeDocument/2006/relationships/hyperlink" Target="https://doi.org/10.1126/sciadv.aed1629" TargetMode="External"/><Relationship Id="rId62" Type="http://schemas.openxmlformats.org/officeDocument/2006/relationships/hyperlink" Target="https://academic.oup.com/nsr/advance-article/doi/10.1093/nsr/nwag356/8706385?rss=1" TargetMode="External"/><Relationship Id="rId63" Type="http://schemas.openxmlformats.org/officeDocument/2006/relationships/hyperlink" Target="https://doi.org/10.1093/nsr/nwag356" TargetMode="External"/><Relationship Id="rId64" Type="http://schemas.openxmlformats.org/officeDocument/2006/relationships/hyperlink" Target="https://onlinelibrary.wiley.com/doi/10.1002/anie.1750429?af=R" TargetMode="External"/><Relationship Id="rId65" Type="http://schemas.openxmlformats.org/officeDocument/2006/relationships/hyperlink" Target="https://doi.org/10.1002/anie.1750429" TargetMode="External"/><Relationship Id="rId66" Type="http://schemas.openxmlformats.org/officeDocument/2006/relationships/hyperlink" Target="https://onlinelibrary.wiley.com/doi/10.1002/anie.9678457?af=R" TargetMode="External"/><Relationship Id="rId67" Type="http://schemas.openxmlformats.org/officeDocument/2006/relationships/hyperlink" Target="https://doi.org/10.1002/anie.9678457" TargetMode="External"/><Relationship Id="rId68" Type="http://schemas.openxmlformats.org/officeDocument/2006/relationships/hyperlink" Target="https://www.nature.com/articles/s41467-026-74014-y" TargetMode="External"/><Relationship Id="rId69" Type="http://schemas.openxmlformats.org/officeDocument/2006/relationships/hyperlink" Target="https://advanced.onlinelibrary.wiley.com/doi/10.1002/aenm.71165?af=R" TargetMode="External"/><Relationship Id="rId70" Type="http://schemas.openxmlformats.org/officeDocument/2006/relationships/hyperlink" Target="https://doi.org/10.1002/aenm.71165" TargetMode="External"/><Relationship Id="rId71" Type="http://schemas.openxmlformats.org/officeDocument/2006/relationships/hyperlink" Target="https://onlinelibrary.wiley.com/doi/10.1002/anie.9967811?af=R" TargetMode="External"/><Relationship Id="rId72" Type="http://schemas.openxmlformats.org/officeDocument/2006/relationships/hyperlink" Target="https://doi.org/10.1002/anie.9967811" TargetMode="External"/><Relationship Id="rId73" Type="http://schemas.openxmlformats.org/officeDocument/2006/relationships/hyperlink" Target="https://www.science.org/doi/abs/10.1126/sciadv.aed6926?af=R" TargetMode="External"/><Relationship Id="rId74" Type="http://schemas.openxmlformats.org/officeDocument/2006/relationships/hyperlink" Target="https://doi.org/10.1126/sciadv.aed6926" TargetMode="External"/><Relationship Id="rId75" Type="http://schemas.openxmlformats.org/officeDocument/2006/relationships/hyperlink" Target="https://advanced.onlinelibrary.wiley.com/doi/10.1002/adma.73607?af=R" TargetMode="External"/><Relationship Id="rId76" Type="http://schemas.openxmlformats.org/officeDocument/2006/relationships/hyperlink" Target="https://doi.org/10.1002/adma.73607" TargetMode="External"/><Relationship Id="rId77" Type="http://schemas.openxmlformats.org/officeDocument/2006/relationships/hyperlink" Target="http://pubs.rsc.org/en/Content/ArticleLanding/2026/EE/D6EE01852A" TargetMode="External"/><Relationship Id="rId78" Type="http://schemas.openxmlformats.org/officeDocument/2006/relationships/hyperlink" Target="https://www.nature.com/articles/s41467-026-74013-z" TargetMode="External"/><Relationship Id="rId79" Type="http://schemas.openxmlformats.org/officeDocument/2006/relationships/hyperlink" Target="https://advanced.onlinelibrary.wiley.com/doi/10.1002/aenm.71164?af=R" TargetMode="External"/><Relationship Id="rId80" Type="http://schemas.openxmlformats.org/officeDocument/2006/relationships/hyperlink" Target="https://doi.org/10.1002/aenm.71164" TargetMode="External"/><Relationship Id="rId81" Type="http://schemas.openxmlformats.org/officeDocument/2006/relationships/hyperlink" Target="http://pubs.rsc.org/en/Content/ArticleLanding/2026/EE/D6EE02664H" TargetMode="External"/><Relationship Id="rId82" Type="http://schemas.openxmlformats.org/officeDocument/2006/relationships/hyperlink" Target="https://www.nature.com/articles/s41563-026-02644-0" TargetMode="External"/><Relationship Id="rId83" Type="http://schemas.openxmlformats.org/officeDocument/2006/relationships/hyperlink" Target="https://doi.org/10.1038/s41563-026-02644-0" TargetMode="External"/><Relationship Id="rId84" Type="http://schemas.openxmlformats.org/officeDocument/2006/relationships/hyperlink" Target="https://www.cell.com/joule/fulltext/S2542-4351(26)00183-2?rss=yes" TargetMode="External"/><Relationship Id="rId85" Type="http://schemas.openxmlformats.org/officeDocument/2006/relationships/hyperlink" Target="https://doi.org/10.1016/j.joule.2026.102499" TargetMode="External"/><Relationship Id="rId86" Type="http://schemas.openxmlformats.org/officeDocument/2006/relationships/hyperlink" Target="https://advanced.onlinelibrary.wiley.com/doi/10.1002/aenm.71169?af=R" TargetMode="External"/><Relationship Id="rId87" Type="http://schemas.openxmlformats.org/officeDocument/2006/relationships/hyperlink" Target="https://doi.org/10.1002/aenm.71169" TargetMode="External"/><Relationship Id="rId88" Type="http://schemas.openxmlformats.org/officeDocument/2006/relationships/hyperlink" Target="https://advanced.onlinelibrary.wiley.com/doi/10.1002/aenm.71171?af=R" TargetMode="External"/><Relationship Id="rId89" Type="http://schemas.openxmlformats.org/officeDocument/2006/relationships/hyperlink" Target="https://doi.org/10.1002/aenm.71171" TargetMode="External"/><Relationship Id="rId90" Type="http://schemas.openxmlformats.org/officeDocument/2006/relationships/hyperlink" Target="https://advanced.onlinelibrary.wiley.com/doi/10.1002/adma.73670?af=R" TargetMode="External"/><Relationship Id="rId91" Type="http://schemas.openxmlformats.org/officeDocument/2006/relationships/hyperlink" Target="https://doi.org/10.1002/adma.73670" TargetMode="External"/><Relationship Id="rId92" Type="http://schemas.openxmlformats.org/officeDocument/2006/relationships/hyperlink" Target="http://pubs.rsc.org/en/Content/ArticleLanding/2026/EE/D6EE01727D" TargetMode="External"/><Relationship Id="rId93" Type="http://schemas.openxmlformats.org/officeDocument/2006/relationships/hyperlink" Target="https://www.cell.com/joule/fulltext/S2542-4351(26)00186-8?rss=yes" TargetMode="External"/><Relationship Id="rId94" Type="http://schemas.openxmlformats.org/officeDocument/2006/relationships/hyperlink" Target="https://doi.org/10.1016/j.joule.2026.102502" TargetMode="External"/><Relationship Id="rId95" Type="http://schemas.openxmlformats.org/officeDocument/2006/relationships/hyperlink" Target="https://advanced.onlinelibrary.wiley.com/doi/10.1002/adma.73658?af=R" TargetMode="External"/><Relationship Id="rId96" Type="http://schemas.openxmlformats.org/officeDocument/2006/relationships/hyperlink" Target="https://doi.org/10.1002/adma.73658" TargetMode="External"/><Relationship Id="rId97" Type="http://schemas.openxmlformats.org/officeDocument/2006/relationships/hyperlink" Target="https://www.nature.com/articles/s41467-026-74177-8" TargetMode="External"/><Relationship Id="rId98" Type="http://schemas.openxmlformats.org/officeDocument/2006/relationships/hyperlink" Target="https://www.sciencedirect.com/science/article/pii/S0306261926007968?dgcid=rss_sd_all" TargetMode="External"/><Relationship Id="rId99" Type="http://schemas.openxmlformats.org/officeDocument/2006/relationships/hyperlink" Target="https://www.sciencedirect.com/science/article/pii/S0306261926008202?dgcid=rss_sd_all" TargetMode="External"/><Relationship Id="rId100" Type="http://schemas.openxmlformats.org/officeDocument/2006/relationships/hyperlink" Target="https://www.sciencedirect.com/science/article/pii/S0306261926008275?dgcid=rss_sd_all" TargetMode="External"/><Relationship Id="rId101" Type="http://schemas.openxmlformats.org/officeDocument/2006/relationships/hyperlink" Target="https://onlinelibrary.wiley.com/doi/10.1002/anie.5703533?af=R" TargetMode="External"/><Relationship Id="rId102" Type="http://schemas.openxmlformats.org/officeDocument/2006/relationships/hyperlink" Target="https://doi.org/10.1002/anie.5703533" TargetMode="External"/><Relationship Id="rId103" Type="http://schemas.openxmlformats.org/officeDocument/2006/relationships/hyperlink" Target="https://academic.oup.com/nsr/advance-article/doi/10.1093/nsr/nwag348/8704107?rss=1" TargetMode="External"/><Relationship Id="rId104" Type="http://schemas.openxmlformats.org/officeDocument/2006/relationships/hyperlink" Target="https://doi.org/10.1093/nsr/nwag348" TargetMode="External"/><Relationship Id="rId105" Type="http://schemas.openxmlformats.org/officeDocument/2006/relationships/hyperlink" Target="https://www.sciencedirect.com/science/article/pii/S0306261926008548?dgcid=rss_sd_all" TargetMode="External"/><Relationship Id="rId106" Type="http://schemas.openxmlformats.org/officeDocument/2006/relationships/hyperlink" Target="https://www.nature.com/articles/s41893-026-01851-6" TargetMode="External"/><Relationship Id="rId107" Type="http://schemas.openxmlformats.org/officeDocument/2006/relationships/hyperlink" Target="https://doi.org/10.1038/s41893-026-01851-6" TargetMode="External"/><Relationship Id="rId108" Type="http://schemas.openxmlformats.org/officeDocument/2006/relationships/hyperlink" Target="http://pubs.rsc.org/en/Content/ArticleLanding/2026/EE/D6EE01118G" TargetMode="External"/><Relationship Id="rId109" Type="http://schemas.openxmlformats.org/officeDocument/2006/relationships/hyperlink" Target="https://www.sciencedirect.com/science/article/pii/S0306261926008123?dgcid=rss_sd_all" TargetMode="External"/><Relationship Id="rId110" Type="http://schemas.openxmlformats.org/officeDocument/2006/relationships/hyperlink" Target="https://www.sciencedirect.com/science/article/pii/S0306261926007087?dgcid=rss_sd_all" TargetMode="External"/><Relationship Id="rId111" Type="http://schemas.openxmlformats.org/officeDocument/2006/relationships/hyperlink" Target="https://advanced.onlinelibrary.wiley.com/doi/10.1002/adma.73552?af=R" TargetMode="External"/><Relationship Id="rId112" Type="http://schemas.openxmlformats.org/officeDocument/2006/relationships/hyperlink" Target="https://doi.org/10.1002/adma.73552" TargetMode="External"/><Relationship Id="rId113" Type="http://schemas.openxmlformats.org/officeDocument/2006/relationships/hyperlink" Target="https://advanced.onlinelibrary.wiley.com/doi/10.1002/adma.73605?af=R" TargetMode="External"/><Relationship Id="rId114" Type="http://schemas.openxmlformats.org/officeDocument/2006/relationships/hyperlink" Target="https://doi.org/10.1002/adma.73605" TargetMode="External"/><Relationship Id="rId115" Type="http://schemas.openxmlformats.org/officeDocument/2006/relationships/hyperlink" Target="https://onlinelibrary.wiley.com/doi/10.1002/anie.8655767?af=R" TargetMode="External"/><Relationship Id="rId116" Type="http://schemas.openxmlformats.org/officeDocument/2006/relationships/hyperlink" Target="https://doi.org/10.1002/anie.8655767" TargetMode="External"/><Relationship Id="rId117" Type="http://schemas.openxmlformats.org/officeDocument/2006/relationships/hyperlink" Target="http://pubs.rsc.org/en/Content/ArticleLanding/2026/EE/D6EE01214K" TargetMode="External"/><Relationship Id="rId118" Type="http://schemas.openxmlformats.org/officeDocument/2006/relationships/hyperlink" Target="https://advanced.onlinelibrary.wiley.com/doi/10.1002/adma.73429?af=R" TargetMode="External"/><Relationship Id="rId119" Type="http://schemas.openxmlformats.org/officeDocument/2006/relationships/hyperlink" Target="https://doi.org/10.1002/adma.73429" TargetMode="External"/><Relationship Id="rId120" Type="http://schemas.openxmlformats.org/officeDocument/2006/relationships/hyperlink" Target="https://advanced.onlinelibrary.wiley.com/doi/10.1002/adma.73485?af=R" TargetMode="External"/><Relationship Id="rId121" Type="http://schemas.openxmlformats.org/officeDocument/2006/relationships/hyperlink" Target="https://doi.org/10.1002/adma.73485" TargetMode="External"/><Relationship Id="rId122" Type="http://schemas.openxmlformats.org/officeDocument/2006/relationships/hyperlink" Target="http://pubs.rsc.org/en/Content/ArticleLanding/2026/EE/D6EE01584K" TargetMode="External"/><Relationship Id="rId123" Type="http://schemas.openxmlformats.org/officeDocument/2006/relationships/hyperlink" Target="https://advanced.onlinelibrary.wiley.com/doi/10.1002/adma.73665?af=R" TargetMode="External"/><Relationship Id="rId124" Type="http://schemas.openxmlformats.org/officeDocument/2006/relationships/hyperlink" Target="https://doi.org/10.1002/adma.73665" TargetMode="External"/><Relationship Id="rId125" Type="http://schemas.openxmlformats.org/officeDocument/2006/relationships/hyperlink" Target="https://onlinelibrary.wiley.com/doi/10.1002/anie.6643887?af=R" TargetMode="External"/><Relationship Id="rId126" Type="http://schemas.openxmlformats.org/officeDocument/2006/relationships/hyperlink" Target="https://doi.org/10.1002/anie.6643887" TargetMode="External"/><Relationship Id="rId127" Type="http://schemas.openxmlformats.org/officeDocument/2006/relationships/hyperlink" Target="https://advanced.onlinelibrary.wiley.com/doi/10.1002/adma.73684?af=R" TargetMode="External"/><Relationship Id="rId128" Type="http://schemas.openxmlformats.org/officeDocument/2006/relationships/hyperlink" Target="https://doi.org/10.1002/adma.73684" TargetMode="External"/><Relationship Id="rId129" Type="http://schemas.openxmlformats.org/officeDocument/2006/relationships/hyperlink" Target="https://advanced.onlinelibrary.wiley.com/doi/10.1002/adma.73660?af=R" TargetMode="External"/><Relationship Id="rId130" Type="http://schemas.openxmlformats.org/officeDocument/2006/relationships/hyperlink" Target="https://doi.org/10.1002/adma.73660" TargetMode="External"/><Relationship Id="rId131" Type="http://schemas.openxmlformats.org/officeDocument/2006/relationships/hyperlink" Target="https://advanced.onlinelibrary.wiley.com/doi/10.1002/adma.73667?af=R" TargetMode="External"/><Relationship Id="rId132" Type="http://schemas.openxmlformats.org/officeDocument/2006/relationships/hyperlink" Target="https://doi.org/10.1002/adma.73667" TargetMode="External"/><Relationship Id="rId133" Type="http://schemas.openxmlformats.org/officeDocument/2006/relationships/hyperlink" Target="https://www.sciencedirect.com/science/article/pii/S030626192600783X?dgcid=rss_sd_all" TargetMode="External"/><Relationship Id="rId134" Type="http://schemas.openxmlformats.org/officeDocument/2006/relationships/hyperlink" Target="https://www.sciencedirect.com/science/article/pii/S0306261926008226?dgcid=rss_sd_all" TargetMode="External"/><Relationship Id="rId135" Type="http://schemas.openxmlformats.org/officeDocument/2006/relationships/hyperlink" Target="https://advanced.onlinelibrary.wiley.com/doi/10.1002/adma.73586?af=R" TargetMode="External"/><Relationship Id="rId136" Type="http://schemas.openxmlformats.org/officeDocument/2006/relationships/hyperlink" Target="https://doi.org/10.1002/adma.73586" TargetMode="External"/><Relationship Id="rId137" Type="http://schemas.openxmlformats.org/officeDocument/2006/relationships/hyperlink" Target="https://www.sciencedirect.com/science/article/pii/S0306261926008056?dgcid=rss_sd_all" TargetMode="External"/><Relationship Id="rId138" Type="http://schemas.openxmlformats.org/officeDocument/2006/relationships/hyperlink" Target="https://www.sciencedirect.com/science/article/pii/S0306261926008445?dgcid=rss_sd_all" TargetMode="External"/><Relationship Id="rId139" Type="http://schemas.openxmlformats.org/officeDocument/2006/relationships/hyperlink" Target="https://advanced.onlinelibrary.wiley.com/doi/10.1002/aenm.71173?af=R" TargetMode="External"/><Relationship Id="rId140" Type="http://schemas.openxmlformats.org/officeDocument/2006/relationships/hyperlink" Target="https://doi.org/10.1002/aenm.71173" TargetMode="External"/><Relationship Id="rId141" Type="http://schemas.openxmlformats.org/officeDocument/2006/relationships/hyperlink" Target="https://www.nature.com/articles/s41563-026-02655-x" TargetMode="External"/><Relationship Id="rId142" Type="http://schemas.openxmlformats.org/officeDocument/2006/relationships/hyperlink" Target="https://doi.org/10.1038/s41563-026-02655-x" TargetMode="External"/><Relationship Id="rId143" Type="http://schemas.openxmlformats.org/officeDocument/2006/relationships/hyperlink" Target="https://www.sciencedirect.com/science/article/pii/S0306261926008007?dgcid=rss_sd_all" TargetMode="External"/><Relationship Id="rId144" Type="http://schemas.openxmlformats.org/officeDocument/2006/relationships/hyperlink" Target="https://advanced.onlinelibrary.wiley.com/doi/10.1002/adma.73426?af=R" TargetMode="External"/><Relationship Id="rId145" Type="http://schemas.openxmlformats.org/officeDocument/2006/relationships/hyperlink" Target="https://doi.org/10.1002/adma.73426" TargetMode="External"/><Relationship Id="rId146" Type="http://schemas.openxmlformats.org/officeDocument/2006/relationships/hyperlink" Target="http://link.aps.org/doi/10.1103/2pdy-5c6k" TargetMode="External"/><Relationship Id="rId147" Type="http://schemas.openxmlformats.org/officeDocument/2006/relationships/hyperlink" Target="https://doi.org/10.1103/2pdy-5c6k" TargetMode="External"/><Relationship Id="rId148" Type="http://schemas.openxmlformats.org/officeDocument/2006/relationships/hyperlink" Target="https://advanced.onlinelibrary.wiley.com/doi/10.1002/adma.73680?af=R" TargetMode="External"/><Relationship Id="rId149" Type="http://schemas.openxmlformats.org/officeDocument/2006/relationships/hyperlink" Target="https://doi.org/10.1002/adma.73680" TargetMode="External"/><Relationship Id="rId150" Type="http://schemas.openxmlformats.org/officeDocument/2006/relationships/hyperlink" Target="https://advanced.onlinelibrary.wiley.com/doi/10.1002/adma.73629?af=R" TargetMode="External"/><Relationship Id="rId151" Type="http://schemas.openxmlformats.org/officeDocument/2006/relationships/hyperlink" Target="https://doi.org/10.1002/adma.73629" TargetMode="External"/><Relationship Id="rId152" Type="http://schemas.openxmlformats.org/officeDocument/2006/relationships/hyperlink" Target="https://advanced.onlinelibrary.wiley.com/doi/10.1002/adma.73655?af=R" TargetMode="External"/><Relationship Id="rId153" Type="http://schemas.openxmlformats.org/officeDocument/2006/relationships/hyperlink" Target="https://doi.org/10.1002/adma.73655" TargetMode="External"/><Relationship Id="rId154" Type="http://schemas.openxmlformats.org/officeDocument/2006/relationships/hyperlink" Target="https://www.sciencedirect.com/science/article/pii/S0306261926008135?dgcid=rss_sd_all" TargetMode="External"/><Relationship Id="rId155" Type="http://schemas.openxmlformats.org/officeDocument/2006/relationships/hyperlink" Target="https://onlinelibrary.wiley.com/doi/10.1002/anie.6747202?af=R" TargetMode="External"/><Relationship Id="rId156" Type="http://schemas.openxmlformats.org/officeDocument/2006/relationships/hyperlink" Target="https://doi.org/10.1002/anie.6747202" TargetMode="External"/><Relationship Id="rId157" Type="http://schemas.openxmlformats.org/officeDocument/2006/relationships/hyperlink" Target="https://iopscience.iop.org/article/10.1088/1741-4326/ae6f2e" TargetMode="External"/><Relationship Id="rId158" Type="http://schemas.openxmlformats.org/officeDocument/2006/relationships/hyperlink" Target="https://doi.org/10.1088/1741-4326/ae6f2e" TargetMode="External"/><Relationship Id="rId159" Type="http://schemas.openxmlformats.org/officeDocument/2006/relationships/hyperlink" Target="https://iopscience.iop.org/article/10.1088/1741-4326/ae6d15" TargetMode="External"/><Relationship Id="rId160" Type="http://schemas.openxmlformats.org/officeDocument/2006/relationships/hyperlink" Target="https://doi.org/10.1088/1741-4326/ae6d15" TargetMode="External"/><Relationship Id="rId161" Type="http://schemas.openxmlformats.org/officeDocument/2006/relationships/hyperlink" Target="https://iopscience.iop.org/article/10.1088/1741-4326/ae712d" TargetMode="External"/><Relationship Id="rId162" Type="http://schemas.openxmlformats.org/officeDocument/2006/relationships/hyperlink" Target="https://doi.org/10.1088/1741-4326/ae712d" TargetMode="External"/><Relationship Id="rId163" Type="http://schemas.openxmlformats.org/officeDocument/2006/relationships/hyperlink" Target="https://iopscience.iop.org/article/10.1088/1741-4326/ae70a3" TargetMode="External"/><Relationship Id="rId164" Type="http://schemas.openxmlformats.org/officeDocument/2006/relationships/hyperlink" Target="https://doi.org/10.1088/1741-4326/ae70a3" TargetMode="External"/><Relationship Id="rId165" Type="http://schemas.openxmlformats.org/officeDocument/2006/relationships/hyperlink" Target="https://www.nature.com/articles/d41586-026-01795-z" TargetMode="External"/><Relationship Id="rId166" Type="http://schemas.openxmlformats.org/officeDocument/2006/relationships/hyperlink" Target="https://doi.org/10.1038/d41586-026-01795-z" TargetMode="External"/><Relationship Id="rId167" Type="http://schemas.openxmlformats.org/officeDocument/2006/relationships/hyperlink" Target="https://iopscience.iop.org/article/10.1088/1741-4326/ae70a2" TargetMode="External"/><Relationship Id="rId168" Type="http://schemas.openxmlformats.org/officeDocument/2006/relationships/hyperlink" Target="https://doi.org/10.1088/1741-4326/ae70a2" TargetMode="External"/><Relationship Id="rId169" Type="http://schemas.openxmlformats.org/officeDocument/2006/relationships/hyperlink" Target="https://iopscience.iop.org/article/10.1088/1741-4326/ae72a2" TargetMode="External"/><Relationship Id="rId170" Type="http://schemas.openxmlformats.org/officeDocument/2006/relationships/hyperlink" Target="https://doi.org/10.1088/1741-4326/ae72a2" TargetMode="External"/><Relationship Id="rId171" Type="http://schemas.openxmlformats.org/officeDocument/2006/relationships/hyperlink" Target="https://iopscience.iop.org/article/10.1088/1741-4326/ae72a4" TargetMode="External"/><Relationship Id="rId172" Type="http://schemas.openxmlformats.org/officeDocument/2006/relationships/hyperlink" Target="https://doi.org/10.1088/1741-4326/ae72a4" TargetMode="External"/><Relationship Id="rId173" Type="http://schemas.openxmlformats.org/officeDocument/2006/relationships/hyperlink" Target="https://iopscience.iop.org/article/10.1088/1741-4326/ae738e" TargetMode="External"/><Relationship Id="rId174" Type="http://schemas.openxmlformats.org/officeDocument/2006/relationships/hyperlink" Target="https://doi.org/10.1088/1741-4326/ae738e" TargetMode="External"/><Relationship Id="rId175" Type="http://schemas.openxmlformats.org/officeDocument/2006/relationships/hyperlink" Target="https://iopscience.iop.org/article/10.1088/1741-4326/ae729f" TargetMode="External"/><Relationship Id="rId176" Type="http://schemas.openxmlformats.org/officeDocument/2006/relationships/hyperlink" Target="https://doi.org/10.1088/1741-4326/ae729f" TargetMode="External"/><Relationship Id="rId177" Type="http://schemas.openxmlformats.org/officeDocument/2006/relationships/hyperlink" Target="https://onlinelibrary.wiley.com/doi/10.1002/anie.9159294?af=R" TargetMode="External"/><Relationship Id="rId178" Type="http://schemas.openxmlformats.org/officeDocument/2006/relationships/hyperlink" Target="https://doi.org/10.1002/anie.9159294" TargetMode="External"/><Relationship Id="rId179" Type="http://schemas.openxmlformats.org/officeDocument/2006/relationships/hyperlink" Target="http://pubs.rsc.org/en/Content/ArticleLanding/2026/CS/D6CS00154H" TargetMode="External"/><Relationship Id="rId180" Type="http://schemas.openxmlformats.org/officeDocument/2006/relationships/hyperlink" Target="https://iopscience.iop.org/article/10.1088/1741-4326/ae6f2c" TargetMode="External"/><Relationship Id="rId181" Type="http://schemas.openxmlformats.org/officeDocument/2006/relationships/hyperlink" Target="https://doi.org/10.1088/1741-4326/ae6f2c" TargetMode="External"/><Relationship Id="rId182" Type="http://schemas.openxmlformats.org/officeDocument/2006/relationships/hyperlink" Target="https://iopscience.iop.org/article/10.1088/1741-4326/ae70c0" TargetMode="External"/><Relationship Id="rId183" Type="http://schemas.openxmlformats.org/officeDocument/2006/relationships/hyperlink" Target="https://doi.org/10.1088/1741-4326/ae70c0" TargetMode="External"/><Relationship Id="rId184" Type="http://schemas.openxmlformats.org/officeDocument/2006/relationships/hyperlink" Target="https://iopscience.iop.org/article/10.1088/1741-4326/ae738d" TargetMode="External"/><Relationship Id="rId185" Type="http://schemas.openxmlformats.org/officeDocument/2006/relationships/hyperlink" Target="https://doi.org/10.1088/1741-4326/ae738d" TargetMode="External"/><Relationship Id="rId186" Type="http://schemas.openxmlformats.org/officeDocument/2006/relationships/hyperlink" Target="https://iopscience.iop.org/article/10.1088/1741-4326/ae72a3" TargetMode="External"/><Relationship Id="rId187" Type="http://schemas.openxmlformats.org/officeDocument/2006/relationships/hyperlink" Target="https://doi.org/10.1088/1741-4326/ae72a3" TargetMode="External"/><Relationship Id="rId188" Type="http://schemas.openxmlformats.org/officeDocument/2006/relationships/hyperlink" Target="https://iopscience.iop.org/article/10.1088/1741-4326/ae72a0" TargetMode="External"/><Relationship Id="rId189" Type="http://schemas.openxmlformats.org/officeDocument/2006/relationships/hyperlink" Target="https://doi.org/10.1088/1741-4326/ae72a0" TargetMode="External"/><Relationship Id="rId190" Type="http://schemas.openxmlformats.org/officeDocument/2006/relationships/hyperlink" Target="https://www.sciencedirect.com/science/article/pii/S0301421526003356?dgcid=rss_sd_all" TargetMode="External"/><Relationship Id="rId191" Type="http://schemas.openxmlformats.org/officeDocument/2006/relationships/hyperlink" Target="https://advanced.onlinelibrary.wiley.com/doi/10.1002/adma.73603?af=R" TargetMode="External"/><Relationship Id="rId192" Type="http://schemas.openxmlformats.org/officeDocument/2006/relationships/hyperlink" Target="https://doi.org/10.1002/adma.73603" TargetMode="External"/><Relationship Id="rId193" Type="http://schemas.openxmlformats.org/officeDocument/2006/relationships/hyperlink" Target="https://www.sciencedirect.com/science/article/pii/S0306261926007828?dgcid=rss_sd_all" TargetMode="External"/><Relationship Id="rId194" Type="http://schemas.openxmlformats.org/officeDocument/2006/relationships/hyperlink" Target="https://www.sciencedirect.com/science/article/pii/S0306261926008068?dgcid=rss_sd_all" TargetMode="External"/><Relationship Id="rId195" Type="http://schemas.openxmlformats.org/officeDocument/2006/relationships/hyperlink" Target="https://www.sciencedirect.com/science/article/pii/S0306261926007671?dgcid=rss_sd_all" TargetMode="External"/><Relationship Id="rId196" Type="http://schemas.openxmlformats.org/officeDocument/2006/relationships/hyperlink" Target="https://onlinelibrary.wiley.com/doi/10.1002/anie.8222953?af=R" TargetMode="External"/><Relationship Id="rId197" Type="http://schemas.openxmlformats.org/officeDocument/2006/relationships/hyperlink" Target="https://doi.org/10.1002/anie.8222953" TargetMode="External"/><Relationship Id="rId198" Type="http://schemas.openxmlformats.org/officeDocument/2006/relationships/hyperlink" Target="https://onlinelibrary.wiley.com/doi/10.1002/anie.6035082?af=R" TargetMode="External"/><Relationship Id="rId199" Type="http://schemas.openxmlformats.org/officeDocument/2006/relationships/hyperlink" Target="https://doi.org/10.1002/anie.6035082" TargetMode="External"/><Relationship Id="rId200" Type="http://schemas.openxmlformats.org/officeDocument/2006/relationships/hyperlink" Target="https://onlinelibrary.wiley.com/doi/10.1002/anie.8682199?af=R" TargetMode="External"/><Relationship Id="rId201" Type="http://schemas.openxmlformats.org/officeDocument/2006/relationships/hyperlink" Target="https://doi.org/10.1002/anie.8682199" TargetMode="External"/><Relationship Id="rId202" Type="http://schemas.openxmlformats.org/officeDocument/2006/relationships/hyperlink" Target="https://onlinelibrary.wiley.com/doi/10.1002/anie.2159450?af=R" TargetMode="External"/><Relationship Id="rId203" Type="http://schemas.openxmlformats.org/officeDocument/2006/relationships/hyperlink" Target="https://doi.org/10.1002/anie.2159450" TargetMode="External"/><Relationship Id="rId204" Type="http://schemas.openxmlformats.org/officeDocument/2006/relationships/hyperlink" Target="https://onlinelibrary.wiley.com/doi/10.1002/anie.8887957?af=R" TargetMode="External"/><Relationship Id="rId205" Type="http://schemas.openxmlformats.org/officeDocument/2006/relationships/hyperlink" Target="https://doi.org/10.1002/anie.8887957" TargetMode="External"/><Relationship Id="rId206" Type="http://schemas.openxmlformats.org/officeDocument/2006/relationships/hyperlink" Target="https://onlinelibrary.wiley.com/doi/10.1002/anie.1451856?af=R" TargetMode="External"/><Relationship Id="rId207" Type="http://schemas.openxmlformats.org/officeDocument/2006/relationships/hyperlink" Target="https://doi.org/10.1002/anie.1451856" TargetMode="External"/><Relationship Id="rId208" Type="http://schemas.openxmlformats.org/officeDocument/2006/relationships/hyperlink" Target="https://www.cell.com/matter/fulltext/S2590-2385(26)00224-9?rss=yes" TargetMode="External"/><Relationship Id="rId209" Type="http://schemas.openxmlformats.org/officeDocument/2006/relationships/hyperlink" Target="https://doi.org/10.1016/j.matt.2026.102861" TargetMode="External"/><Relationship Id="rId210" Type="http://schemas.openxmlformats.org/officeDocument/2006/relationships/hyperlink" Target="https://www.sciencedirect.com/science/article/pii/S030142152600323X?dgcid=rss_sd_all" TargetMode="External"/><Relationship Id="rId211" Type="http://schemas.openxmlformats.org/officeDocument/2006/relationships/hyperlink" Target="https://www.cell.com/chem/fulltext/S2451-9294(26)00163-4?rss=yes" TargetMode="External"/><Relationship Id="rId212" Type="http://schemas.openxmlformats.org/officeDocument/2006/relationships/hyperlink" Target="https://doi.org/10.1016/j.chempr.2026.103097" TargetMode="External"/><Relationship Id="rId213" Type="http://schemas.openxmlformats.org/officeDocument/2006/relationships/hyperlink" Target="https://onlinelibrary.wiley.com/doi/10.1002/anie.9750153?af=R" TargetMode="External"/><Relationship Id="rId214" Type="http://schemas.openxmlformats.org/officeDocument/2006/relationships/hyperlink" Target="https://doi.org/10.1002/anie.9750153" TargetMode="External"/><Relationship Id="rId215" Type="http://schemas.openxmlformats.org/officeDocument/2006/relationships/hyperlink" Target="https://onlinelibrary.wiley.com/doi/10.1002/anie.5292155?af=R" TargetMode="External"/><Relationship Id="rId216" Type="http://schemas.openxmlformats.org/officeDocument/2006/relationships/hyperlink" Target="https://doi.org/10.1002/anie.5292155" TargetMode="External"/><Relationship Id="rId217" Type="http://schemas.openxmlformats.org/officeDocument/2006/relationships/hyperlink" Target="https://advanced.onlinelibrary.wiley.com/doi/10.1002/aenm.71172?af=R" TargetMode="External"/><Relationship Id="rId218" Type="http://schemas.openxmlformats.org/officeDocument/2006/relationships/hyperlink" Target="https://doi.org/10.1002/aenm.71172" TargetMode="External"/><Relationship Id="rId219" Type="http://schemas.openxmlformats.org/officeDocument/2006/relationships/hyperlink" Target="https://advanced.onlinelibrary.wiley.com/doi/10.1002/adma.73550?af=R" TargetMode="External"/><Relationship Id="rId220" Type="http://schemas.openxmlformats.org/officeDocument/2006/relationships/hyperlink" Target="https://doi.org/10.1002/adma.73550" TargetMode="External"/><Relationship Id="rId221" Type="http://schemas.openxmlformats.org/officeDocument/2006/relationships/hyperlink" Target="https://onlinelibrary.wiley.com/doi/10.1002/anie.7818348?af=R" TargetMode="External"/><Relationship Id="rId222" Type="http://schemas.openxmlformats.org/officeDocument/2006/relationships/hyperlink" Target="https://doi.org/10.1002/anie.7818348" TargetMode="External"/><Relationship Id="rId223" Type="http://schemas.openxmlformats.org/officeDocument/2006/relationships/hyperlink" Target="https://onlinelibrary.wiley.com/doi/10.1002/anie.3665828?af=R" TargetMode="External"/><Relationship Id="rId224" Type="http://schemas.openxmlformats.org/officeDocument/2006/relationships/hyperlink" Target="https://doi.org/10.1002/anie.3665828" TargetMode="External"/><Relationship Id="rId225" Type="http://schemas.openxmlformats.org/officeDocument/2006/relationships/hyperlink" Target="http://pubs.rsc.org/en/Content/ArticleLanding/2026/CS/D6CS00242K" TargetMode="External"/><Relationship Id="rId226" Type="http://schemas.openxmlformats.org/officeDocument/2006/relationships/hyperlink" Target="https://www.sciencedirect.com/science/article/pii/S0306261926008421?dgcid=rss_sd_all" TargetMode="External"/><Relationship Id="rId227" Type="http://schemas.openxmlformats.org/officeDocument/2006/relationships/hyperlink" Target="https://www.sciencedirect.com/science/article/pii/S0306261926008639?dgcid=rss_sd_all" TargetMode="External"/><Relationship Id="rId228" Type="http://schemas.openxmlformats.org/officeDocument/2006/relationships/hyperlink" Target="https://www.nature.com/articles/s41560-026-02089-4" TargetMode="External"/><Relationship Id="rId229" Type="http://schemas.openxmlformats.org/officeDocument/2006/relationships/hyperlink" Target="https://doi.org/10.1038/s41560-026-02089-4" TargetMode="External"/><Relationship Id="rId230" Type="http://schemas.openxmlformats.org/officeDocument/2006/relationships/hyperlink" Target="https://www.science.org/doi/abs/10.1126/sciadv.aeb8831?af=R" TargetMode="External"/><Relationship Id="rId231" Type="http://schemas.openxmlformats.org/officeDocument/2006/relationships/hyperlink" Target="https://doi.org/10.1126/sciadv.aeb8831" TargetMode="External"/><Relationship Id="rId232" Type="http://schemas.openxmlformats.org/officeDocument/2006/relationships/hyperlink" Target="https://advanced.onlinelibrary.wiley.com/doi/10.1002/adma.73687?af=R" TargetMode="External"/><Relationship Id="rId233" Type="http://schemas.openxmlformats.org/officeDocument/2006/relationships/hyperlink" Target="https://doi.org/10.1002/adma.73687" TargetMode="External"/><Relationship Id="rId234" Type="http://schemas.openxmlformats.org/officeDocument/2006/relationships/hyperlink" Target="https://onlinelibrary.wiley.com/doi/10.1002/anie.6914811?af=R" TargetMode="External"/><Relationship Id="rId235" Type="http://schemas.openxmlformats.org/officeDocument/2006/relationships/hyperlink" Target="https://doi.org/10.1002/anie.6914811" TargetMode="External"/><Relationship Id="rId236" Type="http://schemas.openxmlformats.org/officeDocument/2006/relationships/hyperlink" Target="https://onlinelibrary.wiley.com/doi/10.1002/anie.6517699?af=R" TargetMode="External"/><Relationship Id="rId237" Type="http://schemas.openxmlformats.org/officeDocument/2006/relationships/hyperlink" Target="https://doi.org/10.1002/anie.6517699" TargetMode="External"/><Relationship Id="rId238" Type="http://schemas.openxmlformats.org/officeDocument/2006/relationships/hyperlink" Target="https://advanced.onlinelibrary.wiley.com/doi/10.1002/aenm.71178?af=R" TargetMode="External"/><Relationship Id="rId239" Type="http://schemas.openxmlformats.org/officeDocument/2006/relationships/hyperlink" Target="https://doi.org/10.1002/aenm.71178" TargetMode="External"/><Relationship Id="rId240" Type="http://schemas.openxmlformats.org/officeDocument/2006/relationships/hyperlink" Target="https://advanced.onlinelibrary.wiley.com/doi/10.1002/aenm.71156?af=R" TargetMode="External"/><Relationship Id="rId241" Type="http://schemas.openxmlformats.org/officeDocument/2006/relationships/hyperlink" Target="https://doi.org/10.1002/aenm.71156" TargetMode="External"/><Relationship Id="rId242" Type="http://schemas.openxmlformats.org/officeDocument/2006/relationships/hyperlink" Target="https://onlinelibrary.wiley.com/doi/10.1002/anie.6195416?af=R" TargetMode="External"/><Relationship Id="rId243" Type="http://schemas.openxmlformats.org/officeDocument/2006/relationships/hyperlink" Target="https://doi.org/10.1002/anie.6195416" TargetMode="External"/><Relationship Id="rId244" Type="http://schemas.openxmlformats.org/officeDocument/2006/relationships/hyperlink" Target="https://onlinelibrary.wiley.com/doi/10.1002/anie.7866851?af=R" TargetMode="External"/><Relationship Id="rId245" Type="http://schemas.openxmlformats.org/officeDocument/2006/relationships/hyperlink" Target="https://doi.org/10.1002/anie.7866851" TargetMode="External"/><Relationship Id="rId246" Type="http://schemas.openxmlformats.org/officeDocument/2006/relationships/hyperlink" Target="http://pubs.rsc.org/en/Content/ArticleLanding/2026/EE/D6EE02097F" TargetMode="External"/><Relationship Id="rId247" Type="http://schemas.openxmlformats.org/officeDocument/2006/relationships/hyperlink" Target="http://pubs.rsc.org/en/Content/ArticleLanding/2026/EE/D6EE00987E" TargetMode="External"/><Relationship Id="rId248" Type="http://schemas.openxmlformats.org/officeDocument/2006/relationships/hyperlink" Target="https://www.sciencedirect.com/science/article/pii/S0306261926007956?dgcid=rss_sd_all" TargetMode="External"/><Relationship Id="rId249" Type="http://schemas.openxmlformats.org/officeDocument/2006/relationships/hyperlink" Target="https://www.sciencedirect.com/science/article/pii/S0306261926008159?dgcid=rss_sd_all" TargetMode="External"/><Relationship Id="rId250" Type="http://schemas.openxmlformats.org/officeDocument/2006/relationships/hyperlink" Target="https://www.sciencedirect.com/science/article/pii/S0306261926007841?dgcid=rss_sd_all" TargetMode="External"/><Relationship Id="rId251" Type="http://schemas.openxmlformats.org/officeDocument/2006/relationships/hyperlink" Target="https://www.sciencedirect.com/science/article/pii/S0306261926007890?dgcid=rss_sd_all" TargetMode="External"/><Relationship Id="rId252" Type="http://schemas.openxmlformats.org/officeDocument/2006/relationships/hyperlink" Target="https://www.sciencedirect.com/science/article/pii/S0301421526003101?dgcid=rss_sd_all" TargetMode="External"/><Relationship Id="rId253" Type="http://schemas.openxmlformats.org/officeDocument/2006/relationships/hyperlink" Target="https://www.sciencedirect.com/science/article/pii/S0306261926007646?dgcid=rss_sd_all" TargetMode="External"/><Relationship Id="rId254" Type="http://schemas.openxmlformats.org/officeDocument/2006/relationships/hyperlink" Target="https://www.sciencedirect.com/science/article/pii/S0306261926008512?dgcid=rss_sd_all" TargetMode="External"/><Relationship Id="rId255" Type="http://schemas.openxmlformats.org/officeDocument/2006/relationships/hyperlink" Target="https://academic.oup.com/nsr/advance-article/doi/10.1093/nsr/nwag338/8704110?rss=1" TargetMode="External"/><Relationship Id="rId256" Type="http://schemas.openxmlformats.org/officeDocument/2006/relationships/hyperlink" Target="https://doi.org/10.1093/nsr/nwag338" TargetMode="External"/><Relationship Id="rId257" Type="http://schemas.openxmlformats.org/officeDocument/2006/relationships/hyperlink" Target="https://www.pnas.org/doi/abs/10.1073/pnas.2528009123?mi=eymic2&amp;af=R&amp;access=on&amp;content=articlesChapters&amp;publication=pnas&amp;sortBy=Earliest&amp;target=default" TargetMode="External"/><Relationship Id="rId258" Type="http://schemas.openxmlformats.org/officeDocument/2006/relationships/hyperlink" Target="https://doi.org/10.1073/pnas.2528009123" TargetMode="External"/><Relationship Id="rId259" Type="http://schemas.openxmlformats.org/officeDocument/2006/relationships/hyperlink" Target="https://www.pnas.org/doi/abs/10.1073/pnas.2604454123?mi=eymic2&amp;af=R&amp;access=on&amp;content=articlesChapters&amp;publication=pnas&amp;sortBy=Earliest&amp;target=default" TargetMode="External"/><Relationship Id="rId260" Type="http://schemas.openxmlformats.org/officeDocument/2006/relationships/hyperlink" Target="https://doi.org/10.1073/pnas.2604454123" TargetMode="External"/><Relationship Id="rId261" Type="http://schemas.openxmlformats.org/officeDocument/2006/relationships/hyperlink" Target="https://www.sciencedirect.com/science/article/pii/S0301421526003599?dgcid=rss_sd_all" TargetMode="External"/><Relationship Id="rId262" Type="http://schemas.openxmlformats.org/officeDocument/2006/relationships/hyperlink" Target="https://www.sciencedirect.com/science/article/pii/S0301421526003551?dgcid=rss_sd_all" TargetMode="External"/><Relationship Id="rId263" Type="http://schemas.openxmlformats.org/officeDocument/2006/relationships/hyperlink" Target="https://onlinelibrary.wiley.com/doi/10.1002/anie.6752036?af=R" TargetMode="External"/><Relationship Id="rId264" Type="http://schemas.openxmlformats.org/officeDocument/2006/relationships/hyperlink" Target="https://doi.org/10.1002/anie.6752036" TargetMode="External"/><Relationship Id="rId265" Type="http://schemas.openxmlformats.org/officeDocument/2006/relationships/hyperlink" Target="https://onlinelibrary.wiley.com/doi/10.1002/anie.2045478?af=R" TargetMode="External"/><Relationship Id="rId266" Type="http://schemas.openxmlformats.org/officeDocument/2006/relationships/hyperlink" Target="https://doi.org/10.1002/anie.2045478" TargetMode="External"/><Relationship Id="rId267" Type="http://schemas.openxmlformats.org/officeDocument/2006/relationships/hyperlink" Target="https://www.nature.com/articles/s41586-026-10580-x" TargetMode="External"/><Relationship Id="rId268" Type="http://schemas.openxmlformats.org/officeDocument/2006/relationships/hyperlink" Target="https://doi.org/10.1038/s41586-026-10580-x" TargetMode="External"/><Relationship Id="rId269" Type="http://schemas.openxmlformats.org/officeDocument/2006/relationships/hyperlink" Target="https://www.nature.com/articles/d41586-026-01586-6" TargetMode="External"/><Relationship Id="rId270" Type="http://schemas.openxmlformats.org/officeDocument/2006/relationships/hyperlink" Target="https://doi.org/10.1038/d41586-026-01586-6" TargetMode="External"/><Relationship Id="rId271" Type="http://schemas.openxmlformats.org/officeDocument/2006/relationships/hyperlink" Target="https://www.sciencedirect.com/science/article/pii/S0306261926008408?dgcid=rss_sd_all" TargetMode="External"/><Relationship Id="rId272" Type="http://schemas.openxmlformats.org/officeDocument/2006/relationships/hyperlink" Target="https://onlinelibrary.wiley.com/doi/10.1002/anie.4304657?af=R" TargetMode="External"/><Relationship Id="rId273" Type="http://schemas.openxmlformats.org/officeDocument/2006/relationships/hyperlink" Target="https://doi.org/10.1002/anie.4304657" TargetMode="External"/><Relationship Id="rId274" Type="http://schemas.openxmlformats.org/officeDocument/2006/relationships/hyperlink" Target="https://advanced.onlinelibrary.wiley.com/doi/10.1002/adma.73668?af=R" TargetMode="External"/><Relationship Id="rId275" Type="http://schemas.openxmlformats.org/officeDocument/2006/relationships/hyperlink" Target="https://doi.org/10.1002/adma.73668" TargetMode="External"/><Relationship Id="rId276" Type="http://schemas.openxmlformats.org/officeDocument/2006/relationships/hyperlink" Target="https://onlinelibrary.wiley.com/doi/10.1002/anie.3215238?af=R" TargetMode="External"/><Relationship Id="rId277" Type="http://schemas.openxmlformats.org/officeDocument/2006/relationships/hyperlink" Target="https://doi.org/10.1002/anie.3215238" TargetMode="External"/><Relationship Id="rId278" Type="http://schemas.openxmlformats.org/officeDocument/2006/relationships/hyperlink" Target="https://onlinelibrary.wiley.com/doi/10.1002/anie.5490783?af=R" TargetMode="External"/><Relationship Id="rId279" Type="http://schemas.openxmlformats.org/officeDocument/2006/relationships/hyperlink" Target="https://doi.org/10.1002/anie.5490783" TargetMode="External"/><Relationship Id="rId280" Type="http://schemas.openxmlformats.org/officeDocument/2006/relationships/hyperlink" Target="https://advanced.onlinelibrary.wiley.com/doi/10.1002/aenm.71129?af=R" TargetMode="External"/><Relationship Id="rId281" Type="http://schemas.openxmlformats.org/officeDocument/2006/relationships/hyperlink" Target="https://doi.org/10.1002/aenm.71129" TargetMode="External"/><Relationship Id="rId282" Type="http://schemas.openxmlformats.org/officeDocument/2006/relationships/hyperlink" Target="https://onlinelibrary.wiley.com/doi/10.1002/anie.9733405?af=R" TargetMode="External"/><Relationship Id="rId283" Type="http://schemas.openxmlformats.org/officeDocument/2006/relationships/hyperlink" Target="https://doi.org/10.1002/anie.9733405" TargetMode="External"/><Relationship Id="rId284" Type="http://schemas.openxmlformats.org/officeDocument/2006/relationships/hyperlink" Target="https://www.pnas.org/doi/abs/10.1073/pnas.2535689123?mi=eymic2&amp;af=R&amp;access=on&amp;content=articlesChapters&amp;publication=pnas&amp;sortBy=Earliest&amp;target=default" TargetMode="External"/><Relationship Id="rId285" Type="http://schemas.openxmlformats.org/officeDocument/2006/relationships/hyperlink" Target="https://doi.org/10.1073/pnas.2535689123" TargetMode="External"/><Relationship Id="rId286" Type="http://schemas.openxmlformats.org/officeDocument/2006/relationships/hyperlink" Target="http://pubs.rsc.org/en/Content/ArticleLanding/2026/EE/D6EE01563H" TargetMode="External"/><Relationship Id="rId287" Type="http://schemas.openxmlformats.org/officeDocument/2006/relationships/hyperlink" Target="https://onlinelibrary.wiley.com/doi/10.1002/anie.5538657?af=R" TargetMode="External"/><Relationship Id="rId288" Type="http://schemas.openxmlformats.org/officeDocument/2006/relationships/hyperlink" Target="https://doi.org/10.1002/anie.5538657" TargetMode="External"/><Relationship Id="rId289" Type="http://schemas.openxmlformats.org/officeDocument/2006/relationships/hyperlink" Target="https://onlinelibrary.wiley.com/doi/10.1002/anie.8098750?af=R" TargetMode="External"/><Relationship Id="rId290" Type="http://schemas.openxmlformats.org/officeDocument/2006/relationships/hyperlink" Target="https://doi.org/10.1002/anie.8098750" TargetMode="External"/><Relationship Id="rId291" Type="http://schemas.openxmlformats.org/officeDocument/2006/relationships/hyperlink" Target="https://onlinelibrary.wiley.com/doi/10.1002/anie.1541233?af=R" TargetMode="External"/><Relationship Id="rId292" Type="http://schemas.openxmlformats.org/officeDocument/2006/relationships/hyperlink" Target="https://doi.org/10.1002/anie.1541233" TargetMode="External"/><Relationship Id="rId293" Type="http://schemas.openxmlformats.org/officeDocument/2006/relationships/hyperlink" Target="https://advanced.onlinelibrary.wiley.com/doi/10.1002/adma.73621?af=R" TargetMode="External"/><Relationship Id="rId294" Type="http://schemas.openxmlformats.org/officeDocument/2006/relationships/hyperlink" Target="https://doi.org/10.1002/adma.73621" TargetMode="External"/><Relationship Id="rId295" Type="http://schemas.openxmlformats.org/officeDocument/2006/relationships/hyperlink" Target="https://onlinelibrary.wiley.com/doi/10.1002/anie.5240027?af=R" TargetMode="External"/><Relationship Id="rId296" Type="http://schemas.openxmlformats.org/officeDocument/2006/relationships/hyperlink" Target="https://doi.org/10.1002/anie.5240027" TargetMode="External"/><Relationship Id="rId297" Type="http://schemas.openxmlformats.org/officeDocument/2006/relationships/hyperlink" Target="https://onlinelibrary.wiley.com/doi/10.1002/anie.8155133?af=R" TargetMode="External"/><Relationship Id="rId298" Type="http://schemas.openxmlformats.org/officeDocument/2006/relationships/hyperlink" Target="https://doi.org/10.1002/anie.8155133" TargetMode="External"/><Relationship Id="rId299" Type="http://schemas.openxmlformats.org/officeDocument/2006/relationships/hyperlink" Target="https://onlinelibrary.wiley.com/doi/10.1002/anie.7212170?af=R" TargetMode="External"/><Relationship Id="rId300" Type="http://schemas.openxmlformats.org/officeDocument/2006/relationships/hyperlink" Target="https://doi.org/10.1002/anie.7212170" TargetMode="External"/><Relationship Id="rId301" Type="http://schemas.openxmlformats.org/officeDocument/2006/relationships/hyperlink" Target="https://onlinelibrary.wiley.com/doi/10.1002/anie.4658732?af=R" TargetMode="External"/><Relationship Id="rId302" Type="http://schemas.openxmlformats.org/officeDocument/2006/relationships/hyperlink" Target="https://doi.org/10.1002/anie.4658732" TargetMode="External"/><Relationship Id="rId303" Type="http://schemas.openxmlformats.org/officeDocument/2006/relationships/hyperlink" Target="http://pubs.rsc.org/en/Content/ArticleLanding/2026/EE/D6EE01796G" TargetMode="External"/><Relationship Id="rId304" Type="http://schemas.openxmlformats.org/officeDocument/2006/relationships/hyperlink" Target="http://pubs.rsc.org/en/Content/ArticleLanding/2026/EE/D6EE00129G" TargetMode="External"/><Relationship Id="rId305" Type="http://schemas.openxmlformats.org/officeDocument/2006/relationships/hyperlink" Target="https://www.science.org/doi/abs/10.1126/science.adz4320?af=R" TargetMode="External"/><Relationship Id="rId306" Type="http://schemas.openxmlformats.org/officeDocument/2006/relationships/hyperlink" Target="https://doi.org/10.1126/science.adz4320" TargetMode="External"/><Relationship Id="rId307" Type="http://schemas.openxmlformats.org/officeDocument/2006/relationships/hyperlink" Target="https://www.science.org/doi/abs/10.1126/science.adu4373?af=R" TargetMode="External"/><Relationship Id="rId308" Type="http://schemas.openxmlformats.org/officeDocument/2006/relationships/hyperlink" Target="https://doi.org/10.1126/science.adu4373" TargetMode="External"/><Relationship Id="rId309" Type="http://schemas.openxmlformats.org/officeDocument/2006/relationships/hyperlink" Target="https://onlinelibrary.wiley.com/doi/10.1002/anie.2590405?af=R" TargetMode="External"/><Relationship Id="rId310" Type="http://schemas.openxmlformats.org/officeDocument/2006/relationships/hyperlink" Target="https://doi.org/10.1002/anie.2590405" TargetMode="External"/><Relationship Id="rId311" Type="http://schemas.openxmlformats.org/officeDocument/2006/relationships/hyperlink" Target="https://www.nature.com/articles/s41467-026-74156-z" TargetMode="External"/><Relationship Id="rId312" Type="http://schemas.openxmlformats.org/officeDocument/2006/relationships/hyperlink" Target="https://advanced.onlinelibrary.wiley.com/doi/10.1002/adma.73650?af=R" TargetMode="External"/><Relationship Id="rId313" Type="http://schemas.openxmlformats.org/officeDocument/2006/relationships/hyperlink" Target="https://doi.org/10.1002/adma.73650" TargetMode="External"/><Relationship Id="rId314" Type="http://schemas.openxmlformats.org/officeDocument/2006/relationships/hyperlink" Target="https://advanced.onlinelibrary.wiley.com/doi/10.1002/adma.73610?af=R" TargetMode="External"/><Relationship Id="rId315" Type="http://schemas.openxmlformats.org/officeDocument/2006/relationships/hyperlink" Target="https://doi.org/10.1002/adma.73610" TargetMode="External"/><Relationship Id="rId316" Type="http://schemas.openxmlformats.org/officeDocument/2006/relationships/hyperlink" Target="https://onlinelibrary.wiley.com/doi/10.1002/anie.1326350?af=R" TargetMode="External"/><Relationship Id="rId317" Type="http://schemas.openxmlformats.org/officeDocument/2006/relationships/hyperlink" Target="https://doi.org/10.1002/anie.1326350" TargetMode="External"/><Relationship Id="rId318" Type="http://schemas.openxmlformats.org/officeDocument/2006/relationships/hyperlink" Target="https://onlinelibrary.wiley.com/doi/10.1002/anie.5578835?af=R" TargetMode="External"/><Relationship Id="rId319" Type="http://schemas.openxmlformats.org/officeDocument/2006/relationships/hyperlink" Target="https://doi.org/10.1002/anie.5578835" TargetMode="External"/><Relationship Id="rId320" Type="http://schemas.openxmlformats.org/officeDocument/2006/relationships/hyperlink" Target="https://advanced.onlinelibrary.wiley.com/doi/10.1002/adma.73643?af=R" TargetMode="External"/><Relationship Id="rId321" Type="http://schemas.openxmlformats.org/officeDocument/2006/relationships/hyperlink" Target="https://doi.org/10.1002/adma.73643" TargetMode="External"/><Relationship Id="rId322" Type="http://schemas.openxmlformats.org/officeDocument/2006/relationships/hyperlink" Target="https://advanced.onlinelibrary.wiley.com/doi/10.1002/adma.73409?af=R" TargetMode="External"/><Relationship Id="rId323" Type="http://schemas.openxmlformats.org/officeDocument/2006/relationships/hyperlink" Target="https://doi.org/10.1002/adma.73409" TargetMode="External"/><Relationship Id="rId324" Type="http://schemas.openxmlformats.org/officeDocument/2006/relationships/hyperlink" Target="https://www.sciencedirect.com/science/article/pii/S0306261926007907?dgcid=rss_sd_all" TargetMode="External"/><Relationship Id="rId325" Type="http://schemas.openxmlformats.org/officeDocument/2006/relationships/hyperlink" Target="https://www.nature.com/articles/s41467-026-73154-5" TargetMode="External"/><Relationship Id="rId326" Type="http://schemas.openxmlformats.org/officeDocument/2006/relationships/hyperlink" Target="https://www.nature.com/articles/s41467-026-74052-6" TargetMode="External"/><Relationship Id="rId327" Type="http://schemas.openxmlformats.org/officeDocument/2006/relationships/hyperlink" Target="https://www.nature.com/articles/s41467-026-74150-5" TargetMode="External"/><Relationship Id="rId328" Type="http://schemas.openxmlformats.org/officeDocument/2006/relationships/hyperlink" Target="https://www.nature.com/articles/s41467-026-73741-6" TargetMode="External"/><Relationship Id="rId329" Type="http://schemas.openxmlformats.org/officeDocument/2006/relationships/hyperlink" Target="https://www.sciencedirect.com/science/article/pii/S0306261926008184?dgcid=rss_sd_all" TargetMode="External"/><Relationship Id="rId330" Type="http://schemas.openxmlformats.org/officeDocument/2006/relationships/hyperlink" Target="https://www.nature.com/articles/s41467-026-74070-4" TargetMode="External"/><Relationship Id="rId331" Type="http://schemas.openxmlformats.org/officeDocument/2006/relationships/hyperlink" Target="https://www.sciencedirect.com/science/article/pii/S0306261926008019?dgcid=rss_sd_all" TargetMode="External"/><Relationship Id="rId332" Type="http://schemas.openxmlformats.org/officeDocument/2006/relationships/hyperlink" Target="https://www.sciencedirect.com/science/article/pii/S0306261926007634?dgcid=rss_sd_all" TargetMode="External"/><Relationship Id="rId333" Type="http://schemas.openxmlformats.org/officeDocument/2006/relationships/hyperlink" Target="https://www.sciencedirect.com/science/article/pii/S0301421526003575?dgcid=rss_sd_all" TargetMode="External"/><Relationship Id="rId334" Type="http://schemas.openxmlformats.org/officeDocument/2006/relationships/hyperlink" Target="https://www.sciencedirect.com/science/article/pii/S030626192600807X?dgcid=rss_sd_all" TargetMode="External"/><Relationship Id="rId335" Type="http://schemas.openxmlformats.org/officeDocument/2006/relationships/hyperlink" Target="https://www.sciencedirect.com/science/article/pii/S030626192600721X?dgcid=rss_sd_all" TargetMode="External"/><Relationship Id="rId336" Type="http://schemas.openxmlformats.org/officeDocument/2006/relationships/hyperlink" Target="https://www.sciencedirect.com/science/article/pii/S0306261926008044?dgcid=rss_sd_all" TargetMode="External"/><Relationship Id="rId337" Type="http://schemas.openxmlformats.org/officeDocument/2006/relationships/hyperlink" Target="https://www.sciencedirect.com/science/article/pii/S0306261926007294?dgcid=rss_sd_all" TargetMode="External"/><Relationship Id="rId338" Type="http://schemas.openxmlformats.org/officeDocument/2006/relationships/hyperlink" Target="https://www.nature.com/articles/s41467-026-74100-1" TargetMode="External"/><Relationship Id="rId339" Type="http://schemas.openxmlformats.org/officeDocument/2006/relationships/hyperlink" Target="https://www.sciencedirect.com/science/article/pii/S0301421526002156?dgcid=rss_sd_all" TargetMode="External"/><Relationship Id="rId340" Type="http://schemas.openxmlformats.org/officeDocument/2006/relationships/hyperlink" Target="https://www.sciencedirect.com/science/article/pii/S0306261926007993?dgcid=rss_sd_all" TargetMode="External"/><Relationship Id="rId341" Type="http://schemas.openxmlformats.org/officeDocument/2006/relationships/hyperlink" Target="https://www.sciencedirect.com/science/article/pii/S0306261926008032?dgcid=rss_sd_all" TargetMode="External"/><Relationship Id="rId342" Type="http://schemas.openxmlformats.org/officeDocument/2006/relationships/hyperlink" Target="https://www.sciencedirect.com/science/article/pii/S0306261926007889?dgcid=rss_sd_all" TargetMode="External"/><Relationship Id="rId343" Type="http://schemas.openxmlformats.org/officeDocument/2006/relationships/hyperlink" Target="https://www.sciencedirect.com/science/article/pii/S0306261926008093?dgcid=rss_sd_all" TargetMode="External"/><Relationship Id="rId344" Type="http://schemas.openxmlformats.org/officeDocument/2006/relationships/hyperlink" Target="https://www.sciencedirect.com/science/article/pii/S0306261926008251?dgcid=rss_sd_all" TargetMode="External"/><Relationship Id="rId345" Type="http://schemas.openxmlformats.org/officeDocument/2006/relationships/hyperlink" Target="https://www.sciencedirect.com/science/article/pii/S0306261926007816?dgcid=rss_sd_all" TargetMode="External"/><Relationship Id="rId346" Type="http://schemas.openxmlformats.org/officeDocument/2006/relationships/hyperlink" Target="https://www.sciencedirect.com/science/article/pii/S0306261926007579?dgcid=rss_sd_all" TargetMode="External"/><Relationship Id="rId347" Type="http://schemas.openxmlformats.org/officeDocument/2006/relationships/hyperlink" Target="https://advanced.onlinelibrary.wiley.com/doi/10.1002/adma.202521487?af=R" TargetMode="External"/><Relationship Id="rId348" Type="http://schemas.openxmlformats.org/officeDocument/2006/relationships/hyperlink" Target="https://doi.org/10.1002/adma.202521487" TargetMode="External"/><Relationship Id="rId349" Type="http://schemas.openxmlformats.org/officeDocument/2006/relationships/hyperlink" Target="https://advanced.onlinelibrary.wiley.com/doi/10.1002/adma.73630?af=R" TargetMode="External"/><Relationship Id="rId350" Type="http://schemas.openxmlformats.org/officeDocument/2006/relationships/hyperlink" Target="https://doi.org/10.1002/adma.73630" TargetMode="External"/><Relationship Id="rId351" Type="http://schemas.openxmlformats.org/officeDocument/2006/relationships/hyperlink" Target="https://advanced.onlinelibrary.wiley.com/doi/10.1002/adma.73623?af=R" TargetMode="External"/><Relationship Id="rId352" Type="http://schemas.openxmlformats.org/officeDocument/2006/relationships/hyperlink" Target="https://doi.org/10.1002/adma.73623" TargetMode="External"/><Relationship Id="rId353" Type="http://schemas.openxmlformats.org/officeDocument/2006/relationships/hyperlink" Target="https://advanced.onlinelibrary.wiley.com/doi/10.1002/adma.202521439?af=R" TargetMode="External"/><Relationship Id="rId354" Type="http://schemas.openxmlformats.org/officeDocument/2006/relationships/hyperlink" Target="https://doi.org/10.1002/adma.202521439" TargetMode="External"/><Relationship Id="rId355" Type="http://schemas.openxmlformats.org/officeDocument/2006/relationships/hyperlink" Target="https://advanced.onlinelibrary.wiley.com/doi/10.1002/adma.73639?af=R" TargetMode="External"/><Relationship Id="rId356" Type="http://schemas.openxmlformats.org/officeDocument/2006/relationships/hyperlink" Target="https://doi.org/10.1002/adma.73639" TargetMode="External"/><Relationship Id="rId357" Type="http://schemas.openxmlformats.org/officeDocument/2006/relationships/hyperlink" Target="https://www.sciencedirect.com/science/article/pii/S0306261926007658?dgcid=rss_sd_all" TargetMode="External"/><Relationship Id="rId358" Type="http://schemas.openxmlformats.org/officeDocument/2006/relationships/hyperlink" Target="https://www.sciencedirect.com/science/article/pii/S0306261926007877?dgcid=rss_sd_all" TargetMode="External"/><Relationship Id="rId359" Type="http://schemas.openxmlformats.org/officeDocument/2006/relationships/hyperlink" Target="https://www.sciencedirect.com/science/article/pii/S0301421526003095?dgcid=rss_sd_all" TargetMode="External"/><Relationship Id="rId360" Type="http://schemas.openxmlformats.org/officeDocument/2006/relationships/hyperlink" Target="https://www.sciencedirect.com/science/article/pii/S0301421526003083?dgcid=rss_sd_all" TargetMode="External"/><Relationship Id="rId361" Type="http://schemas.openxmlformats.org/officeDocument/2006/relationships/hyperlink" Target="https://www.sciencedirect.com/science/article/pii/S030142152600337X?dgcid=rss_sd_all" TargetMode="External"/><Relationship Id="rId362" Type="http://schemas.openxmlformats.org/officeDocument/2006/relationships/hyperlink" Target="https://www.sciencedirect.com/science/article/pii/S030626192600810X?dgcid=rss_sd_all" TargetMode="External"/><Relationship Id="rId363" Type="http://schemas.openxmlformats.org/officeDocument/2006/relationships/hyperlink" Target="https://www.sciencedirect.com/science/article/pii/S0301421526003563?dgcid=rss_sd_all" TargetMode="External"/><Relationship Id="rId364" Type="http://schemas.openxmlformats.org/officeDocument/2006/relationships/hyperlink" Target="https://onlinelibrary.wiley.com/doi/10.1002/anie.5995443?af=R" TargetMode="External"/><Relationship Id="rId365" Type="http://schemas.openxmlformats.org/officeDocument/2006/relationships/hyperlink" Target="https://doi.org/10.1002/anie.5995443" TargetMode="External"/><Relationship Id="rId366" Type="http://schemas.openxmlformats.org/officeDocument/2006/relationships/hyperlink" Target="https://onlinelibrary.wiley.com/doi/10.1002/anie.1246514?af=R" TargetMode="External"/><Relationship Id="rId367" Type="http://schemas.openxmlformats.org/officeDocument/2006/relationships/hyperlink" Target="https://doi.org/10.1002/anie.1246514" TargetMode="External"/><Relationship Id="rId368" Type="http://schemas.openxmlformats.org/officeDocument/2006/relationships/hyperlink" Target="https://onlinelibrary.wiley.com/doi/10.1002/anie.2260268?af=R" TargetMode="External"/><Relationship Id="rId369" Type="http://schemas.openxmlformats.org/officeDocument/2006/relationships/hyperlink" Target="https://doi.org/10.1002/anie.2260268" TargetMode="External"/><Relationship Id="rId370" Type="http://schemas.openxmlformats.org/officeDocument/2006/relationships/hyperlink" Target="https://onlinelibrary.wiley.com/doi/10.1002/anie.5181076?af=R" TargetMode="External"/><Relationship Id="rId371" Type="http://schemas.openxmlformats.org/officeDocument/2006/relationships/hyperlink" Target="https://doi.org/10.1002/anie.5181076" TargetMode="External"/><Relationship Id="rId372" Type="http://schemas.openxmlformats.org/officeDocument/2006/relationships/hyperlink" Target="https://onlinelibrary.wiley.com/doi/10.1002/anie.4623924?af=R" TargetMode="External"/><Relationship Id="rId373" Type="http://schemas.openxmlformats.org/officeDocument/2006/relationships/hyperlink" Target="https://doi.org/10.1002/anie.4623924" TargetMode="External"/><Relationship Id="rId374" Type="http://schemas.openxmlformats.org/officeDocument/2006/relationships/hyperlink" Target="https://onlinelibrary.wiley.com/doi/10.1002/anie.4041858?af=R" TargetMode="External"/><Relationship Id="rId375" Type="http://schemas.openxmlformats.org/officeDocument/2006/relationships/hyperlink" Target="https://doi.org/10.1002/anie.4041858" TargetMode="External"/><Relationship Id="rId376" Type="http://schemas.openxmlformats.org/officeDocument/2006/relationships/hyperlink" Target="https://onlinelibrary.wiley.com/doi/10.1002/anie.8271527?af=R" TargetMode="External"/><Relationship Id="rId377" Type="http://schemas.openxmlformats.org/officeDocument/2006/relationships/hyperlink" Target="https://doi.org/10.1002/anie.8271527" TargetMode="External"/><Relationship Id="rId378" Type="http://schemas.openxmlformats.org/officeDocument/2006/relationships/hyperlink" Target="https://onlinelibrary.wiley.com/doi/10.1002/anie.8295271?af=R" TargetMode="External"/><Relationship Id="rId379" Type="http://schemas.openxmlformats.org/officeDocument/2006/relationships/hyperlink" Target="https://doi.org/10.1002/anie.8295271" TargetMode="External"/><Relationship Id="rId380" Type="http://schemas.openxmlformats.org/officeDocument/2006/relationships/hyperlink" Target="https://onlinelibrary.wiley.com/doi/10.1002/anie.9565676?af=R" TargetMode="External"/><Relationship Id="rId381" Type="http://schemas.openxmlformats.org/officeDocument/2006/relationships/hyperlink" Target="https://doi.org/10.1002/anie.9565676" TargetMode="External"/><Relationship Id="rId382" Type="http://schemas.openxmlformats.org/officeDocument/2006/relationships/hyperlink" Target="https://onlinelibrary.wiley.com/doi/10.1002/anie.2431054?af=R" TargetMode="External"/><Relationship Id="rId383" Type="http://schemas.openxmlformats.org/officeDocument/2006/relationships/hyperlink" Target="https://doi.org/10.1002/anie.2431054" TargetMode="External"/><Relationship Id="rId384" Type="http://schemas.openxmlformats.org/officeDocument/2006/relationships/hyperlink" Target="https://onlinelibrary.wiley.com/doi/10.1002/anie.6309576?af=R" TargetMode="External"/><Relationship Id="rId385" Type="http://schemas.openxmlformats.org/officeDocument/2006/relationships/hyperlink" Target="https://doi.org/10.1002/anie.6309576" TargetMode="External"/><Relationship Id="rId386" Type="http://schemas.openxmlformats.org/officeDocument/2006/relationships/hyperlink" Target="https://onlinelibrary.wiley.com/doi/10.1002/anie.5880430?af=R" TargetMode="External"/><Relationship Id="rId387" Type="http://schemas.openxmlformats.org/officeDocument/2006/relationships/hyperlink" Target="https://doi.org/10.1002/anie.5880430" TargetMode="External"/><Relationship Id="rId388" Type="http://schemas.openxmlformats.org/officeDocument/2006/relationships/hyperlink" Target="https://onlinelibrary.wiley.com/doi/10.1002/anie.7899696?af=R" TargetMode="External"/><Relationship Id="rId389" Type="http://schemas.openxmlformats.org/officeDocument/2006/relationships/hyperlink" Target="https://doi.org/10.1002/anie.7899696" TargetMode="External"/><Relationship Id="rId390" Type="http://schemas.openxmlformats.org/officeDocument/2006/relationships/hyperlink" Target="https://onlinelibrary.wiley.com/doi/10.1002/anie.9448235?af=R" TargetMode="External"/><Relationship Id="rId391" Type="http://schemas.openxmlformats.org/officeDocument/2006/relationships/hyperlink" Target="https://doi.org/10.1002/anie.9448235" TargetMode="External"/><Relationship Id="rId392" Type="http://schemas.openxmlformats.org/officeDocument/2006/relationships/hyperlink" Target="https://onlinelibrary.wiley.com/doi/10.1002/anie.9958935?af=R" TargetMode="External"/><Relationship Id="rId393" Type="http://schemas.openxmlformats.org/officeDocument/2006/relationships/hyperlink" Target="https://doi.org/10.1002/anie.9958935" TargetMode="External"/><Relationship Id="rId394" Type="http://schemas.openxmlformats.org/officeDocument/2006/relationships/hyperlink" Target="https://onlinelibrary.wiley.com/doi/10.1002/anie.9685133?af=R" TargetMode="External"/><Relationship Id="rId395" Type="http://schemas.openxmlformats.org/officeDocument/2006/relationships/hyperlink" Target="https://doi.org/10.1002/anie.9685133" TargetMode="External"/><Relationship Id="rId396" Type="http://schemas.openxmlformats.org/officeDocument/2006/relationships/hyperlink" Target="https://onlinelibrary.wiley.com/doi/10.1002/anie.5595275?af=R" TargetMode="External"/><Relationship Id="rId397" Type="http://schemas.openxmlformats.org/officeDocument/2006/relationships/hyperlink" Target="https://doi.org/10.1002/anie.5595275" TargetMode="External"/><Relationship Id="rId398" Type="http://schemas.openxmlformats.org/officeDocument/2006/relationships/hyperlink" Target="https://onlinelibrary.wiley.com/doi/10.1002/anie.1334595?af=R" TargetMode="External"/><Relationship Id="rId399" Type="http://schemas.openxmlformats.org/officeDocument/2006/relationships/hyperlink" Target="https://doi.org/10.1002/anie.1334595" TargetMode="External"/><Relationship Id="rId400" Type="http://schemas.openxmlformats.org/officeDocument/2006/relationships/hyperlink" Target="http://pubs.rsc.org/en/Content/ArticleLanding/2026/CS/D5CS01554E" TargetMode="External"/><Relationship Id="rId401" Type="http://schemas.openxmlformats.org/officeDocument/2006/relationships/hyperlink" Target="https://www.nature.com/articles/d41586-026-01780-6" TargetMode="External"/><Relationship Id="rId402" Type="http://schemas.openxmlformats.org/officeDocument/2006/relationships/hyperlink" Target="https://doi.org/10.1038/d41586-026-01780-6" TargetMode="External"/><Relationship Id="rId403" Type="http://schemas.openxmlformats.org/officeDocument/2006/relationships/hyperlink" Target="https://www.nature.com/articles/d41586-026-01584-8" TargetMode="External"/><Relationship Id="rId404" Type="http://schemas.openxmlformats.org/officeDocument/2006/relationships/hyperlink" Target="https://doi.org/10.1038/d41586-026-01584-8" TargetMode="External"/><Relationship Id="rId405" Type="http://schemas.openxmlformats.org/officeDocument/2006/relationships/hyperlink" Target="https://www.nature.com/articles/d41586-026-01852-7" TargetMode="External"/><Relationship Id="rId406" Type="http://schemas.openxmlformats.org/officeDocument/2006/relationships/hyperlink" Target="https://doi.org/10.1038/d41586-026-01852-7" TargetMode="External"/><Relationship Id="rId407" Type="http://schemas.openxmlformats.org/officeDocument/2006/relationships/hyperlink" Target="https://www.nature.com/articles/s41586-026-10738-7" TargetMode="External"/><Relationship Id="rId408" Type="http://schemas.openxmlformats.org/officeDocument/2006/relationships/hyperlink" Target="https://doi.org/10.1038/s41586-026-10738-7" TargetMode="External"/><Relationship Id="rId409" Type="http://schemas.openxmlformats.org/officeDocument/2006/relationships/hyperlink" Target="https://www.nature.com/articles/s41586-026-10735-w" TargetMode="External"/><Relationship Id="rId410" Type="http://schemas.openxmlformats.org/officeDocument/2006/relationships/hyperlink" Target="https://doi.org/10.1038/s41586-026-10735-w" TargetMode="External"/><Relationship Id="rId411" Type="http://schemas.openxmlformats.org/officeDocument/2006/relationships/hyperlink" Target="https://www.nature.com/articles/s41586-026-10749-4" TargetMode="External"/><Relationship Id="rId412" Type="http://schemas.openxmlformats.org/officeDocument/2006/relationships/hyperlink" Target="https://doi.org/10.1038/s41586-026-10749-4" TargetMode="External"/><Relationship Id="rId413" Type="http://schemas.openxmlformats.org/officeDocument/2006/relationships/hyperlink" Target="https://www.nature.com/articles/s41563-026-02613-7" TargetMode="External"/><Relationship Id="rId414" Type="http://schemas.openxmlformats.org/officeDocument/2006/relationships/hyperlink" Target="https://doi.org/10.1038/s41563-026-02613-7" TargetMode="External"/><Relationship Id="rId415" Type="http://schemas.openxmlformats.org/officeDocument/2006/relationships/hyperlink" Target="https://academic.oup.com/nsr/advance-article/doi/10.1093/nsr/nwag340/8704106?rss=1" TargetMode="External"/><Relationship Id="rId416" Type="http://schemas.openxmlformats.org/officeDocument/2006/relationships/hyperlink" Target="https://doi.org/10.1093/nsr/nwag340" TargetMode="External"/><Relationship Id="rId417" Type="http://schemas.openxmlformats.org/officeDocument/2006/relationships/hyperlink" Target="https://academic.oup.com/nsr/advance-article/doi/10.1093/nsr/nwag332/8704108?rss=1" TargetMode="External"/><Relationship Id="rId418" Type="http://schemas.openxmlformats.org/officeDocument/2006/relationships/hyperlink" Target="https://doi.org/10.1093/nsr/nwag332" TargetMode="External"/><Relationship Id="rId419" Type="http://schemas.openxmlformats.org/officeDocument/2006/relationships/hyperlink" Target="https://www.nmlett.org/index.php/nml/article/view/2544" TargetMode="External"/><Relationship Id="rId420" Type="http://schemas.openxmlformats.org/officeDocument/2006/relationships/hyperlink" Target="https://doi.org/10.1007/s40820-026-02233-5" TargetMode="External"/><Relationship Id="rId421" Type="http://schemas.openxmlformats.org/officeDocument/2006/relationships/hyperlink" Target="https://www.nature.com/articles/d41586-026-01689-0" TargetMode="External"/><Relationship Id="rId422" Type="http://schemas.openxmlformats.org/officeDocument/2006/relationships/hyperlink" Target="https://doi.org/10.1038/d41586-026-01689-0" TargetMode="External"/><Relationship Id="rId423" Type="http://schemas.openxmlformats.org/officeDocument/2006/relationships/hyperlink" Target="https://www.nature.com/articles/s41563-026-02627-1" TargetMode="External"/><Relationship Id="rId424" Type="http://schemas.openxmlformats.org/officeDocument/2006/relationships/hyperlink" Target="https://doi.org/10.1038/s41563-026-02627-1" TargetMode="External"/><Relationship Id="rId425" Type="http://schemas.openxmlformats.org/officeDocument/2006/relationships/hyperlink" Target="https://www.nature.com/articles/d41586-026-01818-9" TargetMode="External"/><Relationship Id="rId426" Type="http://schemas.openxmlformats.org/officeDocument/2006/relationships/hyperlink" Target="https://doi.org/10.1038/d41586-026-01818-9" TargetMode="External"/><Relationship Id="rId427" Type="http://schemas.openxmlformats.org/officeDocument/2006/relationships/hyperlink" Target="https://academic.oup.com/nsr/advance-article/doi/10.1093/nsr/nwag349/8704113?rss=1" TargetMode="External"/><Relationship Id="rId428" Type="http://schemas.openxmlformats.org/officeDocument/2006/relationships/hyperlink" Target="https://doi.org/10.1093/nsr/nwag349" TargetMode="External"/><Relationship Id="rId429" Type="http://schemas.openxmlformats.org/officeDocument/2006/relationships/hyperlink" Target="https://www.nature.com/articles/d41586-026-01821-0" TargetMode="External"/><Relationship Id="rId430" Type="http://schemas.openxmlformats.org/officeDocument/2006/relationships/hyperlink" Target="https://doi.org/10.1038/d41586-026-01821-0" TargetMode="External"/><Relationship Id="rId431" Type="http://schemas.openxmlformats.org/officeDocument/2006/relationships/hyperlink" Target="https://www.cell.com/one-earth/fulltext/S2590-3322(26)00115-6?rss=yes" TargetMode="External"/><Relationship Id="rId432" Type="http://schemas.openxmlformats.org/officeDocument/2006/relationships/hyperlink" Target="https://doi.org/10.1016/j.oneear.2026.101714" TargetMode="External"/><Relationship Id="rId433" Type="http://schemas.openxmlformats.org/officeDocument/2006/relationships/hyperlink" Target="https://www.sciencedirect.com/science/article/pii/S0306261926008172?dgcid=rss_sd_all" TargetMode="External"/><Relationship Id="rId434" Type="http://schemas.openxmlformats.org/officeDocument/2006/relationships/hyperlink" Target="https://www.nature.com/articles/s41928-026-01645-w" TargetMode="External"/><Relationship Id="rId435" Type="http://schemas.openxmlformats.org/officeDocument/2006/relationships/hyperlink" Target="https://doi.org/10.1038/s41928-026-01645-w" TargetMode="External"/><Relationship Id="rId436" Type="http://schemas.openxmlformats.org/officeDocument/2006/relationships/hyperlink" Target="https://www.sciencedirect.com/science/article/pii/S0301421526003770?dgcid=rss_sd_all" TargetMode="External"/><Relationship Id="rId437" Type="http://schemas.openxmlformats.org/officeDocument/2006/relationships/hyperlink" Target="https://www.sciencedirect.com/science/article/pii/S030626192600841X?dgcid=rss_sd_all" TargetMode="External"/><Relationship Id="rId438" Type="http://schemas.openxmlformats.org/officeDocument/2006/relationships/hyperlink" Target="https://academic.oup.com/nsr/advance-article/doi/10.1093/nsr/nwag350/8704112?rss=1" TargetMode="External"/><Relationship Id="rId439" Type="http://schemas.openxmlformats.org/officeDocument/2006/relationships/hyperlink" Target="https://doi.org/10.1093/nsr/nwag350" TargetMode="External"/><Relationship Id="rId440" Type="http://schemas.openxmlformats.org/officeDocument/2006/relationships/hyperlink" Target="https://advanced.onlinelibrary.wiley.com/doi/10.1002/adma.202523681?af=R" TargetMode="External"/><Relationship Id="rId441" Type="http://schemas.openxmlformats.org/officeDocument/2006/relationships/hyperlink" Target="https://doi.org/10.1002/adma.202523681" TargetMode="External"/><Relationship Id="rId442" Type="http://schemas.openxmlformats.org/officeDocument/2006/relationships/hyperlink" Target="https://www.pnas.org/doi/abs/10.1073/pnas.2602147123?mi=eymic2&amp;af=R&amp;access=on&amp;content=articlesChapters&amp;publication=pnas&amp;sortBy=Earliest&amp;target=default" TargetMode="External"/><Relationship Id="rId443" Type="http://schemas.openxmlformats.org/officeDocument/2006/relationships/hyperlink" Target="https://doi.org/10.1073/pnas.2602147123" TargetMode="External"/><Relationship Id="rId444" Type="http://schemas.openxmlformats.org/officeDocument/2006/relationships/hyperlink" Target="https://www.pnas.org/doi/abs/10.1073/pnas.2529903123?mi=eymic2&amp;af=R&amp;access=on&amp;content=articlesChapters&amp;publication=pnas&amp;sortBy=Earliest&amp;target=default" TargetMode="External"/><Relationship Id="rId445" Type="http://schemas.openxmlformats.org/officeDocument/2006/relationships/hyperlink" Target="https://doi.org/10.1073/pnas.2529903123" TargetMode="External"/><Relationship Id="rId446" Type="http://schemas.openxmlformats.org/officeDocument/2006/relationships/hyperlink" Target="https://www.pnas.org/doi/abs/10.1073/pnas.2611387123?mi=eymic2&amp;af=R&amp;access=on&amp;content=articlesChapters&amp;publication=pnas&amp;sortBy=Earliest&amp;target=default" TargetMode="External"/><Relationship Id="rId447" Type="http://schemas.openxmlformats.org/officeDocument/2006/relationships/hyperlink" Target="https://doi.org/10.1073/pnas.2611387123" TargetMode="External"/><Relationship Id="rId448" Type="http://schemas.openxmlformats.org/officeDocument/2006/relationships/hyperlink" Target="https://www.pnas.org/doi/abs/10.1073/pnas.2525378123?mi=eymic2&amp;af=R&amp;access=on&amp;content=articlesChapters&amp;publication=pnas&amp;sortBy=Earliest&amp;target=default" TargetMode="External"/><Relationship Id="rId449" Type="http://schemas.openxmlformats.org/officeDocument/2006/relationships/hyperlink" Target="https://doi.org/10.1073/pnas.2525378123" TargetMode="External"/><Relationship Id="rId450" Type="http://schemas.openxmlformats.org/officeDocument/2006/relationships/hyperlink" Target="https://www.pnas.org/doi/abs/10.1073/pnas.2524065123?mi=eymic2&amp;af=R&amp;access=on&amp;content=articlesChapters&amp;publication=pnas&amp;sortBy=Earliest&amp;target=default" TargetMode="External"/><Relationship Id="rId451" Type="http://schemas.openxmlformats.org/officeDocument/2006/relationships/hyperlink" Target="https://doi.org/10.1073/pnas.2524065123" TargetMode="External"/><Relationship Id="rId452" Type="http://schemas.openxmlformats.org/officeDocument/2006/relationships/hyperlink" Target="https://www.pnas.org/doi/abs/10.1073/pnas.2524614123?mi=eymic2&amp;af=R&amp;access=on&amp;content=articlesChapters&amp;publication=pnas&amp;sortBy=Earliest&amp;target=default" TargetMode="External"/><Relationship Id="rId453" Type="http://schemas.openxmlformats.org/officeDocument/2006/relationships/hyperlink" Target="https://doi.org/10.1073/pnas.2524614123" TargetMode="External"/><Relationship Id="rId454" Type="http://schemas.openxmlformats.org/officeDocument/2006/relationships/hyperlink" Target="https://www.pnas.org/doi/abs/10.1073/pnas.2601925123?mi=eymic2&amp;af=R&amp;access=on&amp;content=articlesChapters&amp;publication=pnas&amp;sortBy=Earliest&amp;target=default" TargetMode="External"/><Relationship Id="rId455" Type="http://schemas.openxmlformats.org/officeDocument/2006/relationships/hyperlink" Target="https://doi.org/10.1073/pnas.2601925123" TargetMode="External"/><Relationship Id="rId456" Type="http://schemas.openxmlformats.org/officeDocument/2006/relationships/hyperlink" Target="https://www.pnas.org/doi/abs/10.1073/pnas.2612171123?mi=eymic2&amp;af=R&amp;access=on&amp;content=articlesChapters&amp;publication=pnas&amp;sortBy=Earliest&amp;target=default" TargetMode="External"/><Relationship Id="rId457" Type="http://schemas.openxmlformats.org/officeDocument/2006/relationships/hyperlink" Target="https://doi.org/10.1073/pnas.2612171123" TargetMode="External"/><Relationship Id="rId458" Type="http://schemas.openxmlformats.org/officeDocument/2006/relationships/hyperlink" Target="https://www.pnas.org/doi/abs/10.1073/pnas.2531253123?mi=eymic2&amp;af=R&amp;access=on&amp;content=articlesChapters&amp;publication=pnas&amp;sortBy=Earliest&amp;target=default" TargetMode="External"/><Relationship Id="rId459" Type="http://schemas.openxmlformats.org/officeDocument/2006/relationships/hyperlink" Target="https://doi.org/10.1073/pnas.2531253123" TargetMode="External"/><Relationship Id="rId460" Type="http://schemas.openxmlformats.org/officeDocument/2006/relationships/hyperlink" Target="https://www.pnas.org/doi/abs/10.1073/pnas.2613743123?mi=eymic2&amp;af=R&amp;access=on&amp;content=articlesChapters&amp;publication=pnas&amp;sortBy=Earliest&amp;target=default" TargetMode="External"/><Relationship Id="rId461" Type="http://schemas.openxmlformats.org/officeDocument/2006/relationships/hyperlink" Target="https://doi.org/10.1073/pnas.2613743123" TargetMode="External"/><Relationship Id="rId462" Type="http://schemas.openxmlformats.org/officeDocument/2006/relationships/hyperlink" Target="https://www.pnas.org/doi/abs/10.1073/pnas.2614646123?mi=eymic2&amp;af=R&amp;access=on&amp;content=articlesChapters&amp;publication=pnas&amp;sortBy=Earliest&amp;target=default" TargetMode="External"/><Relationship Id="rId463" Type="http://schemas.openxmlformats.org/officeDocument/2006/relationships/hyperlink" Target="https://doi.org/10.1073/pnas.2614646123" TargetMode="External"/><Relationship Id="rId464" Type="http://schemas.openxmlformats.org/officeDocument/2006/relationships/hyperlink" Target="https://www.pnas.org/doi/abs/10.1073/pnas.2617330123?mi=eymic2&amp;af=R&amp;access=on&amp;content=articlesChapters&amp;publication=pnas&amp;sortBy=Earliest&amp;target=default" TargetMode="External"/><Relationship Id="rId465" Type="http://schemas.openxmlformats.org/officeDocument/2006/relationships/hyperlink" Target="https://doi.org/10.1073/pnas.2617330123" TargetMode="External"/><Relationship Id="rId466" Type="http://schemas.openxmlformats.org/officeDocument/2006/relationships/hyperlink" Target="https://www.pnas.org/doi/abs/10.1073/pnas.2617334123?mi=eymic2&amp;af=R&amp;access=on&amp;content=articlesChapters&amp;publication=pnas&amp;sortBy=Earliest&amp;target=default" TargetMode="External"/><Relationship Id="rId467" Type="http://schemas.openxmlformats.org/officeDocument/2006/relationships/hyperlink" Target="https://doi.org/10.1073/pnas.2617334123" TargetMode="External"/><Relationship Id="rId468" Type="http://schemas.openxmlformats.org/officeDocument/2006/relationships/hyperlink" Target="https://www.pnas.org/doi/abs/10.1073/pnas.2522000123?mi=eymic2&amp;af=R&amp;access=on&amp;content=articlesChapters&amp;publication=pnas&amp;sortBy=Earliest&amp;target=default" TargetMode="External"/><Relationship Id="rId469" Type="http://schemas.openxmlformats.org/officeDocument/2006/relationships/hyperlink" Target="https://doi.org/10.1073/pnas.2522000123" TargetMode="External"/><Relationship Id="rId470" Type="http://schemas.openxmlformats.org/officeDocument/2006/relationships/hyperlink" Target="https://www.pnas.org/doi/abs/10.1073/pnas.2613719123?mi=eymic2&amp;af=R&amp;access=on&amp;content=articlesChapters&amp;publication=pnas&amp;sortBy=Earliest&amp;target=default" TargetMode="External"/><Relationship Id="rId471" Type="http://schemas.openxmlformats.org/officeDocument/2006/relationships/hyperlink" Target="https://doi.org/10.1073/pnas.2613719123" TargetMode="External"/><Relationship Id="rId472" Type="http://schemas.openxmlformats.org/officeDocument/2006/relationships/hyperlink" Target="https://www.pnas.org/doi/abs/10.1073/pnas.2523612123?mi=eymic2&amp;af=R&amp;access=on&amp;content=articlesChapters&amp;publication=pnas&amp;sortBy=Earliest&amp;target=default" TargetMode="External"/><Relationship Id="rId473" Type="http://schemas.openxmlformats.org/officeDocument/2006/relationships/hyperlink" Target="https://doi.org/10.1073/pnas.2523612123" TargetMode="External"/><Relationship Id="rId474" Type="http://schemas.openxmlformats.org/officeDocument/2006/relationships/hyperlink" Target="https://www.pnas.org/doi/abs/10.1073/pnas.2604082123?mi=eymic2&amp;af=R&amp;access=on&amp;content=articlesChapters&amp;publication=pnas&amp;sortBy=Earliest&amp;target=default" TargetMode="External"/><Relationship Id="rId475" Type="http://schemas.openxmlformats.org/officeDocument/2006/relationships/hyperlink" Target="https://doi.org/10.1073/pnas.2604082123" TargetMode="External"/><Relationship Id="rId476" Type="http://schemas.openxmlformats.org/officeDocument/2006/relationships/hyperlink" Target="https://www.pnas.org/doi/abs/10.1073/pnas.2609325123?mi=eymic2&amp;af=R&amp;access=on&amp;content=articlesChapters&amp;publication=pnas&amp;sortBy=Earliest&amp;target=default" TargetMode="External"/><Relationship Id="rId477" Type="http://schemas.openxmlformats.org/officeDocument/2006/relationships/hyperlink" Target="https://doi.org/10.1073/pnas.2609325123" TargetMode="External"/><Relationship Id="rId478" Type="http://schemas.openxmlformats.org/officeDocument/2006/relationships/hyperlink" Target="https://www.pnas.org/doi/abs/10.1073/pnas.2606967123?mi=eymic2&amp;af=R&amp;access=on&amp;content=articlesChapters&amp;publication=pnas&amp;sortBy=Earliest&amp;target=default" TargetMode="External"/><Relationship Id="rId479" Type="http://schemas.openxmlformats.org/officeDocument/2006/relationships/hyperlink" Target="https://doi.org/10.1073/pnas.2606967123" TargetMode="External"/><Relationship Id="rId480" Type="http://schemas.openxmlformats.org/officeDocument/2006/relationships/hyperlink" Target="https://www.pnas.org/doi/abs/10.1073/pnas.2520331123?mi=eymic2&amp;af=R&amp;access=on&amp;content=articlesChapters&amp;publication=pnas&amp;sortBy=Earliest&amp;target=default" TargetMode="External"/><Relationship Id="rId481" Type="http://schemas.openxmlformats.org/officeDocument/2006/relationships/hyperlink" Target="https://doi.org/10.1073/pnas.2520331123" TargetMode="External"/><Relationship Id="rId482" Type="http://schemas.openxmlformats.org/officeDocument/2006/relationships/hyperlink" Target="https://www.pnas.org/doi/abs/10.1073/pnas.2537770123?mi=eymic2&amp;af=R&amp;access=on&amp;content=articlesChapters&amp;publication=pnas&amp;sortBy=Earliest&amp;target=default" TargetMode="External"/><Relationship Id="rId483" Type="http://schemas.openxmlformats.org/officeDocument/2006/relationships/hyperlink" Target="https://doi.org/10.1073/pnas.2537770123" TargetMode="External"/><Relationship Id="rId484" Type="http://schemas.openxmlformats.org/officeDocument/2006/relationships/hyperlink" Target="https://www.pnas.org/doi/abs/10.1073/pnas.2604088123?mi=eymic2&amp;af=R&amp;access=on&amp;content=articlesChapters&amp;publication=pnas&amp;sortBy=Earliest&amp;target=default" TargetMode="External"/><Relationship Id="rId485" Type="http://schemas.openxmlformats.org/officeDocument/2006/relationships/hyperlink" Target="https://doi.org/10.1073/pnas.2604088123" TargetMode="External"/><Relationship Id="rId486" Type="http://schemas.openxmlformats.org/officeDocument/2006/relationships/hyperlink" Target="https://www.pnas.org/doi/abs/10.1073/pnas.2613406123?mi=eymic2&amp;af=R&amp;access=on&amp;content=articlesChapters&amp;publication=pnas&amp;sortBy=Earliest&amp;target=default" TargetMode="External"/><Relationship Id="rId487" Type="http://schemas.openxmlformats.org/officeDocument/2006/relationships/hyperlink" Target="https://doi.org/10.1073/pnas.2613406123" TargetMode="External"/><Relationship Id="rId488" Type="http://schemas.openxmlformats.org/officeDocument/2006/relationships/hyperlink" Target="https://www.pnas.org/doi/abs/10.1073/pnas.2535289123?mi=eymic2&amp;af=R&amp;access=on&amp;content=articlesChapters&amp;publication=pnas&amp;sortBy=Earliest&amp;target=default" TargetMode="External"/><Relationship Id="rId489" Type="http://schemas.openxmlformats.org/officeDocument/2006/relationships/hyperlink" Target="https://doi.org/10.1073/pnas.2535289123" TargetMode="External"/><Relationship Id="rId490" Type="http://schemas.openxmlformats.org/officeDocument/2006/relationships/hyperlink" Target="https://www.pnas.org/doi/abs/10.1073/pnas.2535879123?mi=eymic2&amp;af=R&amp;access=on&amp;content=articlesChapters&amp;publication=pnas&amp;sortBy=Earliest&amp;target=default" TargetMode="External"/><Relationship Id="rId491" Type="http://schemas.openxmlformats.org/officeDocument/2006/relationships/hyperlink" Target="https://doi.org/10.1073/pnas.2535879123" TargetMode="External"/><Relationship Id="rId492" Type="http://schemas.openxmlformats.org/officeDocument/2006/relationships/hyperlink" Target="https://www.pnas.org/doi/abs/10.1073/pnas.2533437123?mi=eymic2&amp;af=R&amp;access=on&amp;content=articlesChapters&amp;publication=pnas&amp;sortBy=Earliest&amp;target=default" TargetMode="External"/><Relationship Id="rId493" Type="http://schemas.openxmlformats.org/officeDocument/2006/relationships/hyperlink" Target="https://doi.org/10.1073/pnas.2533437123" TargetMode="External"/><Relationship Id="rId494" Type="http://schemas.openxmlformats.org/officeDocument/2006/relationships/hyperlink" Target="https://www.pnas.org/doi/abs/10.1073/pnas.2536870123?mi=eymic2&amp;af=R&amp;access=on&amp;content=articlesChapters&amp;publication=pnas&amp;sortBy=Earliest&amp;target=default" TargetMode="External"/><Relationship Id="rId495" Type="http://schemas.openxmlformats.org/officeDocument/2006/relationships/hyperlink" Target="https://doi.org/10.1073/pnas.2536870123" TargetMode="External"/><Relationship Id="rId496" Type="http://schemas.openxmlformats.org/officeDocument/2006/relationships/hyperlink" Target="https://www.pnas.org/doi/abs/10.1073/pnas.2534793123?mi=eymic2&amp;af=R&amp;access=on&amp;content=articlesChapters&amp;publication=pnas&amp;sortBy=Earliest&amp;target=default" TargetMode="External"/><Relationship Id="rId497" Type="http://schemas.openxmlformats.org/officeDocument/2006/relationships/hyperlink" Target="https://doi.org/10.1073/pnas.2534793123" TargetMode="External"/><Relationship Id="rId498" Type="http://schemas.openxmlformats.org/officeDocument/2006/relationships/hyperlink" Target="https://www.pnas.org/doi/abs/10.1073/pnas.2538081123?mi=eymic2&amp;af=R&amp;access=on&amp;content=articlesChapters&amp;publication=pnas&amp;sortBy=Earliest&amp;target=default" TargetMode="External"/><Relationship Id="rId499" Type="http://schemas.openxmlformats.org/officeDocument/2006/relationships/hyperlink" Target="https://doi.org/10.1073/pnas.2538081123" TargetMode="External"/><Relationship Id="rId500" Type="http://schemas.openxmlformats.org/officeDocument/2006/relationships/hyperlink" Target="https://advanced.onlinelibrary.wiley.com/doi/10.1002/adma.73656?af=R" TargetMode="External"/><Relationship Id="rId501" Type="http://schemas.openxmlformats.org/officeDocument/2006/relationships/hyperlink" Target="https://doi.org/10.1002/adma.73656" TargetMode="External"/><Relationship Id="rId502" Type="http://schemas.openxmlformats.org/officeDocument/2006/relationships/hyperlink" Target="https://advanced.onlinelibrary.wiley.com/doi/10.1002/adma.202523231?af=R" TargetMode="External"/><Relationship Id="rId503" Type="http://schemas.openxmlformats.org/officeDocument/2006/relationships/hyperlink" Target="https://doi.org/10.1002/adma.202523231" TargetMode="External"/><Relationship Id="rId504" Type="http://schemas.openxmlformats.org/officeDocument/2006/relationships/hyperlink" Target="https://advanced.onlinelibrary.wiley.com/doi/10.1002/adma.73642?af=R" TargetMode="External"/><Relationship Id="rId505" Type="http://schemas.openxmlformats.org/officeDocument/2006/relationships/hyperlink" Target="https://doi.org/10.1002/adma.73642" TargetMode="External"/><Relationship Id="rId506" Type="http://schemas.openxmlformats.org/officeDocument/2006/relationships/hyperlink" Target="http://link.aps.org/doi/10.1103/tvmx-qk3k" TargetMode="External"/><Relationship Id="rId507" Type="http://schemas.openxmlformats.org/officeDocument/2006/relationships/hyperlink" Target="https://doi.org/10.1103/tvmx-qk3k" TargetMode="External"/><Relationship Id="rId508" Type="http://schemas.openxmlformats.org/officeDocument/2006/relationships/hyperlink" Target="http://link.aps.org/doi/10.1103/hdd2-t4m4" TargetMode="External"/><Relationship Id="rId509" Type="http://schemas.openxmlformats.org/officeDocument/2006/relationships/hyperlink" Target="https://doi.org/10.1103/hdd2-t4m4" TargetMode="External"/><Relationship Id="rId510" Type="http://schemas.openxmlformats.org/officeDocument/2006/relationships/hyperlink" Target="http://link.aps.org/doi/10.1103/ysj2-1g7q" TargetMode="External"/><Relationship Id="rId511" Type="http://schemas.openxmlformats.org/officeDocument/2006/relationships/hyperlink" Target="https://doi.org/10.1103/ysj2-1g7q" TargetMode="External"/><Relationship Id="rId512" Type="http://schemas.openxmlformats.org/officeDocument/2006/relationships/hyperlink" Target="http://link.aps.org/doi/10.1103/6msd-mdw4" TargetMode="External"/><Relationship Id="rId513" Type="http://schemas.openxmlformats.org/officeDocument/2006/relationships/hyperlink" Target="https://doi.org/10.1103/6msd-mdw4" TargetMode="External"/><Relationship Id="rId514" Type="http://schemas.openxmlformats.org/officeDocument/2006/relationships/hyperlink" Target="http://link.aps.org/doi/10.1103/86pk-g8d6" TargetMode="External"/><Relationship Id="rId515" Type="http://schemas.openxmlformats.org/officeDocument/2006/relationships/hyperlink" Target="https://doi.org/10.1103/86pk-g8d6" TargetMode="External"/><Relationship Id="rId516" Type="http://schemas.openxmlformats.org/officeDocument/2006/relationships/hyperlink" Target="http://link.aps.org/doi/10.1103/8w9t-cqzd" TargetMode="External"/><Relationship Id="rId517" Type="http://schemas.openxmlformats.org/officeDocument/2006/relationships/hyperlink" Target="https://doi.org/10.1103/8w9t-cqzd" TargetMode="External"/><Relationship Id="rId518" Type="http://schemas.openxmlformats.org/officeDocument/2006/relationships/hyperlink" Target="http://link.aps.org/doi/10.1103/7q3r-h51x" TargetMode="External"/><Relationship Id="rId519" Type="http://schemas.openxmlformats.org/officeDocument/2006/relationships/hyperlink" Target="https://doi.org/10.1103/7q3r-h51x" TargetMode="External"/><Relationship Id="rId520" Type="http://schemas.openxmlformats.org/officeDocument/2006/relationships/hyperlink" Target="http://link.aps.org/doi/10.1103/6ls3-4bss" TargetMode="External"/><Relationship Id="rId521" Type="http://schemas.openxmlformats.org/officeDocument/2006/relationships/hyperlink" Target="https://doi.org/10.1103/6ls3-4bss" TargetMode="External"/><Relationship Id="rId522" Type="http://schemas.openxmlformats.org/officeDocument/2006/relationships/hyperlink" Target="http://link.aps.org/doi/10.1103/by8d-d9z2" TargetMode="External"/><Relationship Id="rId523" Type="http://schemas.openxmlformats.org/officeDocument/2006/relationships/hyperlink" Target="https://doi.org/10.1103/by8d-d9z2" TargetMode="External"/><Relationship Id="rId524" Type="http://schemas.openxmlformats.org/officeDocument/2006/relationships/hyperlink" Target="https://advanced.onlinelibrary.wiley.com/doi/10.1002/adma.73601?af=R" TargetMode="External"/><Relationship Id="rId525" Type="http://schemas.openxmlformats.org/officeDocument/2006/relationships/hyperlink" Target="https://doi.org/10.1002/adma.73601" TargetMode="External"/><Relationship Id="rId526" Type="http://schemas.openxmlformats.org/officeDocument/2006/relationships/hyperlink" Target="https://advanced.onlinelibrary.wiley.com/doi/10.1002/adma.73484?af=R" TargetMode="External"/><Relationship Id="rId527" Type="http://schemas.openxmlformats.org/officeDocument/2006/relationships/hyperlink" Target="https://doi.org/10.1002/adma.73484" TargetMode="External"/><Relationship Id="rId528" Type="http://schemas.openxmlformats.org/officeDocument/2006/relationships/hyperlink" Target="https://advanced.onlinelibrary.wiley.com/doi/10.1002/adma.73488?af=R" TargetMode="External"/><Relationship Id="rId529" Type="http://schemas.openxmlformats.org/officeDocument/2006/relationships/hyperlink" Target="https://doi.org/10.1002/adma.73488" TargetMode="External"/><Relationship Id="rId530" Type="http://schemas.openxmlformats.org/officeDocument/2006/relationships/hyperlink" Target="http://pubs.rsc.org/en/Content/ArticleLanding/2026/CS/D5CS01317H" TargetMode="External"/><Relationship Id="rId531" Type="http://schemas.openxmlformats.org/officeDocument/2006/relationships/hyperlink" Target="https://www.nature.com/articles/d41586-026-01690-7" TargetMode="External"/><Relationship Id="rId532" Type="http://schemas.openxmlformats.org/officeDocument/2006/relationships/hyperlink" Target="https://doi.org/10.1038/d41586-026-01690-7" TargetMode="External"/><Relationship Id="rId533" Type="http://schemas.openxmlformats.org/officeDocument/2006/relationships/hyperlink" Target="https://www.nature.com/articles/d41586-026-01861-6" TargetMode="External"/><Relationship Id="rId534" Type="http://schemas.openxmlformats.org/officeDocument/2006/relationships/hyperlink" Target="https://doi.org/10.1038/d41586-026-01861-6" TargetMode="External"/><Relationship Id="rId535" Type="http://schemas.openxmlformats.org/officeDocument/2006/relationships/hyperlink" Target="https://www.nature.com/articles/d41586-026-01209-0" TargetMode="External"/><Relationship Id="rId536" Type="http://schemas.openxmlformats.org/officeDocument/2006/relationships/hyperlink" Target="https://doi.org/10.1038/d41586-026-01209-0" TargetMode="External"/><Relationship Id="rId537" Type="http://schemas.openxmlformats.org/officeDocument/2006/relationships/hyperlink" Target="https://www.nature.com/articles/d41586-026-01234-z" TargetMode="External"/><Relationship Id="rId538" Type="http://schemas.openxmlformats.org/officeDocument/2006/relationships/hyperlink" Target="https://doi.org/10.1038/d41586-026-01234-z" TargetMode="External"/><Relationship Id="rId539" Type="http://schemas.openxmlformats.org/officeDocument/2006/relationships/hyperlink" Target="https://www.nature.com/articles/d41586-026-01823-y" TargetMode="External"/><Relationship Id="rId540" Type="http://schemas.openxmlformats.org/officeDocument/2006/relationships/hyperlink" Target="https://doi.org/10.1038/d41586-026-01823-y" TargetMode="External"/><Relationship Id="rId541" Type="http://schemas.openxmlformats.org/officeDocument/2006/relationships/hyperlink" Target="https://www.nature.com/articles/d41586-026-01825-w" TargetMode="External"/><Relationship Id="rId542" Type="http://schemas.openxmlformats.org/officeDocument/2006/relationships/hyperlink" Target="https://doi.org/10.1038/d41586-026-01825-w" TargetMode="External"/><Relationship Id="rId543" Type="http://schemas.openxmlformats.org/officeDocument/2006/relationships/hyperlink" Target="https://www.nature.com/articles/d41586-026-01822-z" TargetMode="External"/><Relationship Id="rId544" Type="http://schemas.openxmlformats.org/officeDocument/2006/relationships/hyperlink" Target="https://doi.org/10.1038/d41586-026-01822-z" TargetMode="External"/><Relationship Id="rId545" Type="http://schemas.openxmlformats.org/officeDocument/2006/relationships/hyperlink" Target="https://www.nature.com/articles/d41586-026-01836-7" TargetMode="External"/><Relationship Id="rId546" Type="http://schemas.openxmlformats.org/officeDocument/2006/relationships/hyperlink" Target="https://doi.org/10.1038/d41586-026-01836-7" TargetMode="External"/><Relationship Id="rId547" Type="http://schemas.openxmlformats.org/officeDocument/2006/relationships/hyperlink" Target="https://academic.oup.com/nsr/advance-article/doi/10.1093/nsr/nwag351/8704707?rss=1" TargetMode="External"/><Relationship Id="rId548" Type="http://schemas.openxmlformats.org/officeDocument/2006/relationships/hyperlink" Target="https://doi.org/10.1093/nsr/nwag351" TargetMode="External"/><Relationship Id="rId549" Type="http://schemas.openxmlformats.org/officeDocument/2006/relationships/hyperlink" Target="https://academic.oup.com/nsr/advance-article/doi/10.1093/nsr/nwag341/8704706?rss=1" TargetMode="External"/><Relationship Id="rId550" Type="http://schemas.openxmlformats.org/officeDocument/2006/relationships/hyperlink" Target="https://doi.org/10.1093/nsr/nwag341" TargetMode="External"/><Relationship Id="rId551" Type="http://schemas.openxmlformats.org/officeDocument/2006/relationships/hyperlink" Target="https://www.nature.com/articles/d41586-026-01815-y" TargetMode="External"/><Relationship Id="rId552" Type="http://schemas.openxmlformats.org/officeDocument/2006/relationships/hyperlink" Target="https://doi.org/10.1038/d41586-026-01815-y" TargetMode="External"/><Relationship Id="rId553" Type="http://schemas.openxmlformats.org/officeDocument/2006/relationships/hyperlink" Target="https://www.nature.com/articles/d41586-026-00799-z" TargetMode="External"/><Relationship Id="rId554" Type="http://schemas.openxmlformats.org/officeDocument/2006/relationships/hyperlink" Target="https://doi.org/10.1038/d41586-026-00799-z" TargetMode="External"/><Relationship Id="rId555" Type="http://schemas.openxmlformats.org/officeDocument/2006/relationships/hyperlink" Target="https://www.nature.com/articles/d41586-026-01737-9" TargetMode="External"/><Relationship Id="rId556" Type="http://schemas.openxmlformats.org/officeDocument/2006/relationships/hyperlink" Target="https://doi.org/10.1038/d41586-026-01737-9" TargetMode="External"/><Relationship Id="rId557" Type="http://schemas.openxmlformats.org/officeDocument/2006/relationships/hyperlink" Target="https://www.nature.com/articles/d41586-026-01840-x" TargetMode="External"/><Relationship Id="rId558" Type="http://schemas.openxmlformats.org/officeDocument/2006/relationships/hyperlink" Target="https://doi.org/10.1038/d41586-026-01840-x" TargetMode="External"/><Relationship Id="rId559" Type="http://schemas.openxmlformats.org/officeDocument/2006/relationships/hyperlink" Target="https://www.nature.com/articles/d41586-026-01826-9" TargetMode="External"/><Relationship Id="rId560" Type="http://schemas.openxmlformats.org/officeDocument/2006/relationships/hyperlink" Target="https://doi.org/10.1038/d41586-026-01826-9" TargetMode="External"/><Relationship Id="rId561" Type="http://schemas.openxmlformats.org/officeDocument/2006/relationships/hyperlink" Target="https://academic.oup.com/nsr/advance-article/doi/10.1093/nsr/nwag352/8704708?rss=1" TargetMode="External"/><Relationship Id="rId562" Type="http://schemas.openxmlformats.org/officeDocument/2006/relationships/hyperlink" Target="https://doi.org/10.1093/nsr/nwag352" TargetMode="External"/><Relationship Id="rId563" Type="http://schemas.openxmlformats.org/officeDocument/2006/relationships/hyperlink" Target="https://www.cell.com/one-earth/fulltext/S2590-3322(26)00119-3?rss=yes" TargetMode="External"/><Relationship Id="rId564" Type="http://schemas.openxmlformats.org/officeDocument/2006/relationships/hyperlink" Target="https://doi.org/10.1016/j.oneear.2026.101718" TargetMode="External"/><Relationship Id="rId565" Type="http://schemas.openxmlformats.org/officeDocument/2006/relationships/hyperlink" Target="https://www.sciencedirect.com/science/article/pii/S0301421526003514?dgcid=rss_sd_all" TargetMode="External"/><Relationship Id="rId566" Type="http://schemas.openxmlformats.org/officeDocument/2006/relationships/hyperlink" Target="https://www.nature.com/articles/s41586-026-10763-6" TargetMode="External"/><Relationship Id="rId567" Type="http://schemas.openxmlformats.org/officeDocument/2006/relationships/hyperlink" Target="https://doi.org/10.1038/s41586-026-10763-6" TargetMode="External"/><Relationship Id="rId568" Type="http://schemas.openxmlformats.org/officeDocument/2006/relationships/hyperlink" Target="https://www.nature.com/articles/s41586-026-10769-0" TargetMode="External"/><Relationship Id="rId569" Type="http://schemas.openxmlformats.org/officeDocument/2006/relationships/hyperlink" Target="https://doi.org/10.1038/s41586-026-10769-0" TargetMode="External"/><Relationship Id="rId570" Type="http://schemas.openxmlformats.org/officeDocument/2006/relationships/hyperlink" Target="https://www.nature.com/articles/s41928-026-01646-9" TargetMode="External"/><Relationship Id="rId571" Type="http://schemas.openxmlformats.org/officeDocument/2006/relationships/hyperlink" Target="https://doi.org/10.1038/s41928-026-01646-9" TargetMode="External"/><Relationship Id="rId572" Type="http://schemas.openxmlformats.org/officeDocument/2006/relationships/hyperlink" Target="https://www.nature.com/articles/s41586-026-10748-5" TargetMode="External"/><Relationship Id="rId573" Type="http://schemas.openxmlformats.org/officeDocument/2006/relationships/hyperlink" Target="https://doi.org/10.1038/s41586-026-10748-5" TargetMode="External"/><Relationship Id="rId574" Type="http://schemas.openxmlformats.org/officeDocument/2006/relationships/hyperlink" Target="https://www.nature.com/articles/d41586-026-01848-3" TargetMode="External"/><Relationship Id="rId575" Type="http://schemas.openxmlformats.org/officeDocument/2006/relationships/hyperlink" Target="https://doi.org/10.1038/d41586-026-01848-3" TargetMode="External"/><Relationship Id="rId576" Type="http://schemas.openxmlformats.org/officeDocument/2006/relationships/hyperlink" Target="https://www.nature.com/articles/d41586-026-01810-3" TargetMode="External"/><Relationship Id="rId577" Type="http://schemas.openxmlformats.org/officeDocument/2006/relationships/hyperlink" Target="https://doi.org/10.1038/d41586-026-01810-3" TargetMode="External"/><Relationship Id="rId578" Type="http://schemas.openxmlformats.org/officeDocument/2006/relationships/hyperlink" Target="https://www.nature.com/articles/s41586-026-10745-8" TargetMode="External"/><Relationship Id="rId579" Type="http://schemas.openxmlformats.org/officeDocument/2006/relationships/hyperlink" Target="https://doi.org/10.1038/s41586-026-10745-8" TargetMode="External"/><Relationship Id="rId580" Type="http://schemas.openxmlformats.org/officeDocument/2006/relationships/hyperlink" Target="https://www.nature.com/articles/d41586-026-01849-2" TargetMode="External"/><Relationship Id="rId581" Type="http://schemas.openxmlformats.org/officeDocument/2006/relationships/hyperlink" Target="https://doi.org/10.1038/d41586-026-01849-2" TargetMode="External"/><Relationship Id="rId582" Type="http://schemas.openxmlformats.org/officeDocument/2006/relationships/hyperlink" Target="https://www.nature.com/articles/d41586-026-01847-4" TargetMode="External"/><Relationship Id="rId583" Type="http://schemas.openxmlformats.org/officeDocument/2006/relationships/hyperlink" Target="https://doi.org/10.1038/d41586-026-01847-4" TargetMode="External"/><Relationship Id="rId584" Type="http://schemas.openxmlformats.org/officeDocument/2006/relationships/hyperlink" Target="https://www.nature.com/articles/d41586-026-01817-w" TargetMode="External"/><Relationship Id="rId585" Type="http://schemas.openxmlformats.org/officeDocument/2006/relationships/hyperlink" Target="https://doi.org/10.1038/d41586-026-01817-w" TargetMode="External"/><Relationship Id="rId586" Type="http://schemas.openxmlformats.org/officeDocument/2006/relationships/hyperlink" Target="https://www.nature.com/articles/s41928-026-01658-5" TargetMode="External"/><Relationship Id="rId587" Type="http://schemas.openxmlformats.org/officeDocument/2006/relationships/hyperlink" Target="https://doi.org/10.1038/s41928-026-01658-5" TargetMode="External"/><Relationship Id="rId588" Type="http://schemas.openxmlformats.org/officeDocument/2006/relationships/hyperlink" Target="https://www.nature.com/articles/s41928-026-01659-4" TargetMode="External"/><Relationship Id="rId589" Type="http://schemas.openxmlformats.org/officeDocument/2006/relationships/hyperlink" Target="https://doi.org/10.1038/s41928-026-01659-4" TargetMode="External"/><Relationship Id="rId590" Type="http://schemas.openxmlformats.org/officeDocument/2006/relationships/hyperlink" Target="https://www.nature.com/articles/d41586-026-01846-5" TargetMode="External"/><Relationship Id="rId591" Type="http://schemas.openxmlformats.org/officeDocument/2006/relationships/hyperlink" Target="https://doi.org/10.1038/d41586-026-01846-5" TargetMode="External"/><Relationship Id="rId592" Type="http://schemas.openxmlformats.org/officeDocument/2006/relationships/hyperlink" Target="https://onlinelibrary.wiley.com/doi/10.1002/anie.1325073?af=R" TargetMode="External"/><Relationship Id="rId593" Type="http://schemas.openxmlformats.org/officeDocument/2006/relationships/hyperlink" Target="https://doi.org/10.1002/anie.1325073" TargetMode="External"/><Relationship Id="rId594" Type="http://schemas.openxmlformats.org/officeDocument/2006/relationships/hyperlink" Target="https://onlinelibrary.wiley.com/doi/10.1002/anie.5569475?af=R" TargetMode="External"/><Relationship Id="rId595" Type="http://schemas.openxmlformats.org/officeDocument/2006/relationships/hyperlink" Target="https://doi.org/10.1002/anie.5569475" TargetMode="External"/><Relationship Id="rId596" Type="http://schemas.openxmlformats.org/officeDocument/2006/relationships/hyperlink" Target="https://onlinelibrary.wiley.com/doi/10.1002/anie.7594145?af=R" TargetMode="External"/><Relationship Id="rId597" Type="http://schemas.openxmlformats.org/officeDocument/2006/relationships/hyperlink" Target="https://doi.org/10.1002/anie.7594145" TargetMode="External"/><Relationship Id="rId598" Type="http://schemas.openxmlformats.org/officeDocument/2006/relationships/hyperlink" Target="https://onlinelibrary.wiley.com/doi/10.1002/anie.7176356?af=R" TargetMode="External"/><Relationship Id="rId599" Type="http://schemas.openxmlformats.org/officeDocument/2006/relationships/hyperlink" Target="https://doi.org/10.1002/anie.7176356" TargetMode="External"/><Relationship Id="rId600" Type="http://schemas.openxmlformats.org/officeDocument/2006/relationships/hyperlink" Target="https://onlinelibrary.wiley.com/doi/10.1002/anie.7061041?af=R" TargetMode="External"/><Relationship Id="rId601" Type="http://schemas.openxmlformats.org/officeDocument/2006/relationships/hyperlink" Target="https://doi.org/10.1002/anie.7061041" TargetMode="External"/><Relationship Id="rId602" Type="http://schemas.openxmlformats.org/officeDocument/2006/relationships/hyperlink" Target="https://onlinelibrary.wiley.com/doi/10.1002/anie.1228418?af=R" TargetMode="External"/><Relationship Id="rId603" Type="http://schemas.openxmlformats.org/officeDocument/2006/relationships/hyperlink" Target="https://doi.org/10.1002/anie.1228418" TargetMode="External"/><Relationship Id="rId604" Type="http://schemas.openxmlformats.org/officeDocument/2006/relationships/hyperlink" Target="https://onlinelibrary.wiley.com/doi/10.1002/anie.7045464?af=R" TargetMode="External"/><Relationship Id="rId605" Type="http://schemas.openxmlformats.org/officeDocument/2006/relationships/hyperlink" Target="https://doi.org/10.1002/anie.7045464" TargetMode="External"/><Relationship Id="rId606" Type="http://schemas.openxmlformats.org/officeDocument/2006/relationships/hyperlink" Target="https://onlinelibrary.wiley.com/doi/10.1002/anie.8856021?af=R" TargetMode="External"/><Relationship Id="rId607" Type="http://schemas.openxmlformats.org/officeDocument/2006/relationships/hyperlink" Target="https://doi.org/10.1002/anie.8856021" TargetMode="External"/><Relationship Id="rId608" Type="http://schemas.openxmlformats.org/officeDocument/2006/relationships/hyperlink" Target="https://advanced.onlinelibrary.wiley.com/doi/10.1002/adma.202523667?af=R" TargetMode="External"/><Relationship Id="rId609" Type="http://schemas.openxmlformats.org/officeDocument/2006/relationships/hyperlink" Target="https://doi.org/10.1002/adma.202523667" TargetMode="External"/><Relationship Id="rId610" Type="http://schemas.openxmlformats.org/officeDocument/2006/relationships/hyperlink" Target="https://advanced.onlinelibrary.wiley.com/doi/10.1002/adma.73641?af=R" TargetMode="External"/><Relationship Id="rId611" Type="http://schemas.openxmlformats.org/officeDocument/2006/relationships/hyperlink" Target="https://doi.org/10.1002/adma.73641" TargetMode="External"/><Relationship Id="rId612" Type="http://schemas.openxmlformats.org/officeDocument/2006/relationships/hyperlink" Target="https://advanced.onlinelibrary.wiley.com/doi/10.1002/adma.73661?af=R" TargetMode="External"/><Relationship Id="rId613" Type="http://schemas.openxmlformats.org/officeDocument/2006/relationships/hyperlink" Target="https://doi.org/10.1002/adma.73661" TargetMode="External"/><Relationship Id="rId614" Type="http://schemas.openxmlformats.org/officeDocument/2006/relationships/hyperlink" Target="https://www.pnas.org/doi/abs/10.1073/pnas.2606892123?mi=eymic2&amp;af=R&amp;access=on&amp;content=articlesChapters&amp;publication=pnas&amp;sortBy=Earliest&amp;target=default" TargetMode="External"/><Relationship Id="rId615" Type="http://schemas.openxmlformats.org/officeDocument/2006/relationships/hyperlink" Target="https://doi.org/10.1073/pnas.2606892123" TargetMode="External"/><Relationship Id="rId616" Type="http://schemas.openxmlformats.org/officeDocument/2006/relationships/hyperlink" Target="https://www.pnas.org/doi/abs/10.1073/pnas.2607035123?mi=eymic2&amp;af=R&amp;access=on&amp;content=articlesChapters&amp;publication=pnas&amp;sortBy=Earliest&amp;target=default" TargetMode="External"/><Relationship Id="rId617" Type="http://schemas.openxmlformats.org/officeDocument/2006/relationships/hyperlink" Target="https://doi.org/10.1073/pnas.2607035123" TargetMode="External"/><Relationship Id="rId618" Type="http://schemas.openxmlformats.org/officeDocument/2006/relationships/hyperlink" Target="https://www.pnas.org/doi/abs/10.1073/pnas.2607573123?mi=eymic2&amp;af=R&amp;access=on&amp;content=articlesChapters&amp;publication=pnas&amp;sortBy=Earliest&amp;target=default" TargetMode="External"/><Relationship Id="rId619" Type="http://schemas.openxmlformats.org/officeDocument/2006/relationships/hyperlink" Target="https://doi.org/10.1073/pnas.2607573123" TargetMode="External"/><Relationship Id="rId620" Type="http://schemas.openxmlformats.org/officeDocument/2006/relationships/hyperlink" Target="https://www.pnas.org/doi/abs/10.1073/pnas.2609802123?mi=eymic2&amp;af=R&amp;access=on&amp;content=articlesChapters&amp;publication=pnas&amp;sortBy=Earliest&amp;target=default" TargetMode="External"/><Relationship Id="rId621" Type="http://schemas.openxmlformats.org/officeDocument/2006/relationships/hyperlink" Target="https://doi.org/10.1073/pnas.2609802123" TargetMode="External"/><Relationship Id="rId622" Type="http://schemas.openxmlformats.org/officeDocument/2006/relationships/hyperlink" Target="https://www.pnas.org/doi/abs/10.1073/pnas.2612003123?mi=eymic2&amp;af=R&amp;access=on&amp;content=articlesChapters&amp;publication=pnas&amp;sortBy=Earliest&amp;target=default" TargetMode="External"/><Relationship Id="rId623" Type="http://schemas.openxmlformats.org/officeDocument/2006/relationships/hyperlink" Target="https://doi.org/10.1073/pnas.2612003123" TargetMode="External"/><Relationship Id="rId624" Type="http://schemas.openxmlformats.org/officeDocument/2006/relationships/hyperlink" Target="https://www.pnas.org/doi/abs/10.1073/pnas.2603926123?mi=eymic2&amp;af=R&amp;access=on&amp;content=articlesChapters&amp;publication=pnas&amp;sortBy=Earliest&amp;target=default" TargetMode="External"/><Relationship Id="rId625" Type="http://schemas.openxmlformats.org/officeDocument/2006/relationships/hyperlink" Target="https://doi.org/10.1073/pnas.2603926123" TargetMode="External"/><Relationship Id="rId626" Type="http://schemas.openxmlformats.org/officeDocument/2006/relationships/hyperlink" Target="https://www.pnas.org/doi/abs/10.1073/pnas.2605725123?mi=eymic2&amp;af=R&amp;access=on&amp;content=articlesChapters&amp;publication=pnas&amp;sortBy=Earliest&amp;target=default" TargetMode="External"/><Relationship Id="rId627" Type="http://schemas.openxmlformats.org/officeDocument/2006/relationships/hyperlink" Target="https://doi.org/10.1073/pnas.2605725123" TargetMode="External"/><Relationship Id="rId628" Type="http://schemas.openxmlformats.org/officeDocument/2006/relationships/hyperlink" Target="https://www.pnas.org/doi/abs/10.1073/pnas.2605237123?mi=eymic2&amp;af=R&amp;access=on&amp;content=articlesChapters&amp;publication=pnas&amp;sortBy=Earliest&amp;target=default" TargetMode="External"/><Relationship Id="rId629" Type="http://schemas.openxmlformats.org/officeDocument/2006/relationships/hyperlink" Target="https://doi.org/10.1073/pnas.2605237123" TargetMode="External"/><Relationship Id="rId630" Type="http://schemas.openxmlformats.org/officeDocument/2006/relationships/hyperlink" Target="https://www.pnas.org/doi/abs/10.1073/pnas.2603966123?mi=eymic2&amp;af=R&amp;access=on&amp;content=articlesChapters&amp;publication=pnas&amp;sortBy=Earliest&amp;target=default" TargetMode="External"/><Relationship Id="rId631" Type="http://schemas.openxmlformats.org/officeDocument/2006/relationships/hyperlink" Target="https://doi.org/10.1073/pnas.2603966123" TargetMode="External"/><Relationship Id="rId632" Type="http://schemas.openxmlformats.org/officeDocument/2006/relationships/hyperlink" Target="https://www.pnas.org/doi/abs/10.1073/pnas.2606646123?mi=eymic2&amp;af=R&amp;access=on&amp;content=articlesChapters&amp;publication=pnas&amp;sortBy=Earliest&amp;target=default" TargetMode="External"/><Relationship Id="rId633" Type="http://schemas.openxmlformats.org/officeDocument/2006/relationships/hyperlink" Target="https://doi.org/10.1073/pnas.2606646123" TargetMode="External"/><Relationship Id="rId634" Type="http://schemas.openxmlformats.org/officeDocument/2006/relationships/hyperlink" Target="https://www.pnas.org/doi/abs/10.1073/pnas.2602575123?mi=eymic2&amp;af=R&amp;access=on&amp;content=articlesChapters&amp;publication=pnas&amp;sortBy=Earliest&amp;target=default" TargetMode="External"/><Relationship Id="rId635" Type="http://schemas.openxmlformats.org/officeDocument/2006/relationships/hyperlink" Target="https://doi.org/10.1073/pnas.2602575123" TargetMode="External"/><Relationship Id="rId636" Type="http://schemas.openxmlformats.org/officeDocument/2006/relationships/hyperlink" Target="https://www.pnas.org/doi/abs/10.1073/pnas.2603105123?mi=eymic2&amp;af=R&amp;access=on&amp;content=articlesChapters&amp;publication=pnas&amp;sortBy=Earliest&amp;target=default" TargetMode="External"/><Relationship Id="rId637" Type="http://schemas.openxmlformats.org/officeDocument/2006/relationships/hyperlink" Target="https://doi.org/10.1073/pnas.2603105123" TargetMode="External"/><Relationship Id="rId638" Type="http://schemas.openxmlformats.org/officeDocument/2006/relationships/hyperlink" Target="https://www.pnas.org/doi/abs/10.1073/iti2326123?mi=eymic2&amp;af=R&amp;access=on&amp;content=articlesChapters&amp;publication=pnas&amp;sortBy=Earliest&amp;target=default" TargetMode="External"/><Relationship Id="rId639" Type="http://schemas.openxmlformats.org/officeDocument/2006/relationships/hyperlink" Target="https://doi.org/10.1073/iti2326123" TargetMode="External"/><Relationship Id="rId640" Type="http://schemas.openxmlformats.org/officeDocument/2006/relationships/hyperlink" Target="https://www.pnas.org/doi/abs/10.1073/pnas.2520997123?mi=eymic2&amp;af=R&amp;access=on&amp;content=articlesChapters&amp;publication=pnas&amp;sortBy=Earliest&amp;target=default" TargetMode="External"/><Relationship Id="rId641" Type="http://schemas.openxmlformats.org/officeDocument/2006/relationships/hyperlink" Target="https://doi.org/10.1073/pnas.2520997123" TargetMode="External"/><Relationship Id="rId642" Type="http://schemas.openxmlformats.org/officeDocument/2006/relationships/hyperlink" Target="https://www.pnas.org/doi/abs/10.1073/pnas.2524866123?mi=eymic2&amp;af=R&amp;access=on&amp;content=articlesChapters&amp;publication=pnas&amp;sortBy=Earliest&amp;target=default" TargetMode="External"/><Relationship Id="rId643" Type="http://schemas.openxmlformats.org/officeDocument/2006/relationships/hyperlink" Target="https://doi.org/10.1073/pnas.2524866123" TargetMode="External"/><Relationship Id="rId644" Type="http://schemas.openxmlformats.org/officeDocument/2006/relationships/hyperlink" Target="https://www.pnas.org/doi/abs/10.1073/pnas.2535299123?mi=eymic2&amp;af=R&amp;access=on&amp;content=articlesChapters&amp;publication=pnas&amp;sortBy=Earliest&amp;target=default" TargetMode="External"/><Relationship Id="rId645" Type="http://schemas.openxmlformats.org/officeDocument/2006/relationships/hyperlink" Target="https://doi.org/10.1073/pnas.2535299123" TargetMode="External"/><Relationship Id="rId646" Type="http://schemas.openxmlformats.org/officeDocument/2006/relationships/hyperlink" Target="https://www.pnas.org/doi/abs/10.1073/pnas.2537686123?mi=eymic2&amp;af=R&amp;access=on&amp;content=articlesChapters&amp;publication=pnas&amp;sortBy=Earliest&amp;target=default" TargetMode="External"/><Relationship Id="rId647" Type="http://schemas.openxmlformats.org/officeDocument/2006/relationships/hyperlink" Target="https://doi.org/10.1073/pnas.2537686123" TargetMode="External"/><Relationship Id="rId648" Type="http://schemas.openxmlformats.org/officeDocument/2006/relationships/hyperlink" Target="https://www.pnas.org/doi/abs/10.1073/pnas.2538139123?mi=eymic2&amp;af=R&amp;access=on&amp;content=articlesChapters&amp;publication=pnas&amp;sortBy=Earliest&amp;target=default" TargetMode="External"/><Relationship Id="rId649" Type="http://schemas.openxmlformats.org/officeDocument/2006/relationships/hyperlink" Target="https://doi.org/10.1073/pnas.2538139123" TargetMode="External"/><Relationship Id="rId650" Type="http://schemas.openxmlformats.org/officeDocument/2006/relationships/hyperlink" Target="https://www.pnas.org/doi/abs/10.1073/pnas.2602209123?mi=eymic2&amp;af=R&amp;access=on&amp;content=articlesChapters&amp;publication=pnas&amp;sortBy=Earliest&amp;target=default" TargetMode="External"/><Relationship Id="rId651" Type="http://schemas.openxmlformats.org/officeDocument/2006/relationships/hyperlink" Target="https://doi.org/10.1073/pnas.2602209123" TargetMode="External"/><Relationship Id="rId652" Type="http://schemas.openxmlformats.org/officeDocument/2006/relationships/hyperlink" Target="https://www.pnas.org/doi/abs/10.1073/pnas.2535777123?mi=eymic2&amp;af=R&amp;access=on&amp;content=articlesChapters&amp;publication=pnas&amp;sortBy=Earliest&amp;target=default" TargetMode="External"/><Relationship Id="rId653" Type="http://schemas.openxmlformats.org/officeDocument/2006/relationships/hyperlink" Target="https://doi.org/10.1073/pnas.2535777123" TargetMode="External"/><Relationship Id="rId654" Type="http://schemas.openxmlformats.org/officeDocument/2006/relationships/hyperlink" Target="https://advanced.onlinelibrary.wiley.com/doi/10.1002/adma.73631?af=R" TargetMode="External"/><Relationship Id="rId655" Type="http://schemas.openxmlformats.org/officeDocument/2006/relationships/hyperlink" Target="https://doi.org/10.1002/adma.73631" TargetMode="External"/><Relationship Id="rId656" Type="http://schemas.openxmlformats.org/officeDocument/2006/relationships/hyperlink" Target="https://advanced.onlinelibrary.wiley.com/doi/10.1002/adma.73638?af=R" TargetMode="External"/><Relationship Id="rId657" Type="http://schemas.openxmlformats.org/officeDocument/2006/relationships/hyperlink" Target="https://doi.org/10.1002/adma.73638" TargetMode="External"/><Relationship Id="rId658" Type="http://schemas.openxmlformats.org/officeDocument/2006/relationships/hyperlink" Target="https://advanced.onlinelibrary.wiley.com/doi/10.1002/adma.202522493?af=R" TargetMode="External"/><Relationship Id="rId659" Type="http://schemas.openxmlformats.org/officeDocument/2006/relationships/hyperlink" Target="https://doi.org/10.1002/adma.202522493" TargetMode="External"/><Relationship Id="rId660" Type="http://schemas.openxmlformats.org/officeDocument/2006/relationships/hyperlink" Target="https://advanced.onlinelibrary.wiley.com/doi/10.1002/adma.73651?af=R" TargetMode="External"/><Relationship Id="rId661" Type="http://schemas.openxmlformats.org/officeDocument/2006/relationships/hyperlink" Target="https://doi.org/10.1002/adma.73651" TargetMode="External"/><Relationship Id="rId662" Type="http://schemas.openxmlformats.org/officeDocument/2006/relationships/hyperlink" Target="https://advanced.onlinelibrary.wiley.com/doi/10.1002/adma.73691?af=R" TargetMode="External"/><Relationship Id="rId663" Type="http://schemas.openxmlformats.org/officeDocument/2006/relationships/hyperlink" Target="https://doi.org/10.1002/adma.73691" TargetMode="External"/><Relationship Id="rId664" Type="http://schemas.openxmlformats.org/officeDocument/2006/relationships/hyperlink" Target="https://advanced.onlinelibrary.wiley.com/doi/10.1002/adma.73645?af=R" TargetMode="External"/><Relationship Id="rId665" Type="http://schemas.openxmlformats.org/officeDocument/2006/relationships/hyperlink" Target="https://doi.org/10.1002/adma.73645" TargetMode="External"/><Relationship Id="rId666" Type="http://schemas.openxmlformats.org/officeDocument/2006/relationships/hyperlink" Target="http://link.aps.org/doi/10.1103/ng1d-6gb8" TargetMode="External"/><Relationship Id="rId667" Type="http://schemas.openxmlformats.org/officeDocument/2006/relationships/hyperlink" Target="https://doi.org/10.1103/ng1d-6gb8" TargetMode="External"/><Relationship Id="rId668" Type="http://schemas.openxmlformats.org/officeDocument/2006/relationships/hyperlink" Target="http://link.aps.org/doi/10.1103/j3s5-gjpf" TargetMode="External"/><Relationship Id="rId669" Type="http://schemas.openxmlformats.org/officeDocument/2006/relationships/hyperlink" Target="https://doi.org/10.1103/j3s5-gjpf" TargetMode="External"/><Relationship Id="rId670" Type="http://schemas.openxmlformats.org/officeDocument/2006/relationships/hyperlink" Target="http://link.aps.org/doi/10.1103/4rww-4tsc" TargetMode="External"/><Relationship Id="rId671" Type="http://schemas.openxmlformats.org/officeDocument/2006/relationships/hyperlink" Target="https://doi.org/10.1103/4rww-4tsc" TargetMode="External"/><Relationship Id="rId672" Type="http://schemas.openxmlformats.org/officeDocument/2006/relationships/hyperlink" Target="http://link.aps.org/doi/10.1103/6d6f-q1mg" TargetMode="External"/><Relationship Id="rId673" Type="http://schemas.openxmlformats.org/officeDocument/2006/relationships/hyperlink" Target="https://doi.org/10.1103/6d6f-q1mg" TargetMode="External"/><Relationship Id="rId674" Type="http://schemas.openxmlformats.org/officeDocument/2006/relationships/hyperlink" Target="http://link.aps.org/doi/10.1103/hs3s-j4yp" TargetMode="External"/><Relationship Id="rId675" Type="http://schemas.openxmlformats.org/officeDocument/2006/relationships/hyperlink" Target="https://doi.org/10.1103/hs3s-j4yp" TargetMode="External"/><Relationship Id="rId676" Type="http://schemas.openxmlformats.org/officeDocument/2006/relationships/hyperlink" Target="http://link.aps.org/doi/10.1103/klkv-vk36" TargetMode="External"/><Relationship Id="rId677" Type="http://schemas.openxmlformats.org/officeDocument/2006/relationships/hyperlink" Target="https://doi.org/10.1103/klkv-vk36" TargetMode="External"/><Relationship Id="rId678" Type="http://schemas.openxmlformats.org/officeDocument/2006/relationships/hyperlink" Target="http://link.aps.org/doi/10.1103/shj2-hyw8" TargetMode="External"/><Relationship Id="rId679" Type="http://schemas.openxmlformats.org/officeDocument/2006/relationships/hyperlink" Target="https://doi.org/10.1103/shj2-hyw8" TargetMode="External"/><Relationship Id="rId680" Type="http://schemas.openxmlformats.org/officeDocument/2006/relationships/hyperlink" Target="http://link.aps.org/doi/10.1103/p5c7-m43d" TargetMode="External"/><Relationship Id="rId681" Type="http://schemas.openxmlformats.org/officeDocument/2006/relationships/hyperlink" Target="https://doi.org/10.1103/p5c7-m43d" TargetMode="External"/><Relationship Id="rId682" Type="http://schemas.openxmlformats.org/officeDocument/2006/relationships/hyperlink" Target="http://link.aps.org/doi/10.1103/g22y-z8h3" TargetMode="External"/><Relationship Id="rId683" Type="http://schemas.openxmlformats.org/officeDocument/2006/relationships/hyperlink" Target="https://doi.org/10.1103/g22y-z8h3" TargetMode="External"/><Relationship Id="rId684" Type="http://schemas.openxmlformats.org/officeDocument/2006/relationships/hyperlink" Target="http://link.aps.org/doi/10.1103/gvxl-vxd4" TargetMode="External"/><Relationship Id="rId685" Type="http://schemas.openxmlformats.org/officeDocument/2006/relationships/hyperlink" Target="https://doi.org/10.1103/gvxl-vxd4" TargetMode="External"/><Relationship Id="rId686" Type="http://schemas.openxmlformats.org/officeDocument/2006/relationships/hyperlink" Target="http://link.aps.org/doi/10.1103/wzcr-m8xb" TargetMode="External"/><Relationship Id="rId687" Type="http://schemas.openxmlformats.org/officeDocument/2006/relationships/hyperlink" Target="https://doi.org/10.1103/wzcr-m8xb" TargetMode="External"/><Relationship Id="rId688" Type="http://schemas.openxmlformats.org/officeDocument/2006/relationships/hyperlink" Target="http://link.aps.org/doi/10.1103/yhk9-qf8c" TargetMode="External"/><Relationship Id="rId689" Type="http://schemas.openxmlformats.org/officeDocument/2006/relationships/hyperlink" Target="https://doi.org/10.1103/yhk9-qf8c" TargetMode="External"/><Relationship Id="rId690" Type="http://schemas.openxmlformats.org/officeDocument/2006/relationships/hyperlink" Target="http://link.aps.org/doi/10.1103/vpny-23wq" TargetMode="External"/><Relationship Id="rId691" Type="http://schemas.openxmlformats.org/officeDocument/2006/relationships/hyperlink" Target="https://doi.org/10.1103/vpny-23wq" TargetMode="External"/><Relationship Id="rId692" Type="http://schemas.openxmlformats.org/officeDocument/2006/relationships/hyperlink" Target="http://link.aps.org/doi/10.1103/tfdm-qshs" TargetMode="External"/><Relationship Id="rId693" Type="http://schemas.openxmlformats.org/officeDocument/2006/relationships/hyperlink" Target="https://doi.org/10.1103/tfdm-qshs" TargetMode="External"/><Relationship Id="rId694" Type="http://schemas.openxmlformats.org/officeDocument/2006/relationships/hyperlink" Target="http://link.aps.org/doi/10.1103/g6nl-1fbn" TargetMode="External"/><Relationship Id="rId695" Type="http://schemas.openxmlformats.org/officeDocument/2006/relationships/hyperlink" Target="https://doi.org/10.1103/g6nl-1fbn" TargetMode="External"/><Relationship Id="rId696" Type="http://schemas.openxmlformats.org/officeDocument/2006/relationships/hyperlink" Target="http://link.aps.org/doi/10.1103/fgt6-bhmq" TargetMode="External"/><Relationship Id="rId697" Type="http://schemas.openxmlformats.org/officeDocument/2006/relationships/hyperlink" Target="https://doi.org/10.1103/fgt6-bhmq" TargetMode="External"/><Relationship Id="rId698" Type="http://schemas.openxmlformats.org/officeDocument/2006/relationships/hyperlink" Target="http://link.aps.org/doi/10.1103/qlvv-r93m" TargetMode="External"/><Relationship Id="rId699" Type="http://schemas.openxmlformats.org/officeDocument/2006/relationships/hyperlink" Target="https://doi.org/10.1103/qlvv-r93m" TargetMode="External"/><Relationship Id="rId700" Type="http://schemas.openxmlformats.org/officeDocument/2006/relationships/hyperlink" Target="http://link.aps.org/doi/10.1103/49gt-msw9" TargetMode="External"/><Relationship Id="rId701" Type="http://schemas.openxmlformats.org/officeDocument/2006/relationships/hyperlink" Target="https://doi.org/10.1103/49gt-msw9" TargetMode="External"/><Relationship Id="rId702" Type="http://schemas.openxmlformats.org/officeDocument/2006/relationships/hyperlink" Target="http://link.aps.org/doi/10.1103/lqv1-kf2n" TargetMode="External"/><Relationship Id="rId703" Type="http://schemas.openxmlformats.org/officeDocument/2006/relationships/hyperlink" Target="https://doi.org/10.1103/lqv1-kf2n" TargetMode="External"/><Relationship Id="rId704" Type="http://schemas.openxmlformats.org/officeDocument/2006/relationships/hyperlink" Target="http://link.aps.org/doi/10.1103/261w-8f38" TargetMode="External"/><Relationship Id="rId705" Type="http://schemas.openxmlformats.org/officeDocument/2006/relationships/hyperlink" Target="https://doi.org/10.1103/261w-8f38" TargetMode="External"/><Relationship Id="rId706" Type="http://schemas.openxmlformats.org/officeDocument/2006/relationships/hyperlink" Target="https://advanced.onlinelibrary.wiley.com/doi/10.1002/adma.202523593?af=R" TargetMode="External"/><Relationship Id="rId707" Type="http://schemas.openxmlformats.org/officeDocument/2006/relationships/hyperlink" Target="https://doi.org/10.1002/adma.202523593" TargetMode="External"/><Relationship Id="rId708" Type="http://schemas.openxmlformats.org/officeDocument/2006/relationships/hyperlink" Target="https://onlinelibrary.wiley.com/doi/10.1002/anie.6524839?af=R" TargetMode="External"/><Relationship Id="rId709" Type="http://schemas.openxmlformats.org/officeDocument/2006/relationships/hyperlink" Target="https://doi.org/10.1002/anie.6524839" TargetMode="External"/><Relationship Id="rId710" Type="http://schemas.openxmlformats.org/officeDocument/2006/relationships/hyperlink" Target="https://onlinelibrary.wiley.com/doi/10.1002/anie.3135255?af=R" TargetMode="External"/><Relationship Id="rId711" Type="http://schemas.openxmlformats.org/officeDocument/2006/relationships/hyperlink" Target="https://doi.org/10.1002/anie.3135255" TargetMode="External"/><Relationship Id="rId712" Type="http://schemas.openxmlformats.org/officeDocument/2006/relationships/hyperlink" Target="https://onlinelibrary.wiley.com/doi/10.1002/anie.2116720?af=R" TargetMode="External"/><Relationship Id="rId713" Type="http://schemas.openxmlformats.org/officeDocument/2006/relationships/hyperlink" Target="https://doi.org/10.1002/anie.2116720" TargetMode="External"/><Relationship Id="rId714" Type="http://schemas.openxmlformats.org/officeDocument/2006/relationships/hyperlink" Target="https://onlinelibrary.wiley.com/doi/10.1002/anie.2997357?af=R" TargetMode="External"/><Relationship Id="rId715" Type="http://schemas.openxmlformats.org/officeDocument/2006/relationships/hyperlink" Target="https://doi.org/10.1002/anie.2997357" TargetMode="External"/><Relationship Id="rId716" Type="http://schemas.openxmlformats.org/officeDocument/2006/relationships/hyperlink" Target="https://onlinelibrary.wiley.com/doi/10.1002/anie.7689781?af=R" TargetMode="External"/><Relationship Id="rId717" Type="http://schemas.openxmlformats.org/officeDocument/2006/relationships/hyperlink" Target="https://doi.org/10.1002/anie.7689781" TargetMode="External"/><Relationship Id="rId718" Type="http://schemas.openxmlformats.org/officeDocument/2006/relationships/hyperlink" Target="https://onlinelibrary.wiley.com/doi/10.1002/anie.6630116?af=R" TargetMode="External"/><Relationship Id="rId719" Type="http://schemas.openxmlformats.org/officeDocument/2006/relationships/hyperlink" Target="https://doi.org/10.1002/anie.6630116" TargetMode="External"/><Relationship Id="rId720" Type="http://schemas.openxmlformats.org/officeDocument/2006/relationships/hyperlink" Target="https://onlinelibrary.wiley.com/doi/10.1002/anie.4154577?af=R" TargetMode="External"/><Relationship Id="rId721" Type="http://schemas.openxmlformats.org/officeDocument/2006/relationships/hyperlink" Target="https://doi.org/10.1002/anie.4154577" TargetMode="External"/><Relationship Id="rId722" Type="http://schemas.openxmlformats.org/officeDocument/2006/relationships/hyperlink" Target="https://onlinelibrary.wiley.com/doi/10.1002/anie.5388345?af=R" TargetMode="External"/><Relationship Id="rId723" Type="http://schemas.openxmlformats.org/officeDocument/2006/relationships/hyperlink" Target="https://doi.org/10.1002/anie.5388345" TargetMode="External"/><Relationship Id="rId724" Type="http://schemas.openxmlformats.org/officeDocument/2006/relationships/hyperlink" Target="https://onlinelibrary.wiley.com/doi/10.1002/anie.6685709?af=R" TargetMode="External"/><Relationship Id="rId725" Type="http://schemas.openxmlformats.org/officeDocument/2006/relationships/hyperlink" Target="https://doi.org/10.1002/anie.6685709" TargetMode="External"/><Relationship Id="rId726" Type="http://schemas.openxmlformats.org/officeDocument/2006/relationships/hyperlink" Target="http://pubs.rsc.org/en/Content/ArticleLanding/2026/CS/D5CS01136A" TargetMode="External"/><Relationship Id="rId727" Type="http://schemas.openxmlformats.org/officeDocument/2006/relationships/hyperlink" Target="https://www.nature.com/articles/s41557-026-02177-8" TargetMode="External"/><Relationship Id="rId728" Type="http://schemas.openxmlformats.org/officeDocument/2006/relationships/hyperlink" Target="https://doi.org/10.1038/s41557-026-02177-8" TargetMode="External"/><Relationship Id="rId729" Type="http://schemas.openxmlformats.org/officeDocument/2006/relationships/hyperlink" Target="https://www.nature.com/articles/s41557-026-02155-0" TargetMode="External"/><Relationship Id="rId730" Type="http://schemas.openxmlformats.org/officeDocument/2006/relationships/hyperlink" Target="https://doi.org/10.1038/s41557-026-02155-0" TargetMode="External"/><Relationship Id="rId731" Type="http://schemas.openxmlformats.org/officeDocument/2006/relationships/hyperlink" Target="https://www.nature.com/articles/s41557-026-02198-3" TargetMode="External"/><Relationship Id="rId732" Type="http://schemas.openxmlformats.org/officeDocument/2006/relationships/hyperlink" Target="https://doi.org/10.1038/s41557-026-02198-3" TargetMode="External"/><Relationship Id="rId733" Type="http://schemas.openxmlformats.org/officeDocument/2006/relationships/hyperlink" Target="https://academic.oup.com/nsr/advance-article/doi/10.1093/nsr/nwag353/8705453?rss=1" TargetMode="External"/><Relationship Id="rId734" Type="http://schemas.openxmlformats.org/officeDocument/2006/relationships/hyperlink" Target="https://doi.org/10.1093/nsr/nwag353" TargetMode="External"/><Relationship Id="rId735" Type="http://schemas.openxmlformats.org/officeDocument/2006/relationships/hyperlink" Target="https://www.nature.com/articles/d41586-026-01701-7" TargetMode="External"/><Relationship Id="rId736" Type="http://schemas.openxmlformats.org/officeDocument/2006/relationships/hyperlink" Target="https://doi.org/10.1038/d41586-026-01701-7" TargetMode="External"/><Relationship Id="rId737" Type="http://schemas.openxmlformats.org/officeDocument/2006/relationships/hyperlink" Target="https://www.nature.com/articles/d41586-026-01718-y" TargetMode="External"/><Relationship Id="rId738" Type="http://schemas.openxmlformats.org/officeDocument/2006/relationships/hyperlink" Target="https://doi.org/10.1038/d41586-026-01718-y" TargetMode="External"/><Relationship Id="rId739" Type="http://schemas.openxmlformats.org/officeDocument/2006/relationships/hyperlink" Target="https://www.nature.com/articles/d41586-026-01814-z" TargetMode="External"/><Relationship Id="rId740" Type="http://schemas.openxmlformats.org/officeDocument/2006/relationships/hyperlink" Target="https://doi.org/10.1038/d41586-026-01814-z" TargetMode="External"/><Relationship Id="rId741" Type="http://schemas.openxmlformats.org/officeDocument/2006/relationships/hyperlink" Target="https://www.nature.com/articles/d41586-026-01626-1" TargetMode="External"/><Relationship Id="rId742" Type="http://schemas.openxmlformats.org/officeDocument/2006/relationships/hyperlink" Target="https://doi.org/10.1038/d41586-026-01626-1" TargetMode="External"/><Relationship Id="rId743" Type="http://schemas.openxmlformats.org/officeDocument/2006/relationships/hyperlink" Target="https://www.nature.com/articles/d41586-026-01662-x" TargetMode="External"/><Relationship Id="rId744" Type="http://schemas.openxmlformats.org/officeDocument/2006/relationships/hyperlink" Target="https://doi.org/10.1038/d41586-026-01662-x" TargetMode="External"/><Relationship Id="rId745" Type="http://schemas.openxmlformats.org/officeDocument/2006/relationships/hyperlink" Target="https://www.nature.com/articles/d41586-026-01878-x" TargetMode="External"/><Relationship Id="rId746" Type="http://schemas.openxmlformats.org/officeDocument/2006/relationships/hyperlink" Target="https://doi.org/10.1038/d41586-026-01878-x" TargetMode="External"/><Relationship Id="rId747" Type="http://schemas.openxmlformats.org/officeDocument/2006/relationships/hyperlink" Target="https://www.nature.com/articles/d41586-026-01835-8" TargetMode="External"/><Relationship Id="rId748" Type="http://schemas.openxmlformats.org/officeDocument/2006/relationships/hyperlink" Target="https://doi.org/10.1038/d41586-026-01835-8" TargetMode="External"/><Relationship Id="rId749" Type="http://schemas.openxmlformats.org/officeDocument/2006/relationships/hyperlink" Target="https://www.nature.com/articles/d41586-026-01588-4" TargetMode="External"/><Relationship Id="rId750" Type="http://schemas.openxmlformats.org/officeDocument/2006/relationships/hyperlink" Target="https://doi.org/10.1038/d41586-026-01588-4" TargetMode="External"/><Relationship Id="rId751" Type="http://schemas.openxmlformats.org/officeDocument/2006/relationships/hyperlink" Target="https://www.nature.com/articles/d41586-026-01819-8" TargetMode="External"/><Relationship Id="rId752" Type="http://schemas.openxmlformats.org/officeDocument/2006/relationships/hyperlink" Target="https://doi.org/10.1038/d41586-026-01819-8" TargetMode="External"/><Relationship Id="rId753" Type="http://schemas.openxmlformats.org/officeDocument/2006/relationships/hyperlink" Target="https://www.nature.com/articles/d41586-026-01581-x" TargetMode="External"/><Relationship Id="rId754" Type="http://schemas.openxmlformats.org/officeDocument/2006/relationships/hyperlink" Target="https://doi.org/10.1038/d41586-026-01581-x" TargetMode="External"/><Relationship Id="rId755" Type="http://schemas.openxmlformats.org/officeDocument/2006/relationships/hyperlink" Target="https://www.nature.com/articles/d41586-026-01796-y" TargetMode="External"/><Relationship Id="rId756" Type="http://schemas.openxmlformats.org/officeDocument/2006/relationships/hyperlink" Target="https://doi.org/10.1038/d41586-026-01796-y" TargetMode="External"/><Relationship Id="rId757" Type="http://schemas.openxmlformats.org/officeDocument/2006/relationships/hyperlink" Target="https://www.nature.com/articles/s41586-026-10611-7" TargetMode="External"/><Relationship Id="rId758" Type="http://schemas.openxmlformats.org/officeDocument/2006/relationships/hyperlink" Target="https://doi.org/10.1038/s41586-026-10611-7" TargetMode="External"/><Relationship Id="rId759" Type="http://schemas.openxmlformats.org/officeDocument/2006/relationships/hyperlink" Target="https://www.nature.com/articles/d41586-026-01753-9" TargetMode="External"/><Relationship Id="rId760" Type="http://schemas.openxmlformats.org/officeDocument/2006/relationships/hyperlink" Target="https://doi.org/10.1038/d41586-026-01753-9" TargetMode="External"/><Relationship Id="rId761" Type="http://schemas.openxmlformats.org/officeDocument/2006/relationships/hyperlink" Target="https://www.nature.com/articles/s41586-026-10628-y" TargetMode="External"/><Relationship Id="rId762" Type="http://schemas.openxmlformats.org/officeDocument/2006/relationships/hyperlink" Target="https://doi.org/10.1038/s41586-026-10628-y" TargetMode="External"/><Relationship Id="rId763" Type="http://schemas.openxmlformats.org/officeDocument/2006/relationships/hyperlink" Target="https://www.nature.com/articles/d41586-026-01851-8" TargetMode="External"/><Relationship Id="rId764" Type="http://schemas.openxmlformats.org/officeDocument/2006/relationships/hyperlink" Target="https://doi.org/10.1038/d41586-026-01851-8" TargetMode="External"/><Relationship Id="rId765" Type="http://schemas.openxmlformats.org/officeDocument/2006/relationships/hyperlink" Target="https://www.nature.com/articles/s41586-026-10630-4" TargetMode="External"/><Relationship Id="rId766" Type="http://schemas.openxmlformats.org/officeDocument/2006/relationships/hyperlink" Target="https://doi.org/10.1038/s41586-026-10630-4" TargetMode="External"/><Relationship Id="rId767" Type="http://schemas.openxmlformats.org/officeDocument/2006/relationships/hyperlink" Target="https://www.nature.com/articles/s41586-026-10661-x" TargetMode="External"/><Relationship Id="rId768" Type="http://schemas.openxmlformats.org/officeDocument/2006/relationships/hyperlink" Target="https://doi.org/10.1038/s41586-026-10661-x" TargetMode="External"/><Relationship Id="rId769" Type="http://schemas.openxmlformats.org/officeDocument/2006/relationships/hyperlink" Target="https://www.nature.com/articles/s41586-026-10555-y" TargetMode="External"/><Relationship Id="rId770" Type="http://schemas.openxmlformats.org/officeDocument/2006/relationships/hyperlink" Target="https://doi.org/10.1038/s41586-026-10555-y" TargetMode="External"/><Relationship Id="rId771" Type="http://schemas.openxmlformats.org/officeDocument/2006/relationships/hyperlink" Target="https://www.nature.com/articles/s41586-026-10633-1" TargetMode="External"/><Relationship Id="rId772" Type="http://schemas.openxmlformats.org/officeDocument/2006/relationships/hyperlink" Target="https://doi.org/10.1038/s41586-026-10633-1" TargetMode="External"/><Relationship Id="rId773" Type="http://schemas.openxmlformats.org/officeDocument/2006/relationships/hyperlink" Target="https://www.nature.com/articles/d41586-026-01754-8" TargetMode="External"/><Relationship Id="rId774" Type="http://schemas.openxmlformats.org/officeDocument/2006/relationships/hyperlink" Target="https://doi.org/10.1038/d41586-026-01754-8" TargetMode="External"/><Relationship Id="rId775" Type="http://schemas.openxmlformats.org/officeDocument/2006/relationships/hyperlink" Target="https://www.nature.com/articles/s41586-026-10588-3" TargetMode="External"/><Relationship Id="rId776" Type="http://schemas.openxmlformats.org/officeDocument/2006/relationships/hyperlink" Target="https://doi.org/10.1038/s41586-026-10588-3" TargetMode="External"/><Relationship Id="rId777" Type="http://schemas.openxmlformats.org/officeDocument/2006/relationships/hyperlink" Target="https://www.nature.com/articles/s41586-026-10623-3" TargetMode="External"/><Relationship Id="rId778" Type="http://schemas.openxmlformats.org/officeDocument/2006/relationships/hyperlink" Target="https://doi.org/10.1038/s41586-026-10623-3" TargetMode="External"/><Relationship Id="rId779" Type="http://schemas.openxmlformats.org/officeDocument/2006/relationships/hyperlink" Target="https://www.sciencedirect.com/science/article/pii/S0301421526003605?dgcid=rss_sd_all" TargetMode="External"/><Relationship Id="rId780" Type="http://schemas.openxmlformats.org/officeDocument/2006/relationships/hyperlink" Target="https://www.nature.com/articles/s41586-026-10538-z" TargetMode="External"/><Relationship Id="rId781" Type="http://schemas.openxmlformats.org/officeDocument/2006/relationships/hyperlink" Target="https://doi.org/10.1038/s41586-026-10538-z" TargetMode="External"/><Relationship Id="rId782" Type="http://schemas.openxmlformats.org/officeDocument/2006/relationships/hyperlink" Target="https://www.sciencedirect.com/science/article/pii/S0301421526003654?dgcid=rss_sd_all" TargetMode="External"/><Relationship Id="rId783" Type="http://schemas.openxmlformats.org/officeDocument/2006/relationships/hyperlink" Target="https://www.nature.com/articles/d41586-026-01824-x" TargetMode="External"/><Relationship Id="rId784" Type="http://schemas.openxmlformats.org/officeDocument/2006/relationships/hyperlink" Target="https://doi.org/10.1038/d41586-026-01824-x" TargetMode="External"/><Relationship Id="rId785" Type="http://schemas.openxmlformats.org/officeDocument/2006/relationships/hyperlink" Target="https://www.nature.com/articles/d41586-026-01816-x" TargetMode="External"/><Relationship Id="rId786" Type="http://schemas.openxmlformats.org/officeDocument/2006/relationships/hyperlink" Target="https://doi.org/10.1038/d41586-026-01816-x" TargetMode="External"/><Relationship Id="rId787" Type="http://schemas.openxmlformats.org/officeDocument/2006/relationships/hyperlink" Target="https://www.nature.com/articles/d41586-026-01585-7" TargetMode="External"/><Relationship Id="rId788" Type="http://schemas.openxmlformats.org/officeDocument/2006/relationships/hyperlink" Target="https://doi.org/10.1038/d41586-026-01585-7" TargetMode="External"/><Relationship Id="rId789" Type="http://schemas.openxmlformats.org/officeDocument/2006/relationships/hyperlink" Target="https://www.sciencedirect.com/science/article/pii/S0306261926008317?dgcid=rss_sd_all" TargetMode="External"/><Relationship Id="rId790" Type="http://schemas.openxmlformats.org/officeDocument/2006/relationships/hyperlink" Target="https://www.nature.com/articles/s41586-026-10646-w" TargetMode="External"/><Relationship Id="rId791" Type="http://schemas.openxmlformats.org/officeDocument/2006/relationships/hyperlink" Target="https://doi.org/10.1038/s41586-026-10646-w" TargetMode="External"/><Relationship Id="rId792" Type="http://schemas.openxmlformats.org/officeDocument/2006/relationships/hyperlink" Target="https://www.nature.com/articles/s41586-026-10634-0" TargetMode="External"/><Relationship Id="rId793" Type="http://schemas.openxmlformats.org/officeDocument/2006/relationships/hyperlink" Target="https://doi.org/10.1038/s41586-026-10634-0" TargetMode="External"/><Relationship Id="rId794" Type="http://schemas.openxmlformats.org/officeDocument/2006/relationships/hyperlink" Target="https://www.nature.com/articles/s41586-026-10636-y" TargetMode="External"/><Relationship Id="rId795" Type="http://schemas.openxmlformats.org/officeDocument/2006/relationships/hyperlink" Target="https://doi.org/10.1038/s41586-026-10636-y" TargetMode="External"/><Relationship Id="rId796" Type="http://schemas.openxmlformats.org/officeDocument/2006/relationships/hyperlink" Target="https://www.nature.com/articles/s41586-026-10631-3" TargetMode="External"/><Relationship Id="rId797" Type="http://schemas.openxmlformats.org/officeDocument/2006/relationships/hyperlink" Target="https://doi.org/10.1038/s41586-026-10631-3" TargetMode="External"/><Relationship Id="rId798" Type="http://schemas.openxmlformats.org/officeDocument/2006/relationships/hyperlink" Target="https://www.nature.com/articles/s41586-026-10596-3" TargetMode="External"/><Relationship Id="rId799" Type="http://schemas.openxmlformats.org/officeDocument/2006/relationships/hyperlink" Target="https://doi.org/10.1038/s41586-026-10596-3" TargetMode="External"/><Relationship Id="rId800" Type="http://schemas.openxmlformats.org/officeDocument/2006/relationships/hyperlink" Target="https://www.nature.com/articles/s41586-026-10629-x" TargetMode="External"/><Relationship Id="rId801" Type="http://schemas.openxmlformats.org/officeDocument/2006/relationships/hyperlink" Target="https://doi.org/10.1038/s41586-026-10629-x" TargetMode="External"/><Relationship Id="rId802" Type="http://schemas.openxmlformats.org/officeDocument/2006/relationships/hyperlink" Target="https://www.nature.com/articles/s41586-026-10639-9" TargetMode="External"/><Relationship Id="rId803" Type="http://schemas.openxmlformats.org/officeDocument/2006/relationships/hyperlink" Target="https://doi.org/10.1038/s41586-026-10639-9" TargetMode="External"/><Relationship Id="rId804" Type="http://schemas.openxmlformats.org/officeDocument/2006/relationships/hyperlink" Target="https://www.nature.com/articles/s41586-026-10546-z" TargetMode="External"/><Relationship Id="rId805" Type="http://schemas.openxmlformats.org/officeDocument/2006/relationships/hyperlink" Target="https://doi.org/10.1038/s41586-026-10546-z" TargetMode="External"/><Relationship Id="rId806" Type="http://schemas.openxmlformats.org/officeDocument/2006/relationships/hyperlink" Target="https://www.nature.com/articles/s41586-026-10640-2" TargetMode="External"/><Relationship Id="rId807" Type="http://schemas.openxmlformats.org/officeDocument/2006/relationships/hyperlink" Target="https://doi.org/10.1038/s41586-026-10640-2" TargetMode="External"/><Relationship Id="rId808" Type="http://schemas.openxmlformats.org/officeDocument/2006/relationships/hyperlink" Target="https://www.nature.com/articles/d41586-026-01832-x" TargetMode="External"/><Relationship Id="rId809" Type="http://schemas.openxmlformats.org/officeDocument/2006/relationships/hyperlink" Target="https://doi.org/10.1038/d41586-026-01832-x" TargetMode="External"/><Relationship Id="rId810" Type="http://schemas.openxmlformats.org/officeDocument/2006/relationships/hyperlink" Target="https://www.nature.com/articles/s41928-026-01647-8" TargetMode="External"/><Relationship Id="rId811" Type="http://schemas.openxmlformats.org/officeDocument/2006/relationships/hyperlink" Target="https://doi.org/10.1038/s41928-026-01647-8" TargetMode="External"/><Relationship Id="rId812" Type="http://schemas.openxmlformats.org/officeDocument/2006/relationships/hyperlink" Target="https://www.nature.com/articles/s41563-026-02624-4" TargetMode="External"/><Relationship Id="rId813" Type="http://schemas.openxmlformats.org/officeDocument/2006/relationships/hyperlink" Target="https://doi.org/10.1038/s41563-026-02624-4" TargetMode="External"/><Relationship Id="rId814" Type="http://schemas.openxmlformats.org/officeDocument/2006/relationships/hyperlink" Target="https://www.nature.com/articles/d41586-026-01587-5" TargetMode="External"/><Relationship Id="rId815" Type="http://schemas.openxmlformats.org/officeDocument/2006/relationships/hyperlink" Target="https://doi.org/10.1038/d41586-026-01587-5" TargetMode="External"/><Relationship Id="rId816" Type="http://schemas.openxmlformats.org/officeDocument/2006/relationships/hyperlink" Target="https://www.cell.com/one-earth/fulltext/S2590-3322(26)00116-8?rss=yes" TargetMode="External"/><Relationship Id="rId817" Type="http://schemas.openxmlformats.org/officeDocument/2006/relationships/hyperlink" Target="https://doi.org/10.1016/j.oneear.2026.101715" TargetMode="External"/><Relationship Id="rId818" Type="http://schemas.openxmlformats.org/officeDocument/2006/relationships/hyperlink" Target="https://www.nature.com/articles/s41586-026-10645-x" TargetMode="External"/><Relationship Id="rId819" Type="http://schemas.openxmlformats.org/officeDocument/2006/relationships/hyperlink" Target="https://doi.org/10.1038/s41586-026-10645-x" TargetMode="External"/><Relationship Id="rId820" Type="http://schemas.openxmlformats.org/officeDocument/2006/relationships/hyperlink" Target="https://www.nature.com/articles/s41586-026-10613-5" TargetMode="External"/><Relationship Id="rId821" Type="http://schemas.openxmlformats.org/officeDocument/2006/relationships/hyperlink" Target="https://doi.org/10.1038/s41586-026-10613-5" TargetMode="External"/><Relationship Id="rId822" Type="http://schemas.openxmlformats.org/officeDocument/2006/relationships/hyperlink" Target="https://www.cell.com/matter/fulltext/S2590-2385(26)00233-X?rss=yes" TargetMode="External"/><Relationship Id="rId823" Type="http://schemas.openxmlformats.org/officeDocument/2006/relationships/hyperlink" Target="https://doi.org/10.1016/j.matt.2026.102870" TargetMode="External"/><Relationship Id="rId824" Type="http://schemas.openxmlformats.org/officeDocument/2006/relationships/hyperlink" Target="https://www.nature.com/articles/s41586-026-10632-2" TargetMode="External"/><Relationship Id="rId825" Type="http://schemas.openxmlformats.org/officeDocument/2006/relationships/hyperlink" Target="https://doi.org/10.1038/s41586-026-10632-2" TargetMode="External"/><Relationship Id="rId826" Type="http://schemas.openxmlformats.org/officeDocument/2006/relationships/hyperlink" Target="https://www.sciencedirect.com/science/article/pii/S0306261926007403?dgcid=rss_sd_all" TargetMode="External"/><Relationship Id="rId827" Type="http://schemas.openxmlformats.org/officeDocument/2006/relationships/hyperlink" Target="https://www.cell.com/matter/fulltext/S2590-2385(26)00225-0?rss=yes" TargetMode="External"/><Relationship Id="rId828" Type="http://schemas.openxmlformats.org/officeDocument/2006/relationships/hyperlink" Target="https://doi.org/10.1016/j.matt.2026.102862" TargetMode="External"/><Relationship Id="rId829" Type="http://schemas.openxmlformats.org/officeDocument/2006/relationships/hyperlink" Target="https://www.cell.com/matter/fulltext/S2590-2385(26)00231-6?rss=yes" TargetMode="External"/><Relationship Id="rId830" Type="http://schemas.openxmlformats.org/officeDocument/2006/relationships/hyperlink" Target="https://doi.org/10.1016/j.matt.2026.102868" TargetMode="External"/><Relationship Id="rId831" Type="http://schemas.openxmlformats.org/officeDocument/2006/relationships/hyperlink" Target="https://www.cell.com/matter/fulltext/S2590-2385(26)00232-8?rss=yes" TargetMode="External"/><Relationship Id="rId832" Type="http://schemas.openxmlformats.org/officeDocument/2006/relationships/hyperlink" Target="https://doi.org/10.1016/j.matt.2026.102869" TargetMode="External"/><Relationship Id="rId833" Type="http://schemas.openxmlformats.org/officeDocument/2006/relationships/hyperlink" Target="https://advanced.onlinelibrary.wiley.com/doi/10.1002/adma.73649?af=R" TargetMode="External"/><Relationship Id="rId834" Type="http://schemas.openxmlformats.org/officeDocument/2006/relationships/hyperlink" Target="https://doi.org/10.1002/adma.73649" TargetMode="External"/><Relationship Id="rId835" Type="http://schemas.openxmlformats.org/officeDocument/2006/relationships/hyperlink" Target="https://advanced.onlinelibrary.wiley.com/doi/10.1002/adma.73663?af=R" TargetMode="External"/><Relationship Id="rId836" Type="http://schemas.openxmlformats.org/officeDocument/2006/relationships/hyperlink" Target="https://doi.org/10.1002/adma.73663" TargetMode="External"/><Relationship Id="rId837" Type="http://schemas.openxmlformats.org/officeDocument/2006/relationships/hyperlink" Target="https://www.science.org/doi/abs/10.1126/sciadv.aed9949?af=R" TargetMode="External"/><Relationship Id="rId838" Type="http://schemas.openxmlformats.org/officeDocument/2006/relationships/hyperlink" Target="https://doi.org/10.1126/sciadv.aed9949" TargetMode="External"/><Relationship Id="rId839" Type="http://schemas.openxmlformats.org/officeDocument/2006/relationships/hyperlink" Target="https://www.science.org/doi/abs/10.1126/sciadv.aed7355?af=R" TargetMode="External"/><Relationship Id="rId840" Type="http://schemas.openxmlformats.org/officeDocument/2006/relationships/hyperlink" Target="https://doi.org/10.1126/sciadv.aed7355" TargetMode="External"/><Relationship Id="rId841" Type="http://schemas.openxmlformats.org/officeDocument/2006/relationships/hyperlink" Target="https://www.science.org/doi/abs/10.1126/sciadv.aed7425?af=R" TargetMode="External"/><Relationship Id="rId842" Type="http://schemas.openxmlformats.org/officeDocument/2006/relationships/hyperlink" Target="https://doi.org/10.1126/sciadv.aed7425" TargetMode="External"/><Relationship Id="rId843" Type="http://schemas.openxmlformats.org/officeDocument/2006/relationships/hyperlink" Target="https://www.science.org/doi/abs/10.1126/sciadv.aed8962?af=R" TargetMode="External"/><Relationship Id="rId844" Type="http://schemas.openxmlformats.org/officeDocument/2006/relationships/hyperlink" Target="https://doi.org/10.1126/sciadv.aed8962" TargetMode="External"/><Relationship Id="rId845" Type="http://schemas.openxmlformats.org/officeDocument/2006/relationships/hyperlink" Target="https://www.science.org/doi/abs/10.1126/sciadv.aed9445?af=R" TargetMode="External"/><Relationship Id="rId846" Type="http://schemas.openxmlformats.org/officeDocument/2006/relationships/hyperlink" Target="https://doi.org/10.1126/sciadv.aed9445" TargetMode="External"/><Relationship Id="rId847" Type="http://schemas.openxmlformats.org/officeDocument/2006/relationships/hyperlink" Target="https://www.science.org/doi/abs/10.1126/sciadv.adx6378?af=R" TargetMode="External"/><Relationship Id="rId848" Type="http://schemas.openxmlformats.org/officeDocument/2006/relationships/hyperlink" Target="https://doi.org/10.1126/sciadv.adx6378" TargetMode="External"/><Relationship Id="rId849" Type="http://schemas.openxmlformats.org/officeDocument/2006/relationships/hyperlink" Target="https://www.science.org/doi/abs/10.1126/sciadv.aee8035?af=R" TargetMode="External"/><Relationship Id="rId850" Type="http://schemas.openxmlformats.org/officeDocument/2006/relationships/hyperlink" Target="https://doi.org/10.1126/sciadv.aee8035" TargetMode="External"/><Relationship Id="rId851" Type="http://schemas.openxmlformats.org/officeDocument/2006/relationships/hyperlink" Target="https://www.science.org/doi/abs/10.1126/sciadv.aef3323?af=R" TargetMode="External"/><Relationship Id="rId852" Type="http://schemas.openxmlformats.org/officeDocument/2006/relationships/hyperlink" Target="https://doi.org/10.1126/sciadv.aef3323" TargetMode="External"/><Relationship Id="rId853" Type="http://schemas.openxmlformats.org/officeDocument/2006/relationships/hyperlink" Target="https://www.science.org/doi/abs/10.1126/sciadv.adz7158?af=R" TargetMode="External"/><Relationship Id="rId854" Type="http://schemas.openxmlformats.org/officeDocument/2006/relationships/hyperlink" Target="https://doi.org/10.1126/sciadv.adz7158" TargetMode="External"/><Relationship Id="rId855" Type="http://schemas.openxmlformats.org/officeDocument/2006/relationships/hyperlink" Target="https://www.pnas.org/doi/abs/10.1073/pnas.2536989123?mi=eymic2&amp;af=R&amp;access=on&amp;content=articlesChapters&amp;publication=pnas&amp;sortBy=Earliest&amp;target=default" TargetMode="External"/><Relationship Id="rId856" Type="http://schemas.openxmlformats.org/officeDocument/2006/relationships/hyperlink" Target="https://doi.org/10.1073/pnas.2536989123" TargetMode="External"/><Relationship Id="rId857" Type="http://schemas.openxmlformats.org/officeDocument/2006/relationships/hyperlink" Target="https://www.science.org/doi/abs/10.1126/sciadv.adz1953?af=R" TargetMode="External"/><Relationship Id="rId858" Type="http://schemas.openxmlformats.org/officeDocument/2006/relationships/hyperlink" Target="https://doi.org/10.1126/sciadv.adz1953" TargetMode="External"/><Relationship Id="rId859" Type="http://schemas.openxmlformats.org/officeDocument/2006/relationships/hyperlink" Target="https://www.science.org/doi/abs/10.1126/sciadv.aee2912?af=R" TargetMode="External"/><Relationship Id="rId860" Type="http://schemas.openxmlformats.org/officeDocument/2006/relationships/hyperlink" Target="https://doi.org/10.1126/sciadv.aee2912" TargetMode="External"/><Relationship Id="rId861" Type="http://schemas.openxmlformats.org/officeDocument/2006/relationships/hyperlink" Target="https://www.science.org/doi/abs/10.1126/sciadv.aed5744?af=R" TargetMode="External"/><Relationship Id="rId862" Type="http://schemas.openxmlformats.org/officeDocument/2006/relationships/hyperlink" Target="https://doi.org/10.1126/sciadv.aed5744" TargetMode="External"/><Relationship Id="rId863" Type="http://schemas.openxmlformats.org/officeDocument/2006/relationships/hyperlink" Target="https://www.science.org/doi/abs/10.1126/sciadv.aed3625?af=R" TargetMode="External"/><Relationship Id="rId864" Type="http://schemas.openxmlformats.org/officeDocument/2006/relationships/hyperlink" Target="https://doi.org/10.1126/sciadv.aed3625" TargetMode="External"/><Relationship Id="rId865" Type="http://schemas.openxmlformats.org/officeDocument/2006/relationships/hyperlink" Target="https://www.science.org/doi/abs/10.1126/sciadv.aed6373?af=R" TargetMode="External"/><Relationship Id="rId866" Type="http://schemas.openxmlformats.org/officeDocument/2006/relationships/hyperlink" Target="https://doi.org/10.1126/sciadv.aed6373" TargetMode="External"/><Relationship Id="rId867" Type="http://schemas.openxmlformats.org/officeDocument/2006/relationships/hyperlink" Target="https://www.science.org/doi/abs/10.1126/sciadv.aea3822?af=R" TargetMode="External"/><Relationship Id="rId868" Type="http://schemas.openxmlformats.org/officeDocument/2006/relationships/hyperlink" Target="https://doi.org/10.1126/sciadv.aea3822" TargetMode="External"/><Relationship Id="rId869" Type="http://schemas.openxmlformats.org/officeDocument/2006/relationships/hyperlink" Target="https://www.science.org/doi/abs/10.1126/sciadv.adz7842?af=R" TargetMode="External"/><Relationship Id="rId870" Type="http://schemas.openxmlformats.org/officeDocument/2006/relationships/hyperlink" Target="https://doi.org/10.1126/sciadv.adz7842" TargetMode="External"/><Relationship Id="rId871" Type="http://schemas.openxmlformats.org/officeDocument/2006/relationships/hyperlink" Target="https://www.science.org/doi/abs/10.1126/sciadv.aea5057?af=R" TargetMode="External"/><Relationship Id="rId872" Type="http://schemas.openxmlformats.org/officeDocument/2006/relationships/hyperlink" Target="https://doi.org/10.1126/sciadv.aea5057" TargetMode="External"/><Relationship Id="rId873" Type="http://schemas.openxmlformats.org/officeDocument/2006/relationships/hyperlink" Target="https://www.science.org/doi/abs/10.1126/sciadv.aeb1989?af=R" TargetMode="External"/><Relationship Id="rId874" Type="http://schemas.openxmlformats.org/officeDocument/2006/relationships/hyperlink" Target="https://doi.org/10.1126/sciadv.aeb1989" TargetMode="External"/><Relationship Id="rId875" Type="http://schemas.openxmlformats.org/officeDocument/2006/relationships/hyperlink" Target="https://www.science.org/doi/abs/10.1126/sciadv.aeb4265?af=R" TargetMode="External"/><Relationship Id="rId876" Type="http://schemas.openxmlformats.org/officeDocument/2006/relationships/hyperlink" Target="https://doi.org/10.1126/sciadv.aeb4265" TargetMode="External"/><Relationship Id="rId877" Type="http://schemas.openxmlformats.org/officeDocument/2006/relationships/hyperlink" Target="https://www.science.org/doi/abs/10.1126/sciadv.aec1996?af=R" TargetMode="External"/><Relationship Id="rId878" Type="http://schemas.openxmlformats.org/officeDocument/2006/relationships/hyperlink" Target="https://doi.org/10.1126/sciadv.aec1996" TargetMode="External"/><Relationship Id="rId879" Type="http://schemas.openxmlformats.org/officeDocument/2006/relationships/hyperlink" Target="https://www.science.org/doi/abs/10.1126/sciadv.aec9518?af=R" TargetMode="External"/><Relationship Id="rId880" Type="http://schemas.openxmlformats.org/officeDocument/2006/relationships/hyperlink" Target="https://doi.org/10.1126/sciadv.aec9518" TargetMode="External"/><Relationship Id="rId881" Type="http://schemas.openxmlformats.org/officeDocument/2006/relationships/hyperlink" Target="https://www.science.org/doi/abs/10.1126/sciadv.aed0666?af=R" TargetMode="External"/><Relationship Id="rId882" Type="http://schemas.openxmlformats.org/officeDocument/2006/relationships/hyperlink" Target="https://doi.org/10.1126/sciadv.aed0666" TargetMode="External"/><Relationship Id="rId883" Type="http://schemas.openxmlformats.org/officeDocument/2006/relationships/hyperlink" Target="https://www.science.org/doi/abs/10.1126/sciadv.adu7607?af=R" TargetMode="External"/><Relationship Id="rId884" Type="http://schemas.openxmlformats.org/officeDocument/2006/relationships/hyperlink" Target="https://doi.org/10.1126/sciadv.adu7607" TargetMode="External"/><Relationship Id="rId885" Type="http://schemas.openxmlformats.org/officeDocument/2006/relationships/hyperlink" Target="https://www.science.org/doi/abs/10.1126/sciadv.aed4859?af=R" TargetMode="External"/><Relationship Id="rId886" Type="http://schemas.openxmlformats.org/officeDocument/2006/relationships/hyperlink" Target="https://doi.org/10.1126/sciadv.aed4859" TargetMode="External"/><Relationship Id="rId887" Type="http://schemas.openxmlformats.org/officeDocument/2006/relationships/hyperlink" Target="https://www.pnas.org/doi/abs/10.1073/pnas.2424788123?mi=eymic2&amp;af=R&amp;access=on&amp;content=articlesChapters&amp;publication=pnas&amp;sortBy=Earliest&amp;target=default" TargetMode="External"/><Relationship Id="rId888" Type="http://schemas.openxmlformats.org/officeDocument/2006/relationships/hyperlink" Target="https://doi.org/10.1073/pnas.2424788123" TargetMode="External"/><Relationship Id="rId889" Type="http://schemas.openxmlformats.org/officeDocument/2006/relationships/hyperlink" Target="https://www.pnas.org/doi/abs/10.1073/pnas.2526271123?mi=eymic2&amp;af=R&amp;access=on&amp;content=articlesChapters&amp;publication=pnas&amp;sortBy=Earliest&amp;target=default" TargetMode="External"/><Relationship Id="rId890" Type="http://schemas.openxmlformats.org/officeDocument/2006/relationships/hyperlink" Target="https://doi.org/10.1073/pnas.2526271123" TargetMode="External"/><Relationship Id="rId891" Type="http://schemas.openxmlformats.org/officeDocument/2006/relationships/hyperlink" Target="https://www.pnas.org/doi/abs/10.1073/pnas.2518957123?mi=eymic2&amp;af=R&amp;access=on&amp;content=articlesChapters&amp;publication=pnas&amp;sortBy=Earliest&amp;target=default" TargetMode="External"/><Relationship Id="rId892" Type="http://schemas.openxmlformats.org/officeDocument/2006/relationships/hyperlink" Target="https://doi.org/10.1073/pnas.2518957123" TargetMode="External"/><Relationship Id="rId893" Type="http://schemas.openxmlformats.org/officeDocument/2006/relationships/hyperlink" Target="https://www.pnas.org/doi/abs/10.1073/pnas.2511427123?mi=eymic2&amp;af=R&amp;access=on&amp;content=articlesChapters&amp;publication=pnas&amp;sortBy=Earliest&amp;target=default" TargetMode="External"/><Relationship Id="rId894" Type="http://schemas.openxmlformats.org/officeDocument/2006/relationships/hyperlink" Target="https://doi.org/10.1073/pnas.2511427123" TargetMode="External"/><Relationship Id="rId895" Type="http://schemas.openxmlformats.org/officeDocument/2006/relationships/hyperlink" Target="https://www.science.org/doi/abs/10.1126/sciadv.aed3926?af=R" TargetMode="External"/><Relationship Id="rId896" Type="http://schemas.openxmlformats.org/officeDocument/2006/relationships/hyperlink" Target="https://doi.org/10.1126/sciadv.aed3926" TargetMode="External"/><Relationship Id="rId897" Type="http://schemas.openxmlformats.org/officeDocument/2006/relationships/hyperlink" Target="https://www.science.org/doi/abs/10.1126/sciadv.aei0515?af=R" TargetMode="External"/><Relationship Id="rId898" Type="http://schemas.openxmlformats.org/officeDocument/2006/relationships/hyperlink" Target="https://doi.org/10.1126/sciadv.aei0515" TargetMode="External"/><Relationship Id="rId899" Type="http://schemas.openxmlformats.org/officeDocument/2006/relationships/hyperlink" Target="https://www.science.org/doi/abs/10.1126/sciadv.aea3420?af=R" TargetMode="External"/><Relationship Id="rId900" Type="http://schemas.openxmlformats.org/officeDocument/2006/relationships/hyperlink" Target="https://doi.org/10.1126/sciadv.aea3420" TargetMode="External"/><Relationship Id="rId901" Type="http://schemas.openxmlformats.org/officeDocument/2006/relationships/hyperlink" Target="https://www.science.org/doi/abs/10.1126/sciadv.adz3595?af=R" TargetMode="External"/><Relationship Id="rId902" Type="http://schemas.openxmlformats.org/officeDocument/2006/relationships/hyperlink" Target="https://doi.org/10.1126/sciadv.adz3595" TargetMode="External"/><Relationship Id="rId903" Type="http://schemas.openxmlformats.org/officeDocument/2006/relationships/hyperlink" Target="https://www.science.org/doi/abs/10.1126/sciadv.ady3541?af=R" TargetMode="External"/><Relationship Id="rId904" Type="http://schemas.openxmlformats.org/officeDocument/2006/relationships/hyperlink" Target="https://doi.org/10.1126/sciadv.ady3541" TargetMode="External"/><Relationship Id="rId905" Type="http://schemas.openxmlformats.org/officeDocument/2006/relationships/hyperlink" Target="https://www.science.org/doi/abs/10.1126/sciadv.adu9805?af=R" TargetMode="External"/><Relationship Id="rId906" Type="http://schemas.openxmlformats.org/officeDocument/2006/relationships/hyperlink" Target="https://doi.org/10.1126/sciadv.adu9805" TargetMode="External"/><Relationship Id="rId907" Type="http://schemas.openxmlformats.org/officeDocument/2006/relationships/hyperlink" Target="https://www.pnas.org/doi/abs/10.1073/pnas.2605288123?mi=eymic2&amp;af=R&amp;access=on&amp;content=articlesChapters&amp;publication=pnas&amp;sortBy=Earliest&amp;target=default" TargetMode="External"/><Relationship Id="rId908" Type="http://schemas.openxmlformats.org/officeDocument/2006/relationships/hyperlink" Target="https://doi.org/10.1073/pnas.2605288123" TargetMode="External"/><Relationship Id="rId909" Type="http://schemas.openxmlformats.org/officeDocument/2006/relationships/hyperlink" Target="https://www.science.org/doi/abs/10.1126/sciadv.aef9983?af=R" TargetMode="External"/><Relationship Id="rId910" Type="http://schemas.openxmlformats.org/officeDocument/2006/relationships/hyperlink" Target="https://doi.org/10.1126/sciadv.aef9983" TargetMode="External"/><Relationship Id="rId911" Type="http://schemas.openxmlformats.org/officeDocument/2006/relationships/hyperlink" Target="https://www.pnas.org/doi/abs/10.1073/pnas.2617803123?mi=eymic2&amp;af=R&amp;access=on&amp;content=articlesChapters&amp;publication=pnas&amp;sortBy=Earliest&amp;target=default" TargetMode="External"/><Relationship Id="rId912" Type="http://schemas.openxmlformats.org/officeDocument/2006/relationships/hyperlink" Target="https://doi.org/10.1073/pnas.2617803123" TargetMode="External"/><Relationship Id="rId913" Type="http://schemas.openxmlformats.org/officeDocument/2006/relationships/hyperlink" Target="https://www.pnas.org/doi/abs/10.1073/pnas.2611096123?mi=eymic2&amp;af=R&amp;access=on&amp;content=articlesChapters&amp;publication=pnas&amp;sortBy=Earliest&amp;target=default" TargetMode="External"/><Relationship Id="rId914" Type="http://schemas.openxmlformats.org/officeDocument/2006/relationships/hyperlink" Target="https://doi.org/10.1073/pnas.2611096123" TargetMode="External"/><Relationship Id="rId915" Type="http://schemas.openxmlformats.org/officeDocument/2006/relationships/hyperlink" Target="https://www.pnas.org/doi/abs/10.1073/pnas.2609202123?mi=eymic2&amp;af=R&amp;access=on&amp;content=articlesChapters&amp;publication=pnas&amp;sortBy=Earliest&amp;target=default" TargetMode="External"/><Relationship Id="rId916" Type="http://schemas.openxmlformats.org/officeDocument/2006/relationships/hyperlink" Target="https://doi.org/10.1073/pnas.2609202123" TargetMode="External"/><Relationship Id="rId917" Type="http://schemas.openxmlformats.org/officeDocument/2006/relationships/hyperlink" Target="https://www.pnas.org/doi/abs/10.1073/pnas.2607144123?mi=eymic2&amp;af=R&amp;access=on&amp;content=articlesChapters&amp;publication=pnas&amp;sortBy=Earliest&amp;target=default" TargetMode="External"/><Relationship Id="rId918" Type="http://schemas.openxmlformats.org/officeDocument/2006/relationships/hyperlink" Target="https://doi.org/10.1073/pnas.2607144123" TargetMode="External"/><Relationship Id="rId919" Type="http://schemas.openxmlformats.org/officeDocument/2006/relationships/hyperlink" Target="https://www.pnas.org/doi/abs/10.1073/pnas.2606552123?mi=eymic2&amp;af=R&amp;access=on&amp;content=articlesChapters&amp;publication=pnas&amp;sortBy=Earliest&amp;target=default" TargetMode="External"/><Relationship Id="rId920" Type="http://schemas.openxmlformats.org/officeDocument/2006/relationships/hyperlink" Target="https://doi.org/10.1073/pnas.2606552123" TargetMode="External"/><Relationship Id="rId921" Type="http://schemas.openxmlformats.org/officeDocument/2006/relationships/hyperlink" Target="https://www.pnas.org/doi/abs/10.1073/pnas.2617960123?mi=eymic2&amp;af=R&amp;access=on&amp;content=articlesChapters&amp;publication=pnas&amp;sortBy=Earliest&amp;target=default" TargetMode="External"/><Relationship Id="rId922" Type="http://schemas.openxmlformats.org/officeDocument/2006/relationships/hyperlink" Target="https://doi.org/10.1073/pnas.2617960123" TargetMode="External"/><Relationship Id="rId923" Type="http://schemas.openxmlformats.org/officeDocument/2006/relationships/hyperlink" Target="https://www.pnas.org/doi/abs/10.1073/pnas.2602470123?mi=eymic2&amp;af=R&amp;access=on&amp;content=articlesChapters&amp;publication=pnas&amp;sortBy=Earliest&amp;target=default" TargetMode="External"/><Relationship Id="rId924" Type="http://schemas.openxmlformats.org/officeDocument/2006/relationships/hyperlink" Target="https://doi.org/10.1073/pnas.2602470123" TargetMode="External"/><Relationship Id="rId925" Type="http://schemas.openxmlformats.org/officeDocument/2006/relationships/hyperlink" Target="https://www.pnas.org/doi/abs/10.1073/pnas.2524671123?mi=eymic2&amp;af=R&amp;access=on&amp;content=articlesChapters&amp;publication=pnas&amp;sortBy=Earliest&amp;target=default" TargetMode="External"/><Relationship Id="rId926" Type="http://schemas.openxmlformats.org/officeDocument/2006/relationships/hyperlink" Target="https://doi.org/10.1073/pnas.2524671123" TargetMode="External"/><Relationship Id="rId927" Type="http://schemas.openxmlformats.org/officeDocument/2006/relationships/hyperlink" Target="https://www.pnas.org/doi/abs/10.1073/pnas.2604929123?mi=eymic2&amp;af=R&amp;access=on&amp;content=articlesChapters&amp;publication=pnas&amp;sortBy=Earliest&amp;target=default" TargetMode="External"/><Relationship Id="rId928" Type="http://schemas.openxmlformats.org/officeDocument/2006/relationships/hyperlink" Target="https://doi.org/10.1073/pnas.2604929123" TargetMode="External"/><Relationship Id="rId929" Type="http://schemas.openxmlformats.org/officeDocument/2006/relationships/hyperlink" Target="https://www.pnas.org/doi/abs/10.1073/pnas.2528668123?mi=eymic2&amp;af=R&amp;access=on&amp;content=articlesChapters&amp;publication=pnas&amp;sortBy=Earliest&amp;target=default" TargetMode="External"/><Relationship Id="rId930" Type="http://schemas.openxmlformats.org/officeDocument/2006/relationships/hyperlink" Target="https://doi.org/10.1073/pnas.2528668123" TargetMode="External"/><Relationship Id="rId931" Type="http://schemas.openxmlformats.org/officeDocument/2006/relationships/hyperlink" Target="https://www.pnas.org/doi/abs/10.1073/pnas.2528970123?mi=eymic2&amp;af=R&amp;access=on&amp;content=articlesChapters&amp;publication=pnas&amp;sortBy=Earliest&amp;target=default" TargetMode="External"/><Relationship Id="rId932" Type="http://schemas.openxmlformats.org/officeDocument/2006/relationships/hyperlink" Target="https://doi.org/10.1073/pnas.2528970123" TargetMode="External"/><Relationship Id="rId933" Type="http://schemas.openxmlformats.org/officeDocument/2006/relationships/hyperlink" Target="https://www.pnas.org/doi/abs/10.1073/pnas.2529786123?mi=eymic2&amp;af=R&amp;access=on&amp;content=articlesChapters&amp;publication=pnas&amp;sortBy=Earliest&amp;target=default" TargetMode="External"/><Relationship Id="rId934" Type="http://schemas.openxmlformats.org/officeDocument/2006/relationships/hyperlink" Target="https://doi.org/10.1073/pnas.2529786123" TargetMode="External"/><Relationship Id="rId935" Type="http://schemas.openxmlformats.org/officeDocument/2006/relationships/hyperlink" Target="https://www.pnas.org/doi/abs/10.1073/pnas.2530690123?mi=eymic2&amp;af=R&amp;access=on&amp;content=articlesChapters&amp;publication=pnas&amp;sortBy=Earliest&amp;target=default" TargetMode="External"/><Relationship Id="rId936" Type="http://schemas.openxmlformats.org/officeDocument/2006/relationships/hyperlink" Target="https://doi.org/10.1073/pnas.2530690123" TargetMode="External"/><Relationship Id="rId937" Type="http://schemas.openxmlformats.org/officeDocument/2006/relationships/hyperlink" Target="https://www.pnas.org/doi/abs/10.1073/pnas.2528450123?mi=eymic2&amp;af=R&amp;access=on&amp;content=articlesChapters&amp;publication=pnas&amp;sortBy=Earliest&amp;target=default" TargetMode="External"/><Relationship Id="rId938" Type="http://schemas.openxmlformats.org/officeDocument/2006/relationships/hyperlink" Target="https://doi.org/10.1073/pnas.2528450123" TargetMode="External"/><Relationship Id="rId939" Type="http://schemas.openxmlformats.org/officeDocument/2006/relationships/hyperlink" Target="https://www.pnas.org/doi/abs/10.1073/pnas.2534946123?mi=eymic2&amp;af=R&amp;access=on&amp;content=articlesChapters&amp;publication=pnas&amp;sortBy=Earliest&amp;target=default" TargetMode="External"/><Relationship Id="rId940" Type="http://schemas.openxmlformats.org/officeDocument/2006/relationships/hyperlink" Target="https://doi.org/10.1073/pnas.2534946123" TargetMode="External"/><Relationship Id="rId941" Type="http://schemas.openxmlformats.org/officeDocument/2006/relationships/hyperlink" Target="https://www.pnas.org/doi/abs/10.1073/pnas.2535199123?mi=eymic2&amp;af=R&amp;access=on&amp;content=articlesChapters&amp;publication=pnas&amp;sortBy=Earliest&amp;target=default" TargetMode="External"/><Relationship Id="rId942" Type="http://schemas.openxmlformats.org/officeDocument/2006/relationships/hyperlink" Target="https://doi.org/10.1073/pnas.2535199123" TargetMode="External"/><Relationship Id="rId943" Type="http://schemas.openxmlformats.org/officeDocument/2006/relationships/hyperlink" Target="https://www.pnas.org/doi/abs/10.1073/pnas.2536368123?mi=eymic2&amp;af=R&amp;access=on&amp;content=articlesChapters&amp;publication=pnas&amp;sortBy=Earliest&amp;target=default" TargetMode="External"/><Relationship Id="rId944" Type="http://schemas.openxmlformats.org/officeDocument/2006/relationships/hyperlink" Target="https://doi.org/10.1073/pnas.2536368123" TargetMode="External"/><Relationship Id="rId945" Type="http://schemas.openxmlformats.org/officeDocument/2006/relationships/hyperlink" Target="https://www.science.org/doi/abs/10.1126/sciadv.aeg2429?af=R" TargetMode="External"/><Relationship Id="rId946" Type="http://schemas.openxmlformats.org/officeDocument/2006/relationships/hyperlink" Target="https://doi.org/10.1126/sciadv.aeg2429" TargetMode="External"/><Relationship Id="rId947" Type="http://schemas.openxmlformats.org/officeDocument/2006/relationships/hyperlink" Target="https://www.pnas.org/doi/abs/10.1073/pnas.2601061123?mi=eymic2&amp;af=R&amp;access=on&amp;content=articlesChapters&amp;publication=pnas&amp;sortBy=Earliest&amp;target=default" TargetMode="External"/><Relationship Id="rId948" Type="http://schemas.openxmlformats.org/officeDocument/2006/relationships/hyperlink" Target="https://doi.org/10.1073/pnas.2601061123" TargetMode="External"/><Relationship Id="rId949" Type="http://schemas.openxmlformats.org/officeDocument/2006/relationships/hyperlink" Target="https://www.pnas.org/doi/abs/10.1073/pnas.2531054123?mi=eymic2&amp;af=R&amp;access=on&amp;content=articlesChapters&amp;publication=pnas&amp;sortBy=Earliest&amp;target=default" TargetMode="External"/><Relationship Id="rId950" Type="http://schemas.openxmlformats.org/officeDocument/2006/relationships/hyperlink" Target="https://doi.org/10.1073/pnas.2531054123" TargetMode="External"/><Relationship Id="rId951" Type="http://schemas.openxmlformats.org/officeDocument/2006/relationships/hyperlink" Target="http://link.aps.org/doi/10.1103/2ksm-243x" TargetMode="External"/><Relationship Id="rId952" Type="http://schemas.openxmlformats.org/officeDocument/2006/relationships/hyperlink" Target="https://doi.org/10.1103/2ksm-243x" TargetMode="External"/><Relationship Id="rId953" Type="http://schemas.openxmlformats.org/officeDocument/2006/relationships/hyperlink" Target="http://link.aps.org/doi/10.1103/kf73-hw61" TargetMode="External"/><Relationship Id="rId954" Type="http://schemas.openxmlformats.org/officeDocument/2006/relationships/hyperlink" Target="https://doi.org/10.1103/kf73-hw61" TargetMode="External"/><Relationship Id="rId955" Type="http://schemas.openxmlformats.org/officeDocument/2006/relationships/hyperlink" Target="http://link.aps.org/doi/10.1103/1jkm-kybr" TargetMode="External"/><Relationship Id="rId956" Type="http://schemas.openxmlformats.org/officeDocument/2006/relationships/hyperlink" Target="https://doi.org/10.1103/1jkm-kybr" TargetMode="External"/><Relationship Id="rId957" Type="http://schemas.openxmlformats.org/officeDocument/2006/relationships/hyperlink" Target="http://link.aps.org/doi/10.1103/mj91-ntm4" TargetMode="External"/><Relationship Id="rId958" Type="http://schemas.openxmlformats.org/officeDocument/2006/relationships/hyperlink" Target="https://doi.org/10.1103/mj91-ntm4" TargetMode="External"/><Relationship Id="rId959" Type="http://schemas.openxmlformats.org/officeDocument/2006/relationships/hyperlink" Target="http://link.aps.org/doi/10.1103/xy6y-kyhc" TargetMode="External"/><Relationship Id="rId960" Type="http://schemas.openxmlformats.org/officeDocument/2006/relationships/hyperlink" Target="https://doi.org/10.1103/xy6y-kyhc" TargetMode="External"/><Relationship Id="rId961" Type="http://schemas.openxmlformats.org/officeDocument/2006/relationships/hyperlink" Target="http://link.aps.org/doi/10.1103/6dtk-1tw2" TargetMode="External"/><Relationship Id="rId962" Type="http://schemas.openxmlformats.org/officeDocument/2006/relationships/hyperlink" Target="https://doi.org/10.1103/6dtk-1tw2" TargetMode="External"/><Relationship Id="rId963" Type="http://schemas.openxmlformats.org/officeDocument/2006/relationships/hyperlink" Target="http://link.aps.org/doi/10.1103/ymmt-f8h7" TargetMode="External"/><Relationship Id="rId964" Type="http://schemas.openxmlformats.org/officeDocument/2006/relationships/hyperlink" Target="https://doi.org/10.1103/ymmt-f8h7" TargetMode="External"/><Relationship Id="rId965" Type="http://schemas.openxmlformats.org/officeDocument/2006/relationships/hyperlink" Target="http://link.aps.org/doi/10.1103/3wlg-jl8j" TargetMode="External"/><Relationship Id="rId966" Type="http://schemas.openxmlformats.org/officeDocument/2006/relationships/hyperlink" Target="https://doi.org/10.1103/3wlg-jl8j" TargetMode="External"/><Relationship Id="rId967" Type="http://schemas.openxmlformats.org/officeDocument/2006/relationships/hyperlink" Target="http://link.aps.org/doi/10.1103/8fl3-19j8" TargetMode="External"/><Relationship Id="rId968" Type="http://schemas.openxmlformats.org/officeDocument/2006/relationships/hyperlink" Target="https://doi.org/10.1103/8fl3-19j8" TargetMode="External"/><Relationship Id="rId969" Type="http://schemas.openxmlformats.org/officeDocument/2006/relationships/hyperlink" Target="http://link.aps.org/doi/10.1103/89v1-lrb2" TargetMode="External"/><Relationship Id="rId970" Type="http://schemas.openxmlformats.org/officeDocument/2006/relationships/hyperlink" Target="https://doi.org/10.1103/89v1-lrb2" TargetMode="External"/><Relationship Id="rId971" Type="http://schemas.openxmlformats.org/officeDocument/2006/relationships/hyperlink" Target="http://link.aps.org/doi/10.1103/zvf5-wln4" TargetMode="External"/><Relationship Id="rId972" Type="http://schemas.openxmlformats.org/officeDocument/2006/relationships/hyperlink" Target="https://doi.org/10.1103/zvf5-wln4" TargetMode="External"/><Relationship Id="rId973" Type="http://schemas.openxmlformats.org/officeDocument/2006/relationships/hyperlink" Target="https://advanced.onlinelibrary.wiley.com/doi/10.1002/adma.73677?af=R" TargetMode="External"/><Relationship Id="rId974" Type="http://schemas.openxmlformats.org/officeDocument/2006/relationships/hyperlink" Target="https://doi.org/10.1002/adma.73677" TargetMode="External"/><Relationship Id="rId975" Type="http://schemas.openxmlformats.org/officeDocument/2006/relationships/hyperlink" Target="https://advanced.onlinelibrary.wiley.com/doi/10.1002/adma.73685?af=R" TargetMode="External"/><Relationship Id="rId976" Type="http://schemas.openxmlformats.org/officeDocument/2006/relationships/hyperlink" Target="https://doi.org/10.1002/adma.73685" TargetMode="External"/><Relationship Id="rId977" Type="http://schemas.openxmlformats.org/officeDocument/2006/relationships/hyperlink" Target="https://advanced.onlinelibrary.wiley.com/doi/10.1002/adma.73694?af=R" TargetMode="External"/><Relationship Id="rId978" Type="http://schemas.openxmlformats.org/officeDocument/2006/relationships/hyperlink" Target="https://doi.org/10.1002/adma.73694" TargetMode="External"/><Relationship Id="rId979" Type="http://schemas.openxmlformats.org/officeDocument/2006/relationships/hyperlink" Target="http://pubs.rsc.org/en/Content/ArticleLanding/2026/EE/D6EE01195K" TargetMode="External"/><Relationship Id="rId980" Type="http://schemas.openxmlformats.org/officeDocument/2006/relationships/hyperlink" Target="https://www.cell.com/matter/fulltext/S2590-2385(26)00227-4?rss=yes" TargetMode="External"/><Relationship Id="rId981" Type="http://schemas.openxmlformats.org/officeDocument/2006/relationships/hyperlink" Target="https://doi.org/10.1016/j.matt.2026.102864" TargetMode="External"/><Relationship Id="rId982" Type="http://schemas.openxmlformats.org/officeDocument/2006/relationships/hyperlink" Target="https://academic.oup.com/nsr/advance-article/doi/10.1093/nsr/nwag354/8706387?rss=1" TargetMode="External"/><Relationship Id="rId983" Type="http://schemas.openxmlformats.org/officeDocument/2006/relationships/hyperlink" Target="https://doi.org/10.1093/nsr/nwag354" TargetMode="External"/><Relationship Id="rId984" Type="http://schemas.openxmlformats.org/officeDocument/2006/relationships/hyperlink" Target="https://www.nature.com/articles/d41586-026-01857-2" TargetMode="External"/><Relationship Id="rId985" Type="http://schemas.openxmlformats.org/officeDocument/2006/relationships/hyperlink" Target="https://doi.org/10.1038/d41586-026-01857-2" TargetMode="External"/><Relationship Id="rId986" Type="http://schemas.openxmlformats.org/officeDocument/2006/relationships/hyperlink" Target="https://www.sciencedirect.com/science/article/pii/S0301421526003824?dgcid=rss_sd_all" TargetMode="External"/><Relationship Id="rId987" Type="http://schemas.openxmlformats.org/officeDocument/2006/relationships/hyperlink" Target="https://www.nature.com/articles/d41586-026-01865-2" TargetMode="External"/><Relationship Id="rId988" Type="http://schemas.openxmlformats.org/officeDocument/2006/relationships/hyperlink" Target="https://doi.org/10.1038/d41586-026-01865-2" TargetMode="External"/><Relationship Id="rId989" Type="http://schemas.openxmlformats.org/officeDocument/2006/relationships/hyperlink" Target="https://www.nature.com/articles/d41586-026-01707-1" TargetMode="External"/><Relationship Id="rId990" Type="http://schemas.openxmlformats.org/officeDocument/2006/relationships/hyperlink" Target="https://doi.org/10.1038/d41586-026-01707-1" TargetMode="External"/><Relationship Id="rId991" Type="http://schemas.openxmlformats.org/officeDocument/2006/relationships/hyperlink" Target="https://www.nature.com/articles/d41586-026-01129-z" TargetMode="External"/><Relationship Id="rId992" Type="http://schemas.openxmlformats.org/officeDocument/2006/relationships/hyperlink" Target="https://doi.org/10.1038/d41586-026-01129-z" TargetMode="External"/><Relationship Id="rId993" Type="http://schemas.openxmlformats.org/officeDocument/2006/relationships/hyperlink" Target="https://www.nature.com/articles/s41586-026-10784-1" TargetMode="External"/><Relationship Id="rId994" Type="http://schemas.openxmlformats.org/officeDocument/2006/relationships/hyperlink" Target="https://doi.org/10.1038/s41586-026-10784-1" TargetMode="External"/><Relationship Id="rId995" Type="http://schemas.openxmlformats.org/officeDocument/2006/relationships/hyperlink" Target="https://www.nature.com/articles/d41586-026-01866-1" TargetMode="External"/><Relationship Id="rId996" Type="http://schemas.openxmlformats.org/officeDocument/2006/relationships/hyperlink" Target="https://doi.org/10.1038/d41586-026-01866-1" TargetMode="External"/><Relationship Id="rId997" Type="http://schemas.openxmlformats.org/officeDocument/2006/relationships/hyperlink" Target="https://onlinelibrary.wiley.com/doi/10.1002/anie.4614418?af=R" TargetMode="External"/><Relationship Id="rId998" Type="http://schemas.openxmlformats.org/officeDocument/2006/relationships/hyperlink" Target="https://doi.org/10.1002/anie.4614418" TargetMode="External"/><Relationship Id="rId999" Type="http://schemas.openxmlformats.org/officeDocument/2006/relationships/hyperlink" Target="https://onlinelibrary.wiley.com/doi/10.1002/anie.5317513?af=R" TargetMode="External"/><Relationship Id="rId1000" Type="http://schemas.openxmlformats.org/officeDocument/2006/relationships/hyperlink" Target="https://doi.org/10.1002/anie.5317513" TargetMode="External"/><Relationship Id="rId1001" Type="http://schemas.openxmlformats.org/officeDocument/2006/relationships/hyperlink" Target="https://onlinelibrary.wiley.com/doi/10.1002/anie.2984592?af=R" TargetMode="External"/><Relationship Id="rId1002" Type="http://schemas.openxmlformats.org/officeDocument/2006/relationships/hyperlink" Target="https://doi.org/10.1002/anie.2984592" TargetMode="External"/><Relationship Id="rId1003" Type="http://schemas.openxmlformats.org/officeDocument/2006/relationships/hyperlink" Target="https://onlinelibrary.wiley.com/doi/10.1002/anie.3759413?af=R" TargetMode="External"/><Relationship Id="rId1004" Type="http://schemas.openxmlformats.org/officeDocument/2006/relationships/hyperlink" Target="https://doi.org/10.1002/anie.3759413" TargetMode="External"/><Relationship Id="rId1005" Type="http://schemas.openxmlformats.org/officeDocument/2006/relationships/hyperlink" Target="https://onlinelibrary.wiley.com/doi/10.1002/anie.2913960?af=R" TargetMode="External"/><Relationship Id="rId1006" Type="http://schemas.openxmlformats.org/officeDocument/2006/relationships/hyperlink" Target="https://doi.org/10.1002/anie.2913960" TargetMode="External"/><Relationship Id="rId1007" Type="http://schemas.openxmlformats.org/officeDocument/2006/relationships/hyperlink" Target="https://www.science.org/doi/abs/10.1126/science.aej5921?af=R" TargetMode="External"/><Relationship Id="rId1008" Type="http://schemas.openxmlformats.org/officeDocument/2006/relationships/hyperlink" Target="https://doi.org/10.1126/science.aej5921" TargetMode="External"/><Relationship Id="rId1009" Type="http://schemas.openxmlformats.org/officeDocument/2006/relationships/hyperlink" Target="https://www.science.org/doi/abs/10.1126/science.aej5920?af=R" TargetMode="External"/><Relationship Id="rId1010" Type="http://schemas.openxmlformats.org/officeDocument/2006/relationships/hyperlink" Target="https://doi.org/10.1126/science.aej5920" TargetMode="External"/><Relationship Id="rId1011" Type="http://schemas.openxmlformats.org/officeDocument/2006/relationships/hyperlink" Target="https://www.science.org/doi/abs/10.1126/science.aej5922?af=R" TargetMode="External"/><Relationship Id="rId1012" Type="http://schemas.openxmlformats.org/officeDocument/2006/relationships/hyperlink" Target="https://doi.org/10.1126/science.aej5922" TargetMode="External"/><Relationship Id="rId1013" Type="http://schemas.openxmlformats.org/officeDocument/2006/relationships/hyperlink" Target="https://www.science.org/doi/abs/10.1126/science.aej5924?af=R" TargetMode="External"/><Relationship Id="rId1014" Type="http://schemas.openxmlformats.org/officeDocument/2006/relationships/hyperlink" Target="https://doi.org/10.1126/science.aej5924" TargetMode="External"/><Relationship Id="rId1015" Type="http://schemas.openxmlformats.org/officeDocument/2006/relationships/hyperlink" Target="https://www.science.org/doi/abs/10.1126/science.aei7768?af=R" TargetMode="External"/><Relationship Id="rId1016" Type="http://schemas.openxmlformats.org/officeDocument/2006/relationships/hyperlink" Target="https://doi.org/10.1126/science.aei7768" TargetMode="External"/><Relationship Id="rId1017" Type="http://schemas.openxmlformats.org/officeDocument/2006/relationships/hyperlink" Target="https://www.science.org/doi/abs/10.1126/science.aej5480?af=R" TargetMode="External"/><Relationship Id="rId1018" Type="http://schemas.openxmlformats.org/officeDocument/2006/relationships/hyperlink" Target="https://doi.org/10.1126/science.aej5480" TargetMode="External"/><Relationship Id="rId1019" Type="http://schemas.openxmlformats.org/officeDocument/2006/relationships/hyperlink" Target="https://www.science.org/doi/abs/10.1126/science.aee0001?af=R" TargetMode="External"/><Relationship Id="rId1020" Type="http://schemas.openxmlformats.org/officeDocument/2006/relationships/hyperlink" Target="https://doi.org/10.1126/science.aee0001" TargetMode="External"/><Relationship Id="rId1021" Type="http://schemas.openxmlformats.org/officeDocument/2006/relationships/hyperlink" Target="https://www.science.org/doi/abs/10.1126/science.adv0367?af=R" TargetMode="External"/><Relationship Id="rId1022" Type="http://schemas.openxmlformats.org/officeDocument/2006/relationships/hyperlink" Target="https://doi.org/10.1126/science.adv0367" TargetMode="External"/><Relationship Id="rId1023" Type="http://schemas.openxmlformats.org/officeDocument/2006/relationships/hyperlink" Target="https://www.science.org/doi/abs/10.1126/science.aej5477?af=R" TargetMode="External"/><Relationship Id="rId1024" Type="http://schemas.openxmlformats.org/officeDocument/2006/relationships/hyperlink" Target="https://doi.org/10.1126/science.aej5477" TargetMode="External"/><Relationship Id="rId1025" Type="http://schemas.openxmlformats.org/officeDocument/2006/relationships/hyperlink" Target="https://www.science.org/doi/abs/10.1126/science.aeh9864?af=R" TargetMode="External"/><Relationship Id="rId1026" Type="http://schemas.openxmlformats.org/officeDocument/2006/relationships/hyperlink" Target="https://doi.org/10.1126/science.aeh9864" TargetMode="External"/><Relationship Id="rId1027" Type="http://schemas.openxmlformats.org/officeDocument/2006/relationships/hyperlink" Target="https://www.science.org/doi/abs/10.1126/science.aeb3456?af=R" TargetMode="External"/><Relationship Id="rId1028" Type="http://schemas.openxmlformats.org/officeDocument/2006/relationships/hyperlink" Target="https://doi.org/10.1126/science.aeb3456" TargetMode="External"/><Relationship Id="rId1029" Type="http://schemas.openxmlformats.org/officeDocument/2006/relationships/hyperlink" Target="https://www.science.org/doi/abs/10.1126/science.aej5919?af=R" TargetMode="External"/><Relationship Id="rId1030" Type="http://schemas.openxmlformats.org/officeDocument/2006/relationships/hyperlink" Target="https://doi.org/10.1126/science.aej5919" TargetMode="External"/><Relationship Id="rId1031" Type="http://schemas.openxmlformats.org/officeDocument/2006/relationships/hyperlink" Target="https://www.science.org/doi/abs/10.1126/science.aee5790?af=R" TargetMode="External"/><Relationship Id="rId1032" Type="http://schemas.openxmlformats.org/officeDocument/2006/relationships/hyperlink" Target="https://doi.org/10.1126/science.aee5790" TargetMode="External"/><Relationship Id="rId1033" Type="http://schemas.openxmlformats.org/officeDocument/2006/relationships/hyperlink" Target="https://www.science.org/doi/abs/10.1126/science.aej5918?af=R" TargetMode="External"/><Relationship Id="rId1034" Type="http://schemas.openxmlformats.org/officeDocument/2006/relationships/hyperlink" Target="https://doi.org/10.1126/science.aej5918" TargetMode="External"/><Relationship Id="rId1035" Type="http://schemas.openxmlformats.org/officeDocument/2006/relationships/hyperlink" Target="https://www.science.org/doi/abs/10.1126/science.aej2947?af=R" TargetMode="External"/><Relationship Id="rId1036" Type="http://schemas.openxmlformats.org/officeDocument/2006/relationships/hyperlink" Target="https://doi.org/10.1126/science.aej2947" TargetMode="External"/><Relationship Id="rId1037" Type="http://schemas.openxmlformats.org/officeDocument/2006/relationships/hyperlink" Target="https://www.science.org/doi/abs/10.1126/science.aej5923?af=R" TargetMode="External"/><Relationship Id="rId1038" Type="http://schemas.openxmlformats.org/officeDocument/2006/relationships/hyperlink" Target="https://doi.org/10.1126/science.aej5923" TargetMode="External"/><Relationship Id="rId1039" Type="http://schemas.openxmlformats.org/officeDocument/2006/relationships/hyperlink" Target="https://www.science.org/doi/abs/10.1126/science.aej5876?af=R" TargetMode="External"/><Relationship Id="rId1040" Type="http://schemas.openxmlformats.org/officeDocument/2006/relationships/hyperlink" Target="https://doi.org/10.1126/science.aej5876" TargetMode="External"/><Relationship Id="rId1041" Type="http://schemas.openxmlformats.org/officeDocument/2006/relationships/hyperlink" Target="https://www.science.org/doi/abs/10.1126/science.aei4119?af=R" TargetMode="External"/><Relationship Id="rId1042" Type="http://schemas.openxmlformats.org/officeDocument/2006/relationships/hyperlink" Target="https://doi.org/10.1126/science.aei4119" TargetMode="External"/><Relationship Id="rId1043" Type="http://schemas.openxmlformats.org/officeDocument/2006/relationships/hyperlink" Target="https://www.science.org/doi/abs/10.1126/science.aei3453?af=R" TargetMode="External"/><Relationship Id="rId1044" Type="http://schemas.openxmlformats.org/officeDocument/2006/relationships/hyperlink" Target="https://doi.org/10.1126/science.aei3453" TargetMode="External"/><Relationship Id="rId1045" Type="http://schemas.openxmlformats.org/officeDocument/2006/relationships/hyperlink" Target="https://www.science.org/doi/abs/10.1126/science.aei3391?af=R" TargetMode="External"/><Relationship Id="rId1046" Type="http://schemas.openxmlformats.org/officeDocument/2006/relationships/hyperlink" Target="https://doi.org/10.1126/science.aei3391" TargetMode="External"/><Relationship Id="rId1047" Type="http://schemas.openxmlformats.org/officeDocument/2006/relationships/hyperlink" Target="https://www.science.org/doi/abs/10.1126/science.aej5479?af=R" TargetMode="External"/><Relationship Id="rId1048" Type="http://schemas.openxmlformats.org/officeDocument/2006/relationships/hyperlink" Target="https://doi.org/10.1126/science.aej5479" TargetMode="External"/><Relationship Id="rId1049" Type="http://schemas.openxmlformats.org/officeDocument/2006/relationships/hyperlink" Target="https://www.science.org/doi/abs/10.1126/science.aei3393?af=R" TargetMode="External"/><Relationship Id="rId1050" Type="http://schemas.openxmlformats.org/officeDocument/2006/relationships/hyperlink" Target="https://doi.org/10.1126/science.aei3393" TargetMode="External"/><Relationship Id="rId1051" Type="http://schemas.openxmlformats.org/officeDocument/2006/relationships/hyperlink" Target="https://www.science.org/doi/abs/10.1126/science.aed0399?af=R" TargetMode="External"/><Relationship Id="rId1052" Type="http://schemas.openxmlformats.org/officeDocument/2006/relationships/hyperlink" Target="https://doi.org/10.1126/science.aed0399" TargetMode="External"/><Relationship Id="rId1053" Type="http://schemas.openxmlformats.org/officeDocument/2006/relationships/hyperlink" Target="https://www.science.org/doi/abs/10.1126/science.aed5051?af=R" TargetMode="External"/><Relationship Id="rId1054" Type="http://schemas.openxmlformats.org/officeDocument/2006/relationships/hyperlink" Target="https://doi.org/10.1126/science.aed5051" TargetMode="External"/><Relationship Id="rId1055" Type="http://schemas.openxmlformats.org/officeDocument/2006/relationships/hyperlink" Target="https://www.science.org/doi/abs/10.1126/science.adz1624?af=R" TargetMode="External"/><Relationship Id="rId1056" Type="http://schemas.openxmlformats.org/officeDocument/2006/relationships/hyperlink" Target="https://doi.org/10.1126/science.adz1624" TargetMode="External"/><Relationship Id="rId1057" Type="http://schemas.openxmlformats.org/officeDocument/2006/relationships/hyperlink" Target="https://www.science.org/doi/abs/10.1126/science.aeh6580?af=R" TargetMode="External"/><Relationship Id="rId1058" Type="http://schemas.openxmlformats.org/officeDocument/2006/relationships/hyperlink" Target="https://doi.org/10.1126/science.aeh6580" TargetMode="External"/><Relationship Id="rId1059" Type="http://schemas.openxmlformats.org/officeDocument/2006/relationships/hyperlink" Target="https://www.science.org/doi/abs/10.1126/science.adu3916?af=R" TargetMode="External"/><Relationship Id="rId1060" Type="http://schemas.openxmlformats.org/officeDocument/2006/relationships/hyperlink" Target="https://doi.org/10.1126/science.adu3916" TargetMode="External"/><Relationship Id="rId1061" Type="http://schemas.openxmlformats.org/officeDocument/2006/relationships/hyperlink" Target="https://www.science.org/doi/abs/10.1126/science.aei0666?af=R" TargetMode="External"/><Relationship Id="rId1062" Type="http://schemas.openxmlformats.org/officeDocument/2006/relationships/hyperlink" Target="https://doi.org/10.1126/science.aei0666" TargetMode="External"/><Relationship Id="rId1063" Type="http://schemas.openxmlformats.org/officeDocument/2006/relationships/hyperlink" Target="https://www.science.org/doi/abs/10.1126/science.aej5478?af=R" TargetMode="External"/><Relationship Id="rId1064" Type="http://schemas.openxmlformats.org/officeDocument/2006/relationships/hyperlink" Target="https://doi.org/10.1126/science.aej5478" TargetMode="External"/><Relationship Id="rId1065" Type="http://schemas.openxmlformats.org/officeDocument/2006/relationships/hyperlink" Target="https://onlinelibrary.wiley.com/doi/10.1002/anie.202526148?af=R" TargetMode="External"/><Relationship Id="rId1066" Type="http://schemas.openxmlformats.org/officeDocument/2006/relationships/hyperlink" Target="https://doi.org/10.1002/anie.202526148" TargetMode="External"/><Relationship Id="rId1067" Type="http://schemas.openxmlformats.org/officeDocument/2006/relationships/hyperlink" Target="https://onlinelibrary.wiley.com/doi/10.1002/anie.1331602?af=R" TargetMode="External"/><Relationship Id="rId1068" Type="http://schemas.openxmlformats.org/officeDocument/2006/relationships/hyperlink" Target="https://doi.org/10.1002/anie.1331602" TargetMode="External"/><Relationship Id="rId1069" Type="http://schemas.openxmlformats.org/officeDocument/2006/relationships/hyperlink" Target="https://onlinelibrary.wiley.com/doi/10.1002/anie.6654151?af=R" TargetMode="External"/><Relationship Id="rId1070" Type="http://schemas.openxmlformats.org/officeDocument/2006/relationships/hyperlink" Target="https://doi.org/10.1002/anie.6654151" TargetMode="External"/><Relationship Id="rId1071" Type="http://schemas.openxmlformats.org/officeDocument/2006/relationships/hyperlink" Target="https://onlinelibrary.wiley.com/doi/10.1002/anie.5919230?af=R" TargetMode="External"/><Relationship Id="rId1072" Type="http://schemas.openxmlformats.org/officeDocument/2006/relationships/hyperlink" Target="https://doi.org/10.1002/anie.5919230" TargetMode="External"/><Relationship Id="rId1073" Type="http://schemas.openxmlformats.org/officeDocument/2006/relationships/hyperlink" Target="https://onlinelibrary.wiley.com/doi/10.1002/anie.6617585?af=R" TargetMode="External"/><Relationship Id="rId1074" Type="http://schemas.openxmlformats.org/officeDocument/2006/relationships/hyperlink" Target="https://doi.org/10.1002/anie.6617585" TargetMode="External"/><Relationship Id="rId1075" Type="http://schemas.openxmlformats.org/officeDocument/2006/relationships/hyperlink" Target="https://advanced.onlinelibrary.wiley.com/doi/10.1002/adma.73644?af=R" TargetMode="External"/><Relationship Id="rId1076" Type="http://schemas.openxmlformats.org/officeDocument/2006/relationships/hyperlink" Target="https://doi.org/10.1002/adma.73644" TargetMode="External"/><Relationship Id="rId1077" Type="http://schemas.openxmlformats.org/officeDocument/2006/relationships/hyperlink" Target="https://onlinelibrary.wiley.com/doi/10.1002/anie.4556652?af=R" TargetMode="External"/><Relationship Id="rId1078" Type="http://schemas.openxmlformats.org/officeDocument/2006/relationships/hyperlink" Target="https://doi.org/10.1002/anie.4556652" TargetMode="External"/><Relationship Id="rId1079" Type="http://schemas.openxmlformats.org/officeDocument/2006/relationships/hyperlink" Target="https://onlinelibrary.wiley.com/doi/10.1002/anie.4586495?af=R" TargetMode="External"/><Relationship Id="rId1080" Type="http://schemas.openxmlformats.org/officeDocument/2006/relationships/hyperlink" Target="https://doi.org/10.1002/anie.4586495" TargetMode="External"/><Relationship Id="rId1081" Type="http://schemas.openxmlformats.org/officeDocument/2006/relationships/hyperlink" Target="https://advanced.onlinelibrary.wiley.com/doi/10.1002/adma.73669?af=R" TargetMode="External"/><Relationship Id="rId1082" Type="http://schemas.openxmlformats.org/officeDocument/2006/relationships/hyperlink" Target="https://doi.org/10.1002/adma.73669" TargetMode="External"/><Relationship Id="rId1083" Type="http://schemas.openxmlformats.org/officeDocument/2006/relationships/hyperlink" Target="https://onlinelibrary.wiley.com/doi/10.1002/anie.5802775?af=R" TargetMode="External"/><Relationship Id="rId1084" Type="http://schemas.openxmlformats.org/officeDocument/2006/relationships/hyperlink" Target="https://doi.org/10.1002/anie.5802775" TargetMode="External"/><Relationship Id="rId1085" Type="http://schemas.openxmlformats.org/officeDocument/2006/relationships/hyperlink" Target="https://onlinelibrary.wiley.com/doi/10.1002/anie.3402295?af=R" TargetMode="External"/><Relationship Id="rId1086" Type="http://schemas.openxmlformats.org/officeDocument/2006/relationships/hyperlink" Target="https://doi.org/10.1002/anie.3402295" TargetMode="External"/><Relationship Id="rId1087" Type="http://schemas.openxmlformats.org/officeDocument/2006/relationships/hyperlink" Target="https://advanced.onlinelibrary.wiley.com/doi/10.1002/aenm.71177?af=R" TargetMode="External"/><Relationship Id="rId1088" Type="http://schemas.openxmlformats.org/officeDocument/2006/relationships/hyperlink" Target="https://doi.org/10.1002/aenm.71177" TargetMode="External"/><Relationship Id="rId1089" Type="http://schemas.openxmlformats.org/officeDocument/2006/relationships/hyperlink" Target="https://www.science.org/doi/abs/10.1126/science.aec3187?af=R" TargetMode="External"/><Relationship Id="rId1090" Type="http://schemas.openxmlformats.org/officeDocument/2006/relationships/hyperlink" Target="https://doi.org/10.1126/science.aec3187" TargetMode="External"/><Relationship Id="rId1091" Type="http://schemas.openxmlformats.org/officeDocument/2006/relationships/hyperlink" Target="https://www.science.org/doi/abs/10.1126/science.adz7518?af=R" TargetMode="External"/><Relationship Id="rId1092" Type="http://schemas.openxmlformats.org/officeDocument/2006/relationships/hyperlink" Target="https://doi.org/10.1126/science.adz7518" TargetMode="External"/><Relationship Id="rId1093" Type="http://schemas.openxmlformats.org/officeDocument/2006/relationships/hyperlink" Target="https://www.science.org/doi/abs/10.1126/science.aei4424?af=R" TargetMode="External"/><Relationship Id="rId1094" Type="http://schemas.openxmlformats.org/officeDocument/2006/relationships/hyperlink" Target="https://doi.org/10.1126/science.aei4424" TargetMode="External"/><Relationship Id="rId1095" Type="http://schemas.openxmlformats.org/officeDocument/2006/relationships/hyperlink" Target="https://www.science.org/doi/abs/10.1126/science.aee6213?af=R" TargetMode="External"/><Relationship Id="rId1096" Type="http://schemas.openxmlformats.org/officeDocument/2006/relationships/hyperlink" Target="https://doi.org/10.1126/science.aee6213" TargetMode="External"/><Relationship Id="rId1097" Type="http://schemas.openxmlformats.org/officeDocument/2006/relationships/hyperlink" Target="https://www.pnas.org/doi/abs/10.1073/pnas.2531481123?mi=eymic2&amp;af=R&amp;access=on&amp;content=articlesChapters&amp;publication=pnas&amp;sortBy=Earliest&amp;target=default" TargetMode="External"/><Relationship Id="rId1098" Type="http://schemas.openxmlformats.org/officeDocument/2006/relationships/hyperlink" Target="https://doi.org/10.1073/pnas.2531481123" TargetMode="External"/><Relationship Id="rId1099" Type="http://schemas.openxmlformats.org/officeDocument/2006/relationships/hyperlink" Target="https://www.science.org/doi/abs/10.1126/science.ady5344?af=R" TargetMode="External"/><Relationship Id="rId1100" Type="http://schemas.openxmlformats.org/officeDocument/2006/relationships/hyperlink" Target="https://doi.org/10.1126/science.ady5344" TargetMode="External"/><Relationship Id="rId1101" Type="http://schemas.openxmlformats.org/officeDocument/2006/relationships/hyperlink" Target="https://www.science.org/doi/abs/10.1126/science.aec2634?af=R" TargetMode="External"/><Relationship Id="rId1102" Type="http://schemas.openxmlformats.org/officeDocument/2006/relationships/hyperlink" Target="https://doi.org/10.1126/science.aec2634" TargetMode="External"/><Relationship Id="rId1103" Type="http://schemas.openxmlformats.org/officeDocument/2006/relationships/hyperlink" Target="https://www.pnas.org/doi/abs/10.1073/pnas.2601472123?mi=eymic2&amp;af=R&amp;access=on&amp;content=articlesChapters&amp;publication=pnas&amp;sortBy=Earliest&amp;target=default" TargetMode="External"/><Relationship Id="rId1104" Type="http://schemas.openxmlformats.org/officeDocument/2006/relationships/hyperlink" Target="https://doi.org/10.1073/pnas.2601472123" TargetMode="External"/><Relationship Id="rId1105" Type="http://schemas.openxmlformats.org/officeDocument/2006/relationships/hyperlink" Target="https://www.pnas.org/doi/abs/10.1073/pnas.2538027123?mi=eymic2&amp;af=R&amp;access=on&amp;content=articlesChapters&amp;publication=pnas&amp;sortBy=Earliest&amp;target=default" TargetMode="External"/><Relationship Id="rId1106" Type="http://schemas.openxmlformats.org/officeDocument/2006/relationships/hyperlink" Target="https://doi.org/10.1073/pnas.2538027123" TargetMode="External"/><Relationship Id="rId1107" Type="http://schemas.openxmlformats.org/officeDocument/2006/relationships/hyperlink" Target="https://www.science.org/doi/abs/10.1126/science.aea2490?af=R" TargetMode="External"/><Relationship Id="rId1108" Type="http://schemas.openxmlformats.org/officeDocument/2006/relationships/hyperlink" Target="https://doi.org/10.1126/science.aea2490" TargetMode="External"/><Relationship Id="rId1109" Type="http://schemas.openxmlformats.org/officeDocument/2006/relationships/hyperlink" Target="https://www.pnas.org/doi/abs/10.1073/pnas.2537884123?mi=eymic2&amp;af=R&amp;access=on&amp;content=articlesChapters&amp;publication=pnas&amp;sortBy=Earliest&amp;target=default" TargetMode="External"/><Relationship Id="rId1110" Type="http://schemas.openxmlformats.org/officeDocument/2006/relationships/hyperlink" Target="https://doi.org/10.1073/pnas.2537884123" TargetMode="External"/><Relationship Id="rId1111" Type="http://schemas.openxmlformats.org/officeDocument/2006/relationships/hyperlink" Target="https://www.science.org/doi/abs/10.1126/science.adr6749?af=R" TargetMode="External"/><Relationship Id="rId1112" Type="http://schemas.openxmlformats.org/officeDocument/2006/relationships/hyperlink" Target="https://doi.org/10.1126/science.adr6749" TargetMode="External"/><Relationship Id="rId1113" Type="http://schemas.openxmlformats.org/officeDocument/2006/relationships/hyperlink" Target="https://www.pnas.org/doi/abs/10.1073/pnas.2524190123?mi=eymic2&amp;af=R&amp;access=on&amp;content=articlesChapters&amp;publication=pnas&amp;sortBy=Earliest&amp;target=default" TargetMode="External"/><Relationship Id="rId1114" Type="http://schemas.openxmlformats.org/officeDocument/2006/relationships/hyperlink" Target="https://doi.org/10.1073/pnas.2524190123" TargetMode="External"/><Relationship Id="rId1115" Type="http://schemas.openxmlformats.org/officeDocument/2006/relationships/hyperlink" Target="https://www.pnas.org/doi/abs/10.1073/pnas.2609054123?mi=eymic2&amp;af=R&amp;access=on&amp;content=articlesChapters&amp;publication=pnas&amp;sortBy=Earliest&amp;target=default" TargetMode="External"/><Relationship Id="rId1116" Type="http://schemas.openxmlformats.org/officeDocument/2006/relationships/hyperlink" Target="https://doi.org/10.1073/pnas.2609054123" TargetMode="External"/><Relationship Id="rId1117" Type="http://schemas.openxmlformats.org/officeDocument/2006/relationships/hyperlink" Target="https://advanced.onlinelibrary.wiley.com/doi/10.1002/adma.73657?af=R" TargetMode="External"/><Relationship Id="rId1118" Type="http://schemas.openxmlformats.org/officeDocument/2006/relationships/hyperlink" Target="https://doi.org/10.1002/adma.73657" TargetMode="External"/><Relationship Id="rId1119" Type="http://schemas.openxmlformats.org/officeDocument/2006/relationships/hyperlink" Target="https://onlinelibrary.wiley.com/doi/10.1002/anie.3998491?af=R" TargetMode="External"/><Relationship Id="rId1120" Type="http://schemas.openxmlformats.org/officeDocument/2006/relationships/hyperlink" Target="https://doi.org/10.1002/anie.3998491" TargetMode="External"/><Relationship Id="rId1121" Type="http://schemas.openxmlformats.org/officeDocument/2006/relationships/hyperlink" Target="https://onlinelibrary.wiley.com/doi/10.1002/anie.6720227?af=R" TargetMode="External"/><Relationship Id="rId1122" Type="http://schemas.openxmlformats.org/officeDocument/2006/relationships/hyperlink" Target="https://doi.org/10.1002/anie.6720227" TargetMode="External"/><Relationship Id="rId1123" Type="http://schemas.openxmlformats.org/officeDocument/2006/relationships/hyperlink" Target="https://onlinelibrary.wiley.com/doi/10.1002/anie.9080202?af=R" TargetMode="External"/><Relationship Id="rId1124" Type="http://schemas.openxmlformats.org/officeDocument/2006/relationships/hyperlink" Target="https://doi.org/10.1002/anie.9080202" TargetMode="External"/><Relationship Id="rId1125" Type="http://schemas.openxmlformats.org/officeDocument/2006/relationships/hyperlink" Target="https://onlinelibrary.wiley.com/doi/10.1002/anie.6402787?af=R" TargetMode="External"/><Relationship Id="rId1126" Type="http://schemas.openxmlformats.org/officeDocument/2006/relationships/hyperlink" Target="https://doi.org/10.1002/anie.6402787" TargetMode="External"/><Relationship Id="rId1127" Type="http://schemas.openxmlformats.org/officeDocument/2006/relationships/hyperlink" Target="https://onlinelibrary.wiley.com/doi/10.1002/anie.8508105?af=R" TargetMode="External"/><Relationship Id="rId1128" Type="http://schemas.openxmlformats.org/officeDocument/2006/relationships/hyperlink" Target="https://doi.org/10.1002/anie.8508105" TargetMode="External"/><Relationship Id="rId1129" Type="http://schemas.openxmlformats.org/officeDocument/2006/relationships/hyperlink" Target="https://advanced.onlinelibrary.wiley.com/doi/10.1002/adma.73593?af=R" TargetMode="External"/><Relationship Id="rId1130" Type="http://schemas.openxmlformats.org/officeDocument/2006/relationships/hyperlink" Target="https://doi.org/10.1002/adma.73593" TargetMode="External"/><Relationship Id="rId1131" Type="http://schemas.openxmlformats.org/officeDocument/2006/relationships/hyperlink" Target="https://advanced.onlinelibrary.wiley.com/doi/10.1002/adma.73678?af=R" TargetMode="External"/><Relationship Id="rId1132" Type="http://schemas.openxmlformats.org/officeDocument/2006/relationships/hyperlink" Target="https://doi.org/10.1002/adma.73678" TargetMode="External"/><Relationship Id="rId1133" Type="http://schemas.openxmlformats.org/officeDocument/2006/relationships/hyperlink" Target="https://advanced.onlinelibrary.wiley.com/doi/10.1002/adma.73647?af=R" TargetMode="External"/><Relationship Id="rId1134" Type="http://schemas.openxmlformats.org/officeDocument/2006/relationships/hyperlink" Target="https://doi.org/10.1002/adma.73647" TargetMode="External"/><Relationship Id="rId1135" Type="http://schemas.openxmlformats.org/officeDocument/2006/relationships/hyperlink" Target="https://onlinelibrary.wiley.com/doi/10.1002/anie.8105704?af=R" TargetMode="External"/><Relationship Id="rId1136" Type="http://schemas.openxmlformats.org/officeDocument/2006/relationships/hyperlink" Target="https://doi.org/10.1002/anie.8105704" TargetMode="External"/><Relationship Id="rId1137" Type="http://schemas.openxmlformats.org/officeDocument/2006/relationships/hyperlink" Target="https://onlinelibrary.wiley.com/doi/10.1002/anie.3566616?af=R" TargetMode="External"/><Relationship Id="rId1138" Type="http://schemas.openxmlformats.org/officeDocument/2006/relationships/hyperlink" Target="https://doi.org/10.1002/anie.3566616" TargetMode="External"/><Relationship Id="rId1139" Type="http://schemas.openxmlformats.org/officeDocument/2006/relationships/hyperlink" Target="http://link.aps.org/doi/10.1103/wtq7-qy11" TargetMode="External"/><Relationship Id="rId1140" Type="http://schemas.openxmlformats.org/officeDocument/2006/relationships/hyperlink" Target="https://doi.org/10.1103/wtq7-qy11" TargetMode="External"/><Relationship Id="rId1141" Type="http://schemas.openxmlformats.org/officeDocument/2006/relationships/hyperlink" Target="http://link.aps.org/doi/10.1103/7y26-3skd" TargetMode="External"/><Relationship Id="rId1142" Type="http://schemas.openxmlformats.org/officeDocument/2006/relationships/hyperlink" Target="https://doi.org/10.1103/7y26-3skd" TargetMode="External"/><Relationship Id="rId1143" Type="http://schemas.openxmlformats.org/officeDocument/2006/relationships/hyperlink" Target="http://link.aps.org/doi/10.1103/znyd-npk5" TargetMode="External"/><Relationship Id="rId1144" Type="http://schemas.openxmlformats.org/officeDocument/2006/relationships/hyperlink" Target="https://doi.org/10.1103/znyd-npk5" TargetMode="External"/><Relationship Id="rId1145" Type="http://schemas.openxmlformats.org/officeDocument/2006/relationships/hyperlink" Target="http://link.aps.org/doi/10.1103/z93q-9g6y" TargetMode="External"/><Relationship Id="rId1146" Type="http://schemas.openxmlformats.org/officeDocument/2006/relationships/hyperlink" Target="https://doi.org/10.1103/z93q-9g6y" TargetMode="External"/><Relationship Id="rId1147" Type="http://schemas.openxmlformats.org/officeDocument/2006/relationships/hyperlink" Target="http://link.aps.org/doi/10.1103/t9tt-t5x2" TargetMode="External"/><Relationship Id="rId1148" Type="http://schemas.openxmlformats.org/officeDocument/2006/relationships/hyperlink" Target="https://doi.org/10.1103/t9tt-t5x2" TargetMode="External"/><Relationship Id="rId1149" Type="http://schemas.openxmlformats.org/officeDocument/2006/relationships/hyperlink" Target="http://link.aps.org/doi/10.1103/cbxq-8n45" TargetMode="External"/><Relationship Id="rId1150" Type="http://schemas.openxmlformats.org/officeDocument/2006/relationships/hyperlink" Target="https://doi.org/10.1103/cbxq-8n45" TargetMode="External"/><Relationship Id="rId1151" Type="http://schemas.openxmlformats.org/officeDocument/2006/relationships/hyperlink" Target="http://link.aps.org/doi/10.1103/519h-2vrc" TargetMode="External"/><Relationship Id="rId1152" Type="http://schemas.openxmlformats.org/officeDocument/2006/relationships/hyperlink" Target="https://doi.org/10.1103/519h-2vrc" TargetMode="External"/><Relationship Id="rId1153" Type="http://schemas.openxmlformats.org/officeDocument/2006/relationships/hyperlink" Target="http://link.aps.org/doi/10.1103/3pvs-gdp8" TargetMode="External"/><Relationship Id="rId1154" Type="http://schemas.openxmlformats.org/officeDocument/2006/relationships/hyperlink" Target="https://doi.org/10.1103/3pvs-gdp8" TargetMode="External"/><Relationship Id="rId1155" Type="http://schemas.openxmlformats.org/officeDocument/2006/relationships/hyperlink" Target="http://link.aps.org/doi/10.1103/ycwh-3gy8" TargetMode="External"/><Relationship Id="rId1156" Type="http://schemas.openxmlformats.org/officeDocument/2006/relationships/hyperlink" Target="https://doi.org/10.1103/ycwh-3gy8" TargetMode="External"/><Relationship Id="rId1157" Type="http://schemas.openxmlformats.org/officeDocument/2006/relationships/hyperlink" Target="http://link.aps.org/doi/10.1103/14kh-p5g3" TargetMode="External"/><Relationship Id="rId1158" Type="http://schemas.openxmlformats.org/officeDocument/2006/relationships/hyperlink" Target="https://doi.org/10.1103/14kh-p5g3" TargetMode="External"/><Relationship Id="rId1159" Type="http://schemas.openxmlformats.org/officeDocument/2006/relationships/hyperlink" Target="http://link.aps.org/doi/10.1103/vkcb-8hzg" TargetMode="External"/><Relationship Id="rId1160" Type="http://schemas.openxmlformats.org/officeDocument/2006/relationships/hyperlink" Target="https://doi.org/10.1103/vkcb-8hzg" TargetMode="External"/><Relationship Id="rId1161" Type="http://schemas.openxmlformats.org/officeDocument/2006/relationships/hyperlink" Target="http://link.aps.org/doi/10.1103/vmdx-klxv" TargetMode="External"/><Relationship Id="rId1162" Type="http://schemas.openxmlformats.org/officeDocument/2006/relationships/hyperlink" Target="https://doi.org/10.1103/vmdx-klxv" TargetMode="External"/><Relationship Id="rId1163" Type="http://schemas.openxmlformats.org/officeDocument/2006/relationships/hyperlink" Target="http://link.aps.org/doi/10.1103/6b4n-v35x" TargetMode="External"/><Relationship Id="rId1164" Type="http://schemas.openxmlformats.org/officeDocument/2006/relationships/hyperlink" Target="https://doi.org/10.1103/6b4n-v35x" TargetMode="External"/><Relationship Id="rId1165" Type="http://schemas.openxmlformats.org/officeDocument/2006/relationships/hyperlink" Target="https://advanced.onlinelibrary.wiley.com/doi/10.1002/adma.73690?af=R" TargetMode="External"/><Relationship Id="rId1166" Type="http://schemas.openxmlformats.org/officeDocument/2006/relationships/hyperlink" Target="https://doi.org/10.1002/adma.73690" TargetMode="External"/><Relationship Id="rId1167" Type="http://schemas.openxmlformats.org/officeDocument/2006/relationships/hyperlink" Target="https://onlinelibrary.wiley.com/doi/10.1002/anie.5591473?af=R" TargetMode="External"/><Relationship Id="rId1168" Type="http://schemas.openxmlformats.org/officeDocument/2006/relationships/hyperlink" Target="https://doi.org/10.1002/anie.5591473" TargetMode="External"/><Relationship Id="rId1169" Type="http://schemas.openxmlformats.org/officeDocument/2006/relationships/hyperlink" Target="https://onlinelibrary.wiley.com/doi/10.1002/anie.7072895?af=R" TargetMode="External"/><Relationship Id="rId1170" Type="http://schemas.openxmlformats.org/officeDocument/2006/relationships/hyperlink" Target="https://doi.org/10.1002/anie.7072895" TargetMode="External"/><Relationship Id="rId1171" Type="http://schemas.openxmlformats.org/officeDocument/2006/relationships/hyperlink" Target="https://onlinelibrary.wiley.com/doi/10.1002/anie.9990265?af=R" TargetMode="External"/><Relationship Id="rId1172" Type="http://schemas.openxmlformats.org/officeDocument/2006/relationships/hyperlink" Target="https://doi.org/10.1002/anie.9990265" TargetMode="External"/><Relationship Id="rId1173" Type="http://schemas.openxmlformats.org/officeDocument/2006/relationships/hyperlink" Target="https://onlinelibrary.wiley.com/doi/10.1002/anie.6667904?af=R" TargetMode="External"/><Relationship Id="rId1174" Type="http://schemas.openxmlformats.org/officeDocument/2006/relationships/hyperlink" Target="https://doi.org/10.1002/anie.6667904" TargetMode="External"/><Relationship Id="rId1175" Type="http://schemas.openxmlformats.org/officeDocument/2006/relationships/hyperlink" Target="https://onlinelibrary.wiley.com/doi/10.1002/anie.7470442?af=R" TargetMode="External"/><Relationship Id="rId1176" Type="http://schemas.openxmlformats.org/officeDocument/2006/relationships/hyperlink" Target="https://doi.org/10.1002/anie.7470442" TargetMode="External"/><Relationship Id="rId1177" Type="http://schemas.openxmlformats.org/officeDocument/2006/relationships/hyperlink" Target="https://onlinelibrary.wiley.com/doi/10.1002/anie.5582949?af=R" TargetMode="External"/><Relationship Id="rId1178" Type="http://schemas.openxmlformats.org/officeDocument/2006/relationships/hyperlink" Target="https://doi.org/10.1002/anie.5582949" TargetMode="External"/><Relationship Id="rId1179" Type="http://schemas.openxmlformats.org/officeDocument/2006/relationships/hyperlink" Target="http://pubs.rsc.org/en/Content/ArticleLanding/2026/CS/D5CS01074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