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2026-05-29</w:t>
      </w:r>
    </w:p>
    <w:p>
      <w:pPr>
        <w:spacing w:before="160" w:after="120"/>
      </w:pPr>
      <w:r>
        <w:rPr>
          <w:b/>
          <w:sz w:val="28"/>
        </w:rPr>
        <w:t>【光伏】</w:t>
      </w:r>
    </w:p>
    <w:p>
      <w:pPr>
        <w:spacing w:before="160" w:after="40" w:line="240" w:lineRule="auto"/>
      </w:pPr>
      <w:r>
        <w:rPr>
          <w:b/>
        </w:rPr>
        <w:t xml:space="preserve">[1] </w:t>
      </w:r>
      <w:hyperlink r:id="rId9">
        <w:r>
          <w:rPr>
            <w:color w:val="1155CC"/>
            <w:u w:val="single"/>
          </w:rPr>
          <w:t>采用并联泵-水轮机和变速运行的混合太阳能抽水蓄能系统建模</w:t>
        </w:r>
      </w:hyperlink>
    </w:p>
    <w:p>
      <w:pPr>
        <w:spacing w:before="0" w:after="80"/>
      </w:pPr>
      <w:r>
        <w:rPr>
          <w:i/>
          <w:sz w:val="20"/>
        </w:rPr>
        <w:t>EN: Modelling a hybrid solar-pumped storage system using pump-as-turbine in parallel and variable speed operation</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空穴传输级联工程化给体聚合物用于具有改进湿气稳定性的未封装钙钛矿太阳能电池</w:t>
        </w:r>
      </w:hyperlink>
    </w:p>
    <w:p>
      <w:pPr>
        <w:spacing w:before="0" w:after="80"/>
      </w:pPr>
      <w:r>
        <w:rPr>
          <w:i/>
          <w:sz w:val="20"/>
        </w:rPr>
        <w:t>EN: Hole-transfer cascade-engineered donor polymer for unencapsulated perovskite solar cells with improved moisture stability</w:t>
      </w:r>
    </w:p>
    <w:p>
      <w:pPr>
        <w:spacing w:before="0" w:after="120"/>
      </w:pPr>
      <w:r>
        <w:rPr>
          <w:b/>
        </w:rPr>
        <w:t xml:space="preserve">Source: </w:t>
      </w:r>
      <w:r>
        <w:t>Nature Energy</w:t>
      </w:r>
      <w:r>
        <w:t xml:space="preserve">    </w:t>
      </w:r>
      <w:r>
        <w:rPr>
          <w:b/>
        </w:rPr>
        <w:t xml:space="preserve">Pub date: </w:t>
      </w:r>
      <w:r>
        <w:t>2026-05-18 00:00:00+00:00</w:t>
      </w:r>
      <w:r>
        <w:t xml:space="preserve">    </w:t>
      </w:r>
      <w:r>
        <w:rPr>
          <w:b/>
        </w:rPr>
        <w:t xml:space="preserve">DOI: </w:t>
      </w:r>
      <w:hyperlink r:id="rId11">
        <w:r>
          <w:rPr>
            <w:color w:val="1155CC"/>
            <w:u w:val="single"/>
          </w:rPr>
          <w:t>10.1038/s41560-026-02071-0</w:t>
        </w:r>
      </w:hyperlink>
    </w:p>
    <w:p>
      <w:pPr>
        <w:spacing w:before="0" w:after="120"/>
      </w:pPr>
      <w:r>
        <w:rPr>
          <w:b/>
        </w:rPr>
        <w:t xml:space="preserve">Notes: </w:t>
      </w:r>
      <w:r>
        <w:t>abstract_source=nature_html</w:t>
      </w:r>
    </w:p>
    <w:p>
      <w:pPr>
        <w:spacing w:before="0" w:after="80" w:lineRule="auto" w:line="276"/>
      </w:pPr>
      <w:r>
        <w:rPr>
          <w:b/>
        </w:rPr>
        <w:t xml:space="preserve">摘要（ZH）: </w:t>
      </w:r>
      <w:r>
        <w:t>金属卤化物钙钛矿的湿气反应性仍然是钙钛矿太阳能电池商业化的障碍，因为它需要封装并增加了制造复杂性和成本。结合有机半导体层的混合钙钛矿/有机结构提供了一种有前景的解决方案，可以提高耐湿性，同时增强近红外光子捕获。然而，直接集成通常会导致能级失配和电荷积累，从而限制效率和稳定性。在此，我们利用多物理场建模研究了这些混合太阳能电池的电荷积累机制并设计了其电子结构。我们提出了一种级联空穴传输策略，该策略采用具有深最高占据分子轨道（HOMO）的给电子聚合物，从而抑制了钙钛矿体相和界面处的电荷复合。太阳能电池实现了27.18%的功率转换效率（认证值为26.71%），并在湿热条件（ISOS D-3协议，85 °C，85% RH）下3,000小时后保持其初始效率的95%。</w:t>
      </w:r>
    </w:p>
    <w:p>
      <w:pPr>
        <w:spacing w:before="0" w:after="200" w:lineRule="auto" w:line="276"/>
      </w:pPr>
      <w:r>
        <w:rPr>
          <w:b/>
        </w:rPr>
        <w:t xml:space="preserve">Abstract (EN): </w:t>
      </w:r>
      <w:r>
        <w:t>Moisture reactivity of metal halide perovskites remains a barrier to commercializing perovskite solar cells because it necessitates encapsulation and increases manufacturing complexity and cost. Hybrid perovskite/organic architectures that incorporate organic semiconductor layers offer a promising solution to improve moisture resistance while enhancing near-infrared photon harvesting. However, direct integration often causes energy-level misalignment and charge accumulation, limiting efficiency and stability. Here we investigate charge accumulation mechanisms and engineer the electronic structure of these hybrid solar cells using multiphysics modelling. We present a cascade hole-transfer strategy that employs an electron-donating polymer with a deep highest-occupied molecular orbital, which suppresses charge recombination in the perovskite bulk and at interfaces. Solar cells achieve a power conversion efficiency of 27.18% (certified 26.71%) and maintain 95% of their initial efficiency after 3,000 h under damp-heat conditions (ISOS D-3 protocol, 85 °C, 85% RH).</w:t>
      </w:r>
    </w:p>
    <w:p>
      <w:pPr>
        <w:spacing w:before="120" w:after="120"/>
      </w:pPr>
      <w:r>
        <w:rPr>
          <w:sz w:val="18"/>
        </w:rPr>
        <w:t>——————————————————————————————————————————————————————————————————————</w:t>
      </w:r>
    </w:p>
    <w:p>
      <w:pPr>
        <w:spacing w:before="160" w:after="40" w:line="240" w:lineRule="auto"/>
      </w:pPr>
      <w:r>
        <w:rPr>
          <w:b/>
        </w:rPr>
        <w:t xml:space="preserve">[3] </w:t>
      </w:r>
      <w:hyperlink r:id="rId12">
        <w:r>
          <w:rPr>
            <w:color w:val="1155CC"/>
            <w:u w:val="single"/>
          </w:rPr>
          <w:t>具有宇称-时间对称性的二维反铁磁体中的层状光伏效应</w:t>
        </w:r>
      </w:hyperlink>
    </w:p>
    <w:p>
      <w:pPr>
        <w:spacing w:before="0" w:after="80"/>
      </w:pPr>
      <w:r>
        <w:rPr>
          <w:i/>
          <w:sz w:val="20"/>
        </w:rPr>
        <w:t>EN: Layer photovoltaic effect in a two-dimensional antiferromagnet with parity–time symmetry</w:t>
      </w:r>
    </w:p>
    <w:p>
      <w:pPr>
        <w:spacing w:before="0" w:after="120"/>
      </w:pPr>
      <w:r>
        <w:rPr>
          <w:b/>
        </w:rPr>
        <w:t xml:space="preserve">Source: </w:t>
      </w:r>
      <w:r>
        <w:t>Nature Materials</w:t>
      </w:r>
      <w:r>
        <w:t xml:space="preserve">    </w:t>
      </w:r>
      <w:r>
        <w:rPr>
          <w:b/>
        </w:rPr>
        <w:t xml:space="preserve">Pub date: </w:t>
      </w:r>
      <w:r>
        <w:t>2026-05-18 00:00:00+00:00</w:t>
      </w:r>
      <w:r>
        <w:t xml:space="preserve">    </w:t>
      </w:r>
      <w:r>
        <w:rPr>
          <w:b/>
        </w:rPr>
        <w:t xml:space="preserve">DOI: </w:t>
      </w:r>
      <w:hyperlink r:id="rId13">
        <w:r>
          <w:rPr>
            <w:color w:val="1155CC"/>
            <w:u w:val="single"/>
          </w:rPr>
          <w:t>10.1038/s41563-026-02593-8</w:t>
        </w:r>
      </w:hyperlink>
    </w:p>
    <w:p>
      <w:pPr>
        <w:spacing w:before="0" w:after="120"/>
      </w:pPr>
      <w:r>
        <w:rPr>
          <w:b/>
        </w:rPr>
        <w:t xml:space="preserve">Notes: </w:t>
      </w:r>
      <w:r>
        <w:t>abstract_source=nature_html</w:t>
      </w:r>
    </w:p>
    <w:p>
      <w:pPr>
        <w:spacing w:before="0" w:after="80" w:lineRule="auto" w:line="276"/>
      </w:pPr>
      <w:r>
        <w:rPr>
          <w:b/>
        </w:rPr>
        <w:t xml:space="preserve">摘要（ZH）: </w:t>
      </w:r>
      <w:r>
        <w:t>具有宇称-时间对称性的反铁磁体展现出由量子度规主导的有趣光学和输运现象，因为其对应物贝里曲率在宇称-时间对称性下消失。在具有宇称-时间对称性的反铁磁体中，由与光学允许跃迁相关的带间量子度规驱动的内禀光伏效应，由于反铁磁序诱导的反演对称性破缺而预期存在，但实验验证一直难以实现。在此，我们报告了在具有宇称-时间对称性的二维反铁磁体——双层CrSBr中内禀光伏效应的实验观测。值得注意的是，内禀光电流的符号随反铁磁构型而反转。此外，通过操纵磁场和器件结构（顶部和底部接触），我们清晰地识别出层分辨的内禀光电流响应。提出了一个基于能带分辨量子度规驱动的磁注入电流机制的紧束缚模型，以解释这些观测结果并揭示量子度规的层局域性质。我们的发现为开发可切换光伏器件和设计层状反铁磁体中的空间量子几何提供了一种有前景的策略。</w:t>
      </w:r>
    </w:p>
    <w:p>
      <w:pPr>
        <w:spacing w:before="0" w:after="200" w:lineRule="auto" w:line="276"/>
      </w:pPr>
      <w:r>
        <w:rPr>
          <w:b/>
        </w:rPr>
        <w:t xml:space="preserve">Abstract (EN): </w:t>
      </w:r>
      <w:r>
        <w:t>Antiferromagnets with parity–time symmetry host intriguing optical and transport phenomena governed by quantum metric, as the counterpart, Berry curvature, vanishes under parity–time symmetry. In antiferromagnets with parity–time symmetry, the intrinsic photovoltaic effect, driven by the interband quantum metric associated with optically allowed transitions, is expected due to the inversion symmetry breaking induced by antiferromagnetic order, but experimental demonstration has remained elusive. Here we report the experimental observation of an intrinsic photovoltaic effect in a two-dimensional antiferromagnet with parity–time symmetry, bilayer CrSBr. Notably, the intrinsic photocurrent reverses sign according to the antiferromagnetic configurations. Moreover, by manipulating the magnetic field and device architecture (the top and bottom contacts), we distinctly identify layer-resolved intrinsic photocurrent responses. A tight-binding model based on the band-resolved quantum-metric-driven magnetic injection current mechanism is proposed to interpret these observations and reveal the layer-localized nature of the quantum metric. Our findings provide a promising strategy for developing switchable photovoltaic devices and engineering the spatial quantum geometry in layered antiferromagnets.</w:t>
      </w:r>
    </w:p>
    <w:p>
      <w:pPr>
        <w:spacing w:before="120" w:after="120"/>
      </w:pPr>
      <w:r>
        <w:rPr>
          <w:sz w:val="18"/>
        </w:rPr>
        <w:t>——————————————————————————————————————————————————————————————————————</w:t>
      </w:r>
    </w:p>
    <w:p>
      <w:pPr>
        <w:spacing w:before="160" w:after="40" w:line="240" w:lineRule="auto"/>
      </w:pPr>
      <w:r>
        <w:rPr>
          <w:b/>
        </w:rPr>
        <w:t xml:space="preserve">[4] </w:t>
      </w:r>
      <w:hyperlink r:id="rId14">
        <w:r>
          <w:rPr>
            <w:color w:val="1155CC"/>
            <w:u w:val="single"/>
          </w:rPr>
          <w:t>金属络合物功能化三元共聚物给体通过增强介电常数和最小化三重态激子损失实现高效太阳能电池</w:t>
        </w:r>
      </w:hyperlink>
    </w:p>
    <w:p>
      <w:pPr>
        <w:spacing w:before="0" w:after="80"/>
      </w:pPr>
      <w:r>
        <w:rPr>
          <w:i/>
          <w:sz w:val="20"/>
        </w:rPr>
        <w:t>EN: Metal‐Complex‐Functionalized Terpolymer Donors Enabling Efficient Solar Cells via Enhanced Dielectric Constant and Minimized Triplet Exciton Loss</w:t>
      </w:r>
    </w:p>
    <w:p>
      <w:pPr>
        <w:spacing w:before="0" w:after="120"/>
      </w:pPr>
      <w:r>
        <w:rPr>
          <w:b/>
        </w:rPr>
        <w:t xml:space="preserve">Source: </w:t>
      </w:r>
      <w:r>
        <w:t>Wiley: Angewandte Chemie International Edition: Table of Contents</w:t>
      </w:r>
      <w:r>
        <w:t xml:space="preserve">    </w:t>
      </w:r>
      <w:r>
        <w:rPr>
          <w:b/>
        </w:rPr>
        <w:t xml:space="preserve">Pub date: </w:t>
      </w:r>
      <w:r>
        <w:t>2026-05-18 03:13:38+00:00</w:t>
      </w:r>
      <w:r>
        <w:t xml:space="preserve">    </w:t>
      </w:r>
      <w:r>
        <w:rPr>
          <w:b/>
        </w:rPr>
        <w:t xml:space="preserve">DOI: </w:t>
      </w:r>
      <w:hyperlink r:id="rId15">
        <w:r>
          <w:rPr>
            <w:color w:val="1155CC"/>
            <w:u w:val="single"/>
          </w:rPr>
          <w:t>10.1002/anie.9137593</w:t>
        </w:r>
      </w:hyperlink>
    </w:p>
    <w:p>
      <w:pPr>
        <w:spacing w:before="0" w:after="120"/>
      </w:pPr>
      <w:r>
        <w:rPr>
          <w:b/>
        </w:rPr>
        <w:t xml:space="preserve">Notes: </w:t>
      </w:r>
      <w:r>
        <w:t>abstract_source=crossref</w:t>
      </w:r>
    </w:p>
    <w:p>
      <w:pPr>
        <w:spacing w:before="0" w:after="80" w:lineRule="auto" w:line="276"/>
      </w:pPr>
      <w:r>
        <w:rPr>
          <w:b/>
        </w:rPr>
        <w:t xml:space="preserve">摘要（ZH）: </w:t>
      </w:r>
      <w:r>
        <w:t>介电常数 (εr) 关键性地影响激子的产生以及随后解离成自由电荷，在聚合物太阳能电池 (PSCs) 的性能中发挥着举足轻重的作用。然而，传统聚合物给体固有的低 εr 导致强库仑相互作用和显著的能量损失 (Eloss)。在此，我们通过介电工程策略解决了这一挑战，将锌卟啉单元引入基质聚合物给体 D18 中，得到一系列三元共聚物 D18‐Px (x = 5, 10, 15)。在三元共聚物给体中引入基于锌卟啉的第三组分显著增强了 εr 并促进了有利的分子聚集。当与 L8‐BO 共混时，D18‐P5:L8‐BO 共混薄膜表现出改善的混溶性、高效的电荷提取和传输，并关键性地将非辐射能量损失最小化至 0.212 eV。因此，它为基于金属化配合物的 PSCs 实现了 20.27% 的创纪录功率转换效率 (PCE)。这项工作展示了一种通过策略性提高介电常数和最小化非辐射损失来设计高效聚合物给体的简便有效方法。</w:t>
      </w:r>
    </w:p>
    <w:p>
      <w:pPr>
        <w:spacing w:before="0" w:after="200" w:lineRule="auto" w:line="276"/>
      </w:pPr>
      <w:r>
        <w:rPr>
          <w:b/>
        </w:rPr>
        <w:t xml:space="preserve">Abstract (EN): </w:t>
      </w:r>
      <w:r>
        <w:t>The dielectric constant (</w:t>
      </w:r>
      <w:r>
        <w:t xml:space="preserve"> </w:t>
      </w:r>
      <w:r>
        <w:t>ε</w:t>
      </w:r>
      <w:r>
        <w:t xml:space="preserve"> </w:t>
      </w:r>
      <w:r>
        <w:t>r</w:t>
      </w:r>
      <w:r>
        <w:t xml:space="preserve"> </w:t>
      </w:r>
      <w:r>
        <w:t>) critically influences exciton generation and subsequent dissociation into free charges, playing a pivotal role in the performance of polymer solar cells (PSCs). However, the intrinsically low</w:t>
      </w:r>
      <w:r>
        <w:t xml:space="preserve"> </w:t>
      </w:r>
      <w:r>
        <w:t>ε</w:t>
      </w:r>
      <w:r>
        <w:t xml:space="preserve"> </w:t>
      </w:r>
      <w:r>
        <w:t>r</w:t>
      </w:r>
      <w:r>
        <w:t xml:space="preserve"> </w:t>
      </w:r>
      <w:r>
        <w:t>of conventional polymer donors leads to strong Coulombic interactions and significant energy loss (</w:t>
      </w:r>
      <w:r>
        <w:t xml:space="preserve"> </w:t>
      </w:r>
      <w:r>
        <w:t>E</w:t>
      </w:r>
      <w:r>
        <w:t xml:space="preserve"> </w:t>
      </w:r>
      <w:r>
        <w:t>loss</w:t>
      </w:r>
      <w:r>
        <w:t xml:space="preserve"> </w:t>
      </w:r>
      <w:r>
        <w:t>). Herein, we address this challenge through a dielectric engineering strategy by incorporating zinc porphyrin units into the matrix polymer donor D18, resulting in a series of terpolymers D18‐Px (x = 5, 10, 15). The introduction of the zinc‐porphyrin‐based third component in the terpolymer donors significantly enhanced</w:t>
      </w:r>
      <w:r>
        <w:t xml:space="preserve"> </w:t>
      </w:r>
      <w:r>
        <w:t>ε</w:t>
      </w:r>
      <w:r>
        <w:t xml:space="preserve"> </w:t>
      </w:r>
      <w:r>
        <w:t>r</w:t>
      </w:r>
      <w:r>
        <w:t xml:space="preserve"> </w:t>
      </w:r>
      <w:r>
        <w:t>and promoted favorable molecular aggregation. When blended with L8‐BO, the D18‐P5:L8‐BO blend film demonstrated improved miscibility, efficient charge extraction and transport, and critically minimized non‐radiative energy loss to 0.212 eV. Consequently, it achieved a record power conversion efficiency (PCE) of 20.27% for metalated complex‐based PSCs. This work showcases a facile and effective approach for designing high‐efficiency polymer donors by strategically increasing the dielectric constant and minimizing non‐radiative losses.</w:t>
      </w:r>
    </w:p>
    <w:p>
      <w:pPr>
        <w:spacing w:before="120" w:after="120"/>
      </w:pPr>
      <w:r>
        <w:rPr>
          <w:sz w:val="18"/>
        </w:rPr>
        <w:t>——————————————————————————————————————————————————————————————————————</w:t>
      </w:r>
    </w:p>
    <w:p>
      <w:pPr>
        <w:spacing w:before="160" w:after="40" w:line="240" w:lineRule="auto"/>
      </w:pPr>
      <w:r>
        <w:rPr>
          <w:b/>
        </w:rPr>
        <w:t xml:space="preserve">[5] </w:t>
      </w:r>
      <w:hyperlink r:id="rId16">
        <w:r>
          <w:rPr>
            <w:color w:val="1155CC"/>
            <w:u w:val="single"/>
          </w:rPr>
          <w:t>二元添加剂协同调控结晶以增强无HTL Sn–Pb钙钛矿太阳能电池</w:t>
        </w:r>
      </w:hyperlink>
    </w:p>
    <w:p>
      <w:pPr>
        <w:spacing w:before="0" w:after="80"/>
      </w:pPr>
      <w:r>
        <w:rPr>
          <w:i/>
          <w:sz w:val="20"/>
        </w:rPr>
        <w:t>EN: Binary Additives Synergistically Modulate Crystallization for Enhanced HTL‐Free Sn–Pb Perovskite Solar Cells</w:t>
      </w:r>
    </w:p>
    <w:p>
      <w:pPr>
        <w:spacing w:before="0" w:after="120"/>
      </w:pPr>
      <w:r>
        <w:rPr>
          <w:b/>
        </w:rPr>
        <w:t xml:space="preserve">Source: </w:t>
      </w:r>
      <w:r>
        <w:t>Wiley: Advanced Energy Materials: Table of Contents</w:t>
      </w:r>
      <w:r>
        <w:t xml:space="preserve">    </w:t>
      </w:r>
      <w:r>
        <w:rPr>
          <w:b/>
        </w:rPr>
        <w:t xml:space="preserve">Pub date: </w:t>
      </w:r>
      <w:r>
        <w:t>2026-05-18 07:16:11+00:00</w:t>
      </w:r>
      <w:r>
        <w:t xml:space="preserve">    </w:t>
      </w:r>
      <w:r>
        <w:rPr>
          <w:b/>
        </w:rPr>
        <w:t xml:space="preserve">DOI: </w:t>
      </w:r>
      <w:hyperlink r:id="rId17">
        <w:r>
          <w:rPr>
            <w:color w:val="1155CC"/>
            <w:u w:val="single"/>
          </w:rPr>
          <w:t>10.1002/aenm.71084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无空穴传输层 (HTL) Sn–Pb钙钛矿太阳能电池 (PSCs) 结构简化了层状结构并减少了溶液处理步骤，从而提高了叠层太阳能电池的制造兼容性和可扩展性。Sn–Pb PSCs在无HTL结构中的应用受到快速结晶、严重的界面缺陷和Sn2+氧化的阻碍。在此，我们报告了一种协同二元添加剂策略，采用盐酸氨基脲 (SCH) 和N-氟苯磺酰亚胺 (NFSI) 同时调节结晶动力学、钝化缺陷并稳定无HTL器件中的Sn–Pb钙钛矿。SCH作为主要的结晶调节剂，而NFSI通过磺酰基配位和π-金属相互作用与配位不足的Sn2+/Pb2+相互作用，从而实现延迟结晶、改善晶体取向和抑制Sn2+氧化。组合添加剂 (SCH&amp;NFSI) 显著降低了埋藏钙钛矿表面的粗糙度，抑制了非辐射复合，并增强了界面电荷提取。因此，无HTL混合Sn–Pb PSCs实现了22.73%的功率转换效率 (PCE)，并具有0.877 V的高开路电压 (VOC)。</w:t>
      </w:r>
    </w:p>
    <w:p>
      <w:pPr>
        <w:spacing w:before="0" w:after="200" w:lineRule="auto" w:line="276"/>
      </w:pPr>
      <w:r>
        <w:rPr>
          <w:b/>
        </w:rPr>
        <w:t xml:space="preserve">Abstract (EN): </w:t>
      </w:r>
      <w:r>
        <w:t>The architecture of hole‐transport‐layer (HTL)‐free Sn–Pb perovskite solar cells (PSCs) structure simplifies the layered structure and reduces the solution processing steps, thereby enhancing the manufacturing compatibility and scalability of tandem solar cells. Sn–Pb PSCs application in HTL‐free architectures is hindered by rapid crystallization, severe interfacial defects, and Sn</w:t>
      </w:r>
      <w:r>
        <w:rPr>
          <w:vertAlign w:val="subscript"/>
        </w:rPr>
        <w:t>2</w:t>
      </w:r>
      <w:r>
        <w:t>+</w:t>
      </w:r>
      <w:r>
        <w:t xml:space="preserve"> </w:t>
      </w:r>
      <w:r>
        <w:t>oxidation. Here we report a synergistic binary additive strategy employing semicarbazide hydrochloride (SCH) and N‐fluorobenzenesulfonimide (NFSI) to simultaneously regulate crystallization kinetics, passivate defects, and stabilize Sn–Pb perovskites in HTL‐free devices. SCH serves as a primary crystallization regulator, while NFSI interacts with undercoordinated Sn</w:t>
      </w:r>
      <w:r>
        <w:rPr>
          <w:vertAlign w:val="subscript"/>
        </w:rPr>
        <w:t>2</w:t>
      </w:r>
      <w:r>
        <w:t>+</w:t>
      </w:r>
      <w:r>
        <w:t xml:space="preserve"> </w:t>
      </w:r>
      <w:r>
        <w:t>/Pb</w:t>
      </w:r>
      <w:r>
        <w:rPr>
          <w:vertAlign w:val="subscript"/>
        </w:rPr>
        <w:t>2</w:t>
      </w:r>
      <w:r>
        <w:t>+</w:t>
      </w:r>
      <w:r>
        <w:t xml:space="preserve"> </w:t>
      </w:r>
      <w:r>
        <w:t>through sulfonyl coordination and π–metal interactions, enabling delayed crystallization, improved crystal orientation, and suppressed Sn</w:t>
      </w:r>
      <w:r>
        <w:rPr>
          <w:vertAlign w:val="subscript"/>
        </w:rPr>
        <w:t>2</w:t>
      </w:r>
      <w:r>
        <w:t>+</w:t>
      </w:r>
      <w:r>
        <w:t xml:space="preserve"> </w:t>
      </w:r>
      <w:r>
        <w:t>oxidation. The combined additives (SCH&amp;amp;NFSI) markedly reduce the roughness of buried perovskite surface, suppress nonradiative recombination, and enhance interfacial charge extraction. As a result, HTL‐free mixed Sn–Pb PSCs achieve a power conversion efficiency (PCE) of 22.73% with a high open‐circuit voltage (</w:t>
      </w:r>
      <w:r>
        <w:t xml:space="preserve"> </w:t>
      </w:r>
      <w:r>
        <w:t>V</w:t>
      </w:r>
      <w:r>
        <w:t xml:space="preserve"> </w:t>
      </w:r>
      <w:r>
        <w:t>OC</w:t>
      </w:r>
      <w:r>
        <w:t xml:space="preserve"> </w:t>
      </w:r>
      <w:r>
        <w:t>) of 0.877 V, together with excellent storage stability retaining over 91% of the initial efficiency after 1500 h. This work demonstrates an effective molecular‐level strategy for overcoming the intrinsic limitations of HTL‐free Sn–Pb perovskites, offering a viable pathway toward simplified and stable photovoltaic architectures.</w:t>
      </w:r>
    </w:p>
    <w:p>
      <w:pPr>
        <w:spacing w:before="120" w:after="120"/>
      </w:pPr>
      <w:r>
        <w:rPr>
          <w:sz w:val="18"/>
        </w:rPr>
        <w:t>——————————————————————————————————————————————————————————————————————</w:t>
      </w:r>
    </w:p>
    <w:p>
      <w:pPr>
        <w:spacing w:before="160" w:after="40" w:line="240" w:lineRule="auto"/>
      </w:pPr>
      <w:r>
        <w:rPr>
          <w:b/>
        </w:rPr>
        <w:t xml:space="preserve">[6] </w:t>
      </w:r>
      <w:hyperlink r:id="rId18">
        <w:r>
          <w:rPr>
            <w:color w:val="1155CC"/>
            <w:u w:val="single"/>
          </w:rPr>
          <w:t>寡聚体受体在高效稳定有机光伏中的挑战与机遇</w:t>
        </w:r>
      </w:hyperlink>
    </w:p>
    <w:p>
      <w:pPr>
        <w:spacing w:before="0" w:after="80"/>
      </w:pPr>
      <w:r>
        <w:rPr>
          <w:i/>
          <w:sz w:val="20"/>
        </w:rPr>
        <w:t>EN: Challenges and Opportunities of Oligomeric Acceptors Toward Efficient and Stable Organic Photovoltaics</w:t>
      </w:r>
    </w:p>
    <w:p>
      <w:pPr>
        <w:spacing w:before="0" w:after="120"/>
      </w:pPr>
      <w:r>
        <w:rPr>
          <w:b/>
        </w:rPr>
        <w:t xml:space="preserve">Source: </w:t>
      </w:r>
      <w:r>
        <w:t>Wiley: Advanced Materials: Table of Contents</w:t>
      </w:r>
      <w:r>
        <w:t xml:space="preserve">    </w:t>
      </w:r>
      <w:r>
        <w:rPr>
          <w:b/>
        </w:rPr>
        <w:t xml:space="preserve">Pub date: </w:t>
      </w:r>
      <w:r>
        <w:t>2026-05-18 07:56:46+00:00</w:t>
      </w:r>
      <w:r>
        <w:t xml:space="preserve">    </w:t>
      </w:r>
      <w:r>
        <w:rPr>
          <w:b/>
        </w:rPr>
        <w:t xml:space="preserve">DOI: </w:t>
      </w:r>
      <w:hyperlink r:id="rId19">
        <w:r>
          <w:rPr>
            <w:color w:val="1155CC"/>
            <w:u w:val="single"/>
          </w:rPr>
          <w:t>10.1002/adma.202600017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高功率转换效率 (PCE) 和长期运行稳定性是有机太阳能电池 (OSC) 商业化的基本先决条件。小分子受体 (SMA) 推动了 OSC 性能的显著进展，实现了器件效率的持续突破。然而，基于 SMA 的 OSC 通常存在长期稳定性差的问题，这严重限制了它们的实际应用。这种不稳定性主要源于 SMA 的低玻璃化转变温度 (Tg)，导致快速的分子扩散和聚集，以及活性层的形貌退化，从而导致器件性能下降。低聚小分子受体 (OSMA) 最近作为一种有前景的分子设计策略出现，以克服这些挑战。掺入 OSMA 的 OSC 实现了接近 20% 的惊人 PCE，同时表现出卓越的光热和机械稳定性。在本综述中，我们系统地回顾了基于 OSMA 的 OSC 的最新进展，并讨论了决定其效率和稳定性的关键因素，包括分子结构、聚集行为和形貌演变。最后，我们概述了 OSMA 材料在推动高性能和耐用 OSC 技术方面的当前挑战和未来机遇。</w:t>
      </w:r>
    </w:p>
    <w:p>
      <w:pPr>
        <w:spacing w:before="0" w:after="200" w:lineRule="auto" w:line="276"/>
      </w:pPr>
      <w:r>
        <w:rPr>
          <w:b/>
        </w:rPr>
        <w:t xml:space="preserve">Abstract (EN): </w:t>
      </w:r>
      <w:r>
        <w:t>High power conversion efficiency (PCE) and long‐term operational stability are essential prerequisites for the commercialization of organic solar cells (OSCs). Small‐molecule acceptors (SMAs) have driven remarkable advances in OSC performance, enabling continuous breakthroughs in device efficiency. However, OSCs based on SMAs generally suffer from poor long‐term stability, which severely limits their practical application. This instability primarily originates from the low glass transition temperatures (</w:t>
      </w:r>
      <w:r>
        <w:t xml:space="preserve"> </w:t>
      </w:r>
      <w:r>
        <w:t>T</w:t>
      </w:r>
      <w:r>
        <w:t xml:space="preserve"> </w:t>
      </w:r>
      <w:r>
        <w:t>g</w:t>
      </w:r>
      <w:r>
        <w:t xml:space="preserve"> </w:t>
      </w:r>
      <w:r>
        <w:t>) of SMAs, resulting in rapid molecular diffusion and aggregation, as well as morphological degradation of the active layer, leading to a subsequent decrease in device performance. Oligomeric small‐molecule acceptors (OSMAs) have recently emerged as a promising molecular design strategy to overcome these challenges. OSCs incorporating OSMAs have achieved impressive PCEs approaching 20%, while simultaneously exhibiting outstanding photothermal and mechanical stability. In this perspective, we systematically review recent progress in OSMA‐based OSCs and discuss the key factors governing their efficiency and stability, including molecular structure, aggregation behavior, and morphology evolution. Finally, we outline the current challenges and future opportunities for OSMA materials in advancing high‐performance and durable OSC technologies.</w:t>
      </w:r>
    </w:p>
    <w:p>
      <w:pPr>
        <w:spacing w:before="120" w:after="120"/>
      </w:pPr>
      <w:r>
        <w:rPr>
          <w:sz w:val="18"/>
        </w:rPr>
        <w:t>——————————————————————————————————————————————————————————————————————</w:t>
      </w:r>
    </w:p>
    <w:p>
      <w:pPr>
        <w:spacing w:before="160" w:after="40" w:line="240" w:lineRule="auto"/>
      </w:pPr>
      <w:r>
        <w:rPr>
          <w:b/>
        </w:rPr>
        <w:t xml:space="preserve">[7] </w:t>
      </w:r>
      <w:hyperlink r:id="rId20">
        <w:r>
          <w:rPr>
            <w:color w:val="1155CC"/>
            <w:u w:val="single"/>
          </w:rPr>
          <w:t>分子辐射漏斗效应减轻&gt;19.7%效率柔性有机太阳能电池中的多模态光学损耗</w:t>
        </w:r>
      </w:hyperlink>
    </w:p>
    <w:p>
      <w:pPr>
        <w:spacing w:before="0" w:after="80"/>
      </w:pPr>
      <w:r>
        <w:rPr>
          <w:i/>
          <w:sz w:val="20"/>
        </w:rPr>
        <w:t>EN: Molecular Radiative Funneling Mitigates Multimodal Optical Losses in &gt;19.7% Efficiency Flexible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2026-05-18 15:38:09+00:00</w:t>
      </w:r>
      <w:r>
        <w:t xml:space="preserve">    </w:t>
      </w:r>
      <w:r>
        <w:rPr>
          <w:b/>
        </w:rPr>
        <w:t xml:space="preserve">DOI: </w:t>
      </w:r>
      <w:hyperlink r:id="rId21">
        <w:r>
          <w:rPr>
            <w:color w:val="1155CC"/>
            <w:u w:val="single"/>
          </w:rPr>
          <w:t>10.1002/anie.5569960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非辐射阻尼中回收等离激元能量对于克服等离激元介导光电器件的效率限制至关重要，但通常受限于缺乏将近场耗散转化为可用光学输出的集成途径。在此，我们建立了一种等离激元-光子中继，弥合了寄生等离激元损耗与可用光子通量之间的鸿沟。通过将多共振热活化延迟荧光 (MR-TADF) 介质从平面 H-BN 定制为空间扩展的 TPS-BN，我们同时通过等离激元诱导共振能量转移 (PIRET) 增强了近场捕获，并通过抑制分子间激子损失保持了高辐射效率。当集成到银纳米线基柔性有机太阳能电池 (FOSCs) 中时，这种配置有效拦截了多模态光学损耗，包括界面等离激元耗散和宽带光子逸出，并将其重定向为辐射通量，这些辐射通量优先被活性层收集。因此，这种辐射漏斗效应使冠军器件实现了 19.75% 的创纪录效率。这项工作强调了分子空间构型是调节高性能等离激元介导光电器件中等离激元介导能量流和光谱分布的决定因素。</w:t>
      </w:r>
    </w:p>
    <w:p>
      <w:pPr>
        <w:spacing w:before="0" w:after="200" w:lineRule="auto" w:line="276"/>
      </w:pPr>
      <w:r>
        <w:rPr>
          <w:b/>
        </w:rPr>
        <w:t xml:space="preserve">Abstract (EN): </w:t>
      </w:r>
      <w:r>
        <w:t>Recycling plasmonic energy from non‐radiative damping is essential for overcoming efficiency limits in plasmon‐mediated optoelectronic systems, yet is often restricted by the lack of an integrated pathway that converts near‐field dissipation into usable optical output. Here, we establish a plasmon‐to‐photon relay that bridges the gap between parasitic plasmonic loss and usable photon flux. By tailoring multiple‐resonance thermally activated delayed fluorescence (MR‐TADF) mediators from a planar H‐BN to the sterically expanded TPS‐BN, we simultaneously strengthen near‐field capture via plasmon‐induced resonance energy transfer (PIRET) and preserve high radiative efficiency by suppressing intermolecular exciton loss. Upon integration into silver nanowire‐based flexible organic solar cells (FOSCs), this configuration effectively intercepts multimodal optical losses, including interfacial plasmonic dissipation and broadband photon escape, and redirects them into a radiative flux, which are preferential harvested by the active layer. Consequently, this radiative funneling enables a champion device with a record efficiency of 19.75%. This work highlights molecular spatial configuration as a determinant for regulating plasmon‐mediated energy flow and spectral distribution in high‐performance plasmon‐mediated optoelectronic devices.</w:t>
      </w:r>
    </w:p>
    <w:p>
      <w:pPr>
        <w:spacing w:before="120" w:after="120"/>
      </w:pPr>
      <w:r>
        <w:rPr>
          <w:sz w:val="18"/>
        </w:rPr>
        <w:t>——————————————————————————————————————————————————————————————————————</w:t>
      </w:r>
    </w:p>
    <w:p>
      <w:pPr>
        <w:spacing w:before="160" w:after="40" w:line="240" w:lineRule="auto"/>
      </w:pPr>
      <w:r>
        <w:rPr>
          <w:b/>
        </w:rPr>
        <w:t xml:space="preserve">[8] </w:t>
      </w:r>
      <w:hyperlink r:id="rId22">
        <w:r>
          <w:rPr>
            <w:color w:val="1155CC"/>
            <w:u w:val="single"/>
          </w:rPr>
          <w:t>使用梯度介电层提高单片钙钛矿/硅叠层电池抗反向偏压应力的稳定性</w:t>
        </w:r>
      </w:hyperlink>
    </w:p>
    <w:p>
      <w:pPr>
        <w:spacing w:before="0" w:after="80"/>
      </w:pPr>
      <w:r>
        <w:rPr>
          <w:i/>
          <w:sz w:val="20"/>
        </w:rPr>
        <w:t>EN: Improving the stability of monolithic perovskite/silicon tandems against reverse-bias stress using graded dielectric layers</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23">
        <w:r>
          <w:rPr>
            <w:color w:val="1155CC"/>
            <w:u w:val="single"/>
          </w:rPr>
          <w:t>10.1038/s41560-026-02067-w</w:t>
        </w:r>
      </w:hyperlink>
    </w:p>
    <w:p>
      <w:pPr>
        <w:spacing w:before="0" w:after="120"/>
      </w:pPr>
      <w:r>
        <w:rPr>
          <w:b/>
        </w:rPr>
        <w:t xml:space="preserve">Notes: </w:t>
      </w:r>
      <w:r>
        <w:t>abstract_source=nature_html</w:t>
      </w:r>
    </w:p>
    <w:p>
      <w:pPr>
        <w:spacing w:before="0" w:after="80" w:lineRule="auto" w:line="276"/>
      </w:pPr>
      <w:r>
        <w:rPr>
          <w:b/>
        </w:rPr>
        <w:t xml:space="preserve">摘要（ZH）: </w:t>
      </w:r>
      <w:r>
        <w:t>钙钛矿/硅叠层太阳能电池面临严峻的稳定性挑战，包括在局部遮蔽下严重的反向偏置降解。在此，我们证明了钙钛矿层和C60层之间介电常数失配引起的界面电场不连续性会引发突发性电压击穿并加速不稳定性。这种介电失配在反向偏置下驱动载流子隧穿和界面反应。为了减轻这些影响，我们引入了梯度介电层，以平滑电场分布，纠正异常能带弯曲以减少隧穿电流并抑制卤化物离子积累。对于硅异质结和隧穿氧化物钝化接触结构，叠层器件分别实现了34.18%（认证值：33.76%）和34.03%的效率，并在−15 V下工作1,000小时后，仍保持其初始效率的92%以上。大面积多电池串达到了31.00%的效率，并在1,000小时的遮蔽应力后，仍保持初始值的90%以上。这项工作推动了钙钛矿/硅叠层太阳能电池在实际应用条件下的发展。</w:t>
      </w:r>
    </w:p>
    <w:p>
      <w:pPr>
        <w:spacing w:before="0" w:after="200" w:lineRule="auto" w:line="276"/>
      </w:pPr>
      <w:r>
        <w:rPr>
          <w:b/>
        </w:rPr>
        <w:t xml:space="preserve">Abstract (EN): </w:t>
      </w:r>
      <w:r>
        <w:t>Perovskite/silicon tandem solar cells face critical stability challenges, including severe reverse-bias degradation under partial shading. Here we demonstrate that interfacial electric field discontinuity caused by the dielectric constant mismatch between the perovskite and C60 layer triggers abrupt voltage breakdown and accelerates instability. This dielectric mismatch drives carrier tunnelling and interface reactions under reverse bias. To mitigate these effects, we have introduced graded dielectric layers that smooth the electric field profile, correct abnormal band bending to reduce tunnelling current and inhibit halide ion accumulation. The tandem devices achieve efficiencies of 34.18% (certified: 33.76%) and 34.03% for silicon heterojunction and tunnel oxide passivated contact architectures, respectively, and retain over 92% of their initial efficiency after 1,000 h at −15 V. A large-area multicell string reaches 31.00% efficiency and maintains over 90% of the initial value after 1,000 h of shading stress. This work advances the development of perovskite/silicon tandem solar cells under real-world conditions.</w:t>
      </w:r>
    </w:p>
    <w:p>
      <w:pPr>
        <w:spacing w:before="120" w:after="120"/>
      </w:pPr>
      <w:r>
        <w:rPr>
          <w:sz w:val="18"/>
        </w:rPr>
        <w:t>——————————————————————————————————————————————————————————————————————</w:t>
      </w:r>
    </w:p>
    <w:p>
      <w:pPr>
        <w:spacing w:before="160" w:after="40" w:line="240" w:lineRule="auto"/>
      </w:pPr>
      <w:r>
        <w:rPr>
          <w:b/>
        </w:rPr>
        <w:t xml:space="preserve">[9] </w:t>
      </w:r>
      <w:hyperlink r:id="rId24">
        <w:r>
          <w:rPr>
            <w:color w:val="1155CC"/>
            <w:u w:val="single"/>
          </w:rPr>
          <w:t>近空间升华作为一种多功能沉积工艺用于高效钙钛矿硅叠层太阳能电池</w:t>
        </w:r>
      </w:hyperlink>
    </w:p>
    <w:p>
      <w:pPr>
        <w:spacing w:before="0" w:after="80"/>
      </w:pPr>
      <w:r>
        <w:rPr>
          <w:i/>
          <w:sz w:val="20"/>
        </w:rPr>
        <w:t>EN: Close-space sublimation as a versatile deposition process for efficient perovskite silicon tandem solar cells</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25">
        <w:r>
          <w:rPr>
            <w:color w:val="1155CC"/>
            <w:u w:val="single"/>
          </w:rPr>
          <w:t>10.1038/s41560-026-02068-9</w:t>
        </w:r>
      </w:hyperlink>
    </w:p>
    <w:p>
      <w:pPr>
        <w:spacing w:before="0" w:after="120"/>
      </w:pPr>
      <w:r>
        <w:rPr>
          <w:b/>
        </w:rPr>
        <w:t xml:space="preserve">Notes: </w:t>
      </w:r>
      <w:r>
        <w:t>abstract_source=nature_html</w:t>
      </w:r>
    </w:p>
    <w:p>
      <w:pPr>
        <w:spacing w:before="0" w:after="80" w:lineRule="auto" w:line="276"/>
      </w:pPr>
      <w:r>
        <w:rPr>
          <w:b/>
        </w:rPr>
        <w:t xml:space="preserve">摘要（ZH）: </w:t>
      </w:r>
      <w:r>
        <w:t>钙钛矿光伏技术所设想的突破，需要在可扩展、稳健的高通量制造方法方面取得快速进展。在此，我们介绍近空间升华（CSS）作为一种基于真空、与工业相关的沉积方法，用于将升华的PbI2无机骨架转化为高质量的宽带隙钙钛矿吸收体（MAPb(I0.79Br0.21)3, 1.64 eV），并采用可重复使用的混合卤化物有机源来实现稳定的带隙控制。我们提供了对取代反应限制的CSS过程的机理见解，并对于完全真空处理的p–i–n单结器件，实现了高达18.5%的功率转换效率（PCE）。在叠层太阳能电池中，将钙钛矿电池单片集成到平面、纳米和微米织构的硅底部电池上，揭示了在所有配置中一致的光电和形态特性，无需调整沉积参数，这一点得到了全面表征技术的证实。所得的钙钛矿/硅叠层太阳能电池的PCE高达24.3%，在不同底部电池之间变化极小。我们的发现突出了CSS广泛的工艺窗口和多功能性，将其定位为一种适用于无溶剂高通量制造的工业级沉积方法。</w:t>
      </w:r>
    </w:p>
    <w:p>
      <w:pPr>
        <w:spacing w:before="0" w:after="200" w:lineRule="auto" w:line="276"/>
      </w:pPr>
      <w:r>
        <w:rPr>
          <w:b/>
        </w:rPr>
        <w:t xml:space="preserve">Abstract (EN): </w:t>
      </w:r>
      <w:r>
        <w:t>The envisaged breakthrough of perovskite photovoltaic technologies demands rapid advances in scalable and robust high-throughput fabrication methods. Here we present close-space sublimation (CSS) as a vacuum-based, industrially relevant deposition method for the conversion of sublimed PbI2 inorganic scaffolds into high-quality wide-bandgap perovskite absorbers (MAPb(I0.79Br0.21)3, 1.64 eV), employing a reusable mixed-halide organic source for stable bandgap control. We provide mechanistic insights into the substitution-reaction-limited CSS process and achieve power conversion efficiencies (PCEs) of up to 18.5% for fully vacuum-processed p–i–n single-junction devices. Monolithic integration in tandem solar cells onto planar, nano- and micro-textured silicon bottom cells reveals consistent optoelectronic and morphological properties across all configurations without requiring adjustments of deposition parameters, as corroborated by comprehensive characterization techniques. The resulting perovskite/silicon tandem solar cells reach PCEs up to 24.3%, with minimal variation across the different bottom cells. Our findings highlight the broad process window and versatility of CSS, positioning it as an industry-suitable deposition method for solvent-free high-throughput fabrication.</w:t>
      </w:r>
    </w:p>
    <w:p>
      <w:pPr>
        <w:spacing w:before="120" w:after="120"/>
      </w:pPr>
      <w:r>
        <w:rPr>
          <w:sz w:val="18"/>
        </w:rPr>
        <w:t>——————————————————————————————————————————————————————————————————————</w:t>
      </w:r>
    </w:p>
    <w:p>
      <w:pPr>
        <w:spacing w:before="160" w:after="40" w:line="240" w:lineRule="auto"/>
      </w:pPr>
      <w:r>
        <w:rPr>
          <w:b/>
        </w:rPr>
        <w:t xml:space="preserve">[10] </w:t>
      </w:r>
      <w:hyperlink r:id="rId26">
        <w:r>
          <w:rPr>
            <w:color w:val="1155CC"/>
            <w:u w:val="single"/>
          </w:rPr>
          <w:t>[ASAP] 利用光电化学实现自养大肠杆菌的太阳能驱动生长</w:t>
        </w:r>
      </w:hyperlink>
    </w:p>
    <w:p>
      <w:pPr>
        <w:spacing w:before="0" w:after="80"/>
      </w:pPr>
      <w:r>
        <w:rPr>
          <w:i/>
          <w:sz w:val="20"/>
        </w:rPr>
        <w:t>EN: [ASAP] Toward Solar-Powered Growth of Autotrophic Escherichia coli Using Photoelectrochemistry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2026-05-19 09:43:51+00:00</w:t>
      </w:r>
      <w:r>
        <w:t xml:space="preserve">    </w:t>
      </w:r>
      <w:r>
        <w:rPr>
          <w:b/>
        </w:rPr>
        <w:t xml:space="preserve">DOI: </w:t>
      </w:r>
      <w:hyperlink r:id="rId27">
        <w:r>
          <w:rPr>
            <w:color w:val="1155CC"/>
            <w:u w:val="single"/>
          </w:rPr>
          <w:t>10.1021/jacs.6c03677</w:t>
        </w:r>
      </w:hyperlink>
    </w:p>
    <w:p>
      <w:pPr>
        <w:spacing w:before="0" w:after="120"/>
      </w:pPr>
      <w:r>
        <w:rPr>
          <w:b/>
        </w:rPr>
        <w:t xml:space="preserve">Notes: </w:t>
      </w:r>
      <w:r>
        <w:t>abstract_source=pubmed</w:t>
      </w:r>
    </w:p>
    <w:p>
      <w:pPr>
        <w:spacing w:before="0" w:after="80" w:lineRule="auto" w:line="276"/>
      </w:pPr>
      <w:r>
        <w:rPr>
          <w:b/>
        </w:rPr>
        <w:t xml:space="preserve">摘要（ZH）: </w:t>
      </w:r>
      <w:r>
        <w:t>可再生能源与微生物CO2固定化的集成耦合仍然是碳中和生物制造中的一个主要挑战。在此，提出了一种生物混合设计，它将用于太阳能驱动CO2转化为甲酸的半人工叶片与经过工程改造的自养大肠杆菌（E. coli）相结合，该大肠杆菌利用甲酸作为能源生产生物质。首先，采用适应性实验室进化来增强甲酸消耗并克服缓慢的自养生长。其次，建立了电极-微生物兼容性，表明适应菌株可以直接利用酶改性阴极从CO2电化学产生的甲酸生长。第三，将电能来源替换为模拟太阳光，开发了一种生物光电化学装置以支持E. coli生长。最后，设计了一个由半人工叶片和自养E. coli组成的集成平台，该平台将太阳能CO2到生物质的转化与O2析出耦合，模拟了自然光合作用。</w:t>
      </w:r>
    </w:p>
    <w:p>
      <w:pPr>
        <w:spacing w:before="0" w:after="200" w:lineRule="auto" w:line="276"/>
      </w:pPr>
      <w:r>
        <w:rPr>
          <w:b/>
        </w:rPr>
        <w:t xml:space="preserve">Abstract (EN): </w:t>
      </w:r>
      <w:r>
        <w:t>Integrated coupling of renewable energy sources with microbial CO2 fixation remains a major challenge in carbon-neutral biomanufacturing. Here, a biohybrid design is presented that combines a semiartificial leaf for solar-powered conversion of CO2 into formate with an autotrophic Escherichia coli (E. coli) that is engineered to use formate as an energy source to produce biomass. First, adaptive laboratory evolution was employed to enhance formate consumption and overcome slow autotrophic growth. Second, electrode-microbe compatibility was established, showing that the adapted strain can grow directly using formate electrochemically generated from CO2 by an enzyme-modified cathode. Third, the electrical energy source was replaced with simulated sunlight, developing a biophotoelectrochemical device to support E. coli growth. Finally, an integrated platform consisting of a semiartificial leaf and autotrophic E. coli was designed, which couples solar CO2-to-biomass conversion and O2 evolution, replicating natural photosynthesis.</w:t>
      </w:r>
    </w:p>
    <w:p>
      <w:pPr>
        <w:spacing w:before="120" w:after="120"/>
      </w:pPr>
      <w:r>
        <w:rPr>
          <w:sz w:val="18"/>
        </w:rPr>
        <w:t>——————————————————————————————————————————————————————————————————————</w:t>
      </w:r>
    </w:p>
    <w:p>
      <w:pPr>
        <w:spacing w:before="160" w:after="40" w:line="240" w:lineRule="auto"/>
      </w:pPr>
      <w:r>
        <w:rPr>
          <w:b/>
        </w:rPr>
        <w:t xml:space="preserve">[11] </w:t>
      </w:r>
      <w:hyperlink r:id="rId28">
        <w:r>
          <w:rPr>
            <w:color w:val="1155CC"/>
            <w:u w:val="single"/>
          </w:rPr>
          <w:t>两种用于从CO2和H2O生产太阳能甲酸盐的人工叶片结构</w:t>
        </w:r>
      </w:hyperlink>
    </w:p>
    <w:p>
      <w:pPr>
        <w:spacing w:before="0" w:after="80"/>
      </w:pPr>
      <w:r>
        <w:rPr>
          <w:i/>
          <w:sz w:val="20"/>
        </w:rPr>
        <w:t>EN: Two Artificial Leaf Architectures for Solar Formate Production From CO2 and H2O</w:t>
      </w:r>
    </w:p>
    <w:p>
      <w:pPr>
        <w:spacing w:before="0" w:after="120"/>
      </w:pPr>
      <w:r>
        <w:rPr>
          <w:b/>
        </w:rPr>
        <w:t xml:space="preserve">Source: </w:t>
      </w:r>
      <w:r>
        <w:t>Wiley: Angewandte Chemie International Edition: Table of Contents</w:t>
      </w:r>
      <w:r>
        <w:t xml:space="preserve">    </w:t>
      </w:r>
      <w:r>
        <w:rPr>
          <w:b/>
        </w:rPr>
        <w:t xml:space="preserve">Pub date: </w:t>
      </w:r>
      <w:r>
        <w:t>2026-05-19 16:21:04+00:00</w:t>
      </w:r>
      <w:r>
        <w:t xml:space="preserve">    </w:t>
      </w:r>
      <w:r>
        <w:rPr>
          <w:b/>
        </w:rPr>
        <w:t xml:space="preserve">DOI: </w:t>
      </w:r>
      <w:hyperlink r:id="rId29">
        <w:r>
          <w:rPr>
            <w:color w:val="1155CC"/>
            <w:u w:val="single"/>
          </w:rPr>
          <w:t>10.1002/anie.2703193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驱动的人工树叶用于从CO2生产甲酸是太阳能燃料的一种有吸引力的途径，然而，现有的太阳能甲酸装置性能仍然较低，其架构和材料选择尚未充分探索。在此，我们报告了两种独特的完全集成、自支撑的太阳能甲酸装置架构的制造，并阐明了潜在的设计原理和材料选择策略。第一种架构将Si光阴极与BiVO4光阳极集成，并利用高活性Pd催化剂进行CO2还原。它代表了第一个包含两个光电极（不包括光伏[PV]偏置电极）的人工树叶装置，可在单束光照下有效生产甲酸。第二种架构采用由四结钙钛矿太阳能电池驱动的暗阴极和暗阳极，并使用高稳定性Bi催化剂进行CO2还原。该装置实现了创纪录的174 µmol h−1甲酸生产速率，在迄今报道的所有人工树叶装置中，太阳能-甲酸能量效率高达2%。这些结果证明了在太阳能燃料生产中，无PV和PV辅助装置架构的可行性并概述了其设计原理。</w:t>
      </w:r>
    </w:p>
    <w:p>
      <w:pPr>
        <w:spacing w:before="0" w:after="200" w:lineRule="auto" w:line="276"/>
      </w:pPr>
      <w:r>
        <w:rPr>
          <w:b/>
        </w:rPr>
        <w:t xml:space="preserve">Abstract (EN): </w:t>
      </w:r>
      <w:r>
        <w:t>Sunlight‐powered artificial leaves for the production of formate from CO</w:t>
      </w:r>
      <w:r>
        <w:rPr>
          <w:vertAlign w:val="subscript"/>
        </w:rPr>
        <w:t>2</w:t>
      </w:r>
      <w:r>
        <w:t>are an attractive route to solar fuels, yet existing solar formate devices remain low in performance, and their architecture and material choices are underexplored. Herein, we report the fabrication of two distinct fully integrated, self‐standing solar formate device architectures and elucidate the underlying design principles and material selection strategies. The first architecture integrates a Si photocathode with a BiVO</w:t>
      </w:r>
      <w:r>
        <w:rPr>
          <w:vertAlign w:val="subscript"/>
        </w:rPr>
        <w:t>4</w:t>
      </w:r>
      <w:r>
        <w:t>photoanode and utilizes a highly active Pd catalyst for CO</w:t>
      </w:r>
      <w:r>
        <w:rPr>
          <w:vertAlign w:val="subscript"/>
        </w:rPr>
        <w:t>2</w:t>
      </w:r>
      <w:r>
        <w:t>reduction. It represents the first artificial leaf device comprising two photoelectrodes (excluding photovoltaic [PV]‐biased electrodes) for effective formate production under single‐beam illumination. The second architecture employs a dark cathode and a dark anode driven by a 4‐junction perovskite solar cell and uses a highly stable Bi catalyst for CO</w:t>
      </w:r>
      <w:r>
        <w:rPr>
          <w:vertAlign w:val="subscript"/>
        </w:rPr>
        <w:t>2</w:t>
      </w:r>
      <w:r>
        <w:t>reduction. This device delivers a record‐high formate production rate of 174 µmol h</w:t>
      </w:r>
      <w:r>
        <w:t xml:space="preserve"> </w:t>
      </w:r>
      <w:r>
        <w:t>−1</w:t>
      </w:r>
      <w:r>
        <w:t xml:space="preserve"> </w:t>
      </w:r>
      <w:r>
        <w:t>with a remarkable solar‐to‐formate energy efficiency of 2% among all artificial leaf devices reported to date. These results demonstrate the feasibility and outline the design principles of both PV‐free and PV‐assisted device architectures in solar fuel production.</w:t>
      </w:r>
    </w:p>
    <w:p>
      <w:pPr>
        <w:spacing w:before="120" w:after="120"/>
      </w:pPr>
      <w:r>
        <w:rPr>
          <w:sz w:val="18"/>
        </w:rPr>
        <w:t>——————————————————————————————————————————————————————————————————————</w:t>
      </w:r>
    </w:p>
    <w:p>
      <w:pPr>
        <w:spacing w:before="160" w:after="40" w:line="240" w:lineRule="auto"/>
      </w:pPr>
      <w:r>
        <w:rPr>
          <w:b/>
        </w:rPr>
        <w:t xml:space="preserve">[12] </w:t>
      </w:r>
      <w:hyperlink r:id="rId30">
        <w:r>
          <w:rPr>
            <w:color w:val="1155CC"/>
            <w:u w:val="single"/>
          </w:rPr>
          <w:t>金属有机框架与聚合物电解质的集成实现高效耐用的有机太阳能电池</w:t>
        </w:r>
      </w:hyperlink>
    </w:p>
    <w:p>
      <w:pPr>
        <w:spacing w:before="0" w:after="80"/>
      </w:pPr>
      <w:r>
        <w:rPr>
          <w:i/>
          <w:sz w:val="20"/>
        </w:rPr>
        <w:t>EN: Integration of Metal‐Organic Framework With Polymer Electrolyte Enables Efficient and Robust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2026-05-19 16:25:12+00:00</w:t>
      </w:r>
      <w:r>
        <w:t xml:space="preserve">    </w:t>
      </w:r>
      <w:r>
        <w:rPr>
          <w:b/>
        </w:rPr>
        <w:t xml:space="preserve">DOI: </w:t>
      </w:r>
      <w:hyperlink r:id="rId31">
        <w:r>
          <w:rPr>
            <w:color w:val="1155CC"/>
            <w:u w:val="single"/>
          </w:rPr>
          <w:t>10.1002/anie.7945656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电子传输层 (ETLs) 对于降低有机太阳能电池 (OSCs) 中的界面能垒至关重要。然而，传统的聚合物基ETLs通常存在电导率有限和界面缺陷严重的问题，阻碍了效率和稳定性的提高。在此，我们通过将镍基金属有机框架 (Ni-MOF) 引入聚合物ETL (NDI-Br) 中，开发了一种混合ETL。Ni-MOF的引入带来了丰富的Ni中心，这些中心与NDI-Br中的溴离子配位，产生强相互作用，从而增强界面电荷传输并减少界面复合。基于混合ETL NDI-Br:Ni-MOF (10:1) 的OSCs表现出20.7%的显著效率，远超基于原始NDI-Br器件的19.1%。此外，该混合ETL表现出出色的厚度容忍度（在80 nm厚度下仍保持17.3%的效率）和热稳定性，T90寿命超过1000小时。这项工作提供了一种多功能界面工程策略，可以很好地解决OSCs中的效率-稳定性权衡问题，为进一步推动OSCs的实际应用铺平道路。</w:t>
      </w:r>
    </w:p>
    <w:p>
      <w:pPr>
        <w:spacing w:before="0" w:after="200" w:lineRule="auto" w:line="276"/>
      </w:pPr>
      <w:r>
        <w:rPr>
          <w:b/>
        </w:rPr>
        <w:t xml:space="preserve">Abstract (EN): </w:t>
      </w:r>
      <w:r>
        <w:t>Electron transport layers (ETLs) are crucial for reducing the interfacial energy barrier in organic solar cells (OSCs). However, conventional polymer‐based ETLs often suffer from limited conductivity and severe interfacial defects, hindering the improvement in both efficiency and stability. Herein, we develop a hybrid ETL by incorporating a nickel‐based metal‐organic framework (Ni‐MOF) into a polymeric ETL (NDI‐Br). The incorporation of Ni‐MOF introduces abundant Ni centers that coordinate with the bromide anions in NDI‐Br, generating strong interactions that enhance interfacial charge transport and reduce interfacial recombination. OSCs based on the hybrid ETL, NDI‐Br:Ni‐MOF (10:1), exhibit a remarkable efficiency of 20.7%, largely outperforming that (19.1%) of devices based on pristine NDI‐Br. Moreover, the hybrid ETL demonstrates exceptional thickness tolerance (maintaining 17.3% efficiency at 80 nm) and thermal stability with a T</w:t>
      </w:r>
      <w:r>
        <w:rPr>
          <w:vertAlign w:val="subscript"/>
        </w:rPr>
        <w:t>90</w:t>
      </w:r>
      <w:r>
        <w:t>lifetime exceeding 1000 h. This work provides a versatile interfacial engineering strategy that can well address the efficiency‐stability trade‐off in OSCs, paving the way for further promoting the practical use of OSCs.</w:t>
      </w:r>
    </w:p>
    <w:p>
      <w:pPr>
        <w:spacing w:before="120" w:after="120"/>
      </w:pPr>
      <w:r>
        <w:rPr>
          <w:sz w:val="18"/>
        </w:rPr>
        <w:t>——————————————————————————————————————————————————————————————————————</w:t>
      </w:r>
    </w:p>
    <w:p>
      <w:pPr>
        <w:spacing w:before="160" w:after="40" w:line="240" w:lineRule="auto"/>
      </w:pPr>
      <w:r>
        <w:rPr>
          <w:b/>
        </w:rPr>
        <w:t xml:space="preserve">[13] </w:t>
      </w:r>
      <w:hyperlink r:id="rId32">
        <w:r>
          <w:rPr>
            <w:color w:val="1155CC"/>
            <w:u w:val="single"/>
          </w:rPr>
          <w:t>一种用于在金属氧化物载体上合成杂化分子催化剂的新型金属-酯键合基序导致可调谐反应性</w:t>
        </w:r>
      </w:hyperlink>
    </w:p>
    <w:p>
      <w:pPr>
        <w:spacing w:before="0" w:after="80"/>
      </w:pPr>
      <w:r>
        <w:rPr>
          <w:i/>
          <w:sz w:val="20"/>
        </w:rPr>
        <w:t>EN: A New Metal‐Ester Bonding Motif for the Synthesis of Hybrid Molecular Catalysts on Metal Oxide Supports Leads to Tunable Reactivity</w:t>
      </w:r>
    </w:p>
    <w:p>
      <w:pPr>
        <w:spacing w:before="0" w:after="120"/>
      </w:pPr>
      <w:r>
        <w:rPr>
          <w:b/>
        </w:rPr>
        <w:t xml:space="preserve">Source: </w:t>
      </w:r>
      <w:r>
        <w:t>Wiley: Angewandte Chemie International Edition: Table of Contents</w:t>
      </w:r>
      <w:r>
        <w:t xml:space="preserve">    </w:t>
      </w:r>
      <w:r>
        <w:rPr>
          <w:b/>
        </w:rPr>
        <w:t xml:space="preserve">Pub date: </w:t>
      </w:r>
      <w:r>
        <w:t>2026-05-19 16:30:59+00:00</w:t>
      </w:r>
      <w:r>
        <w:t xml:space="preserve">    </w:t>
      </w:r>
      <w:r>
        <w:rPr>
          <w:b/>
        </w:rPr>
        <w:t xml:space="preserve">DOI: </w:t>
      </w:r>
      <w:hyperlink r:id="rId33">
        <w:r>
          <w:rPr>
            <w:color w:val="1155CC"/>
            <w:u w:val="single"/>
          </w:rPr>
          <w:t>10.1002/anie.1483240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报道了一类新型杂化催化剂的合成、表征和结构-功能特性，该催化剂由分子催化剂组成，其配体通过金属-酯键共价结合到金属氧化物 (MOx) 载体上。通过配体结构将分子催化剂锚定到金属氧化物上是染料敏化太阳能电池、电催化和热驱动催化的重要基序。这种新基序适用于多种金属氧化物载体。数据显示，这种新型表面结合基序能够实现高达每平方纳米两个分子的催化剂表面负载量，比先前报道的结合基序高出多达 60 倍。催化反应性趋势表明，MOx 载体通过诱导效应影响分子催化剂的性质和反应性。载体对催化性能的影响已与载体的零电荷点 (PZC) 相关联，并被证明是可预测的。因此，这类杂化催化剂可以通过选择氧化物载体进行调节，而无需对催化剂进行化学改性，这将使反应性超越传统的 Hammett 参数取代基变化。这使得能够精确控制催化剂的成核、配位环境和可及氧化态，从而实现高度定制和可控的催化性能。</w:t>
      </w:r>
    </w:p>
    <w:p>
      <w:pPr>
        <w:spacing w:before="0" w:after="200" w:lineRule="auto" w:line="276"/>
      </w:pPr>
      <w:r>
        <w:rPr>
          <w:b/>
        </w:rPr>
        <w:t xml:space="preserve">Abstract (EN): </w:t>
      </w:r>
      <w:r>
        <w:t>The synthesis, characterization, and structure‐function properties for a new class of hybrid catalysts comprised of molecular catalysts with ligands covalently bound to metal oxide (MOx) supports via metal‐ester bonds is reported. Anchoring molecular catalysts to metal‐oxides through the ligand structure is an important motif for dye‐sensitized solar cells, electrocatalysis, and thermally driven catalysis. This new motif is amenable to a wide variety of metal oxide supports. Data show this new surface binding motif is able to achieve catalyst surface loadings of up to two molecules per nm</w:t>
      </w:r>
      <w:r>
        <w:rPr>
          <w:vertAlign w:val="subscript"/>
        </w:rPr>
        <w:t>2</w:t>
      </w:r>
      <w:r>
        <w:t>which is up to 60x greater than previously reported binding motifs. Catalytic reactivity trends show that the MOx support influences the molecular catalyst properties and reactivity through inductive effects. The influence of the support on catalytic properties has been correlated to the point of zero charge (PZC) of the support and shown to be predictable. Thus, this class of hybrid catalysts can be tuned by the choice of oxide support without making chemical changes to the catalyst, which will allow for reactivity beyond traditional Hammett parameter substituent changes. This allows for precise control of the catalyst nucleation, coordination environment, and accessible oxidation states, enabling highly tailored and controllable catalytic properties.</w:t>
      </w:r>
    </w:p>
    <w:p>
      <w:pPr>
        <w:spacing w:before="120" w:after="120"/>
      </w:pPr>
      <w:r>
        <w:rPr>
          <w:sz w:val="18"/>
        </w:rPr>
        <w:t>——————————————————————————————————————————————————————————————————————</w:t>
      </w:r>
    </w:p>
    <w:p>
      <w:pPr>
        <w:spacing w:before="160" w:after="40" w:line="240" w:lineRule="auto"/>
      </w:pPr>
      <w:r>
        <w:rPr>
          <w:b/>
        </w:rPr>
        <w:t xml:space="preserve">[14] </w:t>
      </w:r>
      <w:hyperlink r:id="rId34">
        <w:r>
          <w:rPr>
            <w:color w:val="1155CC"/>
            <w:u w:val="single"/>
          </w:rPr>
          <w:t>用于高性能和可重现的柔性倒置有机太阳能电池和组件的低温全真空沉积界面层</w:t>
        </w:r>
      </w:hyperlink>
    </w:p>
    <w:p>
      <w:pPr>
        <w:spacing w:before="0" w:after="80"/>
      </w:pPr>
      <w:r>
        <w:rPr>
          <w:i/>
          <w:sz w:val="20"/>
        </w:rPr>
        <w:t>EN: Low-temperature all-vacuum-deposited interfacial layers for high-performance and reproducible flexible inverted organic solar cells and modules</w:t>
      </w:r>
    </w:p>
    <w:p>
      <w:pPr>
        <w:spacing w:before="0" w:after="120"/>
      </w:pPr>
      <w:r>
        <w:rPr>
          <w:b/>
        </w:rPr>
        <w:t xml:space="preserve">Source: </w:t>
      </w:r>
      <w:r>
        <w:t>RSC - Energy Environ. Sci. latest articles</w:t>
      </w:r>
      <w:r>
        <w:t xml:space="preserve">    </w:t>
      </w:r>
      <w:r>
        <w:rPr>
          <w:b/>
        </w:rPr>
        <w:t xml:space="preserve">Pub date: </w:t>
      </w:r>
      <w:r>
        <w:t>2026-05-19 23:00:00+00:00</w:t>
      </w:r>
    </w:p>
    <w:p>
      <w:pPr>
        <w:spacing w:before="0" w:after="120"/>
      </w:pPr>
      <w:r>
        <w:rPr>
          <w:b/>
        </w:rPr>
        <w:t xml:space="preserve">Notes: </w:t>
      </w:r>
      <w:r>
        <w:t>abstract_source=rsc_html</w:t>
      </w:r>
    </w:p>
    <w:p>
      <w:pPr>
        <w:spacing w:before="0" w:after="80" w:lineRule="auto" w:line="276"/>
      </w:pPr>
      <w:r>
        <w:rPr>
          <w:b/>
        </w:rPr>
        <w:t xml:space="preserve">摘要（ZH）: </w:t>
      </w:r>
      <w:r>
        <w:t>柔性有机太阳能电池的轻量化、可形变特性使其成为自供电可穿戴电子产品和分布式物联网 (IoT) 网络等新兴应用的关键使能技术。尽管最近的突破已将刚性电池效率推至 20% 以上，但直接器件架构中对溶液处理中间层的依赖，为将高性能转化为柔性电池和可扩展模块带来了主要瓶颈。在此，我们介绍了一种通用的全真空制造策略，以解决柔性有机光伏器件的效率、可扩展性和稳定性挑战。我们通过 SnO2 的原子层沉积 (ALD) 技术设计了电子选择性中间层，通过优化的温度和反应动力学实现了精确的厚度控制和在大面积上的卓越均匀性。这种方法比传统的溶胶凝胶法处理的 ZnO 具有显著的性能优势，实现了超过 18.5%（刚性）和 18%（柔性）的最高效率，并具有出色的批次间重现性和稳定性。至关重要的是，我们将这种架构扩展到孔径面积为 15.6 cm² 的串联模块，具有 96.3% 的高几何填充因子，实现了 17.6% 的创纪录有源区刚性效率，表明电池到模块的缩放损耗在 5% 以内。该工艺也成功转移到 PEN/ITO 基板上，生产出有源区 PCE 为 15.2% 的柔性模块，在 2 厘米半径下弯曲 3,000 次后仍保持其初始效率的 &gt;95%。这项工作建立了全真空...</w:t>
      </w:r>
    </w:p>
    <w:p>
      <w:pPr>
        <w:spacing w:before="0" w:after="200" w:lineRule="auto" w:line="276"/>
      </w:pPr>
      <w:r>
        <w:rPr>
          <w:b/>
        </w:rPr>
        <w:t xml:space="preserve">Abstract (EN): </w:t>
      </w:r>
      <w:r>
        <w:t>The lightweight, conformable nature of flexible organic solar cells positions them as a critical enabling technology for emerging application such as self-powered wearable electronics and distributed IoT networks. While recent breakthroughs have pushed rigid cell efficiencies beyond 20%, the reliance on solution-processed interlayers within direct device architectures presents a major bottleneck for translating high performance into flexible cells and scalable modules. Herein, we introduce a universal all-vacuum fabrication strategy for addressing the efficiency, scalability and stability challenges for flexible organic photovoltaics. We engineer the electron-selective interlayers via atomic layer deposition (ALD) of SnO2, achieving precise thickness control and exceptional uniformity across large area through optimized temperature and reaction kinetics. This approach yields a striking performance advantage over conventional sol gel-processed ZnO, achieve a champion efficiencies of over 18.5% (rigid) and 18% (flexible) with outstanding batch-to-batch reproducibility and stability. Crucially, we scale this architecture to series-connected modules with an aperture area of 15.6 cm² with a high geometric fill factor of 96.3%, achieve a record active-area rigid efficiency of 17.6%, demonstrating cell-to-module scaling losses within 5%. The process is also successfully transferred to PEN/ITO substrates, yielding flexible modules with an active-area PCE of 15.2% that retain &gt;95% of their initial efficiency after 3,000 bending cycles at a 2-cm radius. This work establishes all-vacuum processing as a superior, scalable manufacturing route for high-performance organic solar modules, paving a direct pathway toward their commercial production.</w:t>
      </w:r>
    </w:p>
    <w:p>
      <w:pPr>
        <w:spacing w:before="120" w:after="120"/>
      </w:pPr>
      <w:r>
        <w:rPr>
          <w:sz w:val="18"/>
        </w:rPr>
        <w:t>——————————————————————————————————————————————————————————————————————</w:t>
      </w:r>
    </w:p>
    <w:p>
      <w:pPr>
        <w:spacing w:before="160" w:after="40" w:line="240" w:lineRule="auto"/>
      </w:pPr>
      <w:r>
        <w:rPr>
          <w:b/>
        </w:rPr>
        <w:t xml:space="preserve">[15] </w:t>
      </w:r>
      <w:hyperlink r:id="rId35">
        <w:r>
          <w:rPr>
            <w:color w:val="1155CC"/>
            <w:u w:val="single"/>
          </w:rPr>
          <w:t>分子配位稳定内置电场用于高效钙钛矿太阳能电池</w:t>
        </w:r>
      </w:hyperlink>
    </w:p>
    <w:p>
      <w:pPr>
        <w:spacing w:before="0" w:after="80"/>
      </w:pPr>
      <w:r>
        <w:rPr>
          <w:i/>
          <w:sz w:val="20"/>
        </w:rPr>
        <w:t>EN: Molecular coordination stabilizes built-in electric fields for efficient perovskite solar cells</w:t>
      </w:r>
    </w:p>
    <w:p>
      <w:pPr>
        <w:spacing w:before="0" w:after="120"/>
      </w:pPr>
      <w:r>
        <w:rPr>
          <w:b/>
        </w:rPr>
        <w:t xml:space="preserve">Source: </w:t>
      </w:r>
      <w:r>
        <w:t>Joule</w:t>
      </w:r>
      <w:r>
        <w:t xml:space="preserve">    </w:t>
      </w:r>
      <w:r>
        <w:rPr>
          <w:b/>
        </w:rPr>
        <w:t xml:space="preserve">Pub date: </w:t>
      </w:r>
      <w:r>
        <w:t>2026-05-20 00:00:00+00:00</w:t>
      </w:r>
      <w:r>
        <w:t xml:space="preserve">    </w:t>
      </w:r>
      <w:r>
        <w:rPr>
          <w:b/>
        </w:rPr>
        <w:t xml:space="preserve">DOI: </w:t>
      </w:r>
      <w:hyperlink r:id="rId36">
        <w:r>
          <w:rPr>
            <w:color w:val="1155CC"/>
            <w:u w:val="single"/>
          </w:rPr>
          <w:t>10.1016/j.joule.2026.102484</w:t>
        </w:r>
      </w:hyperlink>
    </w:p>
    <w:p>
      <w:pPr>
        <w:spacing w:before="0" w:after="120"/>
      </w:pPr>
      <w:r>
        <w:rPr>
          <w:b/>
        </w:rPr>
        <w:t xml:space="preserve">Notes: </w:t>
      </w:r>
      <w:r>
        <w:t>abstract_source=rss_cell</w:t>
      </w:r>
    </w:p>
    <w:p>
      <w:pPr>
        <w:spacing w:before="0" w:after="80" w:lineRule="auto" w:line="276"/>
      </w:pPr>
      <w:r>
        <w:rPr>
          <w:b/>
        </w:rPr>
        <w:t xml:space="preserve">摘要（ZH）: </w:t>
      </w:r>
      <w:r>
        <w:t>提出了一种通过用2,4,6-三[3-(二苯基膦酰基)苯基]-1,3,5-三嗪 (PO-T2T) 表面处理钙钛矿的分子配位策略，以构建坚固的BIEF并减少界面缺陷。该冠军钙钛矿太阳能电池实现了高达27.01%的效率 (认证值为26.71%)，并具有改善的长期稳定性。</w:t>
      </w:r>
    </w:p>
    <w:p>
      <w:pPr>
        <w:spacing w:before="0" w:after="200" w:lineRule="auto" w:line="276"/>
      </w:pPr>
      <w:r>
        <w:rPr>
          <w:b/>
        </w:rPr>
        <w:t xml:space="preserve">Abstract (EN): </w:t>
      </w:r>
      <w:r>
        <w:t>A molecular coordination strategy via surface treating perovskite with 2,4,6-tris[3-(diphenylphosphinyl)phenyl]-1,3,5-triazine (PO-T2T) is proposed to construct robust BIEFs and reduce interface defects. The champion perovskite solar cell achieves an efficiency of up to 27.01% (certified 26.71%) with improved long-term stability.</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37">
        <w:r>
          <w:rPr>
            <w:color w:val="1155CC"/>
            <w:u w:val="single"/>
          </w:rPr>
          <w:t>[ASAP] 分子工程作为一种策略来解锁苝基有机电极材料中隐藏的氧化还原活性</w:t>
        </w:r>
      </w:hyperlink>
    </w:p>
    <w:p>
      <w:pPr>
        <w:spacing w:before="0" w:after="80"/>
      </w:pPr>
      <w:r>
        <w:rPr>
          <w:i/>
          <w:sz w:val="20"/>
        </w:rPr>
        <w:t>EN: [ASAP] Molecular Engineering as a Strategy to Unlock Hidden Redox Activity in Perylene-Based Organic Electrode Materials</w:t>
      </w:r>
    </w:p>
    <w:p>
      <w:pPr>
        <w:spacing w:before="0" w:after="120"/>
      </w:pPr>
      <w:r>
        <w:rPr>
          <w:b/>
        </w:rPr>
        <w:t xml:space="preserve">Source: </w:t>
      </w:r>
      <w:r>
        <w:t>ACS Energy Letters: Latest Articles (ACS Publications)</w:t>
      </w:r>
      <w:r>
        <w:t xml:space="preserve">    </w:t>
      </w:r>
      <w:r>
        <w:rPr>
          <w:b/>
        </w:rPr>
        <w:t xml:space="preserve">Pub date: </w:t>
      </w:r>
      <w:r>
        <w:t>2026-05-16 15:21:23+00:00</w:t>
      </w:r>
      <w:r>
        <w:t xml:space="preserve">    </w:t>
      </w:r>
      <w:r>
        <w:rPr>
          <w:b/>
        </w:rPr>
        <w:t xml:space="preserve">DOI: </w:t>
      </w:r>
      <w:hyperlink r:id="rId38">
        <w:r>
          <w:rPr>
            <w:color w:val="1155CC"/>
            <w:u w:val="single"/>
          </w:rPr>
          <w:t>10.1021/acsenergylett.6c00566</w:t>
        </w:r>
      </w:hyperlink>
    </w:p>
    <w:p>
      <w:pPr>
        <w:spacing w:before="0" w:after="120"/>
      </w:pPr>
      <w:r>
        <w:rPr>
          <w:b/>
        </w:rPr>
        <w:t xml:space="preserve">Notes: </w:t>
      </w:r>
      <w:r>
        <w:t>abstract_source=openalex</w:t>
      </w:r>
    </w:p>
    <w:p>
      <w:pPr>
        <w:spacing w:before="0" w:after="80" w:lineRule="auto" w:line="276"/>
      </w:pPr>
      <w:r>
        <w:rPr>
          <w:b/>
        </w:rPr>
        <w:t xml:space="preserve">摘要（ZH）: </w:t>
      </w:r>
      <w:r>
        <w:t>有机电极材料为基于过渡金属的阴极提供了一种替代方案，但许多分子系统仅利用其氧化还原活性位点的一小部分。在此，我们证明分子功能化能够利用苝基有机阴极中的多个羰基氧化还原位点。尽管苝四羧酸二酐 (PTCDA) 仅限于两锂氧化还原过程，但苯基取代的苝二酰亚胺衍生物 (P-PTCDI) 可逆地容纳近四个锂离子。结合电化学测量和光谱分析，包括软 X 射线吸收光谱、傅里叶变换红外光谱和 X 射线光电子能谱，揭示了羰基参与的增加，并证实了 P-PTCDI 中可逆的锂化和脱锂。密度泛函理论计算表明，苯基取代诱导分子畸变并促进 π 电子介导的静电稳定，减少锂-锂排斥并实现热力学上有利的多锂存储。这项工作为激活苝基有机电极材料中额外的氧化还原容量建立了分子设计原则。</w:t>
      </w:r>
    </w:p>
    <w:p>
      <w:pPr>
        <w:spacing w:before="0" w:after="200" w:lineRule="auto" w:line="276"/>
      </w:pPr>
      <w:r>
        <w:rPr>
          <w:b/>
        </w:rPr>
        <w:t xml:space="preserve">Abstract (EN): </w:t>
      </w:r>
      <w:r>
        <w:t>Organic electrode materials provide an alternative to transition-metal-based cathodes, yet many molecular systems utilize only a fraction of their redox-active sites. Here, we demonstrate that molecular functionalization enables the utilization of multiple carbonyl redox sites in perylene-based organic cathodes. While perylene tetracarboxylic dianhydride (PTCDA) is limited to a two-lithium redox process, a phenyl-substituted perylene diimide derivative (P-PTCDI) reversibly accommodates nearly four lithium ions. Combined electrochemical measurements and spectroscopic analyses, including soft X-ray absorption spectroscopy, Fourier-transform infrared spectroscopy, and X-ray photoelectron spectroscopy, reveal increased involvement of carbonyl participation and confirm reversible lithiation and delithiation in P-PTCDI. Density functional theory calculations indicate that phenyl substitution induces molecular distortion and promotes π-electron-mediated electrostatic stabilization, reducing lithium–lithium repulsion and enabling thermodynamically favorable multilithium storage. This work establishes a molecular design principle for activating additional redox capacity in perylene-based organic electrode materials.</w:t>
      </w:r>
    </w:p>
    <w:p>
      <w:pPr>
        <w:spacing w:before="120" w:after="120"/>
      </w:pPr>
      <w:r>
        <w:rPr>
          <w:sz w:val="18"/>
        </w:rPr>
        <w:t>——————————————————————————————————————————————————————————————————————</w:t>
      </w:r>
    </w:p>
    <w:p>
      <w:pPr>
        <w:spacing w:before="160" w:after="40" w:line="240" w:lineRule="auto"/>
      </w:pPr>
      <w:r>
        <w:rPr>
          <w:b/>
        </w:rPr>
        <w:t xml:space="preserve">[2] </w:t>
      </w:r>
      <w:hyperlink r:id="rId39">
        <w:r>
          <w:rPr>
            <w:color w:val="1155CC"/>
            <w:u w:val="single"/>
          </w:rPr>
          <w:t>重新定义富镍单晶正极的结构稳定性</w:t>
        </w:r>
      </w:hyperlink>
    </w:p>
    <w:p>
      <w:pPr>
        <w:spacing w:before="0" w:after="80"/>
      </w:pPr>
      <w:r>
        <w:rPr>
          <w:i/>
          <w:sz w:val="20"/>
        </w:rPr>
        <w:t>EN: Redefining structural stability in Ni-rich single-crystalline cathodes</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40">
        <w:r>
          <w:rPr>
            <w:color w:val="1155CC"/>
            <w:u w:val="single"/>
          </w:rPr>
          <w:t>10.1093/nsr/nwag292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41">
        <w:r>
          <w:rPr>
            <w:color w:val="1155CC"/>
            <w:u w:val="single"/>
          </w:rPr>
          <w:t>固液协同实现富含三硫自由基的微环境以加速Li–S转化动力学</w:t>
        </w:r>
      </w:hyperlink>
    </w:p>
    <w:p>
      <w:pPr>
        <w:spacing w:before="0" w:after="80"/>
      </w:pPr>
      <w:r>
        <w:rPr>
          <w:i/>
          <w:sz w:val="20"/>
        </w:rPr>
        <w:t>EN: Solid–Liquid Synergy Enables a Trisulfur‐Radical‐Rich Microenvironment for Accelerated Li–S Conversion Kinetics</w:t>
      </w:r>
    </w:p>
    <w:p>
      <w:pPr>
        <w:spacing w:before="0" w:after="120"/>
      </w:pPr>
      <w:r>
        <w:rPr>
          <w:b/>
        </w:rPr>
        <w:t xml:space="preserve">Source: </w:t>
      </w:r>
      <w:r>
        <w:t>Wiley: Advanced Materials: Table of Contents</w:t>
      </w:r>
      <w:r>
        <w:t xml:space="preserve">    </w:t>
      </w:r>
      <w:r>
        <w:rPr>
          <w:b/>
        </w:rPr>
        <w:t xml:space="preserve">Pub date: </w:t>
      </w:r>
      <w:r>
        <w:t>2026-05-18 07:35:50+00:00</w:t>
      </w:r>
      <w:r>
        <w:t xml:space="preserve">    </w:t>
      </w:r>
      <w:r>
        <w:rPr>
          <w:b/>
        </w:rPr>
        <w:t xml:space="preserve">DOI: </w:t>
      </w:r>
      <w:hyperlink r:id="rId42">
        <w:r>
          <w:rPr>
            <w:color w:val="1155CC"/>
            <w:u w:val="single"/>
          </w:rPr>
          <w:t>10.1002/adma.73407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理解和调控锂硫电池(LSBs)的决速步骤(RDSs)对于提高其电化学性能至关重要。在此，我们提出了一种协同策略，该策略将含有氧空位的模板硫主体与高给体数(high-DN)溶剂作为传统醚基电解质的添加剂相结合。该策略在正极侧建立了局部高DN微环境，其中三硫自由基浓度显著。实验和计算均证实，三硫自由基作为关键介质，加速了RDS从固有的缓慢准液-固反应向动力学上更有利的三硫自由基介导的转化。得益于三硫自由基介导的RDS增强，LSB在1 C下循环500次后仍保持85.4%的容量，平均每循环衰减率仅为0.03%。此外，在5 C下实现了659.6 mAh g</w:t>
      </w:r>
      <w:r>
        <w:t xml:space="preserve"> </w:t>
      </w:r>
      <w:r>
        <w:t>−1</w:t>
      </w:r>
      <w:r>
        <w:t xml:space="preserve"> </w:t>
      </w:r>
      <w:r>
        <w:t>的初始容量，或在4.6 mg cm</w:t>
      </w:r>
      <w:r>
        <w:t xml:space="preserve"> </w:t>
      </w:r>
      <w:r>
        <w:t>−2</w:t>
      </w:r>
      <w:r>
        <w:t xml:space="preserve"> </w:t>
      </w:r>
      <w:r>
        <w:t>的高硫载量下达到1126.9 mAh g</w:t>
      </w:r>
      <w:r>
        <w:t xml:space="preserve"> </w:t>
      </w:r>
      <w:r>
        <w:t>−1</w:t>
      </w:r>
      <w:r>
        <w:t xml:space="preserve"> </w:t>
      </w:r>
      <w:r>
        <w:t>。这项工作提出了一种新颖的三硫自由基介导催化机制，并通过界面工程和电解质调控的结合突破了固有RDS的限制。</w:t>
      </w:r>
    </w:p>
    <w:p>
      <w:pPr>
        <w:spacing w:before="0" w:after="200" w:lineRule="auto" w:line="276"/>
      </w:pPr>
      <w:r>
        <w:rPr>
          <w:b/>
        </w:rPr>
        <w:t xml:space="preserve">Abstract (EN): </w:t>
      </w:r>
      <w:r>
        <w:t>Understanding and regulating the rate‐determining steps (RDSs) of lithium–sulfur batteries (LSBs) is crucial for enhancing their electrochemical performance. Herein, we propose a synergistic strategy that integrates a template sulfur host containing oxygen vacancies with a high‐donor‐number (high‐DN) solvent as an additive of the traditional ether‐based electrolyte. The strategy establishes a localized high‐DN microenvironment with a significant concentration of trisulfur radicals on the cathode side. Both experiments and calculations confirm that trisulfur radicals serve as key mediators in accelerating the RDS from the intrinsically sluggish quasi‐liquid–solid reaction to the more kinetically favorable trisulfur radicals‐mediated conversion. Benefiting from the RDS enhancement mediated by trisulfur radicals, the LSB maintains an 85.4% capacity after 500 cycles at 1 C, with an average decay rate of only 0.03% per cycle. In addition, an initial capacity of 659.6 mAh g</w:t>
      </w:r>
      <w:r>
        <w:t xml:space="preserve"> </w:t>
      </w:r>
      <w:r>
        <w:t>−1</w:t>
      </w:r>
      <w:r>
        <w:t xml:space="preserve"> </w:t>
      </w:r>
      <w:r>
        <w:t>is achieved at 5 C or 1126.9 mAh g</w:t>
      </w:r>
      <w:r>
        <w:t xml:space="preserve"> </w:t>
      </w:r>
      <w:r>
        <w:t>−1</w:t>
      </w:r>
      <w:r>
        <w:t xml:space="preserve"> </w:t>
      </w:r>
      <w:r>
        <w:t>at a high sulfur loading of 4.6 mg cm</w:t>
      </w:r>
      <w:r>
        <w:t xml:space="preserve"> </w:t>
      </w:r>
      <w:r>
        <w:t>−2</w:t>
      </w:r>
      <w:r>
        <w:t xml:space="preserve"> </w:t>
      </w:r>
      <w:r>
        <w:t>. This work presents a novel trisulfur radicals mediated‐catalytic mechanism and breaks the limitations of the intrinsic RDS through integration of interface engineering and electrolyte modulation.</w:t>
      </w:r>
    </w:p>
    <w:p>
      <w:pPr>
        <w:spacing w:before="120" w:after="120"/>
      </w:pPr>
      <w:r>
        <w:rPr>
          <w:sz w:val="18"/>
        </w:rPr>
        <w:t>——————————————————————————————————————————————————————————————————————</w:t>
      </w:r>
    </w:p>
    <w:p>
      <w:pPr>
        <w:spacing w:before="160" w:after="40" w:line="240" w:lineRule="auto"/>
      </w:pPr>
      <w:r>
        <w:rPr>
          <w:b/>
        </w:rPr>
        <w:t xml:space="preserve">[4] </w:t>
      </w:r>
      <w:hyperlink r:id="rId43">
        <w:r>
          <w:rPr>
            <w:color w:val="1155CC"/>
            <w:u w:val="single"/>
          </w:rPr>
          <w:t>[ASAP] 解决普鲁士蓝类似物在水系钙离子电池中动力学-稳定性权衡：一种高熵空位笼捕策略</w:t>
        </w:r>
      </w:hyperlink>
    </w:p>
    <w:p>
      <w:pPr>
        <w:spacing w:before="0" w:after="80"/>
      </w:pPr>
      <w:r>
        <w:rPr>
          <w:i/>
          <w:sz w:val="20"/>
        </w:rPr>
        <w:t>EN: [ASAP] Resolving the Kinetics-Stability Trade-Off in Prussian Blue Analogues for Aqueous Ca-Ion Batteries: A High-Entropy Vacancy Caging Strategy</w:t>
      </w:r>
    </w:p>
    <w:p>
      <w:pPr>
        <w:spacing w:before="0" w:after="120"/>
      </w:pPr>
      <w:r>
        <w:rPr>
          <w:b/>
        </w:rPr>
        <w:t xml:space="preserve">Source: </w:t>
      </w:r>
      <w:r>
        <w:t>Journal of the American Chemical Society: Latest Articles (ACS Publications)</w:t>
      </w:r>
      <w:r>
        <w:t xml:space="preserve">    </w:t>
      </w:r>
      <w:r>
        <w:rPr>
          <w:b/>
        </w:rPr>
        <w:t xml:space="preserve">Pub date: </w:t>
      </w:r>
      <w:r>
        <w:t>2026-05-18 08:49:06+00:00</w:t>
      </w:r>
      <w:r>
        <w:t xml:space="preserve">    </w:t>
      </w:r>
      <w:r>
        <w:rPr>
          <w:b/>
        </w:rPr>
        <w:t xml:space="preserve">DOI: </w:t>
      </w:r>
      <w:hyperlink r:id="rId44">
        <w:r>
          <w:rPr>
            <w:color w:val="1155CC"/>
            <w:u w:val="single"/>
          </w:rPr>
          <w:t>10.1021/jacs.6c02950</w:t>
        </w:r>
      </w:hyperlink>
    </w:p>
    <w:p>
      <w:pPr>
        <w:spacing w:before="0" w:after="120"/>
      </w:pPr>
      <w:r>
        <w:rPr>
          <w:b/>
        </w:rPr>
        <w:t xml:space="preserve">Notes: </w:t>
      </w:r>
      <w:r>
        <w:t>abstract_source=pubmed</w:t>
      </w:r>
    </w:p>
    <w:p>
      <w:pPr>
        <w:spacing w:before="0" w:after="80" w:lineRule="auto" w:line="276"/>
      </w:pPr>
      <w:r>
        <w:rPr>
          <w:b/>
        </w:rPr>
        <w:t xml:space="preserve">摘要（ZH）: </w:t>
      </w:r>
      <w:r>
        <w:t>普鲁士蓝类似物 (PBAs) 作为水系Ca2+电池 (CIBs) 的正极材料，其发展面临动力学和稳定性之间的关键权衡：增强离子存储动力学的固有空位同时破坏晶体骨架的稳定性。本研究通过在低自旋Fe(CN)6位点故意引入空位，同时在高自旋过渡金属 (TM) 位点设计高熵构型来解决这一问题。这种高熵环境促进了各种TM中心之间的d-d轨道耦合，产生了一个离域电子网络。该网络通过电荷补偿有效屏蔽了局部库仑斥力，从而抑制了有害的空位迁移和聚集，这些是TM溶解的主要驱动因素。“空位笼捕”机制使得空位所带来的动力学优势得以充分实现，同时抵消了其相关的去稳定效应。由此产生的高熵PBA (HEPBA) 正极实现了迄今为止水系CIBs中PBA的最高可逆容量 (在50 mA g-1下为112 mAh g-1) 和出色的循环稳定性 (在2000 mA g-1下，24,000次循环后容量保持率为88.24%)。我们的发现为解决长期以来限制富空位正极材料开发的固有动力学-稳定性冲突提供了一条途径。</w:t>
      </w:r>
    </w:p>
    <w:p>
      <w:pPr>
        <w:spacing w:before="0" w:after="200" w:lineRule="auto" w:line="276"/>
      </w:pPr>
      <w:r>
        <w:rPr>
          <w:b/>
        </w:rPr>
        <w:t xml:space="preserve">Abstract (EN): </w:t>
      </w:r>
      <w:r>
        <w:t>The development of Prussian blue analogues (PBAs) as cathode materials for aqueous Ca2+ batteries (CIBs) faces a critical trade-off between kinetics and stability: intrinsic vacancies that enhance ionic storage kinetics concurrently destabilize the crystal framework. This study addresses this issue by deliberately inducing vacancies at the low-spin Fe(CN)6 sites while engineering a high-entropy configuration at the high-spin transition metal (TM) sites. This high-entropy environment promotes d-d orbital coupling among the various TM centers, generating a delocalized electronic network. This network effectively shields local Coulombic repulsion through charge compensation, thereby suppressing the detrimental vacancy migration and aggregation that are the primary drivers of TM dissolution. The "vacancy caging" mechanism allows for the full realization of the kinetic benefits afforded by vacancies while neutralizing their associated destabilizing effects. The resultant high-entropy PBA (HEPBA) cathode achieves the highest reversible capacity (112 mAh g-1 at 50 mA g-1) and exceptional cycling stability (88.24% capacity retention over 24,000 cycles at 2000 mA g-1) reported to date for PBAs in aqueous CIBs. Our findings suggest a landscape to resolve the intrinsic kinetics-stability conflict that has long constrained the development of vacancy-rich cathode materials.</w:t>
      </w:r>
    </w:p>
    <w:p>
      <w:pPr>
        <w:spacing w:before="120" w:after="120"/>
      </w:pPr>
      <w:r>
        <w:rPr>
          <w:sz w:val="18"/>
        </w:rPr>
        <w:t>——————————————————————————————————————————————————————————————————————</w:t>
      </w:r>
    </w:p>
    <w:p>
      <w:pPr>
        <w:spacing w:before="160" w:after="40" w:line="240" w:lineRule="auto"/>
      </w:pPr>
      <w:r>
        <w:rPr>
          <w:b/>
        </w:rPr>
        <w:t xml:space="preserve">[5] </w:t>
      </w:r>
      <w:hyperlink r:id="rId45">
        <w:r>
          <w:rPr>
            <w:color w:val="1155CC"/>
            <w:u w:val="single"/>
          </w:rPr>
          <w:t>[ASAP] 面内电子金属-载体相互作用实现Ni单原子催化剂上的高效硫催化</w:t>
        </w:r>
      </w:hyperlink>
    </w:p>
    <w:p>
      <w:pPr>
        <w:spacing w:before="0" w:after="80"/>
      </w:pPr>
      <w:r>
        <w:rPr>
          <w:i/>
          <w:sz w:val="20"/>
        </w:rPr>
        <w:t>EN: [ASAP] In-Plane Electronic Metal–Support Interaction Enables Efficient Sulfur Catalysis on Ni Single-Atom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2026-05-18 12:40:54+00:00</w:t>
      </w:r>
      <w:r>
        <w:t xml:space="preserve">    </w:t>
      </w:r>
      <w:r>
        <w:rPr>
          <w:b/>
        </w:rPr>
        <w:t xml:space="preserve">DOI: </w:t>
      </w:r>
      <w:hyperlink r:id="rId46">
        <w:r>
          <w:rPr>
            <w:color w:val="1155CC"/>
            <w:u w:val="single"/>
          </w:rPr>
          <w:t>10.1021/jacs.6c03479</w:t>
        </w:r>
      </w:hyperlink>
    </w:p>
    <w:p>
      <w:pPr>
        <w:spacing w:before="0" w:after="120"/>
      </w:pPr>
      <w:r>
        <w:rPr>
          <w:b/>
        </w:rPr>
        <w:t xml:space="preserve">Notes: </w:t>
      </w:r>
      <w:r>
        <w:t>abstract_source=pubmed</w:t>
      </w:r>
    </w:p>
    <w:p>
      <w:pPr>
        <w:spacing w:before="0" w:after="80" w:lineRule="auto" w:line="276"/>
      </w:pPr>
      <w:r>
        <w:rPr>
          <w:b/>
        </w:rPr>
        <w:t xml:space="preserve">摘要（ZH）: </w:t>
      </w:r>
      <w:r>
        <w:t>传统NiN4配位位点中Ni的非自旋极化态电子占据无法与锂多硫化物形成有效的Ni-S键，未能阐明实验观察到的单镍催化剂（SANi）因Ni-S相互作用而产生高催化活性的内在起源。因此，深入理解真正的有效催化活性位点对于合理设计用于锂硫电池（LSBs）的单原子催化剂（SACs）至关重要。在此，我们构建并评估了一系列Ni-N-C配位模型，这些模型代表了催化剂合成过程中可能形成的多样化局部环境，以识别真正的催化活性位点。密度泛函理论计算表明，特定Ni-N-C配位构型产生的面内电子金属-载体相互作用可以通过诱导Ni d电子的自旋极化离域并构建电子中继通道来激活Ni-S键的形成。研究发现七种配位构型可以形成有效的Ni-S键，为SANi中观察到的高效Ni-S偶联提供了合理的解释。其中，低配位NiN2位点因其最佳的锚定能力和低氧化还原反应势垒而被确定为催化硫氧化还原反应最活跃的中心。我们的研究结果为从根本上理解金属配位在调控LSBs中SACs催化性能方面的作用开辟了新途径。</w:t>
      </w:r>
    </w:p>
    <w:p>
      <w:pPr>
        <w:spacing w:before="0" w:after="200" w:lineRule="auto" w:line="276"/>
      </w:pPr>
      <w:r>
        <w:rPr>
          <w:b/>
        </w:rPr>
        <w:t xml:space="preserve">Abstract (EN): </w:t>
      </w:r>
      <w:r>
        <w:t>The nonspin-polarized state electron occupancy of the Ni in the conventional NiN4 coordination site cannot form an effective Ni-S bond with lithium polysulfides, failing to elucidate the intrinsic origin of the experimentally observed high catalytic activity of the single Ni catalyst (SANi) arising from Ni-S interactions. Accordingly, a deep understanding of the true effective catalytically active sites is essential for the rational design of single-atom catalysts (SACs) for lithium sulfur batteries (LSBs). Herein, we constructed and evaluated a series of Ni-N-C coordination models that represent the diverse local environments likely formed during catalyst synthesis to identify the true catalytically active sites. Density functional theory calculations show that in-plane electronic metal-support interaction emerging from specific Ni-N-C coordination configurations can activate Ni-S bond formation by inducing spin-polarized delocalization of Ni d electrons and constructing an electron-relay channel. Seven coordination configurations were found to form effective Ni-S bonds, providing a plausible explanation for the efficient Ni-S coupling observed in SANi. Among them, a low-coordination NiN2 site was identified as the most active center for catalyzing sulfur redox reactions, owing to its optimal anchoring capability and low redox reaction barrier. Our results open new avenues for fundamentally understanding the role of metal coordination in governing the catalytic performance of SACs for LSBs.</w:t>
      </w:r>
    </w:p>
    <w:p>
      <w:pPr>
        <w:spacing w:before="120" w:after="120"/>
      </w:pPr>
      <w:r>
        <w:rPr>
          <w:sz w:val="18"/>
        </w:rPr>
        <w:t>——————————————————————————————————————————————————————————————————————</w:t>
      </w:r>
    </w:p>
    <w:p>
      <w:pPr>
        <w:spacing w:before="160" w:after="40" w:line="240" w:lineRule="auto"/>
      </w:pPr>
      <w:r>
        <w:rPr>
          <w:b/>
        </w:rPr>
        <w:t xml:space="preserve">[6] </w:t>
      </w:r>
      <w:hyperlink r:id="rId47">
        <w:r>
          <w:rPr>
            <w:color w:val="1155CC"/>
            <w:u w:val="single"/>
          </w:rPr>
          <w:t>[ASAP] 异构体工程：面向高电压和空气稳定的锂离子电池有机正极</w:t>
        </w:r>
      </w:hyperlink>
    </w:p>
    <w:p>
      <w:pPr>
        <w:spacing w:before="0" w:after="80"/>
      </w:pPr>
      <w:r>
        <w:rPr>
          <w:i/>
          <w:sz w:val="20"/>
        </w:rPr>
        <w:t>EN: [ASAP] Isomer Engineering toward High-Voltage and Air-Stable Organic Cathodes for Lithium-Ion Batteries</w:t>
      </w:r>
    </w:p>
    <w:p>
      <w:pPr>
        <w:spacing w:before="0" w:after="120"/>
      </w:pPr>
      <w:r>
        <w:rPr>
          <w:b/>
        </w:rPr>
        <w:t xml:space="preserve">Source: </w:t>
      </w:r>
      <w:r>
        <w:t>ACS Energy Letters: Latest Articles (ACS Publications)</w:t>
      </w:r>
      <w:r>
        <w:t xml:space="preserve">    </w:t>
      </w:r>
      <w:r>
        <w:rPr>
          <w:b/>
        </w:rPr>
        <w:t xml:space="preserve">Pub date: </w:t>
      </w:r>
      <w:r>
        <w:t>2026-05-18 14:42:17+00:00</w:t>
      </w:r>
      <w:r>
        <w:t xml:space="preserve">    </w:t>
      </w:r>
      <w:r>
        <w:rPr>
          <w:b/>
        </w:rPr>
        <w:t xml:space="preserve">DOI: </w:t>
      </w:r>
      <w:hyperlink r:id="rId48">
        <w:r>
          <w:rPr>
            <w:color w:val="1155CC"/>
            <w:u w:val="single"/>
          </w:rPr>
          <w:t>10.1021/acsenergylett.6c00748</w:t>
        </w:r>
      </w:hyperlink>
    </w:p>
    <w:p>
      <w:pPr>
        <w:spacing w:before="0" w:after="120"/>
      </w:pPr>
      <w:r>
        <w:rPr>
          <w:b/>
        </w:rPr>
        <w:t xml:space="preserve">Notes: </w:t>
      </w:r>
      <w:r>
        <w:t>abstract_source=openalex</w:t>
      </w:r>
    </w:p>
    <w:p>
      <w:pPr>
        <w:spacing w:before="0" w:after="80" w:lineRule="auto" w:line="276"/>
      </w:pPr>
      <w:r>
        <w:rPr>
          <w:b/>
        </w:rPr>
        <w:t xml:space="preserve">摘要（ZH）: </w:t>
      </w:r>
      <w:r>
        <w:t>基于富集元素的有机正极材料因其结构柔韧性、高理论容量和环境友好性，是下一代电池的有前景的候选材料。然而，锂化有机正极通常存在氧化还原电位低和空气稳定性差的问题，这限制了它们的实际应用。在此，我们证明通过精确调节官能团的取代模式，可以显著提高锂化有机材料的氧化还原电位。我们合成并研究了两种异构的锂化并四苯醌衍生物，即5,12-二氧代-5,12-二氢并四苯-1,4-二(醇盐)锂 (Li2-1,4-DHTQ) 和6,11-二氧代-6,11-二氢并四苯-5,12-二(醇盐)锂 (Li2-6,11-DHTQ)，它们具有相同的化学式但官能团构型不同。Li2-1,4-DHTQ表现出良好的空气稳定性、稳定的循环性能和约3.3 V的平均放电平台电压，比Li2-6,11-DHTQ高900 mV。Li2-1,4-DHTQ在100 mA g–1电流密度下，使用PVDF基固态聚合物电解质，经过200次循环后表现出83%的容量保持率。这项工作提供了一种分子设计策略，通过异构体工程在有机正极中同时实现高电压和空气稳定性。</w:t>
      </w:r>
    </w:p>
    <w:p>
      <w:pPr>
        <w:spacing w:before="0" w:after="200" w:lineRule="auto" w:line="276"/>
      </w:pPr>
      <w:r>
        <w:rPr>
          <w:b/>
        </w:rPr>
        <w:t xml:space="preserve">Abstract (EN): </w:t>
      </w:r>
      <w:r>
        <w:t>Organic cathode materials based on abundant elements are promising candidates for next-generation batteries due to their structural flexibility, high theoretical capacity, and environmental friendliness. However, lithiated organic cathodes typically suffer from low redox potential and poor air stability, which limit their practical application. Herein, we demonstrate that the redox potential of lithiated organic materials can be significantly enhanced by precisely tuning the substitution pattern of functional groups. We have synthesized and investigated two isomeric lithiated tetracenequinone derivatives, lithium 5,12-dioxo-5,12-dihydrotetracene-1,4-bis(olate) (Li2-1,4-DHTQ) and lithium 6,11-dioxo-6,11-dihydrotetracene-5,12-bis(olate) (Li2-6,11-DHTQ), with identical chemical formulas but differing functional group configurations. Li2-1,4-DHTQ manifested good air stability, stable cycling performance, and an average discharge plateau voltage of about 3.3 V, which was 900 mV higher than that of Li2-6,11-DHTQ. Li2-1,4-DHTQ exhibited an 83% capacity retention after 200 cycles at 100 mA g–1 with a PVDF-based solid polymer electrolyte. This work provides a molecular design strategy to simultaneously achieve high voltage and air stability in organic cathodes through isomer engineering.</w:t>
      </w:r>
    </w:p>
    <w:p>
      <w:pPr>
        <w:spacing w:before="120" w:after="120"/>
      </w:pPr>
      <w:r>
        <w:rPr>
          <w:sz w:val="18"/>
        </w:rPr>
        <w:t>——————————————————————————————————————————————————————————————————————</w:t>
      </w:r>
    </w:p>
    <w:p>
      <w:pPr>
        <w:spacing w:before="160" w:after="40" w:line="240" w:lineRule="auto"/>
      </w:pPr>
      <w:r>
        <w:rPr>
          <w:b/>
        </w:rPr>
        <w:t xml:space="preserve">[7] </w:t>
      </w:r>
      <w:hyperlink r:id="rId49">
        <w:r>
          <w:rPr>
            <w:color w:val="1155CC"/>
            <w:u w:val="single"/>
          </w:rPr>
          <w:t>COF正极和水凝胶电解质中协同动态氢键工程用于持久NH4+储存</w:t>
        </w:r>
      </w:hyperlink>
    </w:p>
    <w:p>
      <w:pPr>
        <w:spacing w:before="0" w:after="80"/>
      </w:pPr>
      <w:r>
        <w:rPr>
          <w:i/>
          <w:sz w:val="20"/>
        </w:rPr>
        <w:t>EN: Synergistic Dynamic Hydrogen‐Bond Engineering in COF Cathode and Hydrogel Electrolyte for Durable NH4+ Storage</w:t>
      </w:r>
    </w:p>
    <w:p>
      <w:pPr>
        <w:spacing w:before="0" w:after="120"/>
      </w:pPr>
      <w:r>
        <w:rPr>
          <w:b/>
        </w:rPr>
        <w:t xml:space="preserve">Source: </w:t>
      </w:r>
      <w:r>
        <w:t>Wiley: Angewandte Chemie International Edition: Table of Contents</w:t>
      </w:r>
      <w:r>
        <w:t xml:space="preserve">    </w:t>
      </w:r>
      <w:r>
        <w:rPr>
          <w:b/>
        </w:rPr>
        <w:t xml:space="preserve">Pub date: </w:t>
      </w:r>
      <w:r>
        <w:t>2026-05-18 15:37:30+00:00</w:t>
      </w:r>
      <w:r>
        <w:t xml:space="preserve">    </w:t>
      </w:r>
      <w:r>
        <w:rPr>
          <w:b/>
        </w:rPr>
        <w:t xml:space="preserve">DOI: </w:t>
      </w:r>
      <w:hyperlink r:id="rId50">
        <w:r>
          <w:rPr>
            <w:color w:val="1155CC"/>
            <w:u w:val="single"/>
          </w:rPr>
          <w:t>10.1002/anie.2599445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水系铵离子电池 (AAIBs) 因其可持续储能特性而备受关注，它利用了通过可逆氢键相互作用实现的 Grotthuss 型质子传输所带来的 NH4+ 离子的快速扩散动力学。然而，它们的实际应用常常受到传统液体电解质和无机正极引起的不可逆副反应和结构降解的限制。在此，我们报告了一种双区设计策略，即将定制的水凝胶电解质与氧化还原活性共价有机框架 (COF) 正极集成，以促进 AAIBs 中 NH4+ 的持久存储。在电解质中，一种 pH 调节的聚丙烯酰胺基水凝胶电解质具有均匀的 3D 网络，可抑制阴离子诱导的盐析效应，并促进动态氢键辅助的 NH4+ 迁移。作为补充，基于六氮杂三萘 (HATN) 的 COF (HATN-COF) 正极具有丰富的 C═O/C═N 基团，为稳定的 NH4+ 存储提供了多个可逆氢键位点。正如预期，组装后的电池在 0.05 A g−1 下实现了 420 mAh g−1 的高初始容量，并在 2 A g−1 下保持了 126 mAh g−1 的高可逆容量。</w:t>
      </w:r>
    </w:p>
    <w:p>
      <w:pPr>
        <w:spacing w:before="0" w:after="200" w:lineRule="auto" w:line="276"/>
      </w:pPr>
      <w:r>
        <w:rPr>
          <w:b/>
        </w:rPr>
        <w:t xml:space="preserve">Abstract (EN): </w:t>
      </w:r>
      <w:r>
        <w:t>Aqueous ammonium‐ion batteries (AAIBs) have garnered considerable attention for sustainable energy storage, leveraging the rapid diffusion kinetics of NH</w:t>
      </w:r>
      <w:r>
        <w:rPr>
          <w:vertAlign w:val="subscript"/>
        </w:rPr>
        <w:t>4</w:t>
      </w:r>
      <w:r>
        <w:t>+</w:t>
      </w:r>
      <w:r>
        <w:t xml:space="preserve"> </w:t>
      </w:r>
      <w:r>
        <w:t>ions enabled by Grotthuss‐type proton transport through reversible hydrogen‐bonding interactions. Nevertheless, their practical deployment is often constrained by irreversible side reactions and structural degradation from conventional liquid electrolytes and inorganic cathodes. Herein, we report a dual‐zone design strategy of integrating a tailored hydrogel electrolyte with a redox‐active covalent organic framework (COF) cathode to promote durable NH</w:t>
      </w:r>
      <w:r>
        <w:rPr>
          <w:vertAlign w:val="subscript"/>
        </w:rPr>
        <w:t>4</w:t>
      </w:r>
      <w:r>
        <w:t>+</w:t>
      </w:r>
      <w:r>
        <w:t xml:space="preserve"> </w:t>
      </w:r>
      <w:r>
        <w:t>storage in AAIBs. In the electrolyte, a pH‐modulated polyacrylamide‐based hydrogel electrolyte with a uniform 3D network suppresses anion‐induced salting‐out effects and facilitates dynamic hydrogen‐bond‐enabled NH</w:t>
      </w:r>
      <w:r>
        <w:rPr>
          <w:vertAlign w:val="subscript"/>
        </w:rPr>
        <w:t>4</w:t>
      </w:r>
      <w:r>
        <w:t>+</w:t>
      </w:r>
      <w:r>
        <w:t xml:space="preserve"> </w:t>
      </w:r>
      <w:r>
        <w:t>migration. Complementarily, a hexaazatrinaphthalene (HATN)‐based COF (HATN‐COF) cathode with abundant C═O/C═N groups provides multiple reversible hydrogen‐bonding sites for stable NH</w:t>
      </w:r>
      <w:r>
        <w:rPr>
          <w:vertAlign w:val="subscript"/>
        </w:rPr>
        <w:t>4</w:t>
      </w:r>
      <w:r>
        <w:t>+</w:t>
      </w:r>
      <w:r>
        <w:t xml:space="preserve"> </w:t>
      </w:r>
      <w:r>
        <w:t>storage. As expected, the assembled cell achieves a high initial capacity of 420 mAh g</w:t>
      </w:r>
      <w:r>
        <w:t xml:space="preserve"> </w:t>
      </w:r>
      <w:r>
        <w:t>−1</w:t>
      </w:r>
      <w:r>
        <w:t xml:space="preserve"> </w:t>
      </w:r>
      <w:r>
        <w:t>at 0.05 A g</w:t>
      </w:r>
      <w:r>
        <w:t xml:space="preserve"> </w:t>
      </w:r>
      <w:r>
        <w:t>−1</w:t>
      </w:r>
      <w:r>
        <w:t xml:space="preserve"> </w:t>
      </w:r>
      <w:r>
        <w:t>and retains a high reversible capacity of 126 mAh g</w:t>
      </w:r>
      <w:r>
        <w:t xml:space="preserve"> </w:t>
      </w:r>
      <w:r>
        <w:t>−1</w:t>
      </w:r>
      <w:r>
        <w:t xml:space="preserve"> </w:t>
      </w:r>
      <w:r>
        <w:t>at 2 A g</w:t>
      </w:r>
      <w:r>
        <w:t xml:space="preserve"> </w:t>
      </w:r>
      <w:r>
        <w:t>−1</w:t>
      </w:r>
      <w:r>
        <w:t xml:space="preserve"> </w:t>
      </w:r>
      <w:r>
        <w:t>with 70.8% capacity retention after 1300 cycles. This work demonstrates that the dual‐zone design strategy holds great potential for advancing high‐performance AAIBs.</w:t>
      </w:r>
    </w:p>
    <w:p>
      <w:pPr>
        <w:spacing w:before="120" w:after="120"/>
      </w:pPr>
      <w:r>
        <w:rPr>
          <w:sz w:val="18"/>
        </w:rPr>
        <w:t>——————————————————————————————————————————————————————————————————————</w:t>
      </w:r>
    </w:p>
    <w:p>
      <w:pPr>
        <w:spacing w:before="160" w:after="40" w:line="240" w:lineRule="auto"/>
      </w:pPr>
      <w:r>
        <w:rPr>
          <w:b/>
        </w:rPr>
        <w:t xml:space="preserve">[8] </w:t>
      </w:r>
      <w:hyperlink r:id="rId51">
        <w:r>
          <w:rPr>
            <w:color w:val="1155CC"/>
            <w:u w:val="single"/>
          </w:rPr>
          <w:t>[ASAP] 不对称乙二醇醚分子设计实现温度自适应阴离子配位用于持久高温钠电池</w:t>
        </w:r>
      </w:hyperlink>
    </w:p>
    <w:p>
      <w:pPr>
        <w:spacing w:before="0" w:after="80"/>
      </w:pPr>
      <w:r>
        <w:rPr>
          <w:i/>
          <w:sz w:val="20"/>
        </w:rPr>
        <w:t>EN: [ASAP] Asymmetric Glycol-Ether Molecule Design Enables Temperature-Adaptive Anion Coordination for Durable High-Temperature Sodium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2026-05-18 18:20:45+00:00</w:t>
      </w:r>
      <w:r>
        <w:t xml:space="preserve">    </w:t>
      </w:r>
      <w:r>
        <w:rPr>
          <w:b/>
        </w:rPr>
        <w:t xml:space="preserve">DOI: </w:t>
      </w:r>
      <w:hyperlink r:id="rId52">
        <w:r>
          <w:rPr>
            <w:color w:val="1155CC"/>
            <w:u w:val="single"/>
          </w:rPr>
          <w:t>10.1021/jacs.6c01657</w:t>
        </w:r>
      </w:hyperlink>
    </w:p>
    <w:p>
      <w:pPr>
        <w:spacing w:before="0" w:after="120"/>
      </w:pPr>
      <w:r>
        <w:rPr>
          <w:b/>
        </w:rPr>
        <w:t xml:space="preserve">Notes: </w:t>
      </w:r>
      <w:r>
        <w:t>abstract_source=pubmed</w:t>
      </w:r>
    </w:p>
    <w:p>
      <w:pPr>
        <w:spacing w:before="0" w:after="80" w:lineRule="auto" w:line="276"/>
      </w:pPr>
      <w:r>
        <w:rPr>
          <w:b/>
        </w:rPr>
        <w:t xml:space="preserve">摘要（ZH）: </w:t>
      </w:r>
      <w:r>
        <w:t>高电压和高温钠离子电池 (SIBs) 有望在极端场景中实现经济高效的储能应用，但一个关键困境依然存在：传统电解质的化学和电化学不稳定性。电解质消耗加剧、电极失效和界面损伤是由于侵蚀性H+腐蚀造成的，尤其是在基于NaPF6的电解质中。为应对这一挑战，本研究提出了一种基于不对称乙二醇醚 (F3Si) 助溶剂的分子设计策略。利用其空间位阻效应，我们调节了Na+的配位环境，从而改变了传统的溶剂化结构，并促进阴离子参与构建稳定的、富含无机物的正极-电解质界面 (CEI)。实验和理论模拟结果表明，F3Si参与Na+溶剂化鞘表现出温度适应性特征：随着温度升高，更多阴离子被纳入配位球，促进了高模量、富含无机物的CEI的形成。同时，F3Si助溶剂通过Si-O键有效捕获有害酸性物质，中断了后续的链式副反应。因此，所开发的电解质使4.3 V-Na3V2(PO4)2O2F正极在极端热条件下表现出卓越的循环稳定性——在70 °C下循环2000次后仍保持88.9%的容量，并在90 °C下循环400次后保持98.5%的容量。这项工作阐明了一种根植于温度响应的界面稳定机制。</w:t>
      </w:r>
    </w:p>
    <w:p>
      <w:pPr>
        <w:spacing w:before="0" w:after="200" w:lineRule="auto" w:line="276"/>
      </w:pPr>
      <w:r>
        <w:rPr>
          <w:b/>
        </w:rPr>
        <w:t xml:space="preserve">Abstract (EN): </w:t>
      </w:r>
      <w:r>
        <w:t>High-voltage and high-temperature sodium-ion batteries (SIBs) promise cost-effective energy storage applications in extreme scenarios, but a critical dilemma persists: the chemical and electrochemical instability of conventional electrolytes. The intensified electrolyte consumption, electrode failure, and interface damage result from aggressive H+ corrosion, especially in NaPF6-based electrolytes. To address this challenge, this study proposes a molecular design strategy based on an asymmetric glycol-ether (F3Si) cosolvent. Leveraging its steric hindrance effect, we modulate the Na+ coordination environment, thereby altering traditional solvation structures and promoting anion participation in constructing a stable, inorganic-rich cathode-electrolyte interphase (CEI). Experimental and theoretical simulation results demonstrate that the involvement of F3Si in the Na+ solvation sheath exhibits temperature-adaptive characteristics: as temperature increases, more anions are incorporated into the coordination sphere, facilitating the formation of a high-modulus, inorganic-rich CEI. Meanwhile, the F3Si cosolvent effectively captures adverse acidic species via Si-O bonding, interrupting subsequent chain-like side reactions. Consequently, the developed electrolyte enables the 4.3 V-Na3V2(PO4)2O2F cathode to demonstrate exceptional cycling stability under extreme thermal conditions─retaining 88.9% of capacity after 2000 cycles at 70 °C and maintaining 98.5% of capacity over 400 cycles at 90 °C. This work elucidates a temperature-responsive interface stabilization mechanism rooted in solvent molecular geometry and anion solvation, offering innovative electrolyte design principles for developing high-performance SIBs in harsh temperature regimes.</w:t>
      </w:r>
    </w:p>
    <w:p>
      <w:pPr>
        <w:spacing w:before="120" w:after="120"/>
      </w:pPr>
      <w:r>
        <w:rPr>
          <w:sz w:val="18"/>
        </w:rPr>
        <w:t>——————————————————————————————————————————————————————————————————————</w:t>
      </w:r>
    </w:p>
    <w:p>
      <w:pPr>
        <w:spacing w:before="160" w:after="40" w:line="240" w:lineRule="auto"/>
      </w:pPr>
      <w:r>
        <w:rPr>
          <w:b/>
        </w:rPr>
        <w:t xml:space="preserve">[9] </w:t>
      </w:r>
      <w:hyperlink r:id="rId53">
        <w:r>
          <w:rPr>
            <w:color w:val="1155CC"/>
            <w:u w:val="single"/>
          </w:rPr>
          <w:t>[ASAP] 通过增容溶剂塑化实现聚合物调控的溶剂化化学，用于稳定的高能量锂金属电池</w:t>
        </w:r>
      </w:hyperlink>
    </w:p>
    <w:p>
      <w:pPr>
        <w:spacing w:before="0" w:after="80"/>
      </w:pPr>
      <w:r>
        <w:rPr>
          <w:i/>
          <w:sz w:val="20"/>
        </w:rPr>
        <w:t>EN: [ASAP] Polymer-Modulated Solvation Chemistry via Compatibilizing-Solvent Plasticization for Stable High-Energy Lithium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2026-05-19 08:29:00+00:00</w:t>
      </w:r>
      <w:r>
        <w:t xml:space="preserve">    </w:t>
      </w:r>
      <w:r>
        <w:rPr>
          <w:b/>
        </w:rPr>
        <w:t xml:space="preserve">DOI: </w:t>
      </w:r>
      <w:hyperlink r:id="rId54">
        <w:r>
          <w:rPr>
            <w:color w:val="1155CC"/>
            <w:u w:val="single"/>
          </w:rPr>
          <w:t>10.1021/jacs.6c02800</w:t>
        </w:r>
      </w:hyperlink>
    </w:p>
    <w:p>
      <w:pPr>
        <w:spacing w:before="0" w:after="120"/>
      </w:pPr>
      <w:r>
        <w:rPr>
          <w:b/>
        </w:rPr>
        <w:t xml:space="preserve">Notes: </w:t>
      </w:r>
      <w:r>
        <w:t>abstract_source=pubmed</w:t>
      </w:r>
    </w:p>
    <w:p>
      <w:pPr>
        <w:spacing w:before="0" w:after="80" w:lineRule="auto" w:line="276"/>
      </w:pPr>
      <w:r>
        <w:rPr>
          <w:b/>
        </w:rPr>
        <w:t xml:space="preserve">摘要（ZH）: </w:t>
      </w:r>
      <w:r>
        <w:t>用残余溶剂增塑的聚偏氟乙烯（PVDF）基聚合物电解质有望用于高能量和高安全性锂金属电池。然而，其实际应用受到对可混溶但电化学不稳定的增塑剂（如N,N-二甲基甲酰胺）的依赖的限制，这损害了锂的可逆性和高压兼容性。在描述符指导的筛选下，我们识别了几种电化学有利的增塑剂，但它们与聚合物的热力学不混溶性阻碍了均匀增塑。在此，我们提出了一种增容溶剂辅助增塑策略，该策略利用瞬态溶剂来降低有效Flory-Huggins相互作用参数，从而实现聚偏氟乙烯-六氟丙烯共聚物与不混溶增塑剂的均匀增塑。使用环丁砜作为代表性增塑剂，所得的聚合物-环丁砜（Fδ--Hδ+）相互作用抑制了环丁砜迁移并调节了阴离子聚集溶剂化结构，从而形成了阴离子衍生的富氟固体电解质界面。因此，该聚合物电解质在1400次循环中提供了99.1%的平均锂沉积/剥离库仑效率，支持4.7 V富镍正极在20C（7.1 mA cm-2）下的稳定循环，并在安时级软包电池中实现了451.5 Wh kg-1的能量密度。更广泛地说，这项工作为扩展PVDF基聚合物电解质的增塑剂设计空间建立了一条通用途径，为实际应用提供了一个有前景的方向。</w:t>
      </w:r>
    </w:p>
    <w:p>
      <w:pPr>
        <w:spacing w:before="0" w:after="200" w:lineRule="auto" w:line="276"/>
      </w:pPr>
      <w:r>
        <w:rPr>
          <w:b/>
        </w:rPr>
        <w:t xml:space="preserve">Abstract (EN): </w:t>
      </w:r>
      <w:r>
        <w:t>Poly(vinylidene fluoride) (PVDF)-based polymer electrolytes plasticized with residual solvent are promising for high-energy and high-safety lithium metal batteries. However, their practical realization is constrained by the reliance on miscible yet electrochemically unstable plasticizers (such as N,N-dimethylformamide), which compromise both lithium reversibility and high-voltage compatibility. Guided by a descriptor-informed screening, we identify several electrochemically favorable plasticizers, but their thermodynamic immiscibility with polymers precludes homogeneous plasticization. Here, we propose a compatibilizing-solvent-enabled plasticization strategy that leverages a transient solvent to lower the effective Flory-Huggins interaction parameter, thereby enabling the homogeneous plasticization of poly(vinylidene fluoride-co-hexafluoropropylene) with immiscible plasticizers. Using sulfolane as a representative plasticizer, the resulting polymer-sulfolane (Fδ--Hδ+) interactions suppress sulfolane migration and modulate an anion-aggregate solvation structure, leading to anion-derived fluorine-rich solid-electrolyte interphases. Consequently, the polymer electrolyte delivers an average lithium plating/stripping Coulombic efficiency of 99.1% over 1400 cycles, supports stable cycling of 4.7 V Ni-rich cathodes at 20C (7.1 mA cm-2), and achieves an energy density of 451.5 Wh kg-1 in Ah-scale pouch cells. More broadly, this work establishes a general route for expanding the plasticizer design space of PVDF-based polymer electrolytes, offering a promising direction toward practical lithium metal batteries.</w:t>
      </w:r>
    </w:p>
    <w:p>
      <w:pPr>
        <w:spacing w:before="120" w:after="120"/>
      </w:pPr>
      <w:r>
        <w:rPr>
          <w:sz w:val="18"/>
        </w:rPr>
        <w:t>——————————————————————————————————————————————————————————————————————</w:t>
      </w:r>
    </w:p>
    <w:p>
      <w:pPr>
        <w:spacing w:before="160" w:after="40" w:line="240" w:lineRule="auto"/>
      </w:pPr>
      <w:r>
        <w:rPr>
          <w:b/>
        </w:rPr>
        <w:t xml:space="preserve">[10] </w:t>
      </w:r>
      <w:hyperlink r:id="rId55">
        <w:r>
          <w:rPr>
            <w:color w:val="1155CC"/>
            <w:u w:val="single"/>
          </w:rPr>
          <w:t>[ASAP] 晶格、晶粒和织构：LiCoO2启发的层状氧化物正极性能增强机遇</w:t>
        </w:r>
      </w:hyperlink>
    </w:p>
    <w:p>
      <w:pPr>
        <w:spacing w:before="0" w:after="80"/>
      </w:pPr>
      <w:r>
        <w:rPr>
          <w:i/>
          <w:sz w:val="20"/>
        </w:rPr>
        <w:t>EN: [ASAP] Lattice, Grain, and Texture: Opportunities for Performance Enhancement of Layered Oxide Cathodes Informed by LiCoO2</w:t>
      </w:r>
    </w:p>
    <w:p>
      <w:pPr>
        <w:spacing w:before="0" w:after="120"/>
      </w:pPr>
      <w:r>
        <w:rPr>
          <w:b/>
        </w:rPr>
        <w:t xml:space="preserve">Source: </w:t>
      </w:r>
      <w:r>
        <w:t>Chemical Reviews: Latest Articles (ACS Publications)</w:t>
      </w:r>
      <w:r>
        <w:t xml:space="preserve">    </w:t>
      </w:r>
      <w:r>
        <w:rPr>
          <w:b/>
        </w:rPr>
        <w:t xml:space="preserve">Pub date: </w:t>
      </w:r>
      <w:r>
        <w:t>2026-05-19 14:33:00+00:00</w:t>
      </w:r>
      <w:r>
        <w:t xml:space="preserve">    </w:t>
      </w:r>
      <w:r>
        <w:rPr>
          <w:b/>
        </w:rPr>
        <w:t xml:space="preserve">DOI: </w:t>
      </w:r>
      <w:hyperlink r:id="rId56">
        <w:r>
          <w:rPr>
            <w:color w:val="1155CC"/>
            <w:u w:val="single"/>
          </w:rPr>
          <w:t>10.1021/acs.chemrev.5c00985</w:t>
        </w:r>
      </w:hyperlink>
    </w:p>
    <w:p>
      <w:pPr>
        <w:spacing w:before="0" w:after="120"/>
      </w:pPr>
      <w:r>
        <w:rPr>
          <w:b/>
        </w:rPr>
        <w:t xml:space="preserve">Notes: </w:t>
      </w:r>
      <w:r>
        <w:t>abstract_source=openalex</w:t>
      </w:r>
    </w:p>
    <w:p>
      <w:pPr>
        <w:spacing w:before="0" w:after="80" w:lineRule="auto" w:line="276"/>
      </w:pPr>
      <w:r>
        <w:rPr>
          <w:b/>
        </w:rPr>
        <w:t xml:space="preserve">摘要（ZH）: </w:t>
      </w:r>
      <w:r>
        <w:t>单晶正极的研究重新引起了人们对晶格各向异性和晶体取向如何影响锂离子电池中层状氧化物性能的关注。本综述以 LiCoO2 作为模型体系和典型的层状氧化物正极材料，讨论了晶体结构、缺陷化学、各向异性物理性质和电化学性能之间的关系。特别强调了 LiCoO2 基面平行和垂直方向上磁性、离子和电子传输、热学、力学和表面性质的各向异性，重点关注它们的晶体学起源、功能后果以及对空位、位错和孪晶界等缺陷的依赖性。在常见的降解机制和现有改性策略的背景下，本综述探讨了织构工程作为一种互补且有意的设计策略，在颗粒和电极层面与颗粒形态、弯曲度设计和全致密电极结构相关的应用。还讨论了相关的制造方法、关键工艺条件和关键设计参数。通过整合对本征性质、降解行为、改性策略和微观结构设计的见解，这项工作为合理的织构工程奠定了基础，该工程补充了现有策略，并使 LiCoO2 及相关层状氧化物能够接近其在锂离子电池中的极限性能。</w:t>
      </w:r>
    </w:p>
    <w:p>
      <w:pPr>
        <w:spacing w:before="0" w:after="200" w:lineRule="auto" w:line="276"/>
      </w:pPr>
      <w:r>
        <w:rPr>
          <w:b/>
        </w:rPr>
        <w:t xml:space="preserve">Abstract (EN): </w:t>
      </w:r>
      <w:r>
        <w:t>Research on single crystal cathodes has renewed attention on how lattice anisotropy and crystal orientation influence the performance of layered oxides in Li-ion batteries. Using LiCoO2 as a model system and an archetypical layered oxide cathode material, this review discusses the relationship between crystal structure, defect chemistry, anisotropic physical properties and electrochemical performance. Particular emphasis is placed on the anisotropy of magnetic, ionic and electronic transport, thermal, mechanical, and surface properties along directions parallel and perpendicular to the basal plane of LiCoO2, with a focus on their crystallographic origins, functional consequences, and dependance on defects such as vacancies, dislocations, and twin boundaries . In the context of common degradation mechanisms and existing modification strategies, this review examines texture engineering as a complementary and deliberate design strategy at both the particle and electrode levels in relation to particle morphology, tortuosity design, and fully dense electrode architectures. Relevant manufacturing approaches, key processing conditions, and critical design parameters are also discussed. By integrating insights from intrinsic properties, degradation behavior, modification strategies and microstructural design, this work provides the foundation for rational texture engineering, which complements existing strategies and enables LiCoO2 and related layered oxides to approach their ultimate performance in lithium-ion batteries.</w:t>
      </w:r>
    </w:p>
    <w:p>
      <w:pPr>
        <w:spacing w:before="120" w:after="120"/>
      </w:pPr>
      <w:r>
        <w:rPr>
          <w:sz w:val="18"/>
        </w:rPr>
        <w:t>——————————————————————————————————————————————————————————————————————</w:t>
      </w:r>
    </w:p>
    <w:p>
      <w:pPr>
        <w:spacing w:before="160" w:after="40" w:line="240" w:lineRule="auto"/>
      </w:pPr>
      <w:r>
        <w:rPr>
          <w:b/>
        </w:rPr>
        <w:t xml:space="preserve">[11] </w:t>
      </w:r>
      <w:hyperlink r:id="rId57">
        <w:r>
          <w:rPr>
            <w:color w:val="1155CC"/>
            <w:u w:val="single"/>
          </w:rPr>
          <w:t>超分子衍生的负载Mo单原子的异质结构碳用于高容量长循环钠双离子电池</w:t>
        </w:r>
      </w:hyperlink>
    </w:p>
    <w:p>
      <w:pPr>
        <w:spacing w:before="0" w:after="80"/>
      </w:pPr>
      <w:r>
        <w:rPr>
          <w:i/>
          <w:sz w:val="20"/>
        </w:rPr>
        <w:t>EN: Supramolecular‐Derived Heterostructured Carbon Supported with Mo Single Atoms for High‐Capacity and Long‐Cycle Sodium Dual‐Ion Batteries</w:t>
      </w:r>
    </w:p>
    <w:p>
      <w:pPr>
        <w:spacing w:before="0" w:after="120"/>
      </w:pPr>
      <w:r>
        <w:rPr>
          <w:b/>
        </w:rPr>
        <w:t xml:space="preserve">Source: </w:t>
      </w:r>
      <w:r>
        <w:t>Wiley: Angewandte Chemie International Edition: Table of Contents</w:t>
      </w:r>
      <w:r>
        <w:t xml:space="preserve">    </w:t>
      </w:r>
      <w:r>
        <w:rPr>
          <w:b/>
        </w:rPr>
        <w:t xml:space="preserve">Pub date: </w:t>
      </w:r>
      <w:r>
        <w:t>2026-05-19 16:16:14+00:00</w:t>
      </w:r>
      <w:r>
        <w:t xml:space="preserve">    </w:t>
      </w:r>
      <w:r>
        <w:rPr>
          <w:b/>
        </w:rPr>
        <w:t xml:space="preserve">DOI: </w:t>
      </w:r>
      <w:hyperlink r:id="rId58">
        <w:r>
          <w:rPr>
            <w:color w:val="1155CC"/>
            <w:u w:val="single"/>
          </w:rPr>
          <w:t>10.1002/anie.7222271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由于其固有的高工作电压、低成本和环境友好等优点，全碳钠双离子电池 (SDIBs) 在后锂时代极具竞争力，并为大规模储能提供了巨大前景。长程有序石墨化碳和无定形非石墨化碳由于其根本不同的结构配置而表现出独特的Na</w:t>
      </w:r>
      <w:r>
        <w:t xml:space="preserve"> </w:t>
      </w:r>
      <w:r>
        <w:t>+</w:t>
      </w:r>
      <w:r>
        <w:t xml:space="preserve"> </w:t>
      </w:r>
      <w:r>
        <w:t>存储行为。而超分子前体的多样化结构和物理化学性质为构建具有优异性能的异质结构碳提供了一种新方法，该方法可以整合石墨化碳和非石墨化碳各自的优点以实现多功能性。此外，负载在碳基体上的单原子可以进一步增强动力学性能，促进离子/电子传输，并加速氧化还原转化。在此，合成了超分子衍生的负载有Mo单原子的氮掺杂异质结构碳 (Mo-NHC)，并展示了碳质材料在Na</w:t>
      </w:r>
      <w:r>
        <w:t xml:space="preserve"> </w:t>
      </w:r>
      <w:r>
        <w:t>+</w:t>
      </w:r>
      <w:r>
        <w:t xml:space="preserve"> </w:t>
      </w:r>
      <w:r>
        <w:t>存储方面的突破性成就。概念验证型SDIBs表现出222.3 mA h g</w:t>
      </w:r>
      <w:r>
        <w:t xml:space="preserve"> </w:t>
      </w:r>
      <w:r>
        <w:t>−1</w:t>
      </w:r>
      <w:r>
        <w:t xml:space="preserve"> </w:t>
      </w:r>
      <w:r>
        <w:t>的高放电容量，在10,000次循环后仍保持80.4%的容量。即使在高载量和高温条件下，它仍然实现了非凡的可逆容量和循环稳定性。这项工作代表了其中最好的性能之一。</w:t>
      </w:r>
    </w:p>
    <w:p>
      <w:pPr>
        <w:spacing w:before="0" w:after="200" w:lineRule="auto" w:line="276"/>
      </w:pPr>
      <w:r>
        <w:rPr>
          <w:b/>
        </w:rPr>
        <w:t xml:space="preserve">Abstract (EN): </w:t>
      </w:r>
      <w:r>
        <w:t>Owing to their inherent advantages of high operating voltage, low cost, and environmental friendliness, all‐carbon sodium dual‐ion batteries (SDIBs) are highly competitive in the post‐lithium era and hold great promise for large‐scale energy storage. The long‐range ordered graphitized carbon and amorphous non‐graphitized carbon exhibit distinct Na</w:t>
      </w:r>
      <w:r>
        <w:t xml:space="preserve"> </w:t>
      </w:r>
      <w:r>
        <w:t>+</w:t>
      </w:r>
      <w:r>
        <w:t xml:space="preserve"> </w:t>
      </w:r>
      <w:r>
        <w:t>storage behavior due to their fundamentally different structural configurations. While the diverse structures and physicochemical properties of supramolecular precursors offer a novel approach for the construction of heterostructured carbon with superior performance, which can integrate the respective advantages of graphitized and non‐graphitized carbon to achieve multifunctionality. Moreover, single atoms supported on the carbon matrix can further enhance the kinetic properties, promote ion/electron transport, and accelerate the redox conversion. Herein, supramolecular‐derived nitrogen‐doped heterostructured carbon (Mo‐NHC) supported with Mo single atoms is synthesized and demonstrates a breakthrough achievement for carbonaceous materials in Na</w:t>
      </w:r>
      <w:r>
        <w:t xml:space="preserve"> </w:t>
      </w:r>
      <w:r>
        <w:t>+</w:t>
      </w:r>
      <w:r>
        <w:t xml:space="preserve"> </w:t>
      </w:r>
      <w:r>
        <w:t>storage. Proof‐of‐concept SDIBs exhibit a high discharge capacity of 222.3 mA h g</w:t>
      </w:r>
      <w:r>
        <w:t xml:space="preserve"> </w:t>
      </w:r>
      <w:r>
        <w:t>−1</w:t>
      </w:r>
      <w:r>
        <w:t xml:space="preserve"> </w:t>
      </w:r>
      <w:r>
        <w:t>with a retention of 80.4% after 10,000 cycles. Even under high mass loading and high‐temperature conditions, it still achieves extraordinary reversible capacity and cyclic stability. This work represents one of the best performances among all‐carbon SDIBs, providing an advanced material paradigm for heterostructured carbon in electrochemical energy storage.</w:t>
      </w:r>
    </w:p>
    <w:p>
      <w:pPr>
        <w:spacing w:before="120" w:after="120"/>
      </w:pPr>
      <w:r>
        <w:rPr>
          <w:sz w:val="18"/>
        </w:rPr>
        <w:t>——————————————————————————————————————————————————————————————————————</w:t>
      </w:r>
    </w:p>
    <w:p>
      <w:pPr>
        <w:spacing w:before="160" w:after="40" w:line="240" w:lineRule="auto"/>
      </w:pPr>
      <w:r>
        <w:rPr>
          <w:b/>
        </w:rPr>
        <w:t xml:space="preserve">[12] </w:t>
      </w:r>
      <w:hyperlink r:id="rId59">
        <w:r>
          <w:rPr>
            <w:color w:val="1155CC"/>
            <w:u w:val="single"/>
          </w:rPr>
          <w:t>强供体-受体效应实现高效多碘化物限域和快速氧化还原动力学用于锌-碘电池</w:t>
        </w:r>
      </w:hyperlink>
    </w:p>
    <w:p>
      <w:pPr>
        <w:spacing w:before="0" w:after="80"/>
      </w:pPr>
      <w:r>
        <w:rPr>
          <w:i/>
          <w:sz w:val="20"/>
        </w:rPr>
        <w:t>EN: Strong Donor–Acceptor Effect Enables Efficient Polyiodides Confinement and Fast Redox Kinetics Toward Zinc–Iodine Batteries</w:t>
      </w:r>
    </w:p>
    <w:p>
      <w:pPr>
        <w:spacing w:before="0" w:after="120"/>
      </w:pPr>
      <w:r>
        <w:rPr>
          <w:b/>
        </w:rPr>
        <w:t xml:space="preserve">Source: </w:t>
      </w:r>
      <w:r>
        <w:t>Wiley: Angewandte Chemie International Edition: Table of Contents</w:t>
      </w:r>
      <w:r>
        <w:t xml:space="preserve">    </w:t>
      </w:r>
      <w:r>
        <w:rPr>
          <w:b/>
        </w:rPr>
        <w:t xml:space="preserve">Pub date: </w:t>
      </w:r>
      <w:r>
        <w:t>2026-05-19 16:18:52+00:00</w:t>
      </w:r>
      <w:r>
        <w:t xml:space="preserve">    </w:t>
      </w:r>
      <w:r>
        <w:rPr>
          <w:b/>
        </w:rPr>
        <w:t xml:space="preserve">DOI: </w:t>
      </w:r>
      <w:hyperlink r:id="rId60">
        <w:r>
          <w:rPr>
            <w:color w:val="1155CC"/>
            <w:u w:val="single"/>
          </w:rPr>
          <w:t>10.1002/anie.6120547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基于碘 (I</w:t>
      </w:r>
      <w:r>
        <w:rPr>
          <w:vertAlign w:val="subscript"/>
        </w:rPr>
        <w:t>2</w:t>
      </w:r>
      <w:r>
        <w:t>) 氧化还原转化的水系锌碘电池 (ZIBs) 存在多碘化物穿梭效应严重和氧化还原动力学缓慢的问题，导致循环稳定性差。在此，我们提出了一种供体-受体 (D–A) 协同相互作用策略，通过采用富含噻吩的共价三嗪骨架 (SCTF-DCT) 作为先进的I</w:t>
      </w:r>
      <w:r>
        <w:rPr>
          <w:vertAlign w:val="subscript"/>
        </w:rPr>
        <w:t>2</w:t>
      </w:r>
      <w:r>
        <w:t>主体催化剂，实现高性能ZIBs。强大的D–A协同效应结合丰富的微-介孔结构，不仅优化了多碘化物的吸附，而且增强了I</w:t>
      </w:r>
      <w:r>
        <w:rPr>
          <w:vertAlign w:val="subscript"/>
        </w:rPr>
        <w:t>2</w:t>
      </w:r>
      <w:r>
        <w:t>物种的转化动力学。得益于强大的D–A效应，组装的负载I</w:t>
      </w:r>
      <w:r>
        <w:rPr>
          <w:vertAlign w:val="subscript"/>
        </w:rPr>
        <w:t>2</w:t>
      </w:r>
      <w:r>
        <w:t>的SCTF-DCT (I</w:t>
      </w:r>
      <w:r>
        <w:rPr>
          <w:vertAlign w:val="subscript"/>
        </w:rPr>
        <w:t>2</w:t>
      </w:r>
      <w:r>
        <w:t>@SCTF-DCT) 正极ZIBs 展现出卓越的循环寿命，超过100,000次循环，每次循环的衰减率仅为0.000198%。原位/非原位表征和理论计算揭示了I</w:t>
      </w:r>
      <w:r>
        <w:rPr>
          <w:vertAlign w:val="subscript"/>
        </w:rPr>
        <w:t>2</w:t>
      </w:r>
      <w:r>
        <w:t>物种的可逆氧化还原机制，并强调了D–A协同效应的重要性。这项工作阐明了通过D–A协同相互作用策略吸附和催化转化I</w:t>
      </w:r>
      <w:r>
        <w:rPr>
          <w:vertAlign w:val="subscript"/>
        </w:rPr>
        <w:t>2</w:t>
      </w:r>
      <w:r>
        <w:t>物种的机制，为设计用于下一代ZIBs和其他储能系统的先进主体催化剂提供了一种有前景的方法。</w:t>
      </w:r>
    </w:p>
    <w:p>
      <w:pPr>
        <w:spacing w:before="0" w:after="200" w:lineRule="auto" w:line="276"/>
      </w:pPr>
      <w:r>
        <w:rPr>
          <w:b/>
        </w:rPr>
        <w:t xml:space="preserve">Abstract (EN): </w:t>
      </w:r>
      <w:r>
        <w:t>Aqueous zinc–iodine batteries (ZIBs) based on iodine (I</w:t>
      </w:r>
      <w:r>
        <w:rPr>
          <w:vertAlign w:val="subscript"/>
        </w:rPr>
        <w:t>2</w:t>
      </w:r>
      <w:r>
        <w:t>) redox conversion suffer from severe polyiodides shuttling and sluggish redox kinetics, leading to poor cycling stability. Herein, we propose a donor–acceptor (D–A) synergetic interaction strategy to enable high‐performance ZIBs by employing thiophene‐rich covalent triazine frameworks (SCTF‐DCT) as an advanced I</w:t>
      </w:r>
      <w:r>
        <w:rPr>
          <w:vertAlign w:val="subscript"/>
        </w:rPr>
        <w:t>2</w:t>
      </w:r>
      <w:r>
        <w:t>host catalyst. The strong D–A cooperative effect combined with a rich micro‐mesoporous structure not only optimizes the polyiodides adsorption but also enhances the conversion kinetics of I</w:t>
      </w:r>
      <w:r>
        <w:rPr>
          <w:vertAlign w:val="subscript"/>
        </w:rPr>
        <w:t>2</w:t>
      </w:r>
      <w:r>
        <w:t>species. Benefiting from the strong D–A effect, the as‐assembled ZIBs with I</w:t>
      </w:r>
      <w:r>
        <w:rPr>
          <w:vertAlign w:val="subscript"/>
        </w:rPr>
        <w:t>2</w:t>
      </w:r>
      <w:r>
        <w:t>loaded SCTF‐DCT (I</w:t>
      </w:r>
      <w:r>
        <w:rPr>
          <w:vertAlign w:val="subscript"/>
        </w:rPr>
        <w:t>2</w:t>
      </w:r>
      <w:r>
        <w:t>@SCTF‐DCT) cathode demonstrate exceptional cycling life, exceeding 100,000 cycles with a minimal decay rate of only 0.000198% per cycle. In/ex situ characterizations and theoretical calculations reveal the reversible redox mechanism of I</w:t>
      </w:r>
      <w:r>
        <w:rPr>
          <w:vertAlign w:val="subscript"/>
        </w:rPr>
        <w:t>2</w:t>
      </w:r>
      <w:r>
        <w:t>species and highlight the significance of the D–A collaborative effect. This work elucidates the mechanisms of adsorption and catalytic conversion of I</w:t>
      </w:r>
      <w:r>
        <w:rPr>
          <w:vertAlign w:val="subscript"/>
        </w:rPr>
        <w:t>2</w:t>
      </w:r>
      <w:r>
        <w:t>species via a D–A synergetic interaction strategy, providing a promising approach for designing advanced host catalysts for next‐generation ZIBs and other energy storage systems.</w:t>
      </w:r>
    </w:p>
    <w:p>
      <w:pPr>
        <w:spacing w:before="120" w:after="120"/>
      </w:pPr>
      <w:r>
        <w:rPr>
          <w:sz w:val="18"/>
        </w:rPr>
        <w:t>——————————————————————————————————————————————————————————————————————</w:t>
      </w:r>
    </w:p>
    <w:p>
      <w:pPr>
        <w:spacing w:before="160" w:after="40" w:line="240" w:lineRule="auto"/>
      </w:pPr>
      <w:r>
        <w:rPr>
          <w:b/>
        </w:rPr>
        <w:t xml:space="preserve">[13] </w:t>
      </w:r>
      <w:hyperlink r:id="rId61">
        <w:r>
          <w:rPr>
            <w:color w:val="1155CC"/>
            <w:u w:val="single"/>
          </w:rPr>
          <w:t>卤素键维持的多碘化物在分级开放胶束薄膜中的积累用于无穿梭长寿命Zn-I2电池</w:t>
        </w:r>
      </w:hyperlink>
    </w:p>
    <w:p>
      <w:pPr>
        <w:spacing w:before="0" w:after="80"/>
      </w:pPr>
      <w:r>
        <w:rPr>
          <w:i/>
          <w:sz w:val="20"/>
        </w:rPr>
        <w:t>EN: Halogen Bonding‐Sustained Accumulation of Polyiodide in Hierarchically Open Micellar Film for Shuttle‐Free Long‐Duration Zn‐I2 Battery</w:t>
      </w:r>
    </w:p>
    <w:p>
      <w:pPr>
        <w:spacing w:before="0" w:after="120"/>
      </w:pPr>
      <w:r>
        <w:rPr>
          <w:b/>
        </w:rPr>
        <w:t xml:space="preserve">Source: </w:t>
      </w:r>
      <w:r>
        <w:t>Wiley: Angewandte Chemie International Edition: Table of Contents</w:t>
      </w:r>
      <w:r>
        <w:t xml:space="preserve">    </w:t>
      </w:r>
      <w:r>
        <w:rPr>
          <w:b/>
        </w:rPr>
        <w:t xml:space="preserve">Pub date: </w:t>
      </w:r>
      <w:r>
        <w:t>2026-05-19 16:28:51+00:00</w:t>
      </w:r>
      <w:r>
        <w:t xml:space="preserve">    </w:t>
      </w:r>
      <w:r>
        <w:rPr>
          <w:b/>
        </w:rPr>
        <w:t xml:space="preserve">DOI: </w:t>
      </w:r>
      <w:hyperlink r:id="rId62">
        <w:r>
          <w:rPr>
            <w:color w:val="1155CC"/>
            <w:u w:val="single"/>
          </w:rPr>
          <w:t>10.1002/anie.9964660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多碘化物穿梭通常会导致在长时间充放电过程中库仑效率低和容量快速衰减，从而限制了 Zn-I2 电池在长时储能 (LDES) 中的应用。在本研究中，将聚苯乙烯-b-聚(2-乙烯基吡啶) (PS-b-P2VP) 球形胶束在活性炭 (AC) 上的自组装薄膜用作碘物种的宿主。PS-b-P2VP 胶束薄膜提供了丰富的空间分布吡啶基团，通过卤素键实现碘的大量积累。此外，与 P2VP 均聚物的致密薄膜相比，PS-b-P2VP 胶束薄膜内的刷状 P2VP 冠层创建了一个分层开放平台，促进了碘物种的深度扩散和稳健封装。这种独特的结构特征显著抑制了多碘化物在长时间充放电过程中的穿梭效应。因此，所得的 AC/PS-b-P2VP@I2 正极在超过 20 小时的长时间充放电过程中，表现出 97.3% 的高库仑效率和 191.6 mAh g−1 的高容量，并在 2000 小时（100 次循环）内保持 96.8% 的容量。此外，组装的 Zn-I2</w:t>
      </w:r>
    </w:p>
    <w:p>
      <w:pPr>
        <w:spacing w:before="0" w:after="200" w:lineRule="auto" w:line="276"/>
      </w:pPr>
      <w:r>
        <w:rPr>
          <w:b/>
        </w:rPr>
        <w:t xml:space="preserve">Abstract (EN): </w:t>
      </w:r>
      <w:r>
        <w:t>Polyiodides shuttling normally leads to low coulombic efficiency and rapid capacity fading under extended charging‐discharging durations, thereby limiting the application of Zn‐I</w:t>
      </w:r>
      <w:r>
        <w:rPr>
          <w:vertAlign w:val="subscript"/>
        </w:rPr>
        <w:t>2</w:t>
      </w:r>
      <w:r>
        <w:t>batteries in long‐duration energy storage (LDES). In this study, self‐assembled film of polystyrene‐</w:t>
      </w:r>
      <w:r>
        <w:t xml:space="preserve"> </w:t>
      </w:r>
      <w:r>
        <w:t>b</w:t>
      </w:r>
      <w:r>
        <w:t xml:space="preserve"> </w:t>
      </w:r>
      <w:r>
        <w:t>‐poly(2‐vinylpyridine) (PS‐</w:t>
      </w:r>
      <w:r>
        <w:t xml:space="preserve"> </w:t>
      </w:r>
      <w:r>
        <w:t>b</w:t>
      </w:r>
      <w:r>
        <w:t xml:space="preserve"> </w:t>
      </w:r>
      <w:r>
        <w:t>‐P2VP) spherical micelles on activated carbon (AC) is employed as a host for iodine species. The PS‐</w:t>
      </w:r>
      <w:r>
        <w:t xml:space="preserve"> </w:t>
      </w:r>
      <w:r>
        <w:t>b</w:t>
      </w:r>
      <w:r>
        <w:t xml:space="preserve"> </w:t>
      </w:r>
      <w:r>
        <w:t>‐P2VP micellar film provides abundant spatially distributed pyridyl groups for massive accumulation of iodine through halogen bonding. Moreover, compared to the dense film of P2VP homopolymer, the brush‐like P2VP corona within the PS‐</w:t>
      </w:r>
      <w:r>
        <w:t xml:space="preserve"> </w:t>
      </w:r>
      <w:r>
        <w:t>b</w:t>
      </w:r>
      <w:r>
        <w:t xml:space="preserve"> </w:t>
      </w:r>
      <w:r>
        <w:t>‐P2VP micellar film creates a hierarchically open platform that facilitate the deep diffusion and robust encapsulation of iodine species. Such distinct structural feature remarkably suppresses the shuttling effect of polyiodides in prolonged charging‐discharging duration. Thus, the resulting AC/PS‐</w:t>
      </w:r>
      <w:r>
        <w:t xml:space="preserve"> </w:t>
      </w:r>
      <w:r>
        <w:t>b</w:t>
      </w:r>
      <w:r>
        <w:t xml:space="preserve"> </w:t>
      </w:r>
      <w:r>
        <w:t>‐P2VP@I</w:t>
      </w:r>
      <w:r>
        <w:rPr>
          <w:vertAlign w:val="subscript"/>
        </w:rPr>
        <w:t>2</w:t>
      </w:r>
      <w:r>
        <w:t>cathode reveals high coulombic efficiency of 97.3% and high capacity of 191.6 mAh g</w:t>
      </w:r>
      <w:r>
        <w:t xml:space="preserve"> </w:t>
      </w:r>
      <w:r>
        <w:t>−1</w:t>
      </w:r>
      <w:r>
        <w:t xml:space="preserve"> </w:t>
      </w:r>
      <w:r>
        <w:t>under a long charging‐discharging duration exceeding 20 h, maintaining 96.8% capacity over 2000 h (100 cycles). Furthermore, the assembled Zn‐I</w:t>
      </w:r>
      <w:r>
        <w:rPr>
          <w:vertAlign w:val="subscript"/>
        </w:rPr>
        <w:t>2</w:t>
      </w:r>
      <w:r>
        <w:t>pouch cell demonstrates exceptional performance by powering an LED display screen for over 9.7 h, following a 24‐h rest after fully charged, highlighting its promising potential for LDES applications.</w:t>
      </w:r>
    </w:p>
    <w:p>
      <w:pPr>
        <w:spacing w:before="120" w:after="120"/>
      </w:pPr>
      <w:r>
        <w:rPr>
          <w:sz w:val="18"/>
        </w:rPr>
        <w:t>——————————————————————————————————————————————————————————————————————</w:t>
      </w:r>
    </w:p>
    <w:p>
      <w:pPr>
        <w:spacing w:before="160" w:after="40" w:line="240" w:lineRule="auto"/>
      </w:pPr>
      <w:r>
        <w:rPr>
          <w:b/>
        </w:rPr>
        <w:t xml:space="preserve">[14] </w:t>
      </w:r>
      <w:hyperlink r:id="rId63">
        <w:r>
          <w:rPr>
            <w:color w:val="1155CC"/>
            <w:u w:val="single"/>
          </w:rPr>
          <w:t>通过配位竞争诱导的缺陷工程金属有机框架用于长寿命水系锌离子电池</w:t>
        </w:r>
      </w:hyperlink>
    </w:p>
    <w:p>
      <w:pPr>
        <w:spacing w:before="0" w:after="80"/>
      </w:pPr>
      <w:r>
        <w:rPr>
          <w:i/>
          <w:sz w:val="20"/>
        </w:rPr>
        <w:t>EN: Defect‐Engineered Metal–Organic Frameworks via Coordination Competition Induction for Long‐Life Aqueous Zinc–Ion Batteries</w:t>
      </w:r>
    </w:p>
    <w:p>
      <w:pPr>
        <w:spacing w:before="0" w:after="120"/>
      </w:pPr>
      <w:r>
        <w:rPr>
          <w:b/>
        </w:rPr>
        <w:t xml:space="preserve">Source: </w:t>
      </w:r>
      <w:r>
        <w:t>Wiley: Angewandte Chemie International Edition: Table of Contents</w:t>
      </w:r>
      <w:r>
        <w:t xml:space="preserve">    </w:t>
      </w:r>
      <w:r>
        <w:rPr>
          <w:b/>
        </w:rPr>
        <w:t xml:space="preserve">Pub date: </w:t>
      </w:r>
      <w:r>
        <w:t>2026-05-19 16:34:47+00:00</w:t>
      </w:r>
      <w:r>
        <w:t xml:space="preserve">    </w:t>
      </w:r>
      <w:r>
        <w:rPr>
          <w:b/>
        </w:rPr>
        <w:t xml:space="preserve">DOI: </w:t>
      </w:r>
      <w:hyperlink r:id="rId64">
        <w:r>
          <w:rPr>
            <w:color w:val="1155CC"/>
            <w:u w:val="single"/>
          </w:rPr>
          <w:t>10.1002/anie.5171214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具有明确晶体结构的金属有机框架 (MOFs) 为阐明水系锌离子电池 (AZIBs) 中结构与电化学性能之间的内在关系提供了理想平台。然而，MOFs 中电化学活性金属位点的数量有限，限制了 Zn</w:t>
      </w:r>
      <w:r>
        <w:t xml:space="preserve"> </w:t>
      </w:r>
      <w:r>
        <w:t>2+</w:t>
      </w:r>
      <w:r>
        <w:t xml:space="preserve"> </w:t>
      </w:r>
      <w:r>
        <w:t>的存储容量和反应动力学。在本研究中，采用了一种配体竞争诱导的缺陷工程策略，即在 Br-MIL(V)-47 的合成过程中，用单羧酸配体部分取代二羧酸配体，从而实现可控配位不饱和 V 位点的有序构建。结果表明，适度引入不饱和 V 位点增强了骨架柔韧性和空间缓冲，有效缓解了重复 Zn</w:t>
      </w:r>
      <w:r>
        <w:t xml:space="preserve"> </w:t>
      </w:r>
      <w:r>
        <w:t>2+</w:t>
      </w:r>
      <w:r>
        <w:t xml:space="preserve"> </w:t>
      </w:r>
      <w:r>
        <w:t>嵌入/脱出引起的局部结构畸变，并抑制了结构坍塌和不可逆相变。原位/非原位光谱分析进一步证实了可逆的结构演变。优化后的 0.4-SSA-TPA 正极表现出优异的循环稳定性。实验和理论分析共同表明，不饱和 V 位点的形成诱导了局部电子密度重新分布，从而促进了可逆氧化还原反应。这项研究为精确设计 MOF 材料以用于下一代储能应用提供了重要见解。</w:t>
      </w:r>
    </w:p>
    <w:p>
      <w:pPr>
        <w:spacing w:before="0" w:after="200" w:lineRule="auto" w:line="276"/>
      </w:pPr>
      <w:r>
        <w:rPr>
          <w:b/>
        </w:rPr>
        <w:t xml:space="preserve">Abstract (EN): </w:t>
      </w:r>
      <w:r>
        <w:t>Metal–organic frameworks (MOFs) with well‐defined crystalline structures provide ideal platforms for elucidating the intrinsic relationship between structure and electrochemical performance in aqueous zinc–ion batteries (AZIBs). However, the limited number of electrochemically active metal sites in MOFs constrains Zn</w:t>
      </w:r>
      <w:r>
        <w:t xml:space="preserve"> </w:t>
      </w:r>
      <w:r>
        <w:t>2+</w:t>
      </w:r>
      <w:r>
        <w:t xml:space="preserve"> </w:t>
      </w:r>
      <w:r>
        <w:t>storage capacity and reaction kinetics. In this study, a ligand‐competition‐induced defect engineering strategy was adopted, where partial substitution of dicarboxylate ligands with monocarboxylate ligands during the synthesis of Br‐MIL(V)‐47 enables the ordered construction of controllable coordinatively unsaturated V sites. The results indicate that the moderate introduction of unsaturated V sites enhances framework flexibility and spatial buffering, effectively alleviating local structural distortion induced by repeated Zn</w:t>
      </w:r>
      <w:r>
        <w:t xml:space="preserve"> </w:t>
      </w:r>
      <w:r>
        <w:t>2+</w:t>
      </w:r>
      <w:r>
        <w:t xml:space="preserve"> </w:t>
      </w:r>
      <w:r>
        <w:t>insertion/extraction and suppressing structural collapse and irreversible phase transitions. In/ex situ spectroscopic analyses further confirm the reversible structural evolution. The optimized 0.4‐SSA‐TPA cathode demonstrates excellent cycling stability. Experimental and theoretical analyses collectively indicate that the formation of unsaturated V sites induced local electron density redistribution, thereby facilitating reversible redox reactions. This study provides important insights into the precise design of MOF materials toward next‐generation energy storage applications.</w:t>
      </w:r>
    </w:p>
    <w:p>
      <w:pPr>
        <w:spacing w:before="120" w:after="120"/>
      </w:pPr>
      <w:r>
        <w:rPr>
          <w:sz w:val="18"/>
        </w:rPr>
        <w:t>——————————————————————————————————————————————————————————————————————</w:t>
      </w:r>
    </w:p>
    <w:p>
      <w:pPr>
        <w:spacing w:before="160" w:after="40" w:line="240" w:lineRule="auto"/>
      </w:pPr>
      <w:r>
        <w:rPr>
          <w:b/>
        </w:rPr>
        <w:t xml:space="preserve">[15] </w:t>
      </w:r>
      <w:hyperlink r:id="rId65">
        <w:r>
          <w:rPr>
            <w:color w:val="1155CC"/>
            <w:u w:val="single"/>
          </w:rPr>
          <w:t>[ASAP] 超高碲含量低压全固态锂-碲电池</w:t>
        </w:r>
      </w:hyperlink>
    </w:p>
    <w:p>
      <w:pPr>
        <w:spacing w:before="0" w:after="80"/>
      </w:pPr>
      <w:r>
        <w:rPr>
          <w:i/>
          <w:sz w:val="20"/>
        </w:rPr>
        <w:t>EN: [ASAP] Ultrahigh Te-Content Low-Pressure All-Solid-State Li–Te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2026-05-19 18:28:34+00:00</w:t>
      </w:r>
      <w:r>
        <w:t xml:space="preserve">    </w:t>
      </w:r>
      <w:r>
        <w:rPr>
          <w:b/>
        </w:rPr>
        <w:t xml:space="preserve">DOI: </w:t>
      </w:r>
      <w:hyperlink r:id="rId66">
        <w:r>
          <w:rPr>
            <w:color w:val="1155CC"/>
            <w:u w:val="single"/>
          </w:rPr>
          <w:t>10.1021/jacs.5c23309</w:t>
        </w:r>
      </w:hyperlink>
    </w:p>
    <w:p>
      <w:pPr>
        <w:spacing w:before="0" w:after="120"/>
      </w:pPr>
      <w:r>
        <w:rPr>
          <w:b/>
        </w:rPr>
        <w:t xml:space="preserve">Notes: </w:t>
      </w:r>
      <w:r>
        <w:t>abstract_source=pubmed</w:t>
      </w:r>
    </w:p>
    <w:p>
      <w:pPr>
        <w:spacing w:before="0" w:after="80" w:lineRule="auto" w:line="276"/>
      </w:pPr>
      <w:r>
        <w:rPr>
          <w:b/>
        </w:rPr>
        <w:t xml:space="preserve">摘要（ZH）: </w:t>
      </w:r>
      <w:r>
        <w:t>碲 (Te) 具有高体积容量 (2621 mAh cm-3) 和良好的电子电导率 (2000 mS cm-1)，已成为未来锂金属电池的一种有前景的正极材料。然而，采用锂-碲化学体系的全固态电池 (ASSBs) 仍未得到充分探索。在此，我们构建了一种纳米结构的 Te91@LPSC-350 复合材料，其中约 10 nm 的 Te 域均匀嵌入无定形 Li5.5PS4.5Cl1.5 (LPSC) 基质中，具有 91 wt % 的超高 Te 含量和紧密的固-固接触。这种纳米复合材料表现出高电子电导率 (121 mS cm-1) 和可观的离子电导率（0.1 mS cm-1，锂化后），从而实现了固态下超快且高度可逆的 Te 氧化还原反应。因此，采用 Te91@LPSC-350 纳米复合正极的 ASSBs 在 0.25 mA cm-2 下可提供 420 mAh g-1 的理论容量，在 12.5 mA cm-2 下保持超过 13,000 次循环的超长循环稳定性，并实现 21 mAh cm-2 的高面积容量。此外，能量密度为 1100 Wh L-1（基于 Li 和 Te91@LPSC-350）的全固态锂-碲软包电池在 2.5 MPa 下循环 200 次后仍保持其初始容量的 81%。值得注意的是，Te 可以通过利用其在汽化-冷凝过程中的 100% 选择性直接回收。这些结果表明，全固态锂-碲电池是一种安全、能量密度高且可持续的储能技术。</w:t>
      </w:r>
    </w:p>
    <w:p>
      <w:pPr>
        <w:spacing w:before="0" w:after="200" w:lineRule="auto" w:line="276"/>
      </w:pPr>
      <w:r>
        <w:rPr>
          <w:b/>
        </w:rPr>
        <w:t xml:space="preserve">Abstract (EN): </w:t>
      </w:r>
      <w:r>
        <w:t>Tellurium (Te), with high volumetric capacity (2621 mAh cm-3) and decent electronic conductivity (2000 mS cm-1), has emerged as a promising cathode material for future lithium metal batteries. However, all-solid-state batteries (ASSBs) with Li-Te chemistry remain largely unexplored. Here, we construct a nanostructured Te91@LPSC-350 composite in which ∼10 nm Te domains are uniformly embedded within an amorphous Li5.5PS4.5Cl1.5 (LPSC) matrix, featuring an ultrahigh Te content of 91 wt % and intimate solid-solid contact. This nanocomposite exhibits high electronic conductivity (121 mS cm-1) and appreciable ionic conductivity (0.1 mS cm-1, after lithiation), enabling ultrafast and highly reversible Te redox reactions in the solid-state. Resultantly, ASSBs with the Te91@LPSC-350 nanocomposite cathode deliver their theoretical capacity of 420 mAh g-1 at 0.25 mA cm-2, maintain ultralong cycling stability over 13,000 cycles at 12.5 mA cm-2, and achieve a high areal capacity of 21 mAh cm-2. Furthermore, all-solid-state Li-Te pouch cells with an energy density of 1100 Wh L-1 (based on Li and Te91@LPSC-350) retain 81% of their initial capacity after 200 cycles under 2.5 MPa. Notably, Te can be directly recovered by exploiting its 100% selectivity in a vaporization-condensation process. These results demonstrate that all-solid-state Li-Te batteries are a safe, energy-dense, and sustainable energy storage technology.</w:t>
      </w:r>
    </w:p>
    <w:p>
      <w:pPr>
        <w:spacing w:before="120" w:after="120"/>
      </w:pPr>
      <w:r>
        <w:rPr>
          <w:sz w:val="18"/>
        </w:rPr>
        <w:t>——————————————————————————————————————————————————————————————————————</w:t>
      </w:r>
    </w:p>
    <w:p>
      <w:pPr>
        <w:spacing w:before="160" w:after="40" w:line="240" w:lineRule="auto"/>
      </w:pPr>
      <w:r>
        <w:rPr>
          <w:b/>
        </w:rPr>
        <w:t xml:space="preserve">[16] </w:t>
      </w:r>
      <w:hyperlink r:id="rId67">
        <w:r>
          <w:rPr>
            <w:color w:val="1155CC"/>
            <w:u w:val="single"/>
          </w:rPr>
          <w:t>[ASAP] Na4Mn1.5Fe1.5(PO4)2P2O7正极中Na3位点的局部配位环境工程</w:t>
        </w:r>
      </w:hyperlink>
    </w:p>
    <w:p>
      <w:pPr>
        <w:spacing w:before="0" w:after="80"/>
      </w:pPr>
      <w:r>
        <w:rPr>
          <w:i/>
          <w:sz w:val="20"/>
        </w:rPr>
        <w:t>EN: [ASAP] Local Coordination Environment Engineering of Na3 Sites in Na4Mn1.5Fe1.5(PO4)2P2O7 Cathode</w:t>
      </w:r>
    </w:p>
    <w:p>
      <w:pPr>
        <w:spacing w:before="0" w:after="120"/>
      </w:pPr>
      <w:r>
        <w:rPr>
          <w:b/>
        </w:rPr>
        <w:t xml:space="preserve">Source: </w:t>
      </w:r>
      <w:r>
        <w:t>Journal of the American Chemical Society: Latest Articles (ACS Publications)</w:t>
      </w:r>
      <w:r>
        <w:t xml:space="preserve">    </w:t>
      </w:r>
      <w:r>
        <w:rPr>
          <w:b/>
        </w:rPr>
        <w:t xml:space="preserve">Pub date: </w:t>
      </w:r>
      <w:r>
        <w:t>2026-05-19 18:50:37+00:00</w:t>
      </w:r>
      <w:r>
        <w:t xml:space="preserve">    </w:t>
      </w:r>
      <w:r>
        <w:rPr>
          <w:b/>
        </w:rPr>
        <w:t xml:space="preserve">DOI: </w:t>
      </w:r>
      <w:hyperlink r:id="rId68">
        <w:r>
          <w:rPr>
            <w:color w:val="1155CC"/>
            <w:u w:val="single"/>
          </w:rPr>
          <w:t>10.1021/jacs.6c00759</w:t>
        </w:r>
      </w:hyperlink>
    </w:p>
    <w:p>
      <w:pPr>
        <w:spacing w:before="0" w:after="120"/>
      </w:pPr>
      <w:r>
        <w:rPr>
          <w:b/>
        </w:rPr>
        <w:t xml:space="preserve">Notes: </w:t>
      </w:r>
      <w:r>
        <w:t>abstract_source=pubmed</w:t>
      </w:r>
    </w:p>
    <w:p>
      <w:pPr>
        <w:spacing w:before="0" w:after="80" w:lineRule="auto" w:line="276"/>
      </w:pPr>
      <w:r>
        <w:rPr>
          <w:b/>
        </w:rPr>
        <w:t xml:space="preserve">摘要（ZH）: </w:t>
      </w:r>
      <w:r>
        <w:t>锰铁基混合聚阴离子化合物 Na4Mn1.5Fe1.5(PO4)2P2O7 (NMFPP) 在开发高能量密度商用钠离子电池方面具有巨大潜力。然而，其实际能量密度受到与固有结构缺陷相关的首次循环不可逆 Na+ 脱嵌的限制，并且在如此组成和配位复杂的骨架中，其潜在的结构起源仍未完全理解。在本文中，我们表明局部配位环境重构控制着聚阴离子正极中的不可逆容量损失和随之而来的长期降解。发现过渡金属 (TM) 配位多面体的原子尺度重构，以及纳米尺度域内的短程有序，决定了 Na3 位点的热力学可及性和动力学可逆性。通过构建一系列位点定向掺杂模型并结合实验验证，我们证明特定的掺杂元素可以诱导不稳定的 TMO5 单元转变为更稳定的 TMO6 构型，从而在不改变整体骨架结构的情况下产生局部重构的配位环境。电子结构分析进一步表明，这种重构通过降低 Na+ (脱)嵌势垒并使 Mn 更有效地参与电荷补偿来稳定 Na3 相关的氧化还原过程。因此，锰铁基混合聚阴离子正极中长期存在的首次循环不可逆容量损失得到有效缓解，从而实现同步改善</w:t>
      </w:r>
    </w:p>
    <w:p>
      <w:pPr>
        <w:spacing w:before="0" w:after="200" w:lineRule="auto" w:line="276"/>
      </w:pPr>
      <w:r>
        <w:rPr>
          <w:b/>
        </w:rPr>
        <w:t xml:space="preserve">Abstract (EN): </w:t>
      </w:r>
      <w:r>
        <w:t>Mn-Fe-based mixed polyanionic compound Na4Mn1.5Fe1.5(PO4)2P2O7 (NMFPP) holds great promise for the development of high-energy-density commercial sodium-ion batteries. However, its practical energy density was constrained by first-cycle irreversible Na+ deintercalation associated with intrinsic structural defects, and the underlying structural origin in such compositionally and coordinatively complex frameworks remains incompletely understood. Herein, we show that local coordination environment reconstruction governs irreversible capacity loss and the ensuing long-term degradation in polyanionic cathodes. Atomic-scale reconstruction of transition-metal (TM) coordination polyhedra, together with short-range ordering within nanoscale domains, is found to dictate the thermodynamic accessibility and kinetic reversibility of the Na3 site. By constructing a series of site-directed doping models in conjunction with experimental validation, we demonstrate that specific dopant elements can induce the transformation of unstable TMO5 units into more robust TMO6 configurations, thereby generating locally reconstructed coordination environments without altering the overall framework structure. Electronic-structure analyses further suggest that this reconstruction stabilizes the Na3-related redox process by lowering the Na+ (de)intercalation barrier and enabling more effective Mn participation in charge compensation. Consequently, the long-standing first-cycle irreversible capacity loss in Mn-Fe-based mixed polyanionic cathodes is effectively mitigated, leading to simultaneous improvements in energy density and cycling stability. Altogether, these findings provide vital guidelines for defect-sensitive Na site engineering toward high-energy-density sodium-ion batteries.</w:t>
      </w:r>
    </w:p>
    <w:p>
      <w:pPr>
        <w:spacing w:before="120" w:after="120"/>
      </w:pPr>
      <w:r>
        <w:rPr>
          <w:sz w:val="18"/>
        </w:rPr>
        <w:t>——————————————————————————————————————————————————————————————————————</w:t>
      </w:r>
    </w:p>
    <w:p>
      <w:pPr>
        <w:spacing w:before="160" w:after="40" w:line="240" w:lineRule="auto"/>
      </w:pPr>
      <w:r>
        <w:rPr>
          <w:b/>
        </w:rPr>
        <w:t xml:space="preserve">[17] </w:t>
      </w:r>
      <w:hyperlink r:id="rId69">
        <w:r>
          <w:rPr>
            <w:color w:val="1155CC"/>
            <w:u w:val="single"/>
          </w:rPr>
          <w:t>通过有机盐驱动的钠补充实现超过 180 Wh/kg 的钠离子电池</w:t>
        </w:r>
      </w:hyperlink>
    </w:p>
    <w:p>
      <w:pPr>
        <w:spacing w:before="0" w:after="80"/>
      </w:pPr>
      <w:r>
        <w:rPr>
          <w:i/>
          <w:sz w:val="20"/>
        </w:rPr>
        <w:t>EN: Enabling Sodium‐Ion Batteries Over 180 Wh/kg via Organic‐Salt‐Driven Sodium Replenishment</w:t>
      </w:r>
    </w:p>
    <w:p>
      <w:pPr>
        <w:spacing w:before="0" w:after="120"/>
      </w:pPr>
      <w:r>
        <w:rPr>
          <w:b/>
        </w:rPr>
        <w:t xml:space="preserve">Source: </w:t>
      </w:r>
      <w:r>
        <w:t>Wiley: Advanced Materials: Table of Contents</w:t>
      </w:r>
      <w:r>
        <w:t xml:space="preserve">    </w:t>
      </w:r>
      <w:r>
        <w:rPr>
          <w:b/>
        </w:rPr>
        <w:t xml:space="preserve">Pub date: </w:t>
      </w:r>
      <w:r>
        <w:t>2026-05-20 07:08:28+00:00</w:t>
      </w:r>
      <w:r>
        <w:t xml:space="preserve">    </w:t>
      </w:r>
      <w:r>
        <w:rPr>
          <w:b/>
        </w:rPr>
        <w:t xml:space="preserve">DOI: </w:t>
      </w:r>
      <w:hyperlink r:id="rId70">
        <w:r>
          <w:rPr>
            <w:color w:val="1155CC"/>
            <w:u w:val="single"/>
          </w:rPr>
          <w:t>10.1002/adma.73448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补偿P2型层状钠金属氧化物正极固有的显著钠离子缺陷，是推进高性能钠离子电池的一种有前景的策略。然而，当前方法仍未能调和预钠化剂量与能量密度之间的权衡。在此，我们引入了一种可溶性钠补偿剂——四苯基硼酸钠 (NaBPh4)，它是通过结合无监督和有监督机器学习筛选硼中心阴离子合理发现的，能够释放足够的钠离子以补充P2型氧化物的全部钠缺陷。在P2‐Na0.67Ni0.08Ti0.12Mn0.8O2 || 硬碳全电池中，这种补偿剂赋予全电池超过3700次循环的超长循环寿命，而一个5 Ah软包电池在0.1C下实现了184 Wh kg−1的卓越能量密度。这项工作为解决高钠缺陷系统建立了一种通用策略，从而扩大了钠离子全电池的研究范围和实际应用潜力。</w:t>
      </w:r>
    </w:p>
    <w:p>
      <w:pPr>
        <w:spacing w:before="0" w:after="200" w:lineRule="auto" w:line="276"/>
      </w:pPr>
      <w:r>
        <w:rPr>
          <w:b/>
        </w:rPr>
        <w:t xml:space="preserve">Abstract (EN): </w:t>
      </w:r>
      <w:r>
        <w:t>Compensating for the substantial sodium ion deficit inherent in P2‐type layered sodium metal oxide cathodes represents a promising strategy for advancing high‐performance sodium‐ion batteries. However, current approaches still fail to reconcile the trade‐off between pre‐sodiation dosage and energy density. Herein, we introduce a soluble sodium compensator, sodium tetraphenylborate (NaBPh</w:t>
      </w:r>
      <w:r>
        <w:rPr>
          <w:vertAlign w:val="subscript"/>
        </w:rPr>
        <w:t>4</w:t>
      </w:r>
      <w:r>
        <w:t>), rationally discovered through a combined unsupervised and supervised machine‐learning screening of boron‑centered anions, which can release sufficient sodium ions to replenish the entire sodium deficit of P2‐type oxides. In P2‐Na</w:t>
      </w:r>
      <w:r>
        <w:t xml:space="preserve"> </w:t>
      </w:r>
      <w:r>
        <w:t>0.67</w:t>
      </w:r>
      <w:r>
        <w:t xml:space="preserve"> </w:t>
      </w:r>
      <w:r>
        <w:t>Ni</w:t>
      </w:r>
      <w:r>
        <w:t xml:space="preserve"> </w:t>
      </w:r>
      <w:r>
        <w:t>0.08</w:t>
      </w:r>
      <w:r>
        <w:t xml:space="preserve"> </w:t>
      </w:r>
      <w:r>
        <w:t>Ti</w:t>
      </w:r>
      <w:r>
        <w:t xml:space="preserve"> </w:t>
      </w:r>
      <w:r>
        <w:t>0.12</w:t>
      </w:r>
      <w:r>
        <w:t xml:space="preserve"> </w:t>
      </w:r>
      <w:r>
        <w:t>Mn</w:t>
      </w:r>
      <w:r>
        <w:t xml:space="preserve"> </w:t>
      </w:r>
      <w:r>
        <w:t>0.8</w:t>
      </w:r>
      <w:r>
        <w:t xml:space="preserve"> </w:t>
      </w:r>
      <w:r>
        <w:t>O</w:t>
      </w:r>
      <w:r>
        <w:rPr>
          <w:vertAlign w:val="subscript"/>
        </w:rPr>
        <w:t>2</w:t>
      </w:r>
      <w:r>
        <w:t>|| hard carbon full cells, this compensator endows the full cell with an ultra‐long cycle life exceeding 3700 cycles, while a 5 Ah pouch cell achieves a remarkable energy density of 184 Wh kg</w:t>
      </w:r>
      <w:r>
        <w:t xml:space="preserve"> </w:t>
      </w:r>
      <w:r>
        <w:t>−1</w:t>
      </w:r>
      <w:r>
        <w:t xml:space="preserve"> </w:t>
      </w:r>
      <w:r>
        <w:t>at 0.1C. This work establishes a versatile strategy for addressing high sodium‐deficiency systems, thereby expanding the research scope and practical application potential of sodium‐ion full cells.</w:t>
      </w:r>
    </w:p>
    <w:p>
      <w:pPr>
        <w:spacing w:before="120" w:after="120"/>
      </w:pPr>
      <w:r>
        <w:rPr>
          <w:sz w:val="18"/>
        </w:rPr>
        <w:t>——————————————————————————————————————————————————————————————————————</w:t>
      </w:r>
    </w:p>
    <w:p>
      <w:pPr>
        <w:spacing w:before="160" w:after="40" w:line="240" w:lineRule="auto"/>
      </w:pPr>
      <w:r>
        <w:rPr>
          <w:b/>
        </w:rPr>
        <w:t xml:space="preserve">[18] </w:t>
      </w:r>
      <w:hyperlink r:id="rId71">
        <w:r>
          <w:rPr>
            <w:color w:val="1155CC"/>
            <w:u w:val="single"/>
          </w:rPr>
          <w:t>准固态碘电极用于高面积容量水系碘电池</w:t>
        </w:r>
      </w:hyperlink>
    </w:p>
    <w:p>
      <w:pPr>
        <w:spacing w:before="0" w:after="80"/>
      </w:pPr>
      <w:r>
        <w:rPr>
          <w:i/>
          <w:sz w:val="20"/>
        </w:rPr>
        <w:t>EN: Quasi‐Solid Iodine Electrode for High‐Areal‐Capacity Aqueous Iodine Batteries</w:t>
      </w:r>
    </w:p>
    <w:p>
      <w:pPr>
        <w:spacing w:before="0" w:after="120"/>
      </w:pPr>
      <w:r>
        <w:rPr>
          <w:b/>
        </w:rPr>
        <w:t xml:space="preserve">Source: </w:t>
      </w:r>
      <w:r>
        <w:t>Wiley: Advanced Materials: Table of Contents</w:t>
      </w:r>
      <w:r>
        <w:t xml:space="preserve">    </w:t>
      </w:r>
      <w:r>
        <w:rPr>
          <w:b/>
        </w:rPr>
        <w:t xml:space="preserve">Pub date: </w:t>
      </w:r>
      <w:r>
        <w:t>2026-05-20 07:29:40+00:00</w:t>
      </w:r>
      <w:r>
        <w:t xml:space="preserve">    </w:t>
      </w:r>
      <w:r>
        <w:rPr>
          <w:b/>
        </w:rPr>
        <w:t xml:space="preserve">DOI: </w:t>
      </w:r>
      <w:hyperlink r:id="rId72">
        <w:r>
          <w:rPr>
            <w:color w:val="1155CC"/>
            <w:u w:val="single"/>
          </w:rPr>
          <w:t>10.1002/adma.73408</w:t>
        </w:r>
      </w:hyperlink>
    </w:p>
    <w:p>
      <w:pPr>
        <w:spacing w:before="0" w:after="120"/>
      </w:pPr>
      <w:r>
        <w:rPr>
          <w:b/>
        </w:rPr>
        <w:t xml:space="preserve">Notes: </w:t>
      </w:r>
      <w:r>
        <w:t>abstract_source=crossref</w:t>
      </w:r>
    </w:p>
    <w:p>
      <w:pPr>
        <w:spacing w:before="0" w:after="80" w:lineRule="auto" w:line="276"/>
      </w:pPr>
      <w:r>
        <w:rPr>
          <w:b/>
        </w:rPr>
        <w:t xml:space="preserve">摘要（ZH）: </w:t>
      </w:r>
      <w:r>
        <w:t>锌碘电池 (ZIBs) 通过双电子I−/I0 (2eZIB) 或四电子I−/I0/I+ (4eZIB) 氧化还原对运行，具有高理论能量密度和可持续性。然而，实现实际高能量密度需要高碘含量和质量负载，这会减缓碘的氧化还原动力学并加剧I+的水解和穿梭。在此，我们提出了一种坚固的准固态电极 (QE) 结构，其中分子分散的碘被空间限制在聚丙烯腈 (PAN)–N‐甲基‐2‐吡咯烷酮 (NMP) 凝胶网络中——否则碘会挥发——从而在电极加工过程中实现高碘保留。碘不仅作为活性材料，还通过NMP·I2电荷转移络合和强多碘化物–PAN相互作用驱动凝胶相的形成和稳定，整合了一个坚固、弹性的结构，并由ZnSO4电解质中的促溶效应进一步增强。这种结构加速了I−/I0和I0/I+的氧化还原动力学，实现了高负载（高达100 mg cm−2）。</w:t>
      </w:r>
    </w:p>
    <w:p>
      <w:pPr>
        <w:spacing w:before="0" w:after="200" w:lineRule="auto" w:line="276"/>
      </w:pPr>
      <w:r>
        <w:rPr>
          <w:b/>
        </w:rPr>
        <w:t xml:space="preserve">Abstract (EN): </w:t>
      </w:r>
      <w:r>
        <w:t>Zinc–iodine batteries (ZIBs), operating via either the two‐electron I</w:t>
      </w:r>
      <w:r>
        <w:t xml:space="preserve"> </w:t>
      </w:r>
      <w:r>
        <w:t>−</w:t>
      </w:r>
      <w:r>
        <w:t>/I</w:t>
      </w:r>
      <w:r>
        <w:rPr>
          <w:vertAlign w:val="subscript"/>
        </w:rPr>
        <w:t>0</w:t>
      </w:r>
      <w:r>
        <w:t>(2eZIB) or four‐electron I</w:t>
      </w:r>
      <w:r>
        <w:t xml:space="preserve"> </w:t>
      </w:r>
      <w:r>
        <w:t>−</w:t>
      </w:r>
      <w:r>
        <w:t>/I</w:t>
      </w:r>
      <w:r>
        <w:rPr>
          <w:vertAlign w:val="subscript"/>
        </w:rPr>
        <w:t>0</w:t>
      </w:r>
      <w:r>
        <w:t>/I</w:t>
      </w:r>
      <w:r>
        <w:t xml:space="preserve"> </w:t>
      </w:r>
      <w:r>
        <w:t>+</w:t>
      </w:r>
      <w:r>
        <w:t xml:space="preserve"> </w:t>
      </w:r>
      <w:r>
        <w:t>(4eZIB) redox couples, offer high theoretical energy density and sustainability. However, achieving practical high energy density requires high iodine content and mass loading, which slow iodine redox kinetics and exacerbate I</w:t>
      </w:r>
      <w:r>
        <w:t xml:space="preserve"> </w:t>
      </w:r>
      <w:r>
        <w:t>+</w:t>
      </w:r>
      <w:r>
        <w:t xml:space="preserve"> </w:t>
      </w:r>
      <w:r>
        <w:t>hydrolysis and shuttling. Here, we present a robust quasi‐solid electrode (QE) architecture in which molecularly dispersed iodine that spatially confined within a polyacrylonitrile (PAN)–N‐methyl‐2‐pyrrolidone (NMP) gel network—otherwise volatile—enabling high iodine retention during electrode processing. Iodine not only acts as the active material but also drives gel‐phase formation and stabilization via NMP·I</w:t>
      </w:r>
      <w:r>
        <w:rPr>
          <w:vertAlign w:val="subscript"/>
        </w:rPr>
        <w:t>2</w:t>
      </w:r>
      <w:r>
        <w:t>charge‐transfer complexation and strong polyiodides–PAN interactions, integrating a robust, elastic structure further reinforced by the kosmotropic effect in ZnSO</w:t>
      </w:r>
      <w:r>
        <w:rPr>
          <w:vertAlign w:val="subscript"/>
        </w:rPr>
        <w:t>4</w:t>
      </w:r>
      <w:r>
        <w:t>electrolyte. This architecture accelerates both I</w:t>
      </w:r>
      <w:r>
        <w:t xml:space="preserve"> </w:t>
      </w:r>
      <w:r>
        <w:t>−</w:t>
      </w:r>
      <w:r>
        <w:t>/I</w:t>
      </w:r>
      <w:r>
        <w:rPr>
          <w:vertAlign w:val="subscript"/>
        </w:rPr>
        <w:t>0</w:t>
      </w:r>
      <w:r>
        <w:t>and I</w:t>
      </w:r>
      <w:r>
        <w:rPr>
          <w:vertAlign w:val="subscript"/>
        </w:rPr>
        <w:t>0</w:t>
      </w:r>
      <w:r>
        <w:t>/I</w:t>
      </w:r>
      <w:r>
        <w:t xml:space="preserve"> </w:t>
      </w:r>
      <w:r>
        <w:t>+</w:t>
      </w:r>
      <w:r>
        <w:t xml:space="preserve"> </w:t>
      </w:r>
      <w:r>
        <w:t>redox kinetics, achieves high‐loading (up to 100 mg cm</w:t>
      </w:r>
      <w:r>
        <w:t xml:space="preserve"> </w:t>
      </w:r>
      <w:r>
        <w:t>−2</w:t>
      </w:r>
      <w:r>
        <w:t xml:space="preserve"> </w:t>
      </w:r>
      <w:r>
        <w:t>), high iodine fraction in the electrode (∼53 wt.%), and record areal capacities (17.5 mAh cm</w:t>
      </w:r>
      <w:r>
        <w:t xml:space="preserve"> </w:t>
      </w:r>
      <w:r>
        <w:t>−2</w:t>
      </w:r>
      <w:r>
        <w:t xml:space="preserve"> </w:t>
      </w:r>
      <w:r>
        <w:t>in 2eZIBs and 23.44 mAh cm</w:t>
      </w:r>
      <w:r>
        <w:t xml:space="preserve"> </w:t>
      </w:r>
      <w:r>
        <w:t>−2</w:t>
      </w:r>
      <w:r>
        <w:t xml:space="preserve"> </w:t>
      </w:r>
      <w:r>
        <w:t>in 4eZIBs), along with suppressed self‐discharge and scalable ampere‐hour pouch‐cell stability. This shuttle‐free design combines efficient mass transfer with mechanical robustness, providing a promising solution for energy‐dense iodine batteries.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73">
        <w:r>
          <w:rPr>
            <w:color w:val="1155CC"/>
            <w:u w:val="single"/>
          </w:rPr>
          <w:t>煤基硬碳上1 nm级固体电解质界面实现卓越钠存储</w:t>
        </w:r>
      </w:hyperlink>
    </w:p>
    <w:p>
      <w:pPr>
        <w:spacing w:before="0" w:after="80"/>
      </w:pPr>
      <w:r>
        <w:rPr>
          <w:i/>
          <w:sz w:val="20"/>
        </w:rPr>
        <w:t>EN: 1 nm‐Level Solid Electrolyte Interphase on Coal‐Based Hard Carbon Enables Superior Sodium Storage</w:t>
      </w:r>
    </w:p>
    <w:p>
      <w:pPr>
        <w:spacing w:before="0" w:after="120"/>
      </w:pPr>
      <w:r>
        <w:rPr>
          <w:b/>
        </w:rPr>
        <w:t xml:space="preserve">Source: </w:t>
      </w:r>
      <w:r>
        <w:t>Wiley: Advanced Materials: Table of Contents</w:t>
      </w:r>
      <w:r>
        <w:t xml:space="preserve">    </w:t>
      </w:r>
      <w:r>
        <w:rPr>
          <w:b/>
        </w:rPr>
        <w:t xml:space="preserve">Pub date: </w:t>
      </w:r>
      <w:r>
        <w:t>2026-05-16 06:01:07+00:00</w:t>
      </w:r>
      <w:r>
        <w:t xml:space="preserve">    </w:t>
      </w:r>
      <w:r>
        <w:rPr>
          <w:b/>
        </w:rPr>
        <w:t xml:space="preserve">DOI: </w:t>
      </w:r>
      <w:hyperlink r:id="rId74">
        <w:r>
          <w:rPr>
            <w:color w:val="1155CC"/>
            <w:u w:val="single"/>
          </w:rPr>
          <w:t>10.1002/adma.73153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固态电解质界面 (SEI) 是电池性能的关键决定因素，调控着离子传输和存储行为，然而对其厚度的精确控制仍然是一个严峻的挑战。在此，我们通过开发一种协同调控表面化学和微观结构的策略，在煤基硬碳上构建了1 nm级的SEI。通过沥青轻组分表面涂覆建立的受限微环境中，采用磷酸盐定向氧和碳刻蚀，形成了贫氧表面化学和典型的微孔结构。表面氧含量从6.80 at.%显著降低至1.73 at.%，同时孔体积扩大了四倍。硬碳的表面化学和结构特性有助于构建1 nm级的SEI，其特点是具有有机外层和富含Na</w:t>
      </w:r>
      <w:r>
        <w:rPr>
          <w:vertAlign w:val="subscript"/>
        </w:rPr>
        <w:t>2</w:t>
      </w:r>
      <w:r>
        <w:t>O和Na</w:t>
      </w:r>
      <w:r>
        <w:rPr>
          <w:vertAlign w:val="subscript"/>
        </w:rPr>
        <w:t>2</w:t>
      </w:r>
      <w:r>
        <w:t>CO</w:t>
      </w:r>
      <w:r>
        <w:rPr>
          <w:vertAlign w:val="subscript"/>
        </w:rPr>
        <w:t>3</w:t>
      </w:r>
      <w:r>
        <w:t>的内层，这代表了目前钠离子电池硬碳负极中的最低值。因此，所设计的煤基硬碳实现了优异的初始库仑效率 (92.18%)、可逆容量 (363 mAh g</w:t>
      </w:r>
      <w:r>
        <w:t xml:space="preserve"> </w:t>
      </w:r>
      <w:r>
        <w:t>−1</w:t>
      </w:r>
      <w:r>
        <w:t xml:space="preserve"> </w:t>
      </w:r>
      <w:r>
        <w:t>) 和倍率性能 (在3 A g</w:t>
      </w:r>
      <w:r>
        <w:t xml:space="preserve"> </w:t>
      </w:r>
      <w:r>
        <w:t>−1</w:t>
      </w:r>
      <w:r>
        <w:t xml:space="preserve"> </w:t>
      </w:r>
      <w:r>
        <w:t>下为231.2 mAh g</w:t>
      </w:r>
      <w:r>
        <w:t xml:space="preserve"> </w:t>
      </w:r>
      <w:r>
        <w:t>−1</w:t>
      </w:r>
      <w:r>
        <w:t xml:space="preserve"> </w:t>
      </w:r>
      <w:r>
        <w:t>)。这项研究提供了一种精确SEI厚度控制的新材料设计方法，有望激发广泛的研究。</w:t>
      </w:r>
    </w:p>
    <w:p>
      <w:pPr>
        <w:spacing w:before="0" w:after="200" w:lineRule="auto" w:line="276"/>
      </w:pPr>
      <w:r>
        <w:rPr>
          <w:b/>
        </w:rPr>
        <w:t xml:space="preserve">Abstract (EN): </w:t>
      </w:r>
      <w:r>
        <w:t>Solid electrolyte interphase (SEI) stands as a pivotal determinant of battery performance, governing ion transport and storage behavior, yet precise control over its thickness remains a formidable challenge. Here, we construct a 1 nm‐level SEI on coal‐based hard carbon through developing a synergistic regulation strategy toward surface chemistry and microstructure. Oxygen‐lean surface chemistry and typical micropore structure are created via phosphate‐directed oxygen and carbon etching in a confined microenvironment established by pitch light component surface coating. The surface oxygen content is remarkably reduced from 6.80 to 1.73 at.%, while the pore volume is enlarged by four times. The surface chemistry and structure properties of hard carbon contribute to the construction of 1 nm‐level SEI featured by an organic outer layer and an inner layer rich in Na</w:t>
      </w:r>
      <w:r>
        <w:rPr>
          <w:vertAlign w:val="subscript"/>
        </w:rPr>
        <w:t>2</w:t>
      </w:r>
      <w:r>
        <w:t>O and Na</w:t>
      </w:r>
      <w:r>
        <w:rPr>
          <w:vertAlign w:val="subscript"/>
        </w:rPr>
        <w:t>2</w:t>
      </w:r>
      <w:r>
        <w:t>CO</w:t>
      </w:r>
      <w:r>
        <w:rPr>
          <w:vertAlign w:val="subscript"/>
        </w:rPr>
        <w:t>3</w:t>
      </w:r>
      <w:r>
        <w:t>, which represents the lowest value in current hard carbon anodes of sodium‐ion batteries. Consequently, the as‐designed coal‐based hard carbon achieves superior initial coulombic efficiency (92.18%), reversible capacity (363 mAh g</w:t>
      </w:r>
      <w:r>
        <w:t xml:space="preserve"> </w:t>
      </w:r>
      <w:r>
        <w:t>−1</w:t>
      </w:r>
      <w:r>
        <w:t xml:space="preserve"> </w:t>
      </w:r>
      <w:r>
        <w:t>) and rate capability (231.2 mAh g</w:t>
      </w:r>
      <w:r>
        <w:t xml:space="preserve"> </w:t>
      </w:r>
      <w:r>
        <w:t>−1</w:t>
      </w:r>
      <w:r>
        <w:t xml:space="preserve"> </w:t>
      </w:r>
      <w:r>
        <w:t>at 3 A g</w:t>
      </w:r>
      <w:r>
        <w:t xml:space="preserve"> </w:t>
      </w:r>
      <w:r>
        <w:t>−1</w:t>
      </w:r>
      <w:r>
        <w:t xml:space="preserve"> </w:t>
      </w:r>
      <w:r>
        <w:t>). This study provides a new material design approach to precise SEI thickness control, promising to inspire extensive research across diverse battery chemistries.</w:t>
      </w:r>
    </w:p>
    <w:p>
      <w:pPr>
        <w:spacing w:before="120" w:after="120"/>
      </w:pPr>
      <w:r>
        <w:rPr>
          <w:sz w:val="18"/>
        </w:rPr>
        <w:t>——————————————————————————————————————————————————————————————————————</w:t>
      </w:r>
    </w:p>
    <w:p>
      <w:pPr>
        <w:spacing w:before="160" w:after="40" w:line="240" w:lineRule="auto"/>
      </w:pPr>
      <w:r>
        <w:rPr>
          <w:b/>
        </w:rPr>
        <w:t xml:space="preserve">[2] </w:t>
      </w:r>
      <w:hyperlink r:id="rId75">
        <w:r>
          <w:rPr>
            <w:color w:val="1155CC"/>
            <w:u w:val="single"/>
          </w:rPr>
          <w:t>刷-刷拓扑固体聚合物电解质实现110°C下稳定的锂金属电池循环</w:t>
        </w:r>
      </w:hyperlink>
    </w:p>
    <w:p>
      <w:pPr>
        <w:spacing w:before="0" w:after="80"/>
      </w:pPr>
      <w:r>
        <w:rPr>
          <w:i/>
          <w:sz w:val="20"/>
        </w:rPr>
        <w:t>EN: Brush‐on‐Brush Topological Solid Polymer Electrolyte Enables Stable Lithium Metal Battery Cycling at 110°C</w:t>
      </w:r>
    </w:p>
    <w:p>
      <w:pPr>
        <w:spacing w:before="0" w:after="120"/>
      </w:pPr>
      <w:r>
        <w:rPr>
          <w:b/>
        </w:rPr>
        <w:t xml:space="preserve">Source: </w:t>
      </w:r>
      <w:r>
        <w:t>Wiley: Angewandte Chemie International Edition: Table of Contents</w:t>
      </w:r>
      <w:r>
        <w:t xml:space="preserve">    </w:t>
      </w:r>
      <w:r>
        <w:rPr>
          <w:b/>
        </w:rPr>
        <w:t xml:space="preserve">Pub date: </w:t>
      </w:r>
      <w:r>
        <w:t>2026-05-18 13:07:56+00:00</w:t>
      </w:r>
      <w:r>
        <w:t xml:space="preserve">    </w:t>
      </w:r>
      <w:r>
        <w:rPr>
          <w:b/>
        </w:rPr>
        <w:t xml:space="preserve">DOI: </w:t>
      </w:r>
      <w:hyperlink r:id="rId76">
        <w:r>
          <w:rPr>
            <w:color w:val="1155CC"/>
            <w:u w:val="single"/>
          </w:rPr>
          <w:t>10.1002/anie.9037924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在100°C以上运行的高温电池在各种工业应用中至关重要。然而，传统的锂-亚硫酰氯电池等高温系统不可充电。利用固态聚合物电解质（SPEs）的锂金属电池（LMBs）为热稳定、可充电的能量存储提供了一条有前景的途径。在此，我们设计并合成了一种具有独特刷-刷拓扑结构（BOB-Li）的SPE，以同时提高电解质在高温下的机械性能和电化学稳定性。刚性的聚甲基丙烯酸甲酯（PMMA）主链赋予足够的机械强度，而聚乙二醇丙烯酸酯（PEGA）刷上的醚基团则提供紧密的粘附性和离子导电性。此外，BOB-Li促进了与LiTFSI形成富阴离子溶剂化结构，从而诱导形成稳定的固态电解质界面（SEI）。因此，采用BOB-Li的Li||LiFePO4电池在1C和110°C下循环1000次后仍保持其初始容量的90%。此外，Li||LiNi0.6Co0.2Mn0.2O2电池在85°C下可稳定工作100次循环。这项工作验证了热稳定SPE的拓扑设计策略，以及制造用于极端高温应用的LMBs的可行途径。</w:t>
      </w:r>
    </w:p>
    <w:p>
      <w:pPr>
        <w:spacing w:before="0" w:after="200" w:lineRule="auto" w:line="276"/>
      </w:pPr>
      <w:r>
        <w:rPr>
          <w:b/>
        </w:rPr>
        <w:t xml:space="preserve">Abstract (EN): </w:t>
      </w:r>
      <w:r>
        <w:t>High‐temperature batteries capable of operating above 100°C are crucial in various industry applications. However, conventional high‐temperature systems, such as lithium‐thionyl chloride batteries, are not rechargeable. Lithium metal batteries (LMBs) utilizing solid polymer electrolytes (SPEs) offer a promising pathway toward thermally stable, rechargeable energy storage. Here, we design and synthesize an SPE with unique brush‐on‐brush topology (BOB‐Li) to simultaneously enhance mechanical properties and electrochemical stability of electrolyte at elevated temperatures. The rigid poly(methyl methacrylate) (PMMA) backbone imparts sufficient mechanical strength, while the ether moieties on poly(ethylene glycol) acrylate (PEGA) brushes provide tight adhesion and ionic conductivity. Furthermore, BOB‐Li promotes anion‐rich solvation structure with LiTFSI, inducing stable solid‐electrolyte interphase (SEI). Consequently, Li||LiFePO</w:t>
      </w:r>
      <w:r>
        <w:rPr>
          <w:vertAlign w:val="subscript"/>
        </w:rPr>
        <w:t>4</w:t>
      </w:r>
      <w:r>
        <w:t>cell employing BOB‐Li retains 90% of its initial capacity after 1000 cycles at 1C and 110°C. Additionally, Li||LiNi</w:t>
      </w:r>
      <w:r>
        <w:t xml:space="preserve"> </w:t>
      </w:r>
      <w:r>
        <w:t>0.6</w:t>
      </w:r>
      <w:r>
        <w:t xml:space="preserve"> </w:t>
      </w:r>
      <w:r>
        <w:t>Co</w:t>
      </w:r>
      <w:r>
        <w:t xml:space="preserve"> </w:t>
      </w:r>
      <w:r>
        <w:t>0.2</w:t>
      </w:r>
      <w:r>
        <w:t xml:space="preserve"> </w:t>
      </w:r>
      <w:r>
        <w:t>Mn</w:t>
      </w:r>
      <w:r>
        <w:t xml:space="preserve"> </w:t>
      </w:r>
      <w:r>
        <w:t>0.2</w:t>
      </w:r>
      <w:r>
        <w:t xml:space="preserve"> </w:t>
      </w:r>
      <w:r>
        <w:t>O</w:t>
      </w:r>
      <w:r>
        <w:rPr>
          <w:vertAlign w:val="subscript"/>
        </w:rPr>
        <w:t>2</w:t>
      </w:r>
      <w:r>
        <w:t>cell can work steadily for 100 cycles at 85°C. This work validates a topological design strategy of thermally stable SPE as well as a viable route to fabricate LMBs for extreme high‐temperature applications.</w:t>
      </w:r>
    </w:p>
    <w:p>
      <w:pPr>
        <w:spacing w:before="120" w:after="120"/>
      </w:pPr>
      <w:r>
        <w:rPr>
          <w:sz w:val="18"/>
        </w:rPr>
        <w:t>——————————————————————————————————————————————————————————————————————</w:t>
      </w:r>
    </w:p>
    <w:p>
      <w:pPr>
        <w:spacing w:before="160" w:after="40" w:line="240" w:lineRule="auto"/>
      </w:pPr>
      <w:r>
        <w:rPr>
          <w:b/>
        </w:rPr>
        <w:t xml:space="preserve">[3] </w:t>
      </w:r>
      <w:hyperlink r:id="rId77">
        <w:r>
          <w:rPr>
            <w:color w:val="1155CC"/>
            <w:u w:val="single"/>
          </w:rPr>
          <w:t>阴离子还原催化中心调控界面溶剂化结构用于快充硅负极</w:t>
        </w:r>
      </w:hyperlink>
    </w:p>
    <w:p>
      <w:pPr>
        <w:spacing w:before="0" w:after="80"/>
      </w:pPr>
      <w:r>
        <w:rPr>
          <w:i/>
          <w:sz w:val="20"/>
        </w:rPr>
        <w:t>EN: Anion-reduction catalytic centres regulate interfacial solvation structures for fast-charging Si anodes</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78">
        <w:r>
          <w:rPr>
            <w:color w:val="1155CC"/>
            <w:u w:val="single"/>
          </w:rPr>
          <w:t>10.1038/s41560-026-02074-x</w:t>
        </w:r>
      </w:hyperlink>
    </w:p>
    <w:p>
      <w:pPr>
        <w:spacing w:before="0" w:after="120"/>
      </w:pPr>
      <w:r>
        <w:rPr>
          <w:b/>
        </w:rPr>
        <w:t xml:space="preserve">Notes: </w:t>
      </w:r>
      <w:r>
        <w:t>abstract_source=nature_html</w:t>
      </w:r>
    </w:p>
    <w:p>
      <w:pPr>
        <w:spacing w:before="0" w:after="80" w:lineRule="auto" w:line="276"/>
      </w:pPr>
      <w:r>
        <w:rPr>
          <w:b/>
        </w:rPr>
        <w:t xml:space="preserve">摘要（ZH）: </w:t>
      </w:r>
      <w:r>
        <w:t>富含阴离子的界面溶剂化结构 (ISS) 对阳极的稳定快速充电至关重要。在此，我们提出界面阴离子还原催化作为一种新范式，其中催化中心调节ISS以引导固体电解质界面形成。使用S空位作为原型催化位点，我们证明这些中心诱导的静电势阱将双(氟磺酰)亚胺 (FSI−) 吸引到界面，并在充电过程中形成接触离子对，从而在商业电解质中形成富含FSI−的ISS。这种催化调节的ISS促进了优先的FSI−还原和超细LiF晶粒形成，从而生成具有快速Li+传输路径的致密富LiF固体电解质界面。具有催化界面的硅基阳极表现出稳定的循环性能，平均库仑效率约为~99.94%。软包电池在10分钟和6分钟内分别达到约~91.4%和~85.3%的充电量，同时在6分钟充电下提供约~240.4 Wh kg−1的能量。这项工作确立了ISS的催化调节作为一种有前景的电池快速充电策略。</w:t>
      </w:r>
    </w:p>
    <w:p>
      <w:pPr>
        <w:spacing w:before="0" w:after="200" w:lineRule="auto" w:line="276"/>
      </w:pPr>
      <w:r>
        <w:rPr>
          <w:b/>
        </w:rPr>
        <w:t xml:space="preserve">Abstract (EN): </w:t>
      </w:r>
      <w:r>
        <w:t>Anion-rich interfacial solvation structures (ISS) are critical for stable fast charging of anodes. Here we propose interfacial anion-reduction catalysis as a new paradigm, in which catalytic centres regulate the ISS to direct solid electrolyte interphase formation. Using S vacancies as prototypical catalytic sites, we demonstrate that electrostatic potential wells induced by these centres attract bis(fluorosulfonyl)imide (FSI−) to the interface and form contact ion pairs during charging, creating FSI−-rich ISS in commercial electrolytes. This catalytically regulated ISS promotes preferential FSI− reduction and ultrafine LiF grain formation, generating a compact LiF-rich solid electrolyte interphase with rapid Li+ transport pathways. Si-based anode with catalytic interface demonstrates stable cycling with an average coulombic efficiency of ~99.94%. Pouch cells achieve ~91.4% and ~85.3% charge in 10 min and 6 min, respectively, while providing ~240.4 Wh kg−1 under 6 min charging. This work establishes catalytic regulation of ISS as a promising strategy for fast battery charging.</w:t>
      </w:r>
    </w:p>
    <w:p>
      <w:pPr>
        <w:spacing w:before="120" w:after="120"/>
      </w:pPr>
      <w:r>
        <w:rPr>
          <w:sz w:val="18"/>
        </w:rPr>
        <w:t>——————————————————————————————————————————————————————————————————————</w:t>
      </w:r>
    </w:p>
    <w:p>
      <w:pPr>
        <w:spacing w:before="160" w:after="40" w:line="240" w:lineRule="auto"/>
      </w:pPr>
      <w:r>
        <w:rPr>
          <w:b/>
        </w:rPr>
        <w:t xml:space="preserve">[4] </w:t>
      </w:r>
      <w:hyperlink r:id="rId79">
        <w:r>
          <w:rPr>
            <w:color w:val="1155CC"/>
            <w:u w:val="single"/>
          </w:rPr>
          <w:t>通过金属负极中的动态界面抑制日历老化损失</w:t>
        </w:r>
      </w:hyperlink>
    </w:p>
    <w:p>
      <w:pPr>
        <w:spacing w:before="0" w:after="80"/>
      </w:pPr>
      <w:r>
        <w:rPr>
          <w:i/>
          <w:sz w:val="20"/>
        </w:rPr>
        <w:t>EN: Suppressed calendar aging losses via dynamic interfaces in metal anodes</w:t>
      </w:r>
    </w:p>
    <w:p>
      <w:pPr>
        <w:spacing w:before="0" w:after="120"/>
      </w:pPr>
      <w:r>
        <w:rPr>
          <w:b/>
        </w:rPr>
        <w:t xml:space="preserve">Source: </w:t>
      </w:r>
      <w:r>
        <w:t>Joule</w:t>
      </w:r>
      <w:r>
        <w:t xml:space="preserve">    </w:t>
      </w:r>
      <w:r>
        <w:rPr>
          <w:b/>
        </w:rPr>
        <w:t xml:space="preserve">Pub date: </w:t>
      </w:r>
      <w:r>
        <w:t>2026-05-19 00:00:00+00:00</w:t>
      </w:r>
      <w:r>
        <w:t xml:space="preserve">    </w:t>
      </w:r>
      <w:r>
        <w:rPr>
          <w:b/>
        </w:rPr>
        <w:t xml:space="preserve">DOI: </w:t>
      </w:r>
      <w:hyperlink r:id="rId80">
        <w:r>
          <w:rPr>
            <w:color w:val="1155CC"/>
            <w:u w:val="single"/>
          </w:rPr>
          <w:t>10.1016/j.joule.2026.102480</w:t>
        </w:r>
      </w:hyperlink>
    </w:p>
    <w:p>
      <w:pPr>
        <w:spacing w:before="0" w:after="120"/>
      </w:pPr>
      <w:r>
        <w:rPr>
          <w:b/>
        </w:rPr>
        <w:t xml:space="preserve">Notes: </w:t>
      </w:r>
      <w:r>
        <w:t>abstract_source=rss_cell</w:t>
      </w:r>
    </w:p>
    <w:p>
      <w:pPr>
        <w:spacing w:before="0" w:after="80" w:lineRule="auto" w:line="276"/>
      </w:pPr>
      <w:r>
        <w:rPr>
          <w:b/>
        </w:rPr>
        <w:t xml:space="preserve">摘要（ZH）: </w:t>
      </w:r>
      <w:r>
        <w:t>尽管金属阳极提供高能量密度，但其实际应用受到静置期间严重“日历老化”的限制。本研究探讨了在镁上形成动态可逆界面如何能动力学抑制日历老化，为实现活性金属阳极所需的长期保质期提供了一种新的设计原则。</w:t>
      </w:r>
    </w:p>
    <w:p>
      <w:pPr>
        <w:spacing w:before="0" w:after="200" w:lineRule="auto" w:line="276"/>
      </w:pPr>
      <w:r>
        <w:rPr>
          <w:b/>
        </w:rPr>
        <w:t xml:space="preserve">Abstract (EN): </w:t>
      </w:r>
      <w:r>
        <w:t>While metal anodes offer high energy density, their practical use is limited by severe “calendar aging” during rest. This study investigates how the formation of a dynamic, reversible interface on Mg can kinetically suppress calendar aging, providing a new design principle for achieving the long-term shelf life required for reactive metal anodes.</w:t>
      </w:r>
    </w:p>
    <w:p>
      <w:pPr>
        <w:spacing w:before="120" w:after="120"/>
      </w:pPr>
      <w:r>
        <w:rPr>
          <w:sz w:val="18"/>
        </w:rPr>
        <w:t>——————————————————————————————————————————————————————————————————————</w:t>
      </w:r>
    </w:p>
    <w:p>
      <w:pPr>
        <w:spacing w:before="160" w:after="40" w:line="240" w:lineRule="auto"/>
      </w:pPr>
      <w:r>
        <w:rPr>
          <w:b/>
        </w:rPr>
        <w:t xml:space="preserve">[5] </w:t>
      </w:r>
      <w:hyperlink r:id="rId53">
        <w:r>
          <w:rPr>
            <w:color w:val="1155CC"/>
            <w:u w:val="single"/>
          </w:rPr>
          <w:t>[ASAP] 通过增容溶剂塑化实现聚合物调控的溶剂化化学，用于稳定的高能量锂金属电池</w:t>
        </w:r>
      </w:hyperlink>
    </w:p>
    <w:p>
      <w:pPr>
        <w:spacing w:before="0" w:after="80"/>
      </w:pPr>
      <w:r>
        <w:rPr>
          <w:i/>
          <w:sz w:val="20"/>
        </w:rPr>
        <w:t>EN: [ASAP] Polymer-Modulated Solvation Chemistry via Compatibilizing-Solvent Plasticization for Stable High-Energy Lithium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2026-05-19 08:29:00+00:00</w:t>
      </w:r>
      <w:r>
        <w:t xml:space="preserve">    </w:t>
      </w:r>
      <w:r>
        <w:rPr>
          <w:b/>
        </w:rPr>
        <w:t xml:space="preserve">DOI: </w:t>
      </w:r>
      <w:hyperlink r:id="rId54">
        <w:r>
          <w:rPr>
            <w:color w:val="1155CC"/>
            <w:u w:val="single"/>
          </w:rPr>
          <w:t>10.1021/jacs.6c02800</w:t>
        </w:r>
      </w:hyperlink>
    </w:p>
    <w:p>
      <w:pPr>
        <w:spacing w:before="0" w:after="120"/>
      </w:pPr>
      <w:r>
        <w:rPr>
          <w:b/>
        </w:rPr>
        <w:t xml:space="preserve">Notes: </w:t>
      </w:r>
      <w:r>
        <w:t>abstract_source=pubmed</w:t>
      </w:r>
    </w:p>
    <w:p>
      <w:pPr>
        <w:spacing w:before="0" w:after="80" w:lineRule="auto" w:line="276"/>
      </w:pPr>
      <w:r>
        <w:rPr>
          <w:b/>
        </w:rPr>
        <w:t xml:space="preserve">摘要（ZH）: </w:t>
      </w:r>
      <w:r>
        <w:t>用残余溶剂增塑的聚偏氟乙烯（PVDF）基聚合物电解质有望用于高能量和高安全性锂金属电池。然而，其实际应用受到对可混溶但电化学不稳定的增塑剂（如N,N-二甲基甲酰胺）的依赖的限制，这损害了锂的可逆性和高压兼容性。在描述符指导的筛选下，我们识别了几种电化学有利的增塑剂，但它们与聚合物的热力学不混溶性阻碍了均匀增塑。在此，我们提出了一种增容溶剂辅助增塑策略，该策略利用瞬态溶剂来降低有效Flory-Huggins相互作用参数，从而实现聚偏氟乙烯-六氟丙烯共聚物与不混溶增塑剂的均匀增塑。使用环丁砜作为代表性增塑剂，所得的聚合物-环丁砜（Fδ--Hδ+）相互作用抑制了环丁砜迁移并调节了阴离子聚集溶剂化结构，从而形成了阴离子衍生的富氟固体电解质界面。因此，该聚合物电解质在1400次循环中提供了99.1%的平均锂沉积/剥离库仑效率，支持4.7 V富镍正极在20C（7.1 mA cm-2）下的稳定循环，并在安时级软包电池中实现了451.5 Wh kg-1的能量密度。更广泛地说，这项工作为扩展PVDF基聚合物电解质的增塑剂设计空间建立了一条通用途径，为实际应用提供了一个有前景的方向。</w:t>
      </w:r>
    </w:p>
    <w:p>
      <w:pPr>
        <w:spacing w:before="0" w:after="200" w:lineRule="auto" w:line="276"/>
      </w:pPr>
      <w:r>
        <w:rPr>
          <w:b/>
        </w:rPr>
        <w:t xml:space="preserve">Abstract (EN): </w:t>
      </w:r>
      <w:r>
        <w:t>Poly(vinylidene fluoride) (PVDF)-based polymer electrolytes plasticized with residual solvent are promising for high-energy and high-safety lithium metal batteries. However, their practical realization is constrained by the reliance on miscible yet electrochemically unstable plasticizers (such as N,N-dimethylformamide), which compromise both lithium reversibility and high-voltage compatibility. Guided by a descriptor-informed screening, we identify several electrochemically favorable plasticizers, but their thermodynamic immiscibility with polymers precludes homogeneous plasticization. Here, we propose a compatibilizing-solvent-enabled plasticization strategy that leverages a transient solvent to lower the effective Flory-Huggins interaction parameter, thereby enabling the homogeneous plasticization of poly(vinylidene fluoride-co-hexafluoropropylene) with immiscible plasticizers. Using sulfolane as a representative plasticizer, the resulting polymer-sulfolane (Fδ--Hδ+) interactions suppress sulfolane migration and modulate an anion-aggregate solvation structure, leading to anion-derived fluorine-rich solid-electrolyte interphases. Consequently, the polymer electrolyte delivers an average lithium plating/stripping Coulombic efficiency of 99.1% over 1400 cycles, supports stable cycling of 4.7 V Ni-rich cathodes at 20C (7.1 mA cm-2), and achieves an energy density of 451.5 Wh kg-1 in Ah-scale pouch cells. More broadly, this work establishes a general route for expanding the plasticizer design space of PVDF-based polymer electrolytes, offering a promising direction toward practical lithium metal batteries.</w:t>
      </w:r>
    </w:p>
    <w:p>
      <w:pPr>
        <w:spacing w:before="120" w:after="120"/>
      </w:pPr>
      <w:r>
        <w:rPr>
          <w:sz w:val="18"/>
        </w:rPr>
        <w:t>——————————————————————————————————————————————————————————————————————</w:t>
      </w:r>
    </w:p>
    <w:p>
      <w:pPr>
        <w:spacing w:before="160" w:after="40" w:line="240" w:lineRule="auto"/>
      </w:pPr>
      <w:r>
        <w:rPr>
          <w:b/>
        </w:rPr>
        <w:t xml:space="preserve">[6] </w:t>
      </w:r>
      <w:hyperlink r:id="rId57">
        <w:r>
          <w:rPr>
            <w:color w:val="1155CC"/>
            <w:u w:val="single"/>
          </w:rPr>
          <w:t>超分子衍生的负载Mo单原子的异质结构碳用于高容量长循环钠双离子电池</w:t>
        </w:r>
      </w:hyperlink>
    </w:p>
    <w:p>
      <w:pPr>
        <w:spacing w:before="0" w:after="80"/>
      </w:pPr>
      <w:r>
        <w:rPr>
          <w:i/>
          <w:sz w:val="20"/>
        </w:rPr>
        <w:t>EN: Supramolecular‐Derived Heterostructured Carbon Supported with Mo Single Atoms for High‐Capacity and Long‐Cycle Sodium Dual‐Ion Batteries</w:t>
      </w:r>
    </w:p>
    <w:p>
      <w:pPr>
        <w:spacing w:before="0" w:after="120"/>
      </w:pPr>
      <w:r>
        <w:rPr>
          <w:b/>
        </w:rPr>
        <w:t xml:space="preserve">Source: </w:t>
      </w:r>
      <w:r>
        <w:t>Wiley: Angewandte Chemie International Edition: Table of Contents</w:t>
      </w:r>
      <w:r>
        <w:t xml:space="preserve">    </w:t>
      </w:r>
      <w:r>
        <w:rPr>
          <w:b/>
        </w:rPr>
        <w:t xml:space="preserve">Pub date: </w:t>
      </w:r>
      <w:r>
        <w:t>2026-05-19 16:16:14+00:00</w:t>
      </w:r>
      <w:r>
        <w:t xml:space="preserve">    </w:t>
      </w:r>
      <w:r>
        <w:rPr>
          <w:b/>
        </w:rPr>
        <w:t xml:space="preserve">DOI: </w:t>
      </w:r>
      <w:hyperlink r:id="rId58">
        <w:r>
          <w:rPr>
            <w:color w:val="1155CC"/>
            <w:u w:val="single"/>
          </w:rPr>
          <w:t>10.1002/anie.7222271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由于其固有的高工作电压、低成本和环境友好等优点，全碳钠双离子电池 (SDIBs) 在后锂时代极具竞争力，并为大规模储能提供了巨大前景。长程有序石墨化碳和无定形非石墨化碳由于其根本不同的结构配置而表现出独特的Na</w:t>
      </w:r>
      <w:r>
        <w:t xml:space="preserve"> </w:t>
      </w:r>
      <w:r>
        <w:t>+</w:t>
      </w:r>
      <w:r>
        <w:t xml:space="preserve"> </w:t>
      </w:r>
      <w:r>
        <w:t>存储行为。而超分子前体的多样化结构和物理化学性质为构建具有优异性能的异质结构碳提供了一种新方法，该方法可以整合石墨化碳和非石墨化碳各自的优点以实现多功能性。此外，负载在碳基体上的单原子可以进一步增强动力学性能，促进离子/电子传输，并加速氧化还原转化。在此，合成了超分子衍生的负载有Mo单原子的氮掺杂异质结构碳 (Mo-NHC)，并展示了碳质材料在Na</w:t>
      </w:r>
      <w:r>
        <w:t xml:space="preserve"> </w:t>
      </w:r>
      <w:r>
        <w:t>+</w:t>
      </w:r>
      <w:r>
        <w:t xml:space="preserve"> </w:t>
      </w:r>
      <w:r>
        <w:t>存储方面的突破性成就。概念验证型SDIBs表现出222.3 mA h g</w:t>
      </w:r>
      <w:r>
        <w:t xml:space="preserve"> </w:t>
      </w:r>
      <w:r>
        <w:t>−1</w:t>
      </w:r>
      <w:r>
        <w:t xml:space="preserve"> </w:t>
      </w:r>
      <w:r>
        <w:t>的高放电容量，在10,000次循环后仍保持80.4%的容量。即使在高载量和高温条件下，它仍然实现了非凡的可逆容量和循环稳定性。这项工作代表了其中最好的性能之一。</w:t>
      </w:r>
    </w:p>
    <w:p>
      <w:pPr>
        <w:spacing w:before="0" w:after="200" w:lineRule="auto" w:line="276"/>
      </w:pPr>
      <w:r>
        <w:rPr>
          <w:b/>
        </w:rPr>
        <w:t xml:space="preserve">Abstract (EN): </w:t>
      </w:r>
      <w:r>
        <w:t>Owing to their inherent advantages of high operating voltage, low cost, and environmental friendliness, all‐carbon sodium dual‐ion batteries (SDIBs) are highly competitive in the post‐lithium era and hold great promise for large‐scale energy storage. The long‐range ordered graphitized carbon and amorphous non‐graphitized carbon exhibit distinct Na</w:t>
      </w:r>
      <w:r>
        <w:t xml:space="preserve"> </w:t>
      </w:r>
      <w:r>
        <w:t>+</w:t>
      </w:r>
      <w:r>
        <w:t xml:space="preserve"> </w:t>
      </w:r>
      <w:r>
        <w:t>storage behavior due to their fundamentally different structural configurations. While the diverse structures and physicochemical properties of supramolecular precursors offer a novel approach for the construction of heterostructured carbon with superior performance, which can integrate the respective advantages of graphitized and non‐graphitized carbon to achieve multifunctionality. Moreover, single atoms supported on the carbon matrix can further enhance the kinetic properties, promote ion/electron transport, and accelerate the redox conversion. Herein, supramolecular‐derived nitrogen‐doped heterostructured carbon (Mo‐NHC) supported with Mo single atoms is synthesized and demonstrates a breakthrough achievement for carbonaceous materials in Na</w:t>
      </w:r>
      <w:r>
        <w:t xml:space="preserve"> </w:t>
      </w:r>
      <w:r>
        <w:t>+</w:t>
      </w:r>
      <w:r>
        <w:t xml:space="preserve"> </w:t>
      </w:r>
      <w:r>
        <w:t>storage. Proof‐of‐concept SDIBs exhibit a high discharge capacity of 222.3 mA h g</w:t>
      </w:r>
      <w:r>
        <w:t xml:space="preserve"> </w:t>
      </w:r>
      <w:r>
        <w:t>−1</w:t>
      </w:r>
      <w:r>
        <w:t xml:space="preserve"> </w:t>
      </w:r>
      <w:r>
        <w:t>with a retention of 80.4% after 10,000 cycles. Even under high mass loading and high‐temperature conditions, it still achieves extraordinary reversible capacity and cyclic stability. This work represents one of the best performances among all‐carbon SDIBs, providing an advanced material paradigm for heterostructured carbon in electrochemical energy storage.</w:t>
      </w:r>
    </w:p>
    <w:p>
      <w:pPr>
        <w:spacing w:before="120" w:after="120"/>
      </w:pPr>
      <w:r>
        <w:rPr>
          <w:sz w:val="18"/>
        </w:rPr>
        <w:t>——————————————————————————————————————————————————————————————————————</w:t>
      </w:r>
    </w:p>
    <w:p>
      <w:pPr>
        <w:spacing w:before="160" w:after="40" w:line="240" w:lineRule="auto"/>
      </w:pPr>
      <w:r>
        <w:rPr>
          <w:b/>
        </w:rPr>
        <w:t xml:space="preserve">[7] </w:t>
      </w:r>
      <w:hyperlink r:id="rId81">
        <w:r>
          <w:rPr>
            <w:color w:val="1155CC"/>
            <w:u w:val="single"/>
          </w:rPr>
          <w:t>空间增强型离子-偶极电解质实现高温无负极钠电池</w:t>
        </w:r>
      </w:hyperlink>
    </w:p>
    <w:p>
      <w:pPr>
        <w:spacing w:before="0" w:after="80"/>
      </w:pPr>
      <w:r>
        <w:rPr>
          <w:i/>
          <w:sz w:val="20"/>
        </w:rPr>
        <w:t>EN: Spatially Strengthened Ion‐Dipole Electrolyte Enables High‐Temperature Anode‐Free Sodium Batteries</w:t>
      </w:r>
    </w:p>
    <w:p>
      <w:pPr>
        <w:spacing w:before="0" w:after="120"/>
      </w:pPr>
      <w:r>
        <w:rPr>
          <w:b/>
        </w:rPr>
        <w:t xml:space="preserve">Source: </w:t>
      </w:r>
      <w:r>
        <w:t>Wiley: Advanced Materials: Table of Contents</w:t>
      </w:r>
      <w:r>
        <w:t xml:space="preserve">    </w:t>
      </w:r>
      <w:r>
        <w:rPr>
          <w:b/>
        </w:rPr>
        <w:t xml:space="preserve">Pub date: </w:t>
      </w:r>
      <w:r>
        <w:t>2026-05-20 07:02:09+00:00</w:t>
      </w:r>
      <w:r>
        <w:t xml:space="preserve">    </w:t>
      </w:r>
      <w:r>
        <w:rPr>
          <w:b/>
        </w:rPr>
        <w:t xml:space="preserve">DOI: </w:t>
      </w:r>
      <w:hyperlink r:id="rId82">
        <w:r>
          <w:rPr>
            <w:color w:val="1155CC"/>
            <w:u w:val="single"/>
          </w:rPr>
          <w:t>10.1002/adma.73421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实用型无负极钠电池 (AFSBs) 需要高温适应性，例如在45°C下稳定运行。然而，目前的AFSBs通常局限于室温/低温，很少有报道能够稳定循环&gt;25°C的软包电池级AFSBs。在此，我们通过空间增强的离子-偶极电解质化学报告了高温AFSBs。具体而言，设计了一种新型溶剂，即乙基四氢糠醚 (ETFE)。反向锚定的刚性环状头部赋予ETFE分子减弱的空间位阻效应和更强的环状醚O─Na+相互作用，从而空间上增强了整体离子-偶极相互作用。因此，更不易受损的自由溶剂、改善的电解质分解以及稳定的电极/电解质界面的形成使得在高温下实现高度可逆的Na沉积/剥离行为。此外，即使在25°C下经过初始300次循环老化后，仍实现了在45°C下循环200次、容量保持率为89.1%的安时 (Ah) 级软包电池，这是首次对软包电池级AFSBs进行长期高温评估。这项工作应能加速AFSBs的实用性。</w:t>
      </w:r>
    </w:p>
    <w:p>
      <w:pPr>
        <w:spacing w:before="0" w:after="200" w:lineRule="auto" w:line="276"/>
      </w:pPr>
      <w:r>
        <w:rPr>
          <w:b/>
        </w:rPr>
        <w:t xml:space="preserve">Abstract (EN): </w:t>
      </w:r>
      <w:r>
        <w:t>Practical anode‐free sodium batteries (AFSBs) require high‐temperature adaptability, e.g., stable operation at 45°C. However, current AFSBs are usually confined to room/low temperatures, and pouch cell‐level AFSBs capable of stable cycling &amp;gt;25°C have rarely been reported. Here we report high‐temperature AFSBs via spatially strengthened ion‐dipole electrolyte chemistry. Specifically, a novel solvent, namely, ethyl tetrahydrofurfuryl ether (ETFE) is designed. The reversely anchored rigid cyclic head endows ETFE molecule with weakened steric hindrance effect and stronger cyclic ethereal O─Na</w:t>
      </w:r>
      <w:r>
        <w:t xml:space="preserve"> </w:t>
      </w:r>
      <w:r>
        <w:t>+</w:t>
      </w:r>
      <w:r>
        <w:t xml:space="preserve"> </w:t>
      </w:r>
      <w:r>
        <w:t>interaction accordingly, hence spatially strengthening overall ion‐dipole interaction. Consequently, less vulnerable free solvents, ameliorated electrolyte decomposition, and formation of stable electrode/electrolyte interphases enable highly reversible Na plating/stripping behaviors at elevated temperatures. Further, an ampere hour (Ah)‐level pouch cell capable of 200 cycles at 45°C with a capacity retention of 89.1% is realized even after initial 300‐cycle ageing at 25°C, featuring the first long‐term HT evaluation toward pouch cell‐level AFSBs. This work should expedite the practicability of AFSBs.</w:t>
      </w:r>
    </w:p>
    <w:p>
      <w:pPr>
        <w:spacing w:before="120" w:after="120"/>
      </w:pPr>
      <w:r>
        <w:rPr>
          <w:sz w:val="18"/>
        </w:rPr>
        <w:t>——————————————————————————————————————————————————————————————————————</w:t>
      </w:r>
    </w:p>
    <w:p>
      <w:pPr>
        <w:spacing w:before="160" w:after="40" w:line="240" w:lineRule="auto"/>
      </w:pPr>
      <w:r>
        <w:rPr>
          <w:b/>
        </w:rPr>
        <w:t xml:space="preserve">[8] </w:t>
      </w:r>
      <w:hyperlink r:id="rId69">
        <w:r>
          <w:rPr>
            <w:color w:val="1155CC"/>
            <w:u w:val="single"/>
          </w:rPr>
          <w:t>通过有机盐驱动的钠补充实现超过 180 Wh/kg 的钠离子电池</w:t>
        </w:r>
      </w:hyperlink>
    </w:p>
    <w:p>
      <w:pPr>
        <w:spacing w:before="0" w:after="80"/>
      </w:pPr>
      <w:r>
        <w:rPr>
          <w:i/>
          <w:sz w:val="20"/>
        </w:rPr>
        <w:t>EN: Enabling Sodium‐Ion Batteries Over 180 Wh/kg via Organic‐Salt‐Driven Sodium Replenishment</w:t>
      </w:r>
    </w:p>
    <w:p>
      <w:pPr>
        <w:spacing w:before="0" w:after="120"/>
      </w:pPr>
      <w:r>
        <w:rPr>
          <w:b/>
        </w:rPr>
        <w:t xml:space="preserve">Source: </w:t>
      </w:r>
      <w:r>
        <w:t>Wiley: Advanced Materials: Table of Contents</w:t>
      </w:r>
      <w:r>
        <w:t xml:space="preserve">    </w:t>
      </w:r>
      <w:r>
        <w:rPr>
          <w:b/>
        </w:rPr>
        <w:t xml:space="preserve">Pub date: </w:t>
      </w:r>
      <w:r>
        <w:t>2026-05-20 07:08:28+00:00</w:t>
      </w:r>
      <w:r>
        <w:t xml:space="preserve">    </w:t>
      </w:r>
      <w:r>
        <w:rPr>
          <w:b/>
        </w:rPr>
        <w:t xml:space="preserve">DOI: </w:t>
      </w:r>
      <w:hyperlink r:id="rId70">
        <w:r>
          <w:rPr>
            <w:color w:val="1155CC"/>
            <w:u w:val="single"/>
          </w:rPr>
          <w:t>10.1002/adma.73448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补偿P2型层状钠金属氧化物正极固有的显著钠离子缺陷，是推进高性能钠离子电池的一种有前景的策略。然而，当前方法仍未能调和预钠化剂量与能量密度之间的权衡。在此，我们引入了一种可溶性钠补偿剂——四苯基硼酸钠 (NaBPh4)，它是通过结合无监督和有监督机器学习筛选硼中心阴离子合理发现的，能够释放足够的钠离子以补充P2型氧化物的全部钠缺陷。在P2‐Na0.67Ni0.08Ti0.12Mn0.8O2 || 硬碳全电池中，这种补偿剂赋予全电池超过3700次循环的超长循环寿命，而一个5 Ah软包电池在0.1C下实现了184 Wh kg−1的卓越能量密度。这项工作为解决高钠缺陷系统建立了一种通用策略，从而扩大了钠离子全电池的研究范围和实际应用潜力。</w:t>
      </w:r>
    </w:p>
    <w:p>
      <w:pPr>
        <w:spacing w:before="0" w:after="200" w:lineRule="auto" w:line="276"/>
      </w:pPr>
      <w:r>
        <w:rPr>
          <w:b/>
        </w:rPr>
        <w:t xml:space="preserve">Abstract (EN): </w:t>
      </w:r>
      <w:r>
        <w:t>Compensating for the substantial sodium ion deficit inherent in P2‐type layered sodium metal oxide cathodes represents a promising strategy for advancing high‐performance sodium‐ion batteries. However, current approaches still fail to reconcile the trade‐off between pre‐sodiation dosage and energy density. Herein, we introduce a soluble sodium compensator, sodium tetraphenylborate (NaBPh</w:t>
      </w:r>
      <w:r>
        <w:rPr>
          <w:vertAlign w:val="subscript"/>
        </w:rPr>
        <w:t>4</w:t>
      </w:r>
      <w:r>
        <w:t>), rationally discovered through a combined unsupervised and supervised machine‐learning screening of boron‑centered anions, which can release sufficient sodium ions to replenish the entire sodium deficit of P2‐type oxides. In P2‐Na</w:t>
      </w:r>
      <w:r>
        <w:t xml:space="preserve"> </w:t>
      </w:r>
      <w:r>
        <w:t>0.67</w:t>
      </w:r>
      <w:r>
        <w:t xml:space="preserve"> </w:t>
      </w:r>
      <w:r>
        <w:t>Ni</w:t>
      </w:r>
      <w:r>
        <w:t xml:space="preserve"> </w:t>
      </w:r>
      <w:r>
        <w:t>0.08</w:t>
      </w:r>
      <w:r>
        <w:t xml:space="preserve"> </w:t>
      </w:r>
      <w:r>
        <w:t>Ti</w:t>
      </w:r>
      <w:r>
        <w:t xml:space="preserve"> </w:t>
      </w:r>
      <w:r>
        <w:t>0.12</w:t>
      </w:r>
      <w:r>
        <w:t xml:space="preserve"> </w:t>
      </w:r>
      <w:r>
        <w:t>Mn</w:t>
      </w:r>
      <w:r>
        <w:t xml:space="preserve"> </w:t>
      </w:r>
      <w:r>
        <w:t>0.8</w:t>
      </w:r>
      <w:r>
        <w:t xml:space="preserve"> </w:t>
      </w:r>
      <w:r>
        <w:t>O</w:t>
      </w:r>
      <w:r>
        <w:rPr>
          <w:vertAlign w:val="subscript"/>
        </w:rPr>
        <w:t>2</w:t>
      </w:r>
      <w:r>
        <w:t>|| hard carbon full cells, this compensator endows the full cell with an ultra‐long cycle life exceeding 3700 cycles, while a 5 Ah pouch cell achieves a remarkable energy density of 184 Wh kg</w:t>
      </w:r>
      <w:r>
        <w:t xml:space="preserve"> </w:t>
      </w:r>
      <w:r>
        <w:t>−1</w:t>
      </w:r>
      <w:r>
        <w:t xml:space="preserve"> </w:t>
      </w:r>
      <w:r>
        <w:t>at 0.1C. This work establishes a versatile strategy for addressing high sodium‐deficiency systems, thereby expanding the research scope and practical application potential of sodium‐ion full cells.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83">
        <w:r>
          <w:rPr>
            <w:color w:val="1155CC"/>
            <w:u w:val="single"/>
          </w:rPr>
          <w:t>具有增强阴离子动力学的非晶态硫卤化物固体电解质用于高稳定性全固态钠电池</w:t>
        </w:r>
      </w:hyperlink>
    </w:p>
    <w:p>
      <w:pPr>
        <w:spacing w:before="0" w:after="80"/>
      </w:pPr>
      <w:r>
        <w:rPr>
          <w:i/>
          <w:sz w:val="20"/>
        </w:rPr>
        <w:t>EN: Amorphous Sulfo‐Halide Solid Electrolytes With Enhanced Anion Dynamics for Highly Stable All‐Solid‐State Sodium Batteries</w:t>
      </w:r>
    </w:p>
    <w:p>
      <w:pPr>
        <w:spacing w:before="0" w:after="120"/>
      </w:pPr>
      <w:r>
        <w:rPr>
          <w:b/>
        </w:rPr>
        <w:t xml:space="preserve">Source: </w:t>
      </w:r>
      <w:r>
        <w:t>Wiley: Advanced Energy Materials: Table of Contents</w:t>
      </w:r>
      <w:r>
        <w:t xml:space="preserve">    </w:t>
      </w:r>
      <w:r>
        <w:rPr>
          <w:b/>
        </w:rPr>
        <w:t xml:space="preserve">Pub date: </w:t>
      </w:r>
      <w:r>
        <w:t>2026-05-18 07:11:50+00:00</w:t>
      </w:r>
      <w:r>
        <w:t xml:space="preserve">    </w:t>
      </w:r>
      <w:r>
        <w:rPr>
          <w:b/>
        </w:rPr>
        <w:t xml:space="preserve">DOI: </w:t>
      </w:r>
      <w:hyperlink r:id="rId84">
        <w:r>
          <w:rPr>
            <w:color w:val="1155CC"/>
            <w:u w:val="single"/>
          </w:rPr>
          <w:t>10.1002/aenm.71091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全固态钠离子电池 (ASSNIBs) 的适用性和长期稳定性取决于维持电解质和电极之间稳健的离子传输界面。然而，大多数钠离子固态电解质 (SSEs) 表现出不足的离子电导率和刚性颗粒接触。在这项工作中，通过将高极化率和低电负性S2−阴离子引入卤化物SSEs中，设计了一种二元非晶态SSE，其特点是S/Cl混合阴离子骨架以及增强的阴离子亚晶格柔韧性和重取向动力学，使SSEs既具有高离子电导率（在30°C下高达2.12 mS cm−1），又具有优异的成形性（杨氏模量降低63.3%至2.2 GPa，硬度降低46%至2.02 GPa）。多尺度表征和理论计算表明，独特的S/Cl混合阴离子骨架促进了结构非晶化，并通过局部多面体畸变调节Na+配位环境，从而微观优化了钠离子势能景观。此外，组装的ASSNIBs在长期循环中保持约100%的库仑效率，在0.2C下循环270次后容量保持率为91%，在1C下循环1400多次后容量保持率为80%。因此，这些发现为开发用于ASSNIBs的高性能二元SSEs和通用规则提供了新见解。</w:t>
      </w:r>
    </w:p>
    <w:p>
      <w:pPr>
        <w:spacing w:before="0" w:after="200" w:lineRule="auto" w:line="276"/>
      </w:pPr>
      <w:r>
        <w:rPr>
          <w:b/>
        </w:rPr>
        <w:t xml:space="preserve">Abstract (EN): </w:t>
      </w:r>
      <w:r>
        <w:t>The applicability and long‐term stability of all‐solid‐state Na‐ion batteries (ASSNIBs) depend on maintaining a robust ionic transport interface between electrolytes and electrodes. However, most sodium‐ion solid‐state electrolytes (SSEs) exhibit insufficient ionic conductivity and rigid particle contacts. In this work, a binary amorphous SSE was designed by incorporating high‐polarizability and low‐electronegativity S</w:t>
      </w:r>
      <w:r>
        <w:t xml:space="preserve"> </w:t>
      </w:r>
      <w:r>
        <w:t>2−</w:t>
      </w:r>
      <w:r>
        <w:t>anions into halide SSEs, featuring mixed S/Cl anionic framework and enhanced flexibility and reorientation dynamics of the anion sublattice, rendering the SSEs both high ionic conductivity (up to 2.12 mS cm</w:t>
      </w:r>
      <w:r>
        <w:t xml:space="preserve"> </w:t>
      </w:r>
      <w:r>
        <w:t>−1</w:t>
      </w:r>
      <w:r>
        <w:t xml:space="preserve"> </w:t>
      </w:r>
      <w:r>
        <w:t>at 30°C) and excellent formability (reduction of 63.3% of the Young's modulus to 2.2 GPa and 46% of the hardness to 2.02 GPa). Multi‐scale characterizations and theoretical calculations reveal that the unique S/Cl mixed‐anion framework promotes the structural amorphization and microscopically optimizes the sodium‐ion potential energy landscape by modulating the Na</w:t>
      </w:r>
      <w:r>
        <w:t xml:space="preserve"> </w:t>
      </w:r>
      <w:r>
        <w:t>+</w:t>
      </w:r>
      <w:r>
        <w:t xml:space="preserve"> </w:t>
      </w:r>
      <w:r>
        <w:t>coordination environment through local polyhedral distortion. Furthermore, the assembled ASSNIBs maintain</w:t>
      </w:r>
      <w:r>
        <w:t xml:space="preserve"> </w:t>
      </w:r>
      <w:r>
        <w:t>c.a</w:t>
      </w:r>
      <w:r>
        <w:t xml:space="preserve"> </w:t>
      </w:r>
      <w:r>
        <w:t>. 100% coulombic efficiency over long‐term cycling, with a capacity retention of 91% after 270 cycles at 0.2C and 80% for more than 1400 cycles at 1C. Therefore, these findings provide new insights for the development of high‐performance binary SSEs for ASSNIBs and general rules for the design of other ionic SSEs.</w:t>
      </w:r>
    </w:p>
    <w:p>
      <w:pPr>
        <w:spacing w:before="120" w:after="120"/>
      </w:pPr>
      <w:r>
        <w:rPr>
          <w:sz w:val="18"/>
        </w:rPr>
        <w:t>——————————————————————————————————————————————————————————————————————</w:t>
      </w:r>
    </w:p>
    <w:p>
      <w:pPr>
        <w:spacing w:before="160" w:after="40" w:line="240" w:lineRule="auto"/>
      </w:pPr>
      <w:r>
        <w:rPr>
          <w:b/>
        </w:rPr>
        <w:t xml:space="preserve">[2] </w:t>
      </w:r>
      <w:hyperlink r:id="rId85">
        <w:r>
          <w:rPr>
            <w:color w:val="1155CC"/>
            <w:u w:val="single"/>
          </w:rPr>
          <w:t>具有离子传输路径选择性调谐的弹性电解质用于低温高压锂金属电池</w:t>
        </w:r>
      </w:hyperlink>
    </w:p>
    <w:p>
      <w:pPr>
        <w:spacing w:before="0" w:after="80"/>
      </w:pPr>
      <w:r>
        <w:rPr>
          <w:i/>
          <w:sz w:val="20"/>
        </w:rPr>
        <w:t>EN: Elastomeric Electrolyte With Selective Tuning of Ion Transport Pathway for Low‐Temperature and High‐Voltage Lithium Metal Batteries</w:t>
      </w:r>
    </w:p>
    <w:p>
      <w:pPr>
        <w:spacing w:before="0" w:after="120"/>
      </w:pPr>
      <w:r>
        <w:rPr>
          <w:b/>
        </w:rPr>
        <w:t xml:space="preserve">Source: </w:t>
      </w:r>
      <w:r>
        <w:t>Wiley: Advanced Energy Materials: Table of Contents</w:t>
      </w:r>
      <w:r>
        <w:t xml:space="preserve">    </w:t>
      </w:r>
      <w:r>
        <w:rPr>
          <w:b/>
        </w:rPr>
        <w:t xml:space="preserve">Pub date: </w:t>
      </w:r>
      <w:r>
        <w:t>2026-05-18 07:21:11+00:00</w:t>
      </w:r>
      <w:r>
        <w:t xml:space="preserve">    </w:t>
      </w:r>
      <w:r>
        <w:rPr>
          <w:b/>
        </w:rPr>
        <w:t xml:space="preserve">DOI: </w:t>
      </w:r>
      <w:hyperlink r:id="rId86">
        <w:r>
          <w:rPr>
            <w:color w:val="1155CC"/>
            <w:u w:val="single"/>
          </w:rPr>
          <w:t>10.1002/aenm.71051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展示了一种弹性体电解质，它能使锂(Li)金属电池(LMBs)在包括−20°C在内的宽温度范围内稳定运行。该电解质通过聚合诱导相分离形成由弹性聚合物基质和塑性晶体域组成的双连续结构。这种双连续结构允许通过塑性晶体相选择性调谐Li+</w:t>
      </w:r>
      <w:r>
        <w:t xml:space="preserve"> </w:t>
      </w:r>
      <w:r>
        <w:t>传输特性，同时不损害弹性体电解质的机械应变(∼300%)，这对于适应Li金属体积波动和抑制枝晶生长至关重要。结合实验和模拟研究表明，丁二腈(SN)塑性晶体的重定向动力学通过与结构相似的二腈化合物己二腈(ADN)的分子相互作用而增强。通过优化的SN/ADN基塑性晶体相，该弹性体电解质在−20°C下表现出显著增强的离子电导率(0.17 mS cm</w:t>
      </w:r>
      <w:r>
        <w:t xml:space="preserve"> </w:t>
      </w:r>
      <w:r>
        <w:t>−</w:t>
      </w:r>
      <w:r>
        <w:rPr>
          <w:vertAlign w:val="subscript"/>
        </w:rPr>
        <w:t>1</w:t>
      </w:r>
      <w:r>
        <w:t>)和Li+</w:t>
      </w:r>
      <w:r>
        <w:t xml:space="preserve"> </w:t>
      </w:r>
      <w:r>
        <w:t>迁移数(0.65)，这归因于Li+</w:t>
      </w:r>
      <w:r>
        <w:t xml:space="preserve"> </w:t>
      </w:r>
      <w:r>
        <w:t>跳跃的增强，相比于纯SN相。因此，具有优异Li+</w:t>
      </w:r>
      <w:r>
        <w:t xml:space="preserve"> </w:t>
      </w:r>
      <w:r>
        <w:t>传输性能和机械完整性的弹性体电解质在−20°C的固态LMBs中实现了出色的电化学性能，提供高放电</w:t>
      </w:r>
    </w:p>
    <w:p>
      <w:pPr>
        <w:spacing w:before="0" w:after="200" w:lineRule="auto" w:line="276"/>
      </w:pPr>
      <w:r>
        <w:rPr>
          <w:b/>
        </w:rPr>
        <w:t xml:space="preserve">Abstract (EN): </w:t>
      </w:r>
      <w:r>
        <w:t>We demonstrate an elastomeric electrolyte enabling stable operation of lithium (Li) metal batteries (LMBs) across a wide temperature range, including −20°C. The electrolyte forms a bicontinuous structure composed of an elastomeric polymer matrix and plastic crystal domains through polymerization‐induced phase separation. This bicontinuous structure allows selective tuning of Li</w:t>
      </w:r>
      <w:r>
        <w:t xml:space="preserve"> </w:t>
      </w:r>
      <w:r>
        <w:t>+</w:t>
      </w:r>
      <w:r>
        <w:t xml:space="preserve"> </w:t>
      </w:r>
      <w:r>
        <w:t>transport characteristics through the plastic crystal phase without compromising the mechanical strain (∼300%) of the elastomeric electrolyte, which is essential for accommodating Li metal volume fluctuations and suppressing dendrite growth. Combined experimental and simulation studies reveal that the reorientational dynamics of the succinonitrile (SN) plastic crystals are enhanced by molecular interactions with a structurally similar dinitrile compound, adiponitrile (ADN). With an optimized SN/ADN‐based plastic crystal phase, the elastomeric electrolyte exhibits significantly enhanced ionic conductivity (0.17 mS cm</w:t>
      </w:r>
      <w:r>
        <w:t xml:space="preserve"> </w:t>
      </w:r>
      <w:r>
        <w:t>−</w:t>
      </w:r>
      <w:r>
        <w:rPr>
          <w:vertAlign w:val="subscript"/>
        </w:rPr>
        <w:t>1</w:t>
      </w:r>
      <w:r>
        <w:t>) and Li</w:t>
      </w:r>
      <w:r>
        <w:t xml:space="preserve"> </w:t>
      </w:r>
      <w:r>
        <w:t>+</w:t>
      </w:r>
      <w:r>
        <w:t xml:space="preserve"> </w:t>
      </w:r>
      <w:r>
        <w:t>transference number (0.65) at −20°C compared to the pure SN phase, due to the enhanced Li</w:t>
      </w:r>
      <w:r>
        <w:t xml:space="preserve"> </w:t>
      </w:r>
      <w:r>
        <w:t>+</w:t>
      </w:r>
      <w:r>
        <w:t xml:space="preserve"> </w:t>
      </w:r>
      <w:r>
        <w:t>hopping. As a result, the elastomeric electrolyte with superior Li</w:t>
      </w:r>
      <w:r>
        <w:t xml:space="preserve"> </w:t>
      </w:r>
      <w:r>
        <w:t>+</w:t>
      </w:r>
      <w:r>
        <w:t xml:space="preserve"> </w:t>
      </w:r>
      <w:r>
        <w:t>transport properties and mechanical integrity achieves outstanding electrochemical performance in solid‐state LMBs at −20°C, delivering a high discharge capacity of 154 mAh g</w:t>
      </w:r>
      <w:r>
        <w:t xml:space="preserve"> </w:t>
      </w:r>
      <w:r>
        <w:t>−</w:t>
      </w:r>
      <w:r>
        <w:rPr>
          <w:vertAlign w:val="subscript"/>
        </w:rPr>
        <w:t>1</w:t>
      </w:r>
      <w:r>
        <w:t>and 90% capacity retention after 100 cycles at a high cut‐off voltage of 4.5 V.</w:t>
      </w:r>
    </w:p>
    <w:p>
      <w:pPr>
        <w:spacing w:before="120" w:after="120"/>
      </w:pPr>
      <w:r>
        <w:rPr>
          <w:sz w:val="18"/>
        </w:rPr>
        <w:t>——————————————————————————————————————————————————————————————————————</w:t>
      </w:r>
    </w:p>
    <w:p>
      <w:pPr>
        <w:spacing w:before="160" w:after="40" w:line="240" w:lineRule="auto"/>
      </w:pPr>
      <w:r>
        <w:rPr>
          <w:b/>
        </w:rPr>
        <w:t xml:space="preserve">[3] </w:t>
      </w:r>
      <w:hyperlink r:id="rId41">
        <w:r>
          <w:rPr>
            <w:color w:val="1155CC"/>
            <w:u w:val="single"/>
          </w:rPr>
          <w:t>固液协同实现富含三硫自由基的微环境以加速Li–S转化动力学</w:t>
        </w:r>
      </w:hyperlink>
    </w:p>
    <w:p>
      <w:pPr>
        <w:spacing w:before="0" w:after="80"/>
      </w:pPr>
      <w:r>
        <w:rPr>
          <w:i/>
          <w:sz w:val="20"/>
        </w:rPr>
        <w:t>EN: Solid–Liquid Synergy Enables a Trisulfur‐Radical‐Rich Microenvironment for Accelerated Li–S Conversion Kinetics</w:t>
      </w:r>
    </w:p>
    <w:p>
      <w:pPr>
        <w:spacing w:before="0" w:after="120"/>
      </w:pPr>
      <w:r>
        <w:rPr>
          <w:b/>
        </w:rPr>
        <w:t xml:space="preserve">Source: </w:t>
      </w:r>
      <w:r>
        <w:t>Wiley: Advanced Materials: Table of Contents</w:t>
      </w:r>
      <w:r>
        <w:t xml:space="preserve">    </w:t>
      </w:r>
      <w:r>
        <w:rPr>
          <w:b/>
        </w:rPr>
        <w:t xml:space="preserve">Pub date: </w:t>
      </w:r>
      <w:r>
        <w:t>2026-05-18 07:35:50+00:00</w:t>
      </w:r>
      <w:r>
        <w:t xml:space="preserve">    </w:t>
      </w:r>
      <w:r>
        <w:rPr>
          <w:b/>
        </w:rPr>
        <w:t xml:space="preserve">DOI: </w:t>
      </w:r>
      <w:hyperlink r:id="rId42">
        <w:r>
          <w:rPr>
            <w:color w:val="1155CC"/>
            <w:u w:val="single"/>
          </w:rPr>
          <w:t>10.1002/adma.73407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理解和调控锂硫电池(LSBs)的决速步骤(RDSs)对于提高其电化学性能至关重要。在此，我们提出了一种协同策略，该策略将含有氧空位的模板硫主体与高给体数(high-DN)溶剂作为传统醚基电解质的添加剂相结合。该策略在正极侧建立了局部高DN微环境，其中三硫自由基浓度显著。实验和计算均证实，三硫自由基作为关键介质，加速了RDS从固有的缓慢准液-固反应向动力学上更有利的三硫自由基介导的转化。得益于三硫自由基介导的RDS增强，LSB在1 C下循环500次后仍保持85.4%的容量，平均每循环衰减率仅为0.03%。此外，在5 C下实现了659.6 mAh g</w:t>
      </w:r>
      <w:r>
        <w:t xml:space="preserve"> </w:t>
      </w:r>
      <w:r>
        <w:t>−1</w:t>
      </w:r>
      <w:r>
        <w:t xml:space="preserve"> </w:t>
      </w:r>
      <w:r>
        <w:t>的初始容量，或在4.6 mg cm</w:t>
      </w:r>
      <w:r>
        <w:t xml:space="preserve"> </w:t>
      </w:r>
      <w:r>
        <w:t>−2</w:t>
      </w:r>
      <w:r>
        <w:t xml:space="preserve"> </w:t>
      </w:r>
      <w:r>
        <w:t>的高硫载量下达到1126.9 mAh g</w:t>
      </w:r>
      <w:r>
        <w:t xml:space="preserve"> </w:t>
      </w:r>
      <w:r>
        <w:t>−1</w:t>
      </w:r>
      <w:r>
        <w:t xml:space="preserve"> </w:t>
      </w:r>
      <w:r>
        <w:t>。这项工作提出了一种新颖的三硫自由基介导催化机制，并通过界面工程和电解质调控的结合突破了固有RDS的限制。</w:t>
      </w:r>
    </w:p>
    <w:p>
      <w:pPr>
        <w:spacing w:before="0" w:after="200" w:lineRule="auto" w:line="276"/>
      </w:pPr>
      <w:r>
        <w:rPr>
          <w:b/>
        </w:rPr>
        <w:t xml:space="preserve">Abstract (EN): </w:t>
      </w:r>
      <w:r>
        <w:t>Understanding and regulating the rate‐determining steps (RDSs) of lithium–sulfur batteries (LSBs) is crucial for enhancing their electrochemical performance. Herein, we propose a synergistic strategy that integrates a template sulfur host containing oxygen vacancies with a high‐donor‐number (high‐DN) solvent as an additive of the traditional ether‐based electrolyte. The strategy establishes a localized high‐DN microenvironment with a significant concentration of trisulfur radicals on the cathode side. Both experiments and calculations confirm that trisulfur radicals serve as key mediators in accelerating the RDS from the intrinsically sluggish quasi‐liquid–solid reaction to the more kinetically favorable trisulfur radicals‐mediated conversion. Benefiting from the RDS enhancement mediated by trisulfur radicals, the LSB maintains an 85.4% capacity after 500 cycles at 1 C, with an average decay rate of only 0.03% per cycle. In addition, an initial capacity of 659.6 mAh g</w:t>
      </w:r>
      <w:r>
        <w:t xml:space="preserve"> </w:t>
      </w:r>
      <w:r>
        <w:t>−1</w:t>
      </w:r>
      <w:r>
        <w:t xml:space="preserve"> </w:t>
      </w:r>
      <w:r>
        <w:t>is achieved at 5 C or 1126.9 mAh g</w:t>
      </w:r>
      <w:r>
        <w:t xml:space="preserve"> </w:t>
      </w:r>
      <w:r>
        <w:t>−1</w:t>
      </w:r>
      <w:r>
        <w:t xml:space="preserve"> </w:t>
      </w:r>
      <w:r>
        <w:t>at a high sulfur loading of 4.6 mg cm</w:t>
      </w:r>
      <w:r>
        <w:t xml:space="preserve"> </w:t>
      </w:r>
      <w:r>
        <w:t>−2</w:t>
      </w:r>
      <w:r>
        <w:t xml:space="preserve"> </w:t>
      </w:r>
      <w:r>
        <w:t>. This work presents a novel trisulfur radicals mediated‐catalytic mechanism and breaks the limitations of the intrinsic RDS through integration of interface engineering and electrolyte modulation.</w:t>
      </w:r>
    </w:p>
    <w:p>
      <w:pPr>
        <w:spacing w:before="120" w:after="120"/>
      </w:pPr>
      <w:r>
        <w:rPr>
          <w:sz w:val="18"/>
        </w:rPr>
        <w:t>——————————————————————————————————————————————————————————————————————</w:t>
      </w:r>
    </w:p>
    <w:p>
      <w:pPr>
        <w:spacing w:before="160" w:after="40" w:line="240" w:lineRule="auto"/>
      </w:pPr>
      <w:r>
        <w:rPr>
          <w:b/>
        </w:rPr>
        <w:t xml:space="preserve">[4] </w:t>
      </w:r>
      <w:hyperlink r:id="rId75">
        <w:r>
          <w:rPr>
            <w:color w:val="1155CC"/>
            <w:u w:val="single"/>
          </w:rPr>
          <w:t>刷-刷拓扑固体聚合物电解质实现110°C下稳定的锂金属电池循环</w:t>
        </w:r>
      </w:hyperlink>
    </w:p>
    <w:p>
      <w:pPr>
        <w:spacing w:before="0" w:after="80"/>
      </w:pPr>
      <w:r>
        <w:rPr>
          <w:i/>
          <w:sz w:val="20"/>
        </w:rPr>
        <w:t>EN: Brush‐on‐Brush Topological Solid Polymer Electrolyte Enables Stable Lithium Metal Battery Cycling at 110°C</w:t>
      </w:r>
    </w:p>
    <w:p>
      <w:pPr>
        <w:spacing w:before="0" w:after="120"/>
      </w:pPr>
      <w:r>
        <w:rPr>
          <w:b/>
        </w:rPr>
        <w:t xml:space="preserve">Source: </w:t>
      </w:r>
      <w:r>
        <w:t>Wiley: Angewandte Chemie International Edition: Table of Contents</w:t>
      </w:r>
      <w:r>
        <w:t xml:space="preserve">    </w:t>
      </w:r>
      <w:r>
        <w:rPr>
          <w:b/>
        </w:rPr>
        <w:t xml:space="preserve">Pub date: </w:t>
      </w:r>
      <w:r>
        <w:t>2026-05-18 13:07:56+00:00</w:t>
      </w:r>
      <w:r>
        <w:t xml:space="preserve">    </w:t>
      </w:r>
      <w:r>
        <w:rPr>
          <w:b/>
        </w:rPr>
        <w:t xml:space="preserve">DOI: </w:t>
      </w:r>
      <w:hyperlink r:id="rId76">
        <w:r>
          <w:rPr>
            <w:color w:val="1155CC"/>
            <w:u w:val="single"/>
          </w:rPr>
          <w:t>10.1002/anie.9037924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在100°C以上运行的高温电池在各种工业应用中至关重要。然而，传统的锂-亚硫酰氯电池等高温系统不可充电。利用固态聚合物电解质（SPEs）的锂金属电池（LMBs）为热稳定、可充电的能量存储提供了一条有前景的途径。在此，我们设计并合成了一种具有独特刷-刷拓扑结构（BOB-Li）的SPE，以同时提高电解质在高温下的机械性能和电化学稳定性。刚性的聚甲基丙烯酸甲酯（PMMA）主链赋予足够的机械强度，而聚乙二醇丙烯酸酯（PEGA）刷上的醚基团则提供紧密的粘附性和离子导电性。此外，BOB-Li促进了与LiTFSI形成富阴离子溶剂化结构，从而诱导形成稳定的固态电解质界面（SEI）。因此，采用BOB-Li的Li||LiFePO4电池在1C和110°C下循环1000次后仍保持其初始容量的90%。此外，Li||LiNi0.6Co0.2Mn0.2O2电池在85°C下可稳定工作100次循环。这项工作验证了热稳定SPE的拓扑设计策略，以及制造用于极端高温应用的LMBs的可行途径。</w:t>
      </w:r>
    </w:p>
    <w:p>
      <w:pPr>
        <w:spacing w:before="0" w:after="200" w:lineRule="auto" w:line="276"/>
      </w:pPr>
      <w:r>
        <w:rPr>
          <w:b/>
        </w:rPr>
        <w:t xml:space="preserve">Abstract (EN): </w:t>
      </w:r>
      <w:r>
        <w:t>High‐temperature batteries capable of operating above 100°C are crucial in various industry applications. However, conventional high‐temperature systems, such as lithium‐thionyl chloride batteries, are not rechargeable. Lithium metal batteries (LMBs) utilizing solid polymer electrolytes (SPEs) offer a promising pathway toward thermally stable, rechargeable energy storage. Here, we design and synthesize an SPE with unique brush‐on‐brush topology (BOB‐Li) to simultaneously enhance mechanical properties and electrochemical stability of electrolyte at elevated temperatures. The rigid poly(methyl methacrylate) (PMMA) backbone imparts sufficient mechanical strength, while the ether moieties on poly(ethylene glycol) acrylate (PEGA) brushes provide tight adhesion and ionic conductivity. Furthermore, BOB‐Li promotes anion‐rich solvation structure with LiTFSI, inducing stable solid‐electrolyte interphase (SEI). Consequently, Li||LiFePO</w:t>
      </w:r>
      <w:r>
        <w:rPr>
          <w:vertAlign w:val="subscript"/>
        </w:rPr>
        <w:t>4</w:t>
      </w:r>
      <w:r>
        <w:t>cell employing BOB‐Li retains 90% of its initial capacity after 1000 cycles at 1C and 110°C. Additionally, Li||LiNi</w:t>
      </w:r>
      <w:r>
        <w:t xml:space="preserve"> </w:t>
      </w:r>
      <w:r>
        <w:t>0.6</w:t>
      </w:r>
      <w:r>
        <w:t xml:space="preserve"> </w:t>
      </w:r>
      <w:r>
        <w:t>Co</w:t>
      </w:r>
      <w:r>
        <w:t xml:space="preserve"> </w:t>
      </w:r>
      <w:r>
        <w:t>0.2</w:t>
      </w:r>
      <w:r>
        <w:t xml:space="preserve"> </w:t>
      </w:r>
      <w:r>
        <w:t>Mn</w:t>
      </w:r>
      <w:r>
        <w:t xml:space="preserve"> </w:t>
      </w:r>
      <w:r>
        <w:t>0.2</w:t>
      </w:r>
      <w:r>
        <w:t xml:space="preserve"> </w:t>
      </w:r>
      <w:r>
        <w:t>O</w:t>
      </w:r>
      <w:r>
        <w:rPr>
          <w:vertAlign w:val="subscript"/>
        </w:rPr>
        <w:t>2</w:t>
      </w:r>
      <w:r>
        <w:t>cell can work steadily for 100 cycles at 85°C. This work validates a topological design strategy of thermally stable SPE as well as a viable route to fabricate LMBs for extreme high‐temperature applications.</w:t>
      </w:r>
    </w:p>
    <w:p>
      <w:pPr>
        <w:spacing w:before="120" w:after="120"/>
      </w:pPr>
      <w:r>
        <w:rPr>
          <w:sz w:val="18"/>
        </w:rPr>
        <w:t>——————————————————————————————————————————————————————————————————————</w:t>
      </w:r>
    </w:p>
    <w:p>
      <w:pPr>
        <w:spacing w:before="160" w:after="40" w:line="240" w:lineRule="auto"/>
      </w:pPr>
      <w:r>
        <w:rPr>
          <w:b/>
        </w:rPr>
        <w:t xml:space="preserve">[5] </w:t>
      </w:r>
      <w:hyperlink r:id="rId87">
        <w:r>
          <w:rPr>
            <w:color w:val="1155CC"/>
            <w:u w:val="single"/>
          </w:rPr>
          <w:t>通过多相工程构建超离子异质界面以实现稳定的氧卤化物基全固态电池</w:t>
        </w:r>
      </w:hyperlink>
    </w:p>
    <w:p>
      <w:pPr>
        <w:spacing w:before="0" w:after="80"/>
      </w:pPr>
      <w:r>
        <w:rPr>
          <w:i/>
          <w:sz w:val="20"/>
        </w:rPr>
        <w:t>EN: Constructing Superionic Heterointerface via Multiphase Engineering to Achieve Stable Oxyhalide‐Based All‐Solid‐State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2026-05-18 15:24:23+00:00</w:t>
      </w:r>
      <w:r>
        <w:t xml:space="preserve">    </w:t>
      </w:r>
      <w:r>
        <w:rPr>
          <w:b/>
        </w:rPr>
        <w:t xml:space="preserve">DOI: </w:t>
      </w:r>
      <w:hyperlink r:id="rId88">
        <w:r>
          <w:rPr>
            <w:color w:val="1155CC"/>
            <w:u w:val="single"/>
          </w:rPr>
          <w:t>10.1002/anie.1909915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晶态卤氧化物因其氧化稳定性、低成本和机械可变形性，作为全固态电池（ASSBs）中的固态电解质（SSEs）而备受关注。但有限的室温离子电导率以及在阴极/卤化物界面上的寄生反应阻碍了它们的实际应用。在本文中，我们采用了一种简便的多相调控策略，将ZrB₂和ZrN掺入非晶态1.3Li₂O-ZrCl₄（LZCO）基体中，以同时增强Li⁺传输和界面稳定性。ZrB₂和ZrN调节桥氧/非桥氧比，以促进非晶化并创建超离子异质界面，这使得Li⁺传导网络更加连续，同时保持整体电子绝缘性。多相结构减轻了界面副反应，由于B-O和N-O键的形成改善了界面兼容性，并使复合阴极中的电子传输路径均匀化。结果，1.3Li₂O-0.8ZrCl₄-0.1ZrB₂-0.1ZrN (LZCOBN₀.₁) 显示出2.41 mS cm⁻¹的高室温离子电导率。</w:t>
      </w:r>
    </w:p>
    <w:p>
      <w:pPr>
        <w:spacing w:before="0" w:after="200" w:lineRule="auto" w:line="276"/>
      </w:pPr>
      <w:r>
        <w:rPr>
          <w:b/>
        </w:rPr>
        <w:t xml:space="preserve">Abstract (EN): </w:t>
      </w:r>
      <w:r>
        <w:t>Amorphous oxyhalides attract great interest as solid‐state electrolytes (SSEs) in all‐solid‐state batteries (ASSBs) because of their oxidative stability, low cost, and mechanical deformability. But the limited room‐temperature ionic conductivity and the parasitic reactions on cathode/halide interfaces impede their practical applications. Herein, we adopt a facile multiphase regulation strategy by incorporating ZrB</w:t>
      </w:r>
      <w:r>
        <w:rPr>
          <w:vertAlign w:val="subscript"/>
        </w:rPr>
        <w:t>2</w:t>
      </w:r>
      <w:r>
        <w:t>and ZrN into an amorphous 1.3Li</w:t>
      </w:r>
      <w:r>
        <w:rPr>
          <w:vertAlign w:val="subscript"/>
        </w:rPr>
        <w:t>2</w:t>
      </w:r>
      <w:r>
        <w:t>O‐ZrCl</w:t>
      </w:r>
      <w:r>
        <w:rPr>
          <w:vertAlign w:val="subscript"/>
        </w:rPr>
        <w:t>4</w:t>
      </w:r>
      <w:r>
        <w:t>(LZCO) matrix to simultaneously enhance Li</w:t>
      </w:r>
      <w:r>
        <w:t xml:space="preserve"> </w:t>
      </w:r>
      <w:r>
        <w:t>+</w:t>
      </w:r>
      <w:r>
        <w:t xml:space="preserve"> </w:t>
      </w:r>
      <w:r>
        <w:t>transport and interfacial stability. ZrB</w:t>
      </w:r>
      <w:r>
        <w:rPr>
          <w:vertAlign w:val="subscript"/>
        </w:rPr>
        <w:t>2</w:t>
      </w:r>
      <w:r>
        <w:t>and ZrN regulate the bridging‐oxygen/non‐bridging‐oxygen ratio to promote amorphization and create superionic heterointerfaces, which enables a more continuous Li</w:t>
      </w:r>
      <w:r>
        <w:t xml:space="preserve"> </w:t>
      </w:r>
      <w:r>
        <w:t>+</w:t>
      </w:r>
      <w:r>
        <w:t xml:space="preserve"> </w:t>
      </w:r>
      <w:r>
        <w:t>conduction network while preserving overall electronic insulation. The multiphase architecture mitigates the interfacial side reactions, improves the interface compatibility due to the formation of B‐O and N‐O bonds, and homogenizes electron transport pathways in the composite cathode. As a result, 1.3Li</w:t>
      </w:r>
      <w:r>
        <w:rPr>
          <w:vertAlign w:val="subscript"/>
        </w:rPr>
        <w:t>2</w:t>
      </w:r>
      <w:r>
        <w:t>O‐0.8ZrCl</w:t>
      </w:r>
      <w:r>
        <w:rPr>
          <w:vertAlign w:val="subscript"/>
        </w:rPr>
        <w:t>4</w:t>
      </w:r>
      <w:r>
        <w:t>‐0.1ZrB</w:t>
      </w:r>
      <w:r>
        <w:rPr>
          <w:vertAlign w:val="subscript"/>
        </w:rPr>
        <w:t>2</w:t>
      </w:r>
      <w:r>
        <w:t>‐0.1ZrN (LZCOBN</w:t>
      </w:r>
      <w:r>
        <w:t xml:space="preserve"> </w:t>
      </w:r>
      <w:r>
        <w:t>0.1</w:t>
      </w:r>
      <w:r>
        <w:t xml:space="preserve"> </w:t>
      </w:r>
      <w:r>
        <w:t>) shows a high room‐temperature ionic conductivity of 2.41 mS cm</w:t>
      </w:r>
      <w:r>
        <w:t xml:space="preserve"> </w:t>
      </w:r>
      <w:r>
        <w:t>−1</w:t>
      </w:r>
      <w:r>
        <w:t xml:space="preserve"> </w:t>
      </w:r>
      <w:r>
        <w:t>, compared with 1.3 mS cm</w:t>
      </w:r>
      <w:r>
        <w:t xml:space="preserve"> </w:t>
      </w:r>
      <w:r>
        <w:t>−1</w:t>
      </w:r>
      <w:r>
        <w:t xml:space="preserve"> </w:t>
      </w:r>
      <w:r>
        <w:t>for pristine LZCO. ASSBs employing LZCOBN</w:t>
      </w:r>
      <w:r>
        <w:t xml:space="preserve"> </w:t>
      </w:r>
      <w:r>
        <w:t>0.1</w:t>
      </w:r>
      <w:r>
        <w:t xml:space="preserve"> </w:t>
      </w:r>
      <w:r>
        <w:t>and LiNi</w:t>
      </w:r>
      <w:r>
        <w:t xml:space="preserve"> </w:t>
      </w:r>
      <w:r>
        <w:t>0.90</w:t>
      </w:r>
      <w:r>
        <w:t xml:space="preserve"> </w:t>
      </w:r>
      <w:r>
        <w:t>Co</w:t>
      </w:r>
      <w:r>
        <w:t xml:space="preserve"> </w:t>
      </w:r>
      <w:r>
        <w:t>0.05</w:t>
      </w:r>
      <w:r>
        <w:t xml:space="preserve"> </w:t>
      </w:r>
      <w:r>
        <w:t>Mn</w:t>
      </w:r>
      <w:r>
        <w:t xml:space="preserve"> </w:t>
      </w:r>
      <w:r>
        <w:t>0.05</w:t>
      </w:r>
      <w:r>
        <w:t xml:space="preserve"> </w:t>
      </w:r>
      <w:r>
        <w:t>O</w:t>
      </w:r>
      <w:r>
        <w:rPr>
          <w:vertAlign w:val="subscript"/>
        </w:rPr>
        <w:t>2</w:t>
      </w:r>
      <w:r>
        <w:t>deliver a high initial capacity of 210 mAh g</w:t>
      </w:r>
      <w:r>
        <w:t xml:space="preserve"> </w:t>
      </w:r>
      <w:r>
        <w:t>−1</w:t>
      </w:r>
      <w:r>
        <w:t xml:space="preserve"> </w:t>
      </w:r>
      <w:r>
        <w:t>at 0.1 C and retain 82.7% capacity after 2000 cycles at 3 C, demonstrating ultrahigh cycling stability. This work highlights the potential of phase engineering regulation in developing high‐performance amorphous oxyhalide‐based ASSBs.</w:t>
      </w:r>
    </w:p>
    <w:p>
      <w:pPr>
        <w:spacing w:before="120" w:after="120"/>
      </w:pPr>
      <w:r>
        <w:rPr>
          <w:sz w:val="18"/>
        </w:rPr>
        <w:t>——————————————————————————————————————————————————————————————————————</w:t>
      </w:r>
    </w:p>
    <w:p>
      <w:pPr>
        <w:spacing w:before="160" w:after="40" w:line="240" w:lineRule="auto"/>
      </w:pPr>
      <w:r>
        <w:rPr>
          <w:b/>
        </w:rPr>
        <w:t xml:space="preserve">[6] </w:t>
      </w:r>
      <w:hyperlink r:id="rId49">
        <w:r>
          <w:rPr>
            <w:color w:val="1155CC"/>
            <w:u w:val="single"/>
          </w:rPr>
          <w:t>COF正极和水凝胶电解质中协同动态氢键工程用于持久NH4+储存</w:t>
        </w:r>
      </w:hyperlink>
    </w:p>
    <w:p>
      <w:pPr>
        <w:spacing w:before="0" w:after="80"/>
      </w:pPr>
      <w:r>
        <w:rPr>
          <w:i/>
          <w:sz w:val="20"/>
        </w:rPr>
        <w:t>EN: Synergistic Dynamic Hydrogen‐Bond Engineering in COF Cathode and Hydrogel Electrolyte for Durable NH4+ Storage</w:t>
      </w:r>
    </w:p>
    <w:p>
      <w:pPr>
        <w:spacing w:before="0" w:after="120"/>
      </w:pPr>
      <w:r>
        <w:rPr>
          <w:b/>
        </w:rPr>
        <w:t xml:space="preserve">Source: </w:t>
      </w:r>
      <w:r>
        <w:t>Wiley: Angewandte Chemie International Edition: Table of Contents</w:t>
      </w:r>
      <w:r>
        <w:t xml:space="preserve">    </w:t>
      </w:r>
      <w:r>
        <w:rPr>
          <w:b/>
        </w:rPr>
        <w:t xml:space="preserve">Pub date: </w:t>
      </w:r>
      <w:r>
        <w:t>2026-05-18 15:37:30+00:00</w:t>
      </w:r>
      <w:r>
        <w:t xml:space="preserve">    </w:t>
      </w:r>
      <w:r>
        <w:rPr>
          <w:b/>
        </w:rPr>
        <w:t xml:space="preserve">DOI: </w:t>
      </w:r>
      <w:hyperlink r:id="rId50">
        <w:r>
          <w:rPr>
            <w:color w:val="1155CC"/>
            <w:u w:val="single"/>
          </w:rPr>
          <w:t>10.1002/anie.2599445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水系铵离子电池 (AAIBs) 因其可持续储能特性而备受关注，它利用了通过可逆氢键相互作用实现的 Grotthuss 型质子传输所带来的 NH4+ 离子的快速扩散动力学。然而，它们的实际应用常常受到传统液体电解质和无机正极引起的不可逆副反应和结构降解的限制。在此，我们报告了一种双区设计策略，即将定制的水凝胶电解质与氧化还原活性共价有机框架 (COF) 正极集成，以促进 AAIBs 中 NH4+ 的持久存储。在电解质中，一种 pH 调节的聚丙烯酰胺基水凝胶电解质具有均匀的 3D 网络，可抑制阴离子诱导的盐析效应，并促进动态氢键辅助的 NH4+ 迁移。作为补充，基于六氮杂三萘 (HATN) 的 COF (HATN-COF) 正极具有丰富的 C═O/C═N 基团，为稳定的 NH4+ 存储提供了多个可逆氢键位点。正如预期，组装后的电池在 0.05 A g−1 下实现了 420 mAh g−1 的高初始容量，并在 2 A g−1 下保持了 126 mAh g−1 的高可逆容量。</w:t>
      </w:r>
    </w:p>
    <w:p>
      <w:pPr>
        <w:spacing w:before="0" w:after="200" w:lineRule="auto" w:line="276"/>
      </w:pPr>
      <w:r>
        <w:rPr>
          <w:b/>
        </w:rPr>
        <w:t xml:space="preserve">Abstract (EN): </w:t>
      </w:r>
      <w:r>
        <w:t>Aqueous ammonium‐ion batteries (AAIBs) have garnered considerable attention for sustainable energy storage, leveraging the rapid diffusion kinetics of NH</w:t>
      </w:r>
      <w:r>
        <w:rPr>
          <w:vertAlign w:val="subscript"/>
        </w:rPr>
        <w:t>4</w:t>
      </w:r>
      <w:r>
        <w:t>+</w:t>
      </w:r>
      <w:r>
        <w:t xml:space="preserve"> </w:t>
      </w:r>
      <w:r>
        <w:t>ions enabled by Grotthuss‐type proton transport through reversible hydrogen‐bonding interactions. Nevertheless, their practical deployment is often constrained by irreversible side reactions and structural degradation from conventional liquid electrolytes and inorganic cathodes. Herein, we report a dual‐zone design strategy of integrating a tailored hydrogel electrolyte with a redox‐active covalent organic framework (COF) cathode to promote durable NH</w:t>
      </w:r>
      <w:r>
        <w:rPr>
          <w:vertAlign w:val="subscript"/>
        </w:rPr>
        <w:t>4</w:t>
      </w:r>
      <w:r>
        <w:t>+</w:t>
      </w:r>
      <w:r>
        <w:t xml:space="preserve"> </w:t>
      </w:r>
      <w:r>
        <w:t>storage in AAIBs. In the electrolyte, a pH‐modulated polyacrylamide‐based hydrogel electrolyte with a uniform 3D network suppresses anion‐induced salting‐out effects and facilitates dynamic hydrogen‐bond‐enabled NH</w:t>
      </w:r>
      <w:r>
        <w:rPr>
          <w:vertAlign w:val="subscript"/>
        </w:rPr>
        <w:t>4</w:t>
      </w:r>
      <w:r>
        <w:t>+</w:t>
      </w:r>
      <w:r>
        <w:t xml:space="preserve"> </w:t>
      </w:r>
      <w:r>
        <w:t>migration. Complementarily, a hexaazatrinaphthalene (HATN)‐based COF (HATN‐COF) cathode with abundant C═O/C═N groups provides multiple reversible hydrogen‐bonding sites for stable NH</w:t>
      </w:r>
      <w:r>
        <w:rPr>
          <w:vertAlign w:val="subscript"/>
        </w:rPr>
        <w:t>4</w:t>
      </w:r>
      <w:r>
        <w:t>+</w:t>
      </w:r>
      <w:r>
        <w:t xml:space="preserve"> </w:t>
      </w:r>
      <w:r>
        <w:t>storage. As expected, the assembled cell achieves a high initial capacity of 420 mAh g</w:t>
      </w:r>
      <w:r>
        <w:t xml:space="preserve"> </w:t>
      </w:r>
      <w:r>
        <w:t>−1</w:t>
      </w:r>
      <w:r>
        <w:t xml:space="preserve"> </w:t>
      </w:r>
      <w:r>
        <w:t>at 0.05 A g</w:t>
      </w:r>
      <w:r>
        <w:t xml:space="preserve"> </w:t>
      </w:r>
      <w:r>
        <w:t>−1</w:t>
      </w:r>
      <w:r>
        <w:t xml:space="preserve"> </w:t>
      </w:r>
      <w:r>
        <w:t>and retains a high reversible capacity of 126 mAh g</w:t>
      </w:r>
      <w:r>
        <w:t xml:space="preserve"> </w:t>
      </w:r>
      <w:r>
        <w:t>−1</w:t>
      </w:r>
      <w:r>
        <w:t xml:space="preserve"> </w:t>
      </w:r>
      <w:r>
        <w:t>at 2 A g</w:t>
      </w:r>
      <w:r>
        <w:t xml:space="preserve"> </w:t>
      </w:r>
      <w:r>
        <w:t>−1</w:t>
      </w:r>
      <w:r>
        <w:t xml:space="preserve"> </w:t>
      </w:r>
      <w:r>
        <w:t>with 70.8% capacity retention after 1300 cycles. This work demonstrates that the dual‐zone design strategy holds great potential for advancing high‐performance AAIBs.</w:t>
      </w:r>
    </w:p>
    <w:p>
      <w:pPr>
        <w:spacing w:before="120" w:after="120"/>
      </w:pPr>
      <w:r>
        <w:rPr>
          <w:sz w:val="18"/>
        </w:rPr>
        <w:t>——————————————————————————————————————————————————————————————————————</w:t>
      </w:r>
    </w:p>
    <w:p>
      <w:pPr>
        <w:spacing w:before="160" w:after="40" w:line="240" w:lineRule="auto"/>
      </w:pPr>
      <w:r>
        <w:rPr>
          <w:b/>
        </w:rPr>
        <w:t xml:space="preserve">[7] </w:t>
      </w:r>
      <w:hyperlink r:id="rId51">
        <w:r>
          <w:rPr>
            <w:color w:val="1155CC"/>
            <w:u w:val="single"/>
          </w:rPr>
          <w:t>[ASAP] 不对称乙二醇醚分子设计实现温度自适应阴离子配位用于持久高温钠电池</w:t>
        </w:r>
      </w:hyperlink>
    </w:p>
    <w:p>
      <w:pPr>
        <w:spacing w:before="0" w:after="80"/>
      </w:pPr>
      <w:r>
        <w:rPr>
          <w:i/>
          <w:sz w:val="20"/>
        </w:rPr>
        <w:t>EN: [ASAP] Asymmetric Glycol-Ether Molecule Design Enables Temperature-Adaptive Anion Coordination for Durable High-Temperature Sodium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2026-05-18 18:20:45+00:00</w:t>
      </w:r>
      <w:r>
        <w:t xml:space="preserve">    </w:t>
      </w:r>
      <w:r>
        <w:rPr>
          <w:b/>
        </w:rPr>
        <w:t xml:space="preserve">DOI: </w:t>
      </w:r>
      <w:hyperlink r:id="rId52">
        <w:r>
          <w:rPr>
            <w:color w:val="1155CC"/>
            <w:u w:val="single"/>
          </w:rPr>
          <w:t>10.1021/jacs.6c01657</w:t>
        </w:r>
      </w:hyperlink>
    </w:p>
    <w:p>
      <w:pPr>
        <w:spacing w:before="0" w:after="120"/>
      </w:pPr>
      <w:r>
        <w:rPr>
          <w:b/>
        </w:rPr>
        <w:t xml:space="preserve">Notes: </w:t>
      </w:r>
      <w:r>
        <w:t>abstract_source=pubmed</w:t>
      </w:r>
    </w:p>
    <w:p>
      <w:pPr>
        <w:spacing w:before="0" w:after="80" w:lineRule="auto" w:line="276"/>
      </w:pPr>
      <w:r>
        <w:rPr>
          <w:b/>
        </w:rPr>
        <w:t xml:space="preserve">摘要（ZH）: </w:t>
      </w:r>
      <w:r>
        <w:t>高电压和高温钠离子电池 (SIBs) 有望在极端场景中实现经济高效的储能应用，但一个关键困境依然存在：传统电解质的化学和电化学不稳定性。电解质消耗加剧、电极失效和界面损伤是由于侵蚀性H+腐蚀造成的，尤其是在基于NaPF6的电解质中。为应对这一挑战，本研究提出了一种基于不对称乙二醇醚 (F3Si) 助溶剂的分子设计策略。利用其空间位阻效应，我们调节了Na+的配位环境，从而改变了传统的溶剂化结构，并促进阴离子参与构建稳定的、富含无机物的正极-电解质界面 (CEI)。实验和理论模拟结果表明，F3Si参与Na+溶剂化鞘表现出温度适应性特征：随着温度升高，更多阴离子被纳入配位球，促进了高模量、富含无机物的CEI的形成。同时，F3Si助溶剂通过Si-O键有效捕获有害酸性物质，中断了后续的链式副反应。因此，所开发的电解质使4.3 V-Na3V2(PO4)2O2F正极在极端热条件下表现出卓越的循环稳定性——在70 °C下循环2000次后仍保持88.9%的容量，并在90 °C下循环400次后保持98.5%的容量。这项工作阐明了一种根植于温度响应的界面稳定机制。</w:t>
      </w:r>
    </w:p>
    <w:p>
      <w:pPr>
        <w:spacing w:before="0" w:after="200" w:lineRule="auto" w:line="276"/>
      </w:pPr>
      <w:r>
        <w:rPr>
          <w:b/>
        </w:rPr>
        <w:t xml:space="preserve">Abstract (EN): </w:t>
      </w:r>
      <w:r>
        <w:t>High-voltage and high-temperature sodium-ion batteries (SIBs) promise cost-effective energy storage applications in extreme scenarios, but a critical dilemma persists: the chemical and electrochemical instability of conventional electrolytes. The intensified electrolyte consumption, electrode failure, and interface damage result from aggressive H+ corrosion, especially in NaPF6-based electrolytes. To address this challenge, this study proposes a molecular design strategy based on an asymmetric glycol-ether (F3Si) cosolvent. Leveraging its steric hindrance effect, we modulate the Na+ coordination environment, thereby altering traditional solvation structures and promoting anion participation in constructing a stable, inorganic-rich cathode-electrolyte interphase (CEI). Experimental and theoretical simulation results demonstrate that the involvement of F3Si in the Na+ solvation sheath exhibits temperature-adaptive characteristics: as temperature increases, more anions are incorporated into the coordination sphere, facilitating the formation of a high-modulus, inorganic-rich CEI. Meanwhile, the F3Si cosolvent effectively captures adverse acidic species via Si-O bonding, interrupting subsequent chain-like side reactions. Consequently, the developed electrolyte enables the 4.3 V-Na3V2(PO4)2O2F cathode to demonstrate exceptional cycling stability under extreme thermal conditions─retaining 88.9% of capacity after 2000 cycles at 70 °C and maintaining 98.5% of capacity over 400 cycles at 90 °C. This work elucidates a temperature-responsive interface stabilization mechanism rooted in solvent molecular geometry and anion solvation, offering innovative electrolyte design principles for developing high-performance SIBs in harsh temperature regimes.</w:t>
      </w:r>
    </w:p>
    <w:p>
      <w:pPr>
        <w:spacing w:before="120" w:after="120"/>
      </w:pPr>
      <w:r>
        <w:rPr>
          <w:sz w:val="18"/>
        </w:rPr>
        <w:t>——————————————————————————————————————————————————————————————————————</w:t>
      </w:r>
    </w:p>
    <w:p>
      <w:pPr>
        <w:spacing w:before="160" w:after="40" w:line="240" w:lineRule="auto"/>
      </w:pPr>
      <w:r>
        <w:rPr>
          <w:b/>
        </w:rPr>
        <w:t xml:space="preserve">[8] </w:t>
      </w:r>
      <w:hyperlink r:id="rId77">
        <w:r>
          <w:rPr>
            <w:color w:val="1155CC"/>
            <w:u w:val="single"/>
          </w:rPr>
          <w:t>阴离子还原催化中心调控界面溶剂化结构用于快充硅负极</w:t>
        </w:r>
      </w:hyperlink>
    </w:p>
    <w:p>
      <w:pPr>
        <w:spacing w:before="0" w:after="80"/>
      </w:pPr>
      <w:r>
        <w:rPr>
          <w:i/>
          <w:sz w:val="20"/>
        </w:rPr>
        <w:t>EN: Anion-reduction catalytic centres regulate interfacial solvation structures for fast-charging Si anodes</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78">
        <w:r>
          <w:rPr>
            <w:color w:val="1155CC"/>
            <w:u w:val="single"/>
          </w:rPr>
          <w:t>10.1038/s41560-026-02074-x</w:t>
        </w:r>
      </w:hyperlink>
    </w:p>
    <w:p>
      <w:pPr>
        <w:spacing w:before="0" w:after="120"/>
      </w:pPr>
      <w:r>
        <w:rPr>
          <w:b/>
        </w:rPr>
        <w:t xml:space="preserve">Notes: </w:t>
      </w:r>
      <w:r>
        <w:t>abstract_source=nature_html</w:t>
      </w:r>
    </w:p>
    <w:p>
      <w:pPr>
        <w:spacing w:before="0" w:after="80" w:lineRule="auto" w:line="276"/>
      </w:pPr>
      <w:r>
        <w:rPr>
          <w:b/>
        </w:rPr>
        <w:t xml:space="preserve">摘要（ZH）: </w:t>
      </w:r>
      <w:r>
        <w:t>富含阴离子的界面溶剂化结构 (ISS) 对阳极的稳定快速充电至关重要。在此，我们提出界面阴离子还原催化作为一种新范式，其中催化中心调节ISS以引导固体电解质界面形成。使用S空位作为原型催化位点，我们证明这些中心诱导的静电势阱将双(氟磺酰)亚胺 (FSI−) 吸引到界面，并在充电过程中形成接触离子对，从而在商业电解质中形成富含FSI−的ISS。这种催化调节的ISS促进了优先的FSI−还原和超细LiF晶粒形成，从而生成具有快速Li+传输路径的致密富LiF固体电解质界面。具有催化界面的硅基阳极表现出稳定的循环性能，平均库仑效率约为~99.94%。软包电池在10分钟和6分钟内分别达到约~91.4%和~85.3%的充电量，同时在6分钟充电下提供约~240.4 Wh kg−1的能量。这项工作确立了ISS的催化调节作为一种有前景的电池快速充电策略。</w:t>
      </w:r>
    </w:p>
    <w:p>
      <w:pPr>
        <w:spacing w:before="0" w:after="200" w:lineRule="auto" w:line="276"/>
      </w:pPr>
      <w:r>
        <w:rPr>
          <w:b/>
        </w:rPr>
        <w:t xml:space="preserve">Abstract (EN): </w:t>
      </w:r>
      <w:r>
        <w:t>Anion-rich interfacial solvation structures (ISS) are critical for stable fast charging of anodes. Here we propose interfacial anion-reduction catalysis as a new paradigm, in which catalytic centres regulate the ISS to direct solid electrolyte interphase formation. Using S vacancies as prototypical catalytic sites, we demonstrate that electrostatic potential wells induced by these centres attract bis(fluorosulfonyl)imide (FSI−) to the interface and form contact ion pairs during charging, creating FSI−-rich ISS in commercial electrolytes. This catalytically regulated ISS promotes preferential FSI− reduction and ultrafine LiF grain formation, generating a compact LiF-rich solid electrolyte interphase with rapid Li+ transport pathways. Si-based anode with catalytic interface demonstrates stable cycling with an average coulombic efficiency of ~99.94%. Pouch cells achieve ~91.4% and ~85.3% charge in 10 min and 6 min, respectively, while providing ~240.4 Wh kg−1 under 6 min charging. This work establishes catalytic regulation of ISS as a promising strategy for fast battery charging.</w:t>
      </w:r>
    </w:p>
    <w:p>
      <w:pPr>
        <w:spacing w:before="120" w:after="120"/>
      </w:pPr>
      <w:r>
        <w:rPr>
          <w:sz w:val="18"/>
        </w:rPr>
        <w:t>——————————————————————————————————————————————————————————————————————</w:t>
      </w:r>
    </w:p>
    <w:p>
      <w:pPr>
        <w:spacing w:before="160" w:after="40" w:line="240" w:lineRule="auto"/>
      </w:pPr>
      <w:r>
        <w:rPr>
          <w:b/>
        </w:rPr>
        <w:t xml:space="preserve">[9] </w:t>
      </w:r>
      <w:hyperlink r:id="rId53">
        <w:r>
          <w:rPr>
            <w:color w:val="1155CC"/>
            <w:u w:val="single"/>
          </w:rPr>
          <w:t>[ASAP] 通过增容溶剂塑化实现聚合物调控的溶剂化化学，用于稳定的高能量锂金属电池</w:t>
        </w:r>
      </w:hyperlink>
    </w:p>
    <w:p>
      <w:pPr>
        <w:spacing w:before="0" w:after="80"/>
      </w:pPr>
      <w:r>
        <w:rPr>
          <w:i/>
          <w:sz w:val="20"/>
        </w:rPr>
        <w:t>EN: [ASAP] Polymer-Modulated Solvation Chemistry via Compatibilizing-Solvent Plasticization for Stable High-Energy Lithium Metal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2026-05-19 08:29:00+00:00</w:t>
      </w:r>
      <w:r>
        <w:t xml:space="preserve">    </w:t>
      </w:r>
      <w:r>
        <w:rPr>
          <w:b/>
        </w:rPr>
        <w:t xml:space="preserve">DOI: </w:t>
      </w:r>
      <w:hyperlink r:id="rId54">
        <w:r>
          <w:rPr>
            <w:color w:val="1155CC"/>
            <w:u w:val="single"/>
          </w:rPr>
          <w:t>10.1021/jacs.6c02800</w:t>
        </w:r>
      </w:hyperlink>
    </w:p>
    <w:p>
      <w:pPr>
        <w:spacing w:before="0" w:after="120"/>
      </w:pPr>
      <w:r>
        <w:rPr>
          <w:b/>
        </w:rPr>
        <w:t xml:space="preserve">Notes: </w:t>
      </w:r>
      <w:r>
        <w:t>abstract_source=pubmed</w:t>
      </w:r>
    </w:p>
    <w:p>
      <w:pPr>
        <w:spacing w:before="0" w:after="80" w:lineRule="auto" w:line="276"/>
      </w:pPr>
      <w:r>
        <w:rPr>
          <w:b/>
        </w:rPr>
        <w:t xml:space="preserve">摘要（ZH）: </w:t>
      </w:r>
      <w:r>
        <w:t>用残余溶剂增塑的聚偏氟乙烯（PVDF）基聚合物电解质有望用于高能量和高安全性锂金属电池。然而，其实际应用受到对可混溶但电化学不稳定的增塑剂（如N,N-二甲基甲酰胺）的依赖的限制，这损害了锂的可逆性和高压兼容性。在描述符指导的筛选下，我们识别了几种电化学有利的增塑剂，但它们与聚合物的热力学不混溶性阻碍了均匀增塑。在此，我们提出了一种增容溶剂辅助增塑策略，该策略利用瞬态溶剂来降低有效Flory-Huggins相互作用参数，从而实现聚偏氟乙烯-六氟丙烯共聚物与不混溶增塑剂的均匀增塑。使用环丁砜作为代表性增塑剂，所得的聚合物-环丁砜（Fδ--Hδ+）相互作用抑制了环丁砜迁移并调节了阴离子聚集溶剂化结构，从而形成了阴离子衍生的富氟固体电解质界面。因此，该聚合物电解质在1400次循环中提供了99.1%的平均锂沉积/剥离库仑效率，支持4.7 V富镍正极在20C（7.1 mA cm-2）下的稳定循环，并在安时级软包电池中实现了451.5 Wh kg-1的能量密度。更广泛地说，这项工作为扩展PVDF基聚合物电解质的增塑剂设计空间建立了一条通用途径，为实际应用提供了一个有前景的方向。</w:t>
      </w:r>
    </w:p>
    <w:p>
      <w:pPr>
        <w:spacing w:before="0" w:after="200" w:lineRule="auto" w:line="276"/>
      </w:pPr>
      <w:r>
        <w:rPr>
          <w:b/>
        </w:rPr>
        <w:t xml:space="preserve">Abstract (EN): </w:t>
      </w:r>
      <w:r>
        <w:t>Poly(vinylidene fluoride) (PVDF)-based polymer electrolytes plasticized with residual solvent are promising for high-energy and high-safety lithium metal batteries. However, their practical realization is constrained by the reliance on miscible yet electrochemically unstable plasticizers (such as N,N-dimethylformamide), which compromise both lithium reversibility and high-voltage compatibility. Guided by a descriptor-informed screening, we identify several electrochemically favorable plasticizers, but their thermodynamic immiscibility with polymers precludes homogeneous plasticization. Here, we propose a compatibilizing-solvent-enabled plasticization strategy that leverages a transient solvent to lower the effective Flory-Huggins interaction parameter, thereby enabling the homogeneous plasticization of poly(vinylidene fluoride-co-hexafluoropropylene) with immiscible plasticizers. Using sulfolane as a representative plasticizer, the resulting polymer-sulfolane (Fδ--Hδ+) interactions suppress sulfolane migration and modulate an anion-aggregate solvation structure, leading to anion-derived fluorine-rich solid-electrolyte interphases. Consequently, the polymer electrolyte delivers an average lithium plating/stripping Coulombic efficiency of 99.1% over 1400 cycles, supports stable cycling of 4.7 V Ni-rich cathodes at 20C (7.1 mA cm-2), and achieves an energy density of 451.5 Wh kg-1 in Ah-scale pouch cells. More broadly, this work establishes a general route for expanding the plasticizer design space of PVDF-based polymer electrolytes, offering a promising direction toward practical lithium metal batteries.</w:t>
      </w:r>
    </w:p>
    <w:p>
      <w:pPr>
        <w:spacing w:before="120" w:after="120"/>
      </w:pPr>
      <w:r>
        <w:rPr>
          <w:sz w:val="18"/>
        </w:rPr>
        <w:t>——————————————————————————————————————————————————————————————————————</w:t>
      </w:r>
    </w:p>
    <w:p>
      <w:pPr>
        <w:spacing w:before="160" w:after="40" w:line="240" w:lineRule="auto"/>
      </w:pPr>
      <w:r>
        <w:rPr>
          <w:b/>
        </w:rPr>
        <w:t xml:space="preserve">[10] </w:t>
      </w:r>
      <w:hyperlink r:id="rId89">
        <w:r>
          <w:rPr>
            <w:color w:val="1155CC"/>
            <w:u w:val="single"/>
          </w:rPr>
          <w:t>超快且持久的电解液酸清除剂用于稳定的高压锂电池</w:t>
        </w:r>
      </w:hyperlink>
    </w:p>
    <w:p>
      <w:pPr>
        <w:spacing w:before="0" w:after="80"/>
      </w:pPr>
      <w:r>
        <w:rPr>
          <w:i/>
          <w:sz w:val="20"/>
        </w:rPr>
        <w:t>EN: Ultrafast and Persistent Electrolyte Acid Scavenger for Stable High‐Voltage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2026-05-19 16:36:54+00:00</w:t>
      </w:r>
      <w:r>
        <w:t xml:space="preserve">    </w:t>
      </w:r>
      <w:r>
        <w:rPr>
          <w:b/>
        </w:rPr>
        <w:t xml:space="preserve">DOI: </w:t>
      </w:r>
      <w:hyperlink r:id="rId90">
        <w:r>
          <w:rPr>
            <w:color w:val="1155CC"/>
            <w:u w:val="single"/>
          </w:rPr>
          <w:t>10.1002/anie.8016076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在含有 LiPF</w:t>
      </w:r>
      <w:r>
        <w:rPr>
          <w:vertAlign w:val="subscript"/>
        </w:rPr>
        <w:t>6</w:t>
      </w:r>
      <w:r>
        <w:t>的碳酸酯基电解液中，氢氟酸 (HF) 的生成是高压锂离子电池的主要失效原因。在此，通过合理的分子设计，开发了一种新型双功能添加剂 5-三甲基硅烷基噻唑 (5-SiTZ)，用于超快且持久的酸清除。5-SiTZ 中的硅氧烷基团与 HF 自发反应，而其噻唑基部分作为次级路易斯碱清除剂并螯合 PF</w:t>
      </w:r>
      <w:r>
        <w:rPr>
          <w:vertAlign w:val="subscript"/>
        </w:rPr>
        <w:t>5</w:t>
      </w:r>
      <w:r>
        <w:t>以抑制 HF 的进一步生成。这种协同作用实现了超快 (&lt;1 s) 且完全的 HF 清除，在空气暴露下可持续 200 多天。此外，5-SiTZ 促进形成坚固、富无机物的正极电解质界面。持久 HF 清除和界面稳定的综合效应使商用石墨||NCM811 软包电池在 4.6 V 下循环 700 次后，仍能提供 92.1% 的优异容量保持率。这项工作建立了多功能添加剂协同分子设计的范式，为耐用高能量电池提供了一条实用途径。</w:t>
      </w:r>
    </w:p>
    <w:p>
      <w:pPr>
        <w:spacing w:before="0" w:after="200" w:lineRule="auto" w:line="276"/>
      </w:pPr>
      <w:r>
        <w:rPr>
          <w:b/>
        </w:rPr>
        <w:t xml:space="preserve">Abstract (EN): </w:t>
      </w:r>
      <w:r>
        <w:t>Hydrofluoric acid (HF) generation in carbonate‐based electrolytes with LiPF</w:t>
      </w:r>
      <w:r>
        <w:rPr>
          <w:vertAlign w:val="subscript"/>
        </w:rPr>
        <w:t>6</w:t>
      </w:r>
      <w:r>
        <w:t>is a primary failure cause in high‐voltage lithium‐ion batteries. Here, a new dual‐functional additive 5‐trimethylsilanylthiazole (5‐SiTZ) is developed by rational molecular design for ultrafast and persistent acid scavenging. Siloxane group in 5‐SiTZ reacts spontaneously with HF, while its thiazolyl moiety acts as a secondary Lewis base scavenger and chelates PF</w:t>
      </w:r>
      <w:r>
        <w:rPr>
          <w:vertAlign w:val="subscript"/>
        </w:rPr>
        <w:t>5</w:t>
      </w:r>
      <w:r>
        <w:t>to suppress further HF generation. This synergistic action achieves ultrafast (&amp;lt;1 s) and complete HF removal for over 200 days upon open‐air exposure. Furthermore, 5‐SiTZ promotes the formation of a robust, inorganic‐rich cathode electrolyte interphase. The combined effect of persistent HF removal and interface stabilization enables commercial graphite||NCM811 pouch cells to deliver outstanding capacity retention of 92.1% after 700 cycles at 4.6 V. This work establishes a paradigm of synergistic molecular design for multi‐functional additives, providing a practical route to durable high‐energy batteries.</w:t>
      </w:r>
    </w:p>
    <w:p>
      <w:pPr>
        <w:spacing w:before="120" w:after="120"/>
      </w:pPr>
      <w:r>
        <w:rPr>
          <w:sz w:val="18"/>
        </w:rPr>
        <w:t>——————————————————————————————————————————————————————————————————————</w:t>
      </w:r>
    </w:p>
    <w:p>
      <w:pPr>
        <w:spacing w:before="160" w:after="40" w:line="240" w:lineRule="auto"/>
      </w:pPr>
      <w:r>
        <w:rPr>
          <w:b/>
        </w:rPr>
        <w:t xml:space="preserve">[11] </w:t>
      </w:r>
      <w:hyperlink r:id="rId65">
        <w:r>
          <w:rPr>
            <w:color w:val="1155CC"/>
            <w:u w:val="single"/>
          </w:rPr>
          <w:t>[ASAP] 超高碲含量低压全固态锂-碲电池</w:t>
        </w:r>
      </w:hyperlink>
    </w:p>
    <w:p>
      <w:pPr>
        <w:spacing w:before="0" w:after="80"/>
      </w:pPr>
      <w:r>
        <w:rPr>
          <w:i/>
          <w:sz w:val="20"/>
        </w:rPr>
        <w:t>EN: [ASAP] Ultrahigh Te-Content Low-Pressure All-Solid-State Li–Te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2026-05-19 18:28:34+00:00</w:t>
      </w:r>
      <w:r>
        <w:t xml:space="preserve">    </w:t>
      </w:r>
      <w:r>
        <w:rPr>
          <w:b/>
        </w:rPr>
        <w:t xml:space="preserve">DOI: </w:t>
      </w:r>
      <w:hyperlink r:id="rId66">
        <w:r>
          <w:rPr>
            <w:color w:val="1155CC"/>
            <w:u w:val="single"/>
          </w:rPr>
          <w:t>10.1021/jacs.5c23309</w:t>
        </w:r>
      </w:hyperlink>
    </w:p>
    <w:p>
      <w:pPr>
        <w:spacing w:before="0" w:after="120"/>
      </w:pPr>
      <w:r>
        <w:rPr>
          <w:b/>
        </w:rPr>
        <w:t xml:space="preserve">Notes: </w:t>
      </w:r>
      <w:r>
        <w:t>abstract_source=pubmed</w:t>
      </w:r>
    </w:p>
    <w:p>
      <w:pPr>
        <w:spacing w:before="0" w:after="80" w:lineRule="auto" w:line="276"/>
      </w:pPr>
      <w:r>
        <w:rPr>
          <w:b/>
        </w:rPr>
        <w:t xml:space="preserve">摘要（ZH）: </w:t>
      </w:r>
      <w:r>
        <w:t>碲 (Te) 具有高体积容量 (2621 mAh cm-3) 和良好的电子电导率 (2000 mS cm-1)，已成为未来锂金属电池的一种有前景的正极材料。然而，采用锂-碲化学体系的全固态电池 (ASSBs) 仍未得到充分探索。在此，我们构建了一种纳米结构的 Te91@LPSC-350 复合材料，其中约 10 nm 的 Te 域均匀嵌入无定形 Li5.5PS4.5Cl1.5 (LPSC) 基质中，具有 91 wt % 的超高 Te 含量和紧密的固-固接触。这种纳米复合材料表现出高电子电导率 (121 mS cm-1) 和可观的离子电导率（0.1 mS cm-1，锂化后），从而实现了固态下超快且高度可逆的 Te 氧化还原反应。因此，采用 Te91@LPSC-350 纳米复合正极的 ASSBs 在 0.25 mA cm-2 下可提供 420 mAh g-1 的理论容量，在 12.5 mA cm-2 下保持超过 13,000 次循环的超长循环稳定性，并实现 21 mAh cm-2 的高面积容量。此外，能量密度为 1100 Wh L-1（基于 Li 和 Te91@LPSC-350）的全固态锂-碲软包电池在 2.5 MPa 下循环 200 次后仍保持其初始容量的 81%。值得注意的是，Te 可以通过利用其在汽化-冷凝过程中的 100% 选择性直接回收。这些结果表明，全固态锂-碲电池是一种安全、能量密度高且可持续的储能技术。</w:t>
      </w:r>
    </w:p>
    <w:p>
      <w:pPr>
        <w:spacing w:before="0" w:after="200" w:lineRule="auto" w:line="276"/>
      </w:pPr>
      <w:r>
        <w:rPr>
          <w:b/>
        </w:rPr>
        <w:t xml:space="preserve">Abstract (EN): </w:t>
      </w:r>
      <w:r>
        <w:t>Tellurium (Te), with high volumetric capacity (2621 mAh cm-3) and decent electronic conductivity (2000 mS cm-1), has emerged as a promising cathode material for future lithium metal batteries. However, all-solid-state batteries (ASSBs) with Li-Te chemistry remain largely unexplored. Here, we construct a nanostructured Te91@LPSC-350 composite in which ∼10 nm Te domains are uniformly embedded within an amorphous Li5.5PS4.5Cl1.5 (LPSC) matrix, featuring an ultrahigh Te content of 91 wt % and intimate solid-solid contact. This nanocomposite exhibits high electronic conductivity (121 mS cm-1) and appreciable ionic conductivity (0.1 mS cm-1, after lithiation), enabling ultrafast and highly reversible Te redox reactions in the solid-state. Resultantly, ASSBs with the Te91@LPSC-350 nanocomposite cathode deliver their theoretical capacity of 420 mAh g-1 at 0.25 mA cm-2, maintain ultralong cycling stability over 13,000 cycles at 12.5 mA cm-2, and achieve a high areal capacity of 21 mAh cm-2. Furthermore, all-solid-state Li-Te pouch cells with an energy density of 1100 Wh L-1 (based on Li and Te91@LPSC-350) retain 81% of their initial capacity after 200 cycles under 2.5 MPa. Notably, Te can be directly recovered by exploiting its 100% selectivity in a vaporization-condensation process. These results demonstrate that all-solid-state Li-Te batteries are a safe, energy-dense, and sustainable energy storage technology.</w:t>
      </w:r>
    </w:p>
    <w:p>
      <w:pPr>
        <w:spacing w:before="120" w:after="120"/>
      </w:pPr>
      <w:r>
        <w:rPr>
          <w:sz w:val="18"/>
        </w:rPr>
        <w:t>——————————————————————————————————————————————————————————————————————</w:t>
      </w:r>
    </w:p>
    <w:p>
      <w:pPr>
        <w:spacing w:before="160" w:after="40" w:line="240" w:lineRule="auto"/>
      </w:pPr>
      <w:r>
        <w:rPr>
          <w:b/>
        </w:rPr>
        <w:t xml:space="preserve">[12] </w:t>
      </w:r>
      <w:hyperlink r:id="rId81">
        <w:r>
          <w:rPr>
            <w:color w:val="1155CC"/>
            <w:u w:val="single"/>
          </w:rPr>
          <w:t>空间增强型离子-偶极电解质实现高温无负极钠电池</w:t>
        </w:r>
      </w:hyperlink>
    </w:p>
    <w:p>
      <w:pPr>
        <w:spacing w:before="0" w:after="80"/>
      </w:pPr>
      <w:r>
        <w:rPr>
          <w:i/>
          <w:sz w:val="20"/>
        </w:rPr>
        <w:t>EN: Spatially Strengthened Ion‐Dipole Electrolyte Enables High‐Temperature Anode‐Free Sodium Batteries</w:t>
      </w:r>
    </w:p>
    <w:p>
      <w:pPr>
        <w:spacing w:before="0" w:after="120"/>
      </w:pPr>
      <w:r>
        <w:rPr>
          <w:b/>
        </w:rPr>
        <w:t xml:space="preserve">Source: </w:t>
      </w:r>
      <w:r>
        <w:t>Wiley: Advanced Materials: Table of Contents</w:t>
      </w:r>
      <w:r>
        <w:t xml:space="preserve">    </w:t>
      </w:r>
      <w:r>
        <w:rPr>
          <w:b/>
        </w:rPr>
        <w:t xml:space="preserve">Pub date: </w:t>
      </w:r>
      <w:r>
        <w:t>2026-05-20 07:02:09+00:00</w:t>
      </w:r>
      <w:r>
        <w:t xml:space="preserve">    </w:t>
      </w:r>
      <w:r>
        <w:rPr>
          <w:b/>
        </w:rPr>
        <w:t xml:space="preserve">DOI: </w:t>
      </w:r>
      <w:hyperlink r:id="rId82">
        <w:r>
          <w:rPr>
            <w:color w:val="1155CC"/>
            <w:u w:val="single"/>
          </w:rPr>
          <w:t>10.1002/adma.73421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实用型无负极钠电池 (AFSBs) 需要高温适应性，例如在45°C下稳定运行。然而，目前的AFSBs通常局限于室温/低温，很少有报道能够稳定循环&gt;25°C的软包电池级AFSBs。在此，我们通过空间增强的离子-偶极电解质化学报告了高温AFSBs。具体而言，设计了一种新型溶剂，即乙基四氢糠醚 (ETFE)。反向锚定的刚性环状头部赋予ETFE分子减弱的空间位阻效应和更强的环状醚O─Na+相互作用，从而空间上增强了整体离子-偶极相互作用。因此，更不易受损的自由溶剂、改善的电解质分解以及稳定的电极/电解质界面的形成使得在高温下实现高度可逆的Na沉积/剥离行为。此外，即使在25°C下经过初始300次循环老化后，仍实现了在45°C下循环200次、容量保持率为89.1%的安时 (Ah) 级软包电池，这是首次对软包电池级AFSBs进行长期高温评估。这项工作应能加速AFSBs的实用性。</w:t>
      </w:r>
    </w:p>
    <w:p>
      <w:pPr>
        <w:spacing w:before="0" w:after="200" w:lineRule="auto" w:line="276"/>
      </w:pPr>
      <w:r>
        <w:rPr>
          <w:b/>
        </w:rPr>
        <w:t xml:space="preserve">Abstract (EN): </w:t>
      </w:r>
      <w:r>
        <w:t>Practical anode‐free sodium batteries (AFSBs) require high‐temperature adaptability, e.g., stable operation at 45°C. However, current AFSBs are usually confined to room/low temperatures, and pouch cell‐level AFSBs capable of stable cycling &amp;gt;25°C have rarely been reported. Here we report high‐temperature AFSBs via spatially strengthened ion‐dipole electrolyte chemistry. Specifically, a novel solvent, namely, ethyl tetrahydrofurfuryl ether (ETFE) is designed. The reversely anchored rigid cyclic head endows ETFE molecule with weakened steric hindrance effect and stronger cyclic ethereal O─Na</w:t>
      </w:r>
      <w:r>
        <w:t xml:space="preserve"> </w:t>
      </w:r>
      <w:r>
        <w:t>+</w:t>
      </w:r>
      <w:r>
        <w:t xml:space="preserve"> </w:t>
      </w:r>
      <w:r>
        <w:t>interaction accordingly, hence spatially strengthening overall ion‐dipole interaction. Consequently, less vulnerable free solvents, ameliorated electrolyte decomposition, and formation of stable electrode/electrolyte interphases enable highly reversible Na plating/stripping behaviors at elevated temperatures. Further, an ampere hour (Ah)‐level pouch cell capable of 200 cycles at 45°C with a capacity retention of 89.1% is realized even after initial 300‐cycle ageing at 25°C, featuring the first long‐term HT evaluation toward pouch cell‐level AFSBs. This work should expedite the practicability of AFSBs.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91">
        <w:r>
          <w:rPr>
            <w:color w:val="1155CC"/>
            <w:u w:val="single"/>
          </w:rPr>
          <w:t>用于锂离子电池退化诊断的可解释无创框架：容量和功率衰减的联合预测以及机制感知健康指数分类</w:t>
        </w:r>
      </w:hyperlink>
    </w:p>
    <w:p>
      <w:pPr>
        <w:spacing w:before="0" w:after="80"/>
      </w:pPr>
      <w:r>
        <w:rPr>
          <w:i/>
          <w:sz w:val="20"/>
        </w:rPr>
        <w:t>EN: Interpretable noninvasive framework for lithium-ion battery degradation diagnosis: Joint prediction of capacity and power fade and mechanism-aware health index classification</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92">
        <w:r>
          <w:rPr>
            <w:color w:val="1155CC"/>
            <w:u w:val="single"/>
          </w:rPr>
          <w:t>用于电动汽车锂离子电池荷电状态和健康状态估计的贝叶斯滤波技术：方法、挑战和未来方向</w:t>
        </w:r>
      </w:hyperlink>
    </w:p>
    <w:p>
      <w:pPr>
        <w:spacing w:before="0" w:after="80"/>
      </w:pPr>
      <w:r>
        <w:rPr>
          <w:i/>
          <w:sz w:val="20"/>
        </w:rPr>
        <w:t>EN: Bayesian filtering techniques for state of charge and state of health estimation in lithium-ion batteries for electric vehicles: Methods, challenges, and future directions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93">
        <w:r>
          <w:rPr>
            <w:color w:val="1155CC"/>
            <w:u w:val="single"/>
          </w:rPr>
          <w:t>氢键网络化坚固粘合剂实现长循环硫化物基全固态锂电池</w:t>
        </w:r>
      </w:hyperlink>
    </w:p>
    <w:p>
      <w:pPr>
        <w:spacing w:before="0" w:after="80"/>
      </w:pPr>
      <w:r>
        <w:rPr>
          <w:i/>
          <w:sz w:val="20"/>
        </w:rPr>
        <w:t>EN: Hydrogen‐Bond‐Networked Robust Binder Enabling Long‐Cycling Sulfide‐Based All‐Solid‐State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2026-05-18 15:34:55+00:00</w:t>
      </w:r>
      <w:r>
        <w:t xml:space="preserve">    </w:t>
      </w:r>
      <w:r>
        <w:rPr>
          <w:b/>
        </w:rPr>
        <w:t xml:space="preserve">DOI: </w:t>
      </w:r>
      <w:hyperlink r:id="rId94">
        <w:r>
          <w:rPr>
            <w:color w:val="1155CC"/>
            <w:u w:val="single"/>
          </w:rPr>
          <w:t>10.1002/anie.9777405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湿法工艺有望实现硫化物基全固态锂电池 (ASSBs) 的可扩展制造，但它需要与低极性溶剂和硫化物兼容的粘合剂，同时能够实现薄的硫化物固态电解质 (SSE) 薄膜 (≤ 30 µm) 和高载量复合正极 (≥ 30 mg cm</w:t>
      </w:r>
      <w:r>
        <w:t xml:space="preserve"> </w:t>
      </w:r>
      <w:r>
        <w:t>−2</w:t>
      </w:r>
      <w:r>
        <w:t xml:space="preserve"> </w:t>
      </w:r>
      <w:r>
        <w:t>)。为解决这些问题，我们通过软硬链段协同设计，提出了一种由动态氢键增强的坚固聚合物 (表示为PNO) 粘合剂。在PNO粘合剂中，聚丁二烯基软链段保持了SSE薄膜和复合正极的易加工性，而含有氨基甲酸酯基团的硬链段主要通过在相邻PNO链之间以及PNO链与硫化物或正极颗粒表面之间形成动态氢键相互作用来提高它们的机械强度。氢键的断裂和重组实现了有效的应力耗散，从而在加工和电池循环过程中保持了SSE薄膜和复合正极的结构稳定性。得益于此，采用基于PNO粘合剂的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正极和Li</w:t>
      </w:r>
      <w:r>
        <w:rPr>
          <w:vertAlign w:val="subscript"/>
        </w:rPr>
        <w:t>6</w:t>
      </w:r>
      <w:r>
        <w:t>PS</w:t>
      </w:r>
      <w:r>
        <w:rPr>
          <w:vertAlign w:val="subscript"/>
        </w:rPr>
        <w:t>5</w:t>
      </w:r>
      <w:r>
        <w:t>Cl薄膜组装的ASSBs表现出出色的循环稳定性，与最近报道的硫化物基ASSBs相比具有优势。这</w:t>
      </w:r>
    </w:p>
    <w:p>
      <w:pPr>
        <w:spacing w:before="0" w:after="200" w:lineRule="auto" w:line="276"/>
      </w:pPr>
      <w:r>
        <w:rPr>
          <w:b/>
        </w:rPr>
        <w:t xml:space="preserve">Abstract (EN): </w:t>
      </w:r>
      <w:r>
        <w:t>Wet processing is promising for scalable manufacture of sulfide‐based all‐solid‐state lithium batteries (ASSBs), but it demands binders compatible with low‐polarity solvents and sulfides while enabling thin sulfide solid electrolyte (SSE) films (≤ 30 µm) and high‐loading composite cathodes (≥ 30 mg cm</w:t>
      </w:r>
      <w:r>
        <w:t xml:space="preserve"> </w:t>
      </w:r>
      <w:r>
        <w:t>−2</w:t>
      </w:r>
      <w:r>
        <w:t xml:space="preserve"> </w:t>
      </w:r>
      <w:r>
        <w:t>). To address these, we present a dynamic hydrogen bonding‐empowered robust polymer (denoted as PNO) binder via soft‐hard segment synergism design. In the PNO binder, the polybutadiene‐based soft segments retain easy processability of SSE films and composite cathodes, while carbamate motif‐containing hard segments improve the mechanical strength of them mainly via forming dynamic hydrogen bonding interactions not only among adjacent PNO chains but also between PNO chains and the surface of sulfide or cathode particles. The breaking and reforming of hydrogen bonds enable effective stress dissipation, thereby maintaining the structural stability of both SSE films and composite cathodes during processing and battery cycling. Benefiting from these, ASSBs assembled with PNO binder‐based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cathodes and Li</w:t>
      </w:r>
      <w:r>
        <w:rPr>
          <w:vertAlign w:val="subscript"/>
        </w:rPr>
        <w:t>6</w:t>
      </w:r>
      <w:r>
        <w:t>PS</w:t>
      </w:r>
      <w:r>
        <w:rPr>
          <w:vertAlign w:val="subscript"/>
        </w:rPr>
        <w:t>5</w:t>
      </w:r>
      <w:r>
        <w:t>Cl films exhibit outstanding cycling stability, which compares favorably with recently reported sulfide‐based ASSBs. This work highlights a soft‐hard segment synergism binder design strategy that overcomes the bottleneck in wet processing of practical ASSBs, conducive to accelerating the scale‐up production of advanced sulfide‐based ASSBs.</w:t>
      </w:r>
    </w:p>
    <w:p>
      <w:pPr>
        <w:spacing w:before="120" w:after="120"/>
      </w:pPr>
      <w:r>
        <w:rPr>
          <w:sz w:val="18"/>
        </w:rPr>
        <w:t>——————————————————————————————————————————————————————————————————————</w:t>
      </w:r>
    </w:p>
    <w:p>
      <w:pPr>
        <w:spacing w:before="160" w:after="40" w:line="240" w:lineRule="auto"/>
      </w:pPr>
      <w:r>
        <w:rPr>
          <w:b/>
        </w:rPr>
        <w:t xml:space="preserve">[4] </w:t>
      </w:r>
      <w:hyperlink r:id="rId95">
        <w:r>
          <w:rPr>
            <w:color w:val="1155CC"/>
            <w:u w:val="single"/>
          </w:rPr>
          <w:t>氢键锚定的聚合物膜中通道微环境工程用于高效锂提取</w:t>
        </w:r>
      </w:hyperlink>
    </w:p>
    <w:p>
      <w:pPr>
        <w:spacing w:before="0" w:after="80"/>
      </w:pPr>
      <w:r>
        <w:rPr>
          <w:i/>
          <w:sz w:val="20"/>
        </w:rPr>
        <w:t>EN: Hydrogen‐Bond Anchored Channel‐Microenvironment Engineering in Polymer Membranes for Efficient Lithium Extraction</w:t>
      </w:r>
    </w:p>
    <w:p>
      <w:pPr>
        <w:spacing w:before="0" w:after="120"/>
      </w:pPr>
      <w:r>
        <w:rPr>
          <w:b/>
        </w:rPr>
        <w:t xml:space="preserve">Source: </w:t>
      </w:r>
      <w:r>
        <w:t>Wiley: Angewandte Chemie International Edition: Table of Contents</w:t>
      </w:r>
      <w:r>
        <w:t xml:space="preserve">    </w:t>
      </w:r>
      <w:r>
        <w:rPr>
          <w:b/>
        </w:rPr>
        <w:t xml:space="preserve">Pub date: </w:t>
      </w:r>
      <w:r>
        <w:t>2026-05-18 15:37:01+00:00</w:t>
      </w:r>
      <w:r>
        <w:t xml:space="preserve">    </w:t>
      </w:r>
      <w:r>
        <w:rPr>
          <w:b/>
        </w:rPr>
        <w:t xml:space="preserve">DOI: </w:t>
      </w:r>
      <w:hyperlink r:id="rId96">
        <w:r>
          <w:rPr>
            <w:color w:val="1155CC"/>
            <w:u w:val="single"/>
          </w:rPr>
          <w:t>10.1002/anie.9662420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创建模拟生物离子通道高选择性和通量的合成膜仍然是分离科学中的一个主要挑战。精确控制亚纳米孔隙内的化学微环境至关重要，但在无定形聚合物等可规模化材料中却难以实现。在此，我们报告了一种通过使用氢键将寡醚链均匀锚定到孔壁上，从而在本征微孔聚合物 (PIM) 的限域通道中构建微环境的策略。这种锚定产生的增强限域效应增加了对较大离子（例如 Mg2+）的空间位阻，并增强了它们的离子-通道相互作用。同时，均匀分布的寡醚链为小离子（例如 Li+）建立了协同传输途径。所得膜对单价离子相对于二价离子表现出极高的选择性（Li+/Mg2+ 选择性 &gt;270），同时保持高 Li+ 通量（&gt;0.6 mol m−2 h−1），与最先进的聚合物膜相比，这是一个数量级的提升。当用于从盐湖卤水中直接提锂时，该膜实现了 268 g m−2 的锂回收率。</w:t>
      </w:r>
    </w:p>
    <w:p>
      <w:pPr>
        <w:spacing w:before="0" w:after="200" w:lineRule="auto" w:line="276"/>
      </w:pPr>
      <w:r>
        <w:rPr>
          <w:b/>
        </w:rPr>
        <w:t xml:space="preserve">Abstract (EN): </w:t>
      </w:r>
      <w:r>
        <w:t>The creation of synthetic membranes that mimic the high selectivity and flux of biological ion channels remains a major challenge in separation science. Precise control over chemical microenvironment within sub‐nanometer pores is critical but notoriously difficult to achieve in scalable materials like amorphous polymers. Here we report a strategy for engineering the microenvironments of confined channels in a polymer of intrinsic microporosity (PIM) by using hydrogen bonding to uniformly anchor oligoether chains onto the pore walls. The enhanced confinement effect resulting from this anchoring increases steric limitation for larger ions (e.g., Mg</w:t>
      </w:r>
      <w:r>
        <w:t xml:space="preserve"> </w:t>
      </w:r>
      <w:r>
        <w:t>2+</w:t>
      </w:r>
      <w:r>
        <w:t xml:space="preserve"> </w:t>
      </w:r>
      <w:r>
        <w:t>) and strengthens their ion‐channel interactions. Concurrently, the uniformly distributed oligoether chains establish a synergistic transport pathway for small ions (e.g., Li</w:t>
      </w:r>
      <w:r>
        <w:t xml:space="preserve"> </w:t>
      </w:r>
      <w:r>
        <w:t>+</w:t>
      </w:r>
      <w:r>
        <w:t xml:space="preserve"> </w:t>
      </w:r>
      <w:r>
        <w:t>). The resulting membrane exhibits exceptionally high selectivity for monovalent ions over divalent ions (Li</w:t>
      </w:r>
      <w:r>
        <w:t xml:space="preserve"> </w:t>
      </w:r>
      <w:r>
        <w:t>+</w:t>
      </w:r>
      <w:r>
        <w:t xml:space="preserve"> </w:t>
      </w:r>
      <w:r>
        <w:t>/Mg</w:t>
      </w:r>
      <w:r>
        <w:t xml:space="preserve"> </w:t>
      </w:r>
      <w:r>
        <w:t>2+</w:t>
      </w:r>
      <w:r>
        <w:t xml:space="preserve"> </w:t>
      </w:r>
      <w:r>
        <w:t>selectivity of &amp;gt;270) while maintaining a high Li</w:t>
      </w:r>
      <w:r>
        <w:t xml:space="preserve"> </w:t>
      </w:r>
      <w:r>
        <w:t>+</w:t>
      </w:r>
      <w:r>
        <w:t xml:space="preserve"> </w:t>
      </w:r>
      <w:r>
        <w:t>flux (&amp;gt;0.6 mol m</w:t>
      </w:r>
      <w:r>
        <w:t xml:space="preserve"> </w:t>
      </w:r>
      <w:r>
        <w:t>−2</w:t>
      </w:r>
      <w:r>
        <w:t xml:space="preserve"> </w:t>
      </w:r>
      <w:r>
        <w:t>h</w:t>
      </w:r>
      <w:r>
        <w:t xml:space="preserve"> </w:t>
      </w:r>
      <w:r>
        <w:t>−1</w:t>
      </w:r>
      <w:r>
        <w:t xml:space="preserve"> </w:t>
      </w:r>
      <w:r>
        <w:t>)—an order of magnitude improvement compared to state‐of‐the‐art polymeric membranes. When deployed for direct lithium extraction from salt‐lake brine, the membrane achieves a lithium recovery rate of 268 g m</w:t>
      </w:r>
      <w:r>
        <w:t xml:space="preserve"> </w:t>
      </w:r>
      <w:r>
        <w:t>−2</w:t>
      </w:r>
      <w:r>
        <w:t xml:space="preserve"> </w:t>
      </w:r>
      <w:r>
        <w:t>day</w:t>
      </w:r>
      <w:r>
        <w:t xml:space="preserve"> </w:t>
      </w:r>
      <w:r>
        <w:t>−1</w:t>
      </w:r>
      <w:r>
        <w:t xml:space="preserve"> </w:t>
      </w:r>
      <w:r>
        <w:t>and low energy consumption (7.26 Wh g</w:t>
      </w:r>
      <w:r>
        <w:t xml:space="preserve"> </w:t>
      </w:r>
      <w:r>
        <w:t>Li</w:t>
      </w:r>
      <w:r>
        <w:t xml:space="preserve"> </w:t>
      </w:r>
      <w:r>
        <w:t>−1</w:t>
      </w:r>
      <w:r>
        <w:t xml:space="preserve"> </w:t>
      </w:r>
      <w:r>
        <w:t>).</w:t>
      </w:r>
    </w:p>
    <w:p>
      <w:pPr>
        <w:spacing w:before="120" w:after="120"/>
      </w:pPr>
      <w:r>
        <w:rPr>
          <w:sz w:val="18"/>
        </w:rPr>
        <w:t>——————————————————————————————————————————————————————————————————————</w:t>
      </w:r>
    </w:p>
    <w:p>
      <w:pPr>
        <w:spacing w:before="160" w:after="40" w:line="240" w:lineRule="auto"/>
      </w:pPr>
      <w:r>
        <w:rPr>
          <w:b/>
        </w:rPr>
        <w:t xml:space="preserve">[5] </w:t>
      </w:r>
      <w:hyperlink r:id="rId97">
        <w:r>
          <w:rPr>
            <w:color w:val="1155CC"/>
            <w:u w:val="single"/>
          </w:rPr>
          <w:t>深度脱水层状蛭石膜用于选择性锂分离</w:t>
        </w:r>
      </w:hyperlink>
    </w:p>
    <w:p>
      <w:pPr>
        <w:spacing w:before="0" w:after="80"/>
      </w:pPr>
      <w:r>
        <w:rPr>
          <w:i/>
          <w:sz w:val="20"/>
        </w:rPr>
        <w:t>EN: Deep Dehydrated Layered Vermiculite Membrane for Selective Lithium Separation</w:t>
      </w:r>
    </w:p>
    <w:p>
      <w:pPr>
        <w:spacing w:before="0" w:after="120"/>
      </w:pPr>
      <w:r>
        <w:rPr>
          <w:b/>
        </w:rPr>
        <w:t xml:space="preserve">Source: </w:t>
      </w:r>
      <w:r>
        <w:t>Wiley: Angewandte Chemie International Edition: Table of Contents</w:t>
      </w:r>
      <w:r>
        <w:t xml:space="preserve">    </w:t>
      </w:r>
      <w:r>
        <w:rPr>
          <w:b/>
        </w:rPr>
        <w:t xml:space="preserve">Pub date: </w:t>
      </w:r>
      <w:r>
        <w:t>2026-05-18 15:44:17+00:00</w:t>
      </w:r>
      <w:r>
        <w:t xml:space="preserve">    </w:t>
      </w:r>
      <w:r>
        <w:rPr>
          <w:b/>
        </w:rPr>
        <w:t xml:space="preserve">DOI: </w:t>
      </w:r>
      <w:hyperlink r:id="rId98">
        <w:r>
          <w:rPr>
            <w:color w:val="1155CC"/>
            <w:u w:val="single"/>
          </w:rPr>
          <w:t>10.1002/anie.9661914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 (2D) 层状膜因其简单的成膜、可调的层间距和可设计的表面化学而在水处理中具有广阔前景。然而，其水性离子筛分的实际应用主要受溶胀问题的限制。在此，我们报道了一种深度脱水策略，通过去除层间通道内的自由水和结合水来抑制离子嵌入后的再溶胀。深度脱水将层间自由间距驱动到临界阈值以下，增强了范德华力和静电相互作用，从而在能量上抑制了再水合并稳定了嵌入的离子。此外，嵌入的离子可以通过降低单价离子的传输能垒来进一步增强单/二价离子选择性。所得的深度脱水蛭石膜表现出卓越的抗溶胀性能，保持狭窄的层间通道，从而在长期运行中实现高Li</w:t>
      </w:r>
      <w:r>
        <w:t xml:space="preserve"> </w:t>
      </w:r>
      <w:r>
        <w:t>+</w:t>
      </w:r>
      <w:r>
        <w:t xml:space="preserve"> </w:t>
      </w:r>
      <w:r>
        <w:t>/Mg</w:t>
      </w:r>
      <w:r>
        <w:t xml:space="preserve"> </w:t>
      </w:r>
      <w:r>
        <w:t>2+</w:t>
      </w:r>
      <w:r>
        <w:t xml:space="preserve"> </w:t>
      </w:r>
      <w:r>
        <w:t>选择性。这些特性使得从盐湖水中提取锂成为可能，通过集成电渗析-沉淀工艺促进工业级Li</w:t>
      </w:r>
      <w:r>
        <w:rPr>
          <w:vertAlign w:val="subscript"/>
        </w:rPr>
        <w:t>2</w:t>
      </w:r>
      <w:r>
        <w:t>CO</w:t>
      </w:r>
      <w:r>
        <w:rPr>
          <w:vertAlign w:val="subscript"/>
        </w:rPr>
        <w:t>3</w:t>
      </w:r>
      <w:r>
        <w:t>的生产。值得注意的是，该膜在高渗透压下水渗透量极小，减少了淡水消耗。深度脱水策略不仅限于蛭石，而且表现出</w:t>
      </w:r>
    </w:p>
    <w:p>
      <w:pPr>
        <w:spacing w:before="0" w:after="200" w:lineRule="auto" w:line="276"/>
      </w:pPr>
      <w:r>
        <w:rPr>
          <w:b/>
        </w:rPr>
        <w:t xml:space="preserve">Abstract (EN): </w:t>
      </w:r>
      <w:r>
        <w:t>Two‐dimensional (2D) layered membranes hold great promise in water treatment due to their simple film formation, tunable interlayer spacing, and designable surface chemistry. However, their practical application of aqueous ion sieving is largely constrained by swelling problems. Here, we report a deep dehydration strategy to suppress reswelling after ion‐intercalation by removing free and bound water within the interlayer channels. The deep dehydration drives the interlayer free spacing below a critical threshold, enhancing van der Waals and electrostatic interactions, thereby energetically inhibiting rehydration and stabilizing the intercalated ions. Additionally, the intercalated ions can further enhance mono/divalent ion selectivity by reducing the transport energy barrier of monovalent ions. The resulting deeply dehydrated vermiculite membranes exhibit exceptional anti‐swelling properties, maintaining narrow interlayer channels that enable high Li</w:t>
      </w:r>
      <w:r>
        <w:t xml:space="preserve"> </w:t>
      </w:r>
      <w:r>
        <w:t>+</w:t>
      </w:r>
      <w:r>
        <w:t xml:space="preserve"> </w:t>
      </w:r>
      <w:r>
        <w:t>/Mg</w:t>
      </w:r>
      <w:r>
        <w:t xml:space="preserve"> </w:t>
      </w:r>
      <w:r>
        <w:t>2+</w:t>
      </w:r>
      <w:r>
        <w:t xml:space="preserve"> </w:t>
      </w:r>
      <w:r>
        <w:t>selectivity over long‐term operation. These attributes allow for the extraction of lithium from salt‐lake water, facilitating the production of industrial‐grade Li</w:t>
      </w:r>
      <w:r>
        <w:rPr>
          <w:vertAlign w:val="subscript"/>
        </w:rPr>
        <w:t>2</w:t>
      </w:r>
      <w:r>
        <w:t>CO</w:t>
      </w:r>
      <w:r>
        <w:rPr>
          <w:vertAlign w:val="subscript"/>
        </w:rPr>
        <w:t>3</w:t>
      </w:r>
      <w:r>
        <w:t>via an integrated electrodialysis–precipitation process. Notably, the membrane shows minimal water crossover under high osmotic pressure, reducing freshwater consumption. The deep dehydration strategy is not limited to vermiculite but demonstrates broad generalizability to other 2D materials, offering a universal and effective route to address the major challenge of ion sieving in complex aqueous environments.</w:t>
      </w:r>
    </w:p>
    <w:p>
      <w:pPr>
        <w:spacing w:before="120" w:after="120"/>
      </w:pPr>
      <w:r>
        <w:rPr>
          <w:sz w:val="18"/>
        </w:rPr>
        <w:t>——————————————————————————————————————————————————————————————————————</w:t>
      </w:r>
    </w:p>
    <w:p>
      <w:pPr>
        <w:spacing w:before="160" w:after="40" w:line="240" w:lineRule="auto"/>
      </w:pPr>
      <w:r>
        <w:rPr>
          <w:b/>
        </w:rPr>
        <w:t xml:space="preserve">[6] </w:t>
      </w:r>
      <w:hyperlink r:id="rId99">
        <w:r>
          <w:rPr>
            <w:color w:val="1155CC"/>
            <w:u w:val="single"/>
          </w:rPr>
          <w:t>评估解决美国电动汽车电池供应链中材料供需缺口的策略</w:t>
        </w:r>
      </w:hyperlink>
    </w:p>
    <w:p>
      <w:pPr>
        <w:spacing w:before="0" w:after="80"/>
      </w:pPr>
      <w:r>
        <w:rPr>
          <w:i/>
          <w:sz w:val="20"/>
        </w:rPr>
        <w:t>EN: Evaluating strategies to address material supply–demand gaps in the US electric vehicle battery supply chain</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100">
        <w:r>
          <w:rPr>
            <w:color w:val="1155CC"/>
            <w:u w:val="single"/>
          </w:rPr>
          <w:t>10.1038/s41560-026-02046-1</w:t>
        </w:r>
      </w:hyperlink>
    </w:p>
    <w:p>
      <w:pPr>
        <w:spacing w:before="0" w:after="120"/>
      </w:pPr>
      <w:r>
        <w:rPr>
          <w:b/>
        </w:rPr>
        <w:t xml:space="preserve">Notes: </w:t>
      </w:r>
      <w:r>
        <w:t>abstract_source=nature_html</w:t>
      </w:r>
    </w:p>
    <w:p>
      <w:pPr>
        <w:spacing w:before="0" w:after="80" w:lineRule="auto" w:line="276"/>
      </w:pPr>
      <w:r>
        <w:rPr>
          <w:b/>
        </w:rPr>
        <w:t xml:space="preserve">摘要（ZH）: </w:t>
      </w:r>
      <w:r>
        <w:t>为解决电动汽车电池供应链中的供应短缺问题，美国政策已优先考虑扩大国内生产。然而，我们发现仅凭这一策略无法满足未来的材料需求。如果已宣布的项目得以实现，国内生产可以满足2035年主要电池化学品中使用的原锂、碳酸锂、氢氧化锂、电解质和隔膜的需求。然而，即使采用需求侧策略，包括提高材料效率、加强电池回收和电池化学品转变，许多其他材料仍面临巨大且持续的缺口。上游钴、石墨、镍及其中间精炼材料的短缺仍高达~30–70%。对于其中一些材料，缺口可能会扩大，因为~30–100%的预计国内供应依赖于早期项目，这些项目可能无法推进。下游，正极和负极活性材料面临~15–75%的短缺。因此，确保美国电池材料供应将需要对国内供应链进行投资、减少和转变材料需求以及国际采购。</w:t>
      </w:r>
    </w:p>
    <w:p>
      <w:pPr>
        <w:spacing w:before="0" w:after="200" w:lineRule="auto" w:line="276"/>
      </w:pPr>
      <w:r>
        <w:rPr>
          <w:b/>
        </w:rPr>
        <w:t xml:space="preserve">Abstract (EN): </w:t>
      </w:r>
      <w:r>
        <w:t>To address supply shortfalls in the electric vehicle battery supply chain, US policy has prioritized expanding domestic production. However, we find that this strategy alone cannot meet future material demand. If announced projects materialize, domestic production can meet 2035 demand for raw lithium, lithium carbonate, lithium hydroxide, electrolytes and separators used in major battery chemistries. However, many other materials still face substantial and persistent gaps even with demand-side strategies, including improved material efficiency, enhanced battery recycling and battery chemistry shifts. Shortfalls of ~30–70% persist for upstream cobalt, graphite, nickel and their midstream refined materials. For some of these materials, gaps may widen because ~30–100% of projected domestic supplies rely on early-stage projects, which may not advance. Downstream, cathode and anode active materials face ~15–75% shortfalls. Therefore, securing US battery materials will require investment across the domestic supply chain, reductions and shifts in material demand and international sourcing.</w:t>
      </w:r>
    </w:p>
    <w:p>
      <w:pPr>
        <w:spacing w:before="120" w:after="120"/>
      </w:pPr>
      <w:r>
        <w:rPr>
          <w:sz w:val="18"/>
        </w:rPr>
        <w:t>——————————————————————————————————————————————————————————————————————</w:t>
      </w:r>
    </w:p>
    <w:p>
      <w:pPr>
        <w:spacing w:before="160" w:after="40" w:line="240" w:lineRule="auto"/>
      </w:pPr>
      <w:r>
        <w:rPr>
          <w:b/>
        </w:rPr>
        <w:t xml:space="preserve">[7] </w:t>
      </w:r>
      <w:hyperlink r:id="rId101">
        <w:r>
          <w:rPr>
            <w:color w:val="1155CC"/>
            <w:u w:val="single"/>
          </w:rPr>
          <w:t>确保美国电动汽车电池供应需要国内行动和国际采购</w:t>
        </w:r>
      </w:hyperlink>
    </w:p>
    <w:p>
      <w:pPr>
        <w:spacing w:before="0" w:after="80"/>
      </w:pPr>
      <w:r>
        <w:rPr>
          <w:i/>
          <w:sz w:val="20"/>
        </w:rPr>
        <w:t>EN: Securing US electric vehicle battery supply requires domestic action and international sourcing</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102">
        <w:r>
          <w:rPr>
            <w:color w:val="1155CC"/>
            <w:u w:val="single"/>
          </w:rPr>
          <w:t>10.1038/s41560-026-02045-2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03">
        <w:r>
          <w:rPr>
            <w:color w:val="1155CC"/>
            <w:u w:val="single"/>
          </w:rPr>
          <w:t>将3D多物理场模拟转化为结合物理信息神经网络的储能系统热管理实时车载智能</w:t>
        </w:r>
      </w:hyperlink>
    </w:p>
    <w:p>
      <w:pPr>
        <w:spacing w:before="0" w:after="80"/>
      </w:pPr>
      <w:r>
        <w:rPr>
          <w:i/>
          <w:sz w:val="20"/>
        </w:rPr>
        <w:t>EN: Transforming 3D multi-physics simulations into real-time onboard intelligence for energy storage systems thermal management with physics-informed neural networks</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04">
        <w:r>
          <w:rPr>
            <w:color w:val="1155CC"/>
            <w:u w:val="single"/>
          </w:rPr>
          <w:t>一种用于从复杂卤水中太阳能驱动锂提取的双膜吸附蒸发器</w:t>
        </w:r>
      </w:hyperlink>
    </w:p>
    <w:p>
      <w:pPr>
        <w:spacing w:before="0" w:after="80"/>
      </w:pPr>
      <w:r>
        <w:rPr>
          <w:i/>
          <w:sz w:val="20"/>
        </w:rPr>
        <w:t>EN: A dual membrane-adsorption evaporator for solar-powered lithium extraction from complex brines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105">
        <w:r>
          <w:rPr>
            <w:color w:val="1155CC"/>
            <w:u w:val="single"/>
          </w:rPr>
          <w:t>10.1126/sciadv.aed0975</w:t>
        </w:r>
      </w:hyperlink>
    </w:p>
    <w:p>
      <w:pPr>
        <w:spacing w:before="0" w:after="120"/>
      </w:pPr>
      <w:r>
        <w:rPr>
          <w:b/>
        </w:rPr>
        <w:t xml:space="preserve">Notes: </w:t>
      </w:r>
      <w:r>
        <w:t>abstract_source=crossref</w:t>
      </w:r>
    </w:p>
    <w:p>
      <w:pPr>
        <w:spacing w:before="0" w:after="80" w:lineRule="auto" w:line="276"/>
      </w:pPr>
      <w:r>
        <w:rPr>
          <w:b/>
        </w:rPr>
        <w:t xml:space="preserve">摘要（ZH）: </w:t>
      </w:r>
      <w:r>
        <w:t>在未来几十年，为了满足电池日益增长的需求，需要可靠的锂供应。在这项工作中，我们展示了通过将太阳能蒸发、吸附和膜技术结合起来，有效从盐水中提取锂的潜力。我们首先采用一种易于扩展的一步法，将锂锰氧化物材料涂覆到棉棒上，合成了一种三维吸附蒸发器。随后，在蒸发器的根部安装了一个渗透膜，以提高锂对镁的选择性，防止二价阳离子引起的结垢，从而进一步增加水蒸发通量。这种双膜吸附蒸发器的运行完全由渗透和毛细力驱动，无需额外的能量输入。结果发现，渗透膜的集成将锂对镁的选择性提高了10倍以上，达到40以上。该双重过程还产生了高锂对钙选择性，并通过自管理其内部渗透压证明了其长期稳定性。最后，在三种具有不同盐水化学性质的模拟盐水溶液中进行了测试，在整个长期测试中，蒸发速率保持高且一致。这表明该技术可用于世界各地各种盐水溶液中，提供高效的锂捕获和与竞争性二价阳离子的分离。</w:t>
      </w:r>
    </w:p>
    <w:p>
      <w:pPr>
        <w:spacing w:before="0" w:after="200" w:lineRule="auto" w:line="276"/>
      </w:pPr>
      <w:r>
        <w:rPr>
          <w:b/>
        </w:rPr>
        <w:t xml:space="preserve">Abstract (EN): </w:t>
      </w:r>
      <w:r>
        <w:t>A reliable supply of lithium is required to meet the increased demand for batteries over the coming decades. In this work, we demonstrated the potential to effectively extract lithium from brines by coupling solar-powered evaporation, adsorption, and membrane technologies together. We first synthesized a three-dimensional adsorptive evaporator by coating a lithium manganese oxide material onto a cotton stick using an easily scalable, one-step method. An osmotic membrane was then installed at the root of the evaporator to enhance the lithium to magnesium selectivity, prevent scaling caused by divalent cations, and thus further increase the water evaporation flux. The operation of the dual membrane-adsorption evaporator is entirely driven by osmosis and capillary force, demanding no extra energy input. The integration of the osmotic membrane was found to increase the lithium to magnesium selectivity over 10-fold to higher than 40. The dual process also produced high lithium to calcium selectivity and proved to sustain long-term stability by self-managing its internal osmotic pressure. Last, a test was done in three simulated brine solutions with varied brine chemistry and the evaporation rate stayed high and consistent throughout the long-term test. This illustrates that this technology can be used in varied brine solutions throughout the world providing efficient lithium capture and separation from competing divalent cations.</w:t>
      </w:r>
    </w:p>
    <w:p>
      <w:pPr>
        <w:spacing w:before="120" w:after="120"/>
      </w:pPr>
      <w:r>
        <w:rPr>
          <w:sz w:val="18"/>
        </w:rPr>
        <w:t>——————————————————————————————————————————————————————————————————————</w:t>
      </w:r>
    </w:p>
    <w:p>
      <w:pPr>
        <w:spacing w:before="160" w:after="40" w:line="240" w:lineRule="auto"/>
      </w:pPr>
      <w:r>
        <w:rPr>
          <w:b/>
        </w:rPr>
        <w:t xml:space="preserve">[10] </w:t>
      </w:r>
      <w:hyperlink r:id="rId106">
        <w:r>
          <w:rPr>
            <w:color w:val="1155CC"/>
            <w:u w:val="single"/>
          </w:rPr>
          <w:t>[ASAP] 木质素功能化的超分子粘合剂在先进锂离子电池中实现激进的阴极化学</w:t>
        </w:r>
      </w:hyperlink>
    </w:p>
    <w:p>
      <w:pPr>
        <w:spacing w:before="0" w:after="80"/>
      </w:pPr>
      <w:r>
        <w:rPr>
          <w:i/>
          <w:sz w:val="20"/>
        </w:rPr>
        <w:t>EN: [ASAP] Lignin-Functionalized Supramolecular Binder Enables Aggressive Cathode Chemistries in Advanced Li-Ion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2026-05-20 10:23:43+00:00</w:t>
      </w:r>
      <w:r>
        <w:t xml:space="preserve">    </w:t>
      </w:r>
      <w:r>
        <w:rPr>
          <w:b/>
        </w:rPr>
        <w:t xml:space="preserve">DOI: </w:t>
      </w:r>
      <w:hyperlink r:id="rId107">
        <w:r>
          <w:rPr>
            <w:color w:val="1155CC"/>
            <w:u w:val="single"/>
          </w:rPr>
          <w:t>10.1021/jacs.6c01326</w:t>
        </w:r>
      </w:hyperlink>
    </w:p>
    <w:p>
      <w:pPr>
        <w:spacing w:before="0" w:after="120"/>
      </w:pPr>
      <w:r>
        <w:rPr>
          <w:b/>
        </w:rPr>
        <w:t xml:space="preserve">Notes: </w:t>
      </w:r>
      <w:r>
        <w:t>abstract_source=pubmed</w:t>
      </w:r>
    </w:p>
    <w:p>
      <w:pPr>
        <w:spacing w:before="0" w:after="80" w:lineRule="auto" w:line="276"/>
      </w:pPr>
      <w:r>
        <w:rPr>
          <w:b/>
        </w:rPr>
        <w:t xml:space="preserve">摘要（ZH）: </w:t>
      </w:r>
      <w:r>
        <w:t>正极材料化学性质直接决定了先进电池的能量密度；然而，这些高电压、高容量的化学性质对电池的可逆性提出了严峻挑战，导致电解质与正极之间发生不可逆反应，造成电解质和锂库存消耗，以及正极晶格结构的界面降解。在此，我们摒弃了传统的电解质工程方法，报告称聚合物粘合剂，一种电极复合材料中常被忽视的成分，能够以更经济有效的方式减轻所有这些寄生反应。经木质素功能化的聚单氟丙烯酸 (PFA) 被证明能够稳定多种侵蚀性正极材料化学性质，包括 LiNi0.8Co0.1Mn0.1O2 (NCM811)、LiCoO2 (LCO) 和 5-V 级 LiNi0.5Mn1.5O4 (LNMO)，并表现出卓越的性能。除了提供强大的粘合力，使正极复合材料中的活性和导电成分保持紧密接触，尤其是在正极在高电压下经历极端机械和电化学应力时，PFA 还可作为氟源，在正极材料上形成富含 LiF 的界面，从而隔离与电解质的寄生反应。另一方面，木质素使 PFA 在正极复合材料中良好分散，赋予其优异的自由基清除能力。总之，木质素-PFA 粘合剂组合在稳定锂离子和锂金属配置中的这些正极方面表现出多功能性，使 Li||NCM811 电池能够</w:t>
      </w:r>
    </w:p>
    <w:p>
      <w:pPr>
        <w:spacing w:before="0" w:after="200" w:lineRule="auto" w:line="276"/>
      </w:pPr>
      <w:r>
        <w:rPr>
          <w:b/>
        </w:rPr>
        <w:t xml:space="preserve">Abstract (EN): </w:t>
      </w:r>
      <w:r>
        <w:t>Cathode chemistries directly dictate the energy densities of advanced batteries; however, these chemistries of high voltage and high capacity present a severe challenge to the reversibility of the batteries, incurring irreversible reactions between electrolytes and cathodes, resulting in electrolyte and lithium inventory consumption as well as interfacial degradation of cathode lattice structures. Here, departing from the conventional approach of electrolyte engineering, we report that the polymeric binder, an often-overlooked ingredient in the electrode composite, can mitigate all these parasitic reactions in a more economical and effective manner. The lignin-functionalized polymonofluoroacrylic acid (PFA) was shown to stabilize a wide spectrum of aggressive cathode chemistries, including LiNi0.8Co0.1Mn0.1O2 (NCM811), LiCoO2 (LCO), and 5-V class LiNi0.5Mn1.5O4 (LNMO), with superior performances. Besides providing robust adhesive force to keep the active and conductive ingredients within the cathode composite in intimate contact, especially when the cathode experiences extreme mechanical and electrochemical stress under high voltages, PFA also serves as an F source to form LiF-rich interphases on cathode materials that insulate parasitic reactions with electrolytes. Lignin, on the other hand, makes PFA well-dispersed in the cathode composite, rendering it with excellent radical-scavenging ability. Altogether, the lignin-PFA binder combination proves versatile in stabilizing these cathodes in both lithium-ion and lithium-metal configurations, enabling the Li||NCM811 cell to maintain 77% capacity after 500 cycles at 4.6 V, or a 2.2 Ah graphite||NCM811 pouch cell with 91.2% capacity retention after 500 cycles at the high cutoff voltage of 4.6 V. This molecular design approach for an advanced binder offers a completely different and unique route to increase the energy densities of advanced batteries.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08">
        <w:r>
          <w:rPr>
            <w:color w:val="1155CC"/>
            <w:u w:val="single"/>
          </w:rPr>
          <w:t>电催化系统：揭示流动电化学在电化学能源应用及其他领域的潜力</w:t>
        </w:r>
      </w:hyperlink>
    </w:p>
    <w:p>
      <w:pPr>
        <w:spacing w:before="0" w:after="80"/>
      </w:pPr>
      <w:r>
        <w:rPr>
          <w:i/>
          <w:sz w:val="20"/>
        </w:rPr>
        <w:t>EN: Electrocatalytic systems: Unveiling the potential of flow electrochemistry for electrochemical energy applications and beyond</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9">
        <w:r>
          <w:rPr>
            <w:color w:val="1155CC"/>
            <w:u w:val="single"/>
          </w:rPr>
          <w:t>采用并联泵-水轮机和变速运行的混合太阳能抽水蓄能系统建模</w:t>
        </w:r>
      </w:hyperlink>
    </w:p>
    <w:p>
      <w:pPr>
        <w:spacing w:before="0" w:after="80"/>
      </w:pPr>
      <w:r>
        <w:rPr>
          <w:i/>
          <w:sz w:val="20"/>
        </w:rPr>
        <w:t>EN: Modelling a hybrid solar-pumped storage system using pump-as-turbine in parallel and variable speed operation</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09">
        <w:r>
          <w:rPr>
            <w:color w:val="1155CC"/>
            <w:u w:val="single"/>
          </w:rPr>
          <w:t>一种用于自储能建筑的可膨胀水泥诱导赝超级电容器砖</w:t>
        </w:r>
      </w:hyperlink>
    </w:p>
    <w:p>
      <w:pPr>
        <w:spacing w:before="0" w:after="80"/>
      </w:pPr>
      <w:r>
        <w:rPr>
          <w:i/>
          <w:sz w:val="20"/>
        </w:rPr>
        <w:t>EN: An expandable cement-induced pseudo-supercapacitor brick for self-energy-storage buildings</w:t>
      </w:r>
    </w:p>
    <w:p>
      <w:pPr>
        <w:spacing w:before="0" w:after="120"/>
      </w:pPr>
      <w:r>
        <w:rPr>
          <w:b/>
        </w:rPr>
        <w:t xml:space="preserve">Source: </w:t>
      </w:r>
      <w:r>
        <w:t>RSC - Energy Environ. Sci. latest articles</w:t>
      </w:r>
      <w:r>
        <w:t xml:space="preserve">    </w:t>
      </w:r>
      <w:r>
        <w:rPr>
          <w:b/>
        </w:rPr>
        <w:t xml:space="preserve">Pub date: </w:t>
      </w:r>
      <w:r>
        <w:t>2026-05-17 23:00:00+00:00</w:t>
      </w:r>
    </w:p>
    <w:p>
      <w:pPr>
        <w:spacing w:before="0" w:after="120"/>
      </w:pPr>
      <w:r>
        <w:rPr>
          <w:b/>
        </w:rPr>
        <w:t xml:space="preserve">Notes: </w:t>
      </w:r>
      <w:r>
        <w:t>abstract_source=rsc_html</w:t>
      </w:r>
    </w:p>
    <w:p>
      <w:pPr>
        <w:spacing w:before="0" w:after="80" w:lineRule="auto" w:line="276"/>
      </w:pPr>
      <w:r>
        <w:rPr>
          <w:b/>
        </w:rPr>
        <w:t xml:space="preserve">摘要（ZH）: </w:t>
      </w:r>
      <w:r>
        <w:t>建筑深刻地影响着人类生活，然而，它们却占全球温室气体排放的近三分之一。作为主要的建筑材料，水泥是这些排放物的主要来源。因此，开发水泥基储能设备为低碳建筑解决方案提供了一条有前景的途径。然而，由于传统水泥固有的电化学惰性和储能能力不足，此类设备的性能在实际应用中仍不尽如人意。在本研究中，我们通过激活普通硅酸盐水泥的赝电容行为，使其能够作为高性能电极，引入了一种新颖的策略。结合镁水泥电解质，我们制造了一种全水泥超级电容器，它同时提供储能和承重功能。值得注意的是，这种集成设备实现了858.1 F的创纪录电容，超过了此前报道的水泥基超级电容器。此外，该设备可以直接浇铸成可扩展的砖状模块，从而实现无缝组装成储能墙。室外现场测试表明，该设备能够高效捕获光伏能量并将其输送给实际的电力负载。在中国不同地区的建筑规模模拟表明，用我们的储能砖替换传统外墙可将自用率显著提高高达40%，每年每栋建筑可额外产生约3000 kWh的电量，在高辐照地区可达6000 kWh。这一突破为d提供了一个变革性的解决方案。</w:t>
      </w:r>
    </w:p>
    <w:p>
      <w:pPr>
        <w:spacing w:before="0" w:after="200" w:lineRule="auto" w:line="276"/>
      </w:pPr>
      <w:r>
        <w:rPr>
          <w:b/>
        </w:rPr>
        <w:t xml:space="preserve">Abstract (EN): </w:t>
      </w:r>
      <w:r>
        <w:t>Buildings profoundly shape human life, yet they account for nearly one-third of global greenhouse gas emissions. As a primary building material, cement is a major contributor to these emissions. Therefore, developing cement-based energy storage devices presents a promising pathway toward low-carbon building solutions. However, due to the inherent electrochemical inertness and lack of energy storage capacity of conventional cement, the performance of such devices remains unsatisfactory for real-world applications. In this study, we introduce a novel strategy by activating the pseudocapacitive behavior of ordinary Portland cement, enabling it to function as a high-performance electrode. Combined with a magnesium cement electrolyte, we fabricate a full-cement supercapacitor that simultaneously provides energy storage and load-bearing functions. Remarkably, this integrated device achieves a record capacitance of 858.1 F, exceeding previously reported cement-based supercapacitors. Furthermore, the device can be directly cast into scalable brick-like modules, allowing seamless assembly into energy-storage walls. Outdoor field tests demonstrate efficient photovoltaic energy capture and delivery to practical electrical loads. Building-scale simulations across various regions in China demonstrate that replacing conventional exterior walls with our energy-storage bricks significantly increases the self-consumption rate by up to 40%, yielding an incremental ∼3000 kWh per building annually and 6000 kWh in high-irradiance regions. This breakthrough offers a transformative solution for developing self-powered buildings and decentralized energy infrastructure with significant carbon reduction potential.</w:t>
      </w:r>
    </w:p>
    <w:p>
      <w:pPr>
        <w:spacing w:before="120" w:after="120"/>
      </w:pPr>
      <w:r>
        <w:rPr>
          <w:sz w:val="18"/>
        </w:rPr>
        <w:t>——————————————————————————————————————————————————————————————————————</w:t>
      </w:r>
    </w:p>
    <w:p>
      <w:pPr>
        <w:spacing w:before="160" w:after="40" w:line="240" w:lineRule="auto"/>
      </w:pPr>
      <w:r>
        <w:rPr>
          <w:b/>
        </w:rPr>
        <w:t xml:space="preserve">[4] </w:t>
      </w:r>
      <w:hyperlink r:id="rId110">
        <w:r>
          <w:rPr>
            <w:color w:val="1155CC"/>
            <w:u w:val="single"/>
          </w:rPr>
          <w:t>氧电极的平衡方法</w:t>
        </w:r>
      </w:hyperlink>
    </w:p>
    <w:p>
      <w:pPr>
        <w:spacing w:before="0" w:after="80"/>
      </w:pPr>
      <w:r>
        <w:rPr>
          <w:i/>
          <w:sz w:val="20"/>
        </w:rPr>
        <w:t>EN: A balanced approach to oxygen electrodes</w:t>
      </w:r>
    </w:p>
    <w:p>
      <w:pPr>
        <w:spacing w:before="0" w:after="120"/>
      </w:pPr>
      <w:r>
        <w:rPr>
          <w:b/>
        </w:rPr>
        <w:t xml:space="preserve">Source: </w:t>
      </w:r>
      <w:r>
        <w:t>Nature Energy</w:t>
      </w:r>
      <w:r>
        <w:t xml:space="preserve">    </w:t>
      </w:r>
      <w:r>
        <w:rPr>
          <w:b/>
        </w:rPr>
        <w:t xml:space="preserve">Pub date: </w:t>
      </w:r>
      <w:r>
        <w:t>2026-05-18 00:00:00+00:00</w:t>
      </w:r>
      <w:r>
        <w:t xml:space="preserve">    </w:t>
      </w:r>
      <w:r>
        <w:rPr>
          <w:b/>
        </w:rPr>
        <w:t xml:space="preserve">DOI: </w:t>
      </w:r>
      <w:hyperlink r:id="rId111">
        <w:r>
          <w:rPr>
            <w:color w:val="1155CC"/>
            <w:u w:val="single"/>
          </w:rPr>
          <w:t>10.1038/s41560-026-02056-z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12">
        <w:r>
          <w:rPr>
            <w:color w:val="1155CC"/>
            <w:u w:val="single"/>
          </w:rPr>
          <w:t>与实际波浪能谱高度兼容的波浪自适应摩擦纳米发电机用于自主智能海洋平台</w:t>
        </w:r>
      </w:hyperlink>
    </w:p>
    <w:p>
      <w:pPr>
        <w:spacing w:before="0" w:after="80"/>
      </w:pPr>
      <w:r>
        <w:rPr>
          <w:i/>
          <w:sz w:val="20"/>
        </w:rPr>
        <w:t>EN: Wave‐Adaptive Triboelectric Nanogenerators Highly Compatible With Actual Wave Energy Spectrum for Autonomous Smart Ocean Platform</w:t>
      </w:r>
    </w:p>
    <w:p>
      <w:pPr>
        <w:spacing w:before="0" w:after="120"/>
      </w:pPr>
      <w:r>
        <w:rPr>
          <w:b/>
        </w:rPr>
        <w:t xml:space="preserve">Source: </w:t>
      </w:r>
      <w:r>
        <w:t>Wiley: Advanced Energy Materials: Table of Contents</w:t>
      </w:r>
      <w:r>
        <w:t xml:space="preserve">    </w:t>
      </w:r>
      <w:r>
        <w:rPr>
          <w:b/>
        </w:rPr>
        <w:t xml:space="preserve">Pub date: </w:t>
      </w:r>
      <w:r>
        <w:t>2026-05-18 07:13:26+00:00</w:t>
      </w:r>
      <w:r>
        <w:t xml:space="preserve">    </w:t>
      </w:r>
      <w:r>
        <w:rPr>
          <w:b/>
        </w:rPr>
        <w:t xml:space="preserve">DOI: </w:t>
      </w:r>
      <w:hyperlink r:id="rId113">
        <w:r>
          <w:rPr>
            <w:color w:val="1155CC"/>
            <w:u w:val="single"/>
          </w:rPr>
          <w:t>10.1002/aenm.71088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尽管摩擦纳米发电机 (TENGs) 被认为是一种有前景的波浪能利用技术，但目前大多数设备仅在相对高频且范围窄的情况下有效，与实际波浪能分布频谱严重不兼容。在此，我们提出了一种基于装置-锚-水协同效应的波浪自适应摩擦纳米发电机，通过简单的结构实现了与实际波浪频谱高度兼容的超宽频率范围。具体而言，该装置采用了一种新颖的局部摩天轮设计，其特点是在扰动下行星TENGs的公转-自转耦合运动，并且可以调节轮子的势能景观以产生独特的非线性行为，这赋予了该装置对不同频率和振幅的真实多变波浪的卓越适应能力，从而最大化功率输出。基于该高性能发电机，开发了一个用于可定制海洋传感应用的自主智能海洋平台。使用该平台构建的智能海洋牧场原型可以自动收集本地数据并传输到1.24 km外的基站，超越现有记录并可用于实际应用。这项工作不仅为自供电海洋物联网提供了一种通用的多功能架构，而且为解决波浪能收集中波浪适应和频谱匹配挑战提供了范式转变，大大提高了实际性能。</w:t>
      </w:r>
    </w:p>
    <w:p>
      <w:pPr>
        <w:spacing w:before="0" w:after="200" w:lineRule="auto" w:line="276"/>
      </w:pPr>
      <w:r>
        <w:rPr>
          <w:b/>
        </w:rPr>
        <w:t xml:space="preserve">Abstract (EN): </w:t>
      </w:r>
      <w:r>
        <w:t>Although triboelectric nanogenerators (TENGs) are regarded as a promising technology for wave energy utilization, most present devices are only effective at relative high frequency with a narrow range, seriously incompatible with actual wave spectrum of energy distribution. Here, we present a wave‐adaptive triboelectric nanogenerator based on device‐anchor‐water synergistic effect, achieving ultrawide frequency range highly compatible with actual wave spectrum via a simple structure. Specifically, the device adopts a novel partial Ferris wheel design, featuring revolution‐spin coupling motion of planet TENGs under agitations, and the potential energy landscape of the wheel can be tuned for unique non‐linear behavior, which imparts the device supreme adaptation capability to real capricious waves of varying frequencies and amplitudes, maximizing power take‐off. Based on the high‐performance generator, an autonomous smart ocean platform for customizable marine sensing applications is developed. A prototype for smart marine ranch using the platform can collect and transmit local data automatically to the base station 1.24 km away, surpassing present record and ready for practical application. The work provides not only a general multifunctional architecture for self‐powered marine Internet‐of‐Things, but also a paradigm shift for solving the wave‐adaptation and spectrum‐matching challenges in wave energy harvesting, greatly enhancing practical performance.</w:t>
      </w:r>
    </w:p>
    <w:p>
      <w:pPr>
        <w:spacing w:before="120" w:after="120"/>
      </w:pPr>
      <w:r>
        <w:rPr>
          <w:sz w:val="18"/>
        </w:rPr>
        <w:t>——————————————————————————————————————————————————————————————————————</w:t>
      </w:r>
    </w:p>
    <w:p>
      <w:pPr>
        <w:spacing w:before="160" w:after="40" w:line="240" w:lineRule="auto"/>
      </w:pPr>
      <w:r>
        <w:rPr>
          <w:b/>
        </w:rPr>
        <w:t xml:space="preserve">[6] </w:t>
      </w:r>
      <w:hyperlink r:id="rId114">
        <w:r>
          <w:rPr>
            <w:color w:val="1155CC"/>
            <w:u w:val="single"/>
          </w:rPr>
          <w:t>通过前驱体工程实现化学计量学编程的MXenes用于高性能EMI屏蔽和能量存储 (Adv. Mater. 28/2026)</w:t>
        </w:r>
      </w:hyperlink>
    </w:p>
    <w:p>
      <w:pPr>
        <w:spacing w:before="0" w:after="80"/>
      </w:pPr>
      <w:r>
        <w:rPr>
          <w:i/>
          <w:sz w:val="20"/>
        </w:rPr>
        <w:t>EN: Stoichiometry‐Programmed MXenes via Precursor Engineering for High‐Performance EMI Shielding and Energy Storage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115">
        <w:r>
          <w:rPr>
            <w:color w:val="1155CC"/>
            <w:u w:val="single"/>
          </w:rPr>
          <w:t>10.1002/adma.73287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16">
        <w:r>
          <w:rPr>
            <w:color w:val="1155CC"/>
            <w:u w:val="single"/>
          </w:rPr>
          <w:t>非对称锌空气电池的解耦循环架构揭示了稳定的催化剂策略和pH动态影响</w:t>
        </w:r>
      </w:hyperlink>
    </w:p>
    <w:p>
      <w:pPr>
        <w:spacing w:before="0" w:after="80"/>
      </w:pPr>
      <w:r>
        <w:rPr>
          <w:i/>
          <w:sz w:val="20"/>
        </w:rPr>
        <w:t>EN: A Decoupled Cycling Architecture of Asymmetric Zinc‐Air Battery Unlocks Stable Catalyst Strategy and pH‐Dynamic Influence</w:t>
      </w:r>
    </w:p>
    <w:p>
      <w:pPr>
        <w:spacing w:before="0" w:after="120"/>
      </w:pPr>
      <w:r>
        <w:rPr>
          <w:b/>
        </w:rPr>
        <w:t xml:space="preserve">Source: </w:t>
      </w:r>
      <w:r>
        <w:t>Wiley: Angewandte Chemie International Edition: Table of Contents</w:t>
      </w:r>
      <w:r>
        <w:t xml:space="preserve">    </w:t>
      </w:r>
      <w:r>
        <w:rPr>
          <w:b/>
        </w:rPr>
        <w:t xml:space="preserve">Pub date: </w:t>
      </w:r>
      <w:r>
        <w:t>2026-05-19 16:40:54+00:00</w:t>
      </w:r>
      <w:r>
        <w:t xml:space="preserve">    </w:t>
      </w:r>
      <w:r>
        <w:rPr>
          <w:b/>
        </w:rPr>
        <w:t xml:space="preserve">DOI: </w:t>
      </w:r>
      <w:hyperlink r:id="rId117">
        <w:r>
          <w:rPr>
            <w:color w:val="1155CC"/>
            <w:u w:val="single"/>
          </w:rPr>
          <w:t>10.1002/anie.8502321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采用膜分离的酸性和碱性电解质的非对称锌空气电池 (AZAB) 具有高输出电压和卓越的能量密度。然而，双功能电极在循环过程中会遭受严重的催化剂降解。此外，由于催化剂的不稳定性，pH动态对电池性能的影响难以研究。引入pH梯度为电池提供了额外的能量，但其对电池效率的影响仍未被探索。往返效率 (RtE) 是衡量电池效率的有效指标。对于全封闭电池，RtE反映了满容量。而在半开放系统中，RtE仅代表部分容量，并受pH动态的影响。因此，开发了一种具有分离充电/放电架构的解耦AZAB (DAZAB)，它确保了催化剂的稳定性，并能够随后研究pH动态影响。pH解耦系统中酸碱差异的贡献由一个通用方程描述，该方程定义了一个修正的pH动态RtE用于标准比较，使其适用于在部分容量下运行的半开放电池。此外，还为该电池制造了一种创新、低成本的膜和碳基催化剂。精心设计的DAZAB揭示了pH动态对电池性能的影响，为有效利用酸碱梯度以实现高电池效率提供了一条创新途径。</w:t>
      </w:r>
    </w:p>
    <w:p>
      <w:pPr>
        <w:spacing w:before="0" w:after="200" w:lineRule="auto" w:line="276"/>
      </w:pPr>
      <w:r>
        <w:rPr>
          <w:b/>
        </w:rPr>
        <w:t xml:space="preserve">Abstract (EN): </w:t>
      </w:r>
      <w:r>
        <w:t>An asymmetric zinc–air battery (AZAB) employing membrane‐separated acidic and alkaline electrolytes exhibits high output voltage and superior energy density. However, the bifunctional electrode suffers from severe catalyst degradation during cycling. Furthermore, the influence of pH dynamics on battery performance is challenging to investigate due to catalyst instability. The introduction of a pH gradient provides additional energy to the battery, but its impact on battery efficiency remains unexplored. Round‐trip efficiency (RtE) is an effective indicator of battery efficiency. For fully enclosed batteries, RtE reflects the full capacity. While in half‐open systems, RtE represents only partial capacity and is affected by pH dynamics. Therefore, a decoupled AZAB (DAZAB) featuring separated charge/discharge architectures is developed, which ensures catalyst stability and enables subsequent investigation of pH‐dynamic influences. The contribution of the acid‐base difference in the pH‐decoupled system is described by a universal equation that defines a modified pH‐dynamic RtE for standard comparison, making it suitable for half‐open batteries operating on partial capacity. Moreover, an innovative, low‐cost membrane and a carbon‐based catalyst are fabricated for the battery. The well‐designed DAZAB reveals the influence of pH dynamics on battery performance, offering an innovative pathway for efficient utilization of the acid‐base gradient to achieve high battery efficiency.</w:t>
      </w:r>
    </w:p>
    <w:p>
      <w:pPr>
        <w:spacing w:before="120" w:after="120"/>
      </w:pPr>
      <w:r>
        <w:rPr>
          <w:sz w:val="18"/>
        </w:rPr>
        <w:t>——————————————————————————————————————————————————————————————————————</w:t>
      </w:r>
    </w:p>
    <w:p>
      <w:pPr>
        <w:spacing w:before="160" w:after="40" w:line="240" w:lineRule="auto"/>
      </w:pPr>
      <w:r>
        <w:rPr>
          <w:b/>
        </w:rPr>
        <w:t xml:space="preserve">[8] </w:t>
      </w:r>
      <w:hyperlink r:id="rId118">
        <w:r>
          <w:rPr>
            <w:color w:val="1155CC"/>
            <w:u w:val="single"/>
          </w:rPr>
          <w:t>环境和地理限制塑造全球抽水蓄能用于长时储能</w:t>
        </w:r>
      </w:hyperlink>
    </w:p>
    <w:p>
      <w:pPr>
        <w:spacing w:before="0" w:after="80"/>
      </w:pPr>
      <w:r>
        <w:rPr>
          <w:i/>
          <w:sz w:val="20"/>
        </w:rPr>
        <w:t>EN: Environmental and geographic constraints shape global pumped hydro for long-duration storage</w:t>
      </w:r>
    </w:p>
    <w:p>
      <w:pPr>
        <w:spacing w:before="0" w:after="120"/>
      </w:pPr>
      <w:r>
        <w:rPr>
          <w:b/>
        </w:rPr>
        <w:t xml:space="preserve">Source: </w:t>
      </w:r>
      <w:r>
        <w:t>RSC - Energy Environ. Sci. latest articles</w:t>
      </w:r>
      <w:r>
        <w:t xml:space="preserve">    </w:t>
      </w:r>
      <w:r>
        <w:rPr>
          <w:b/>
        </w:rPr>
        <w:t xml:space="preserve">Pub date: </w:t>
      </w:r>
      <w:r>
        <w:t>2026-05-19 23:00:00+00:00</w:t>
      </w:r>
    </w:p>
    <w:p>
      <w:pPr>
        <w:spacing w:before="0" w:after="120"/>
      </w:pPr>
      <w:r>
        <w:rPr>
          <w:b/>
        </w:rPr>
        <w:t xml:space="preserve">Notes: </w:t>
      </w:r>
      <w:r>
        <w:t>abstract_source=rsc_html</w:t>
      </w:r>
    </w:p>
    <w:p>
      <w:pPr>
        <w:spacing w:before="0" w:after="80" w:lineRule="auto" w:line="276"/>
      </w:pPr>
      <w:r>
        <w:rPr>
          <w:b/>
        </w:rPr>
        <w:t xml:space="preserve">摘要（ZH）: </w:t>
      </w:r>
      <w:r>
        <w:t>长时储能对于稳定以风能和太阳能为主的电力系统至关重要，其中抽水蓄能 (PHS) 是一种成熟的长时储能解决方案。然而，在现实的水文、环境和社会限制下，PHS 的全球潜力尚未得到系统量化。在本文中，我们提出了一个整合水文、地形、环境和输电可达性的全球自下而上评估。通过筛选 289 万条河流和 5000 万个山谷，我们确定了 18.82 ± 2.66 PWh 的经济和环境上可行的 PHS 资源，这些资源高度集中在山区。即使在 2050 年之前竞争性储能技术的成本预计下降的情况下，PHS 仍然是持续时间超过四小时的储能最具成本效益的选择，并且可以为全球一半以上的电力需求提供超过 100 小时的储能。这项研究为 PHS 在未来电力系统中的作用定义了一个物理约束基准，并提供了一个整合互补储能技术以支持弹性、低碳电力系统的框架。</w:t>
      </w:r>
    </w:p>
    <w:p>
      <w:pPr>
        <w:spacing w:before="0" w:after="200" w:lineRule="auto" w:line="276"/>
      </w:pPr>
      <w:r>
        <w:rPr>
          <w:b/>
        </w:rPr>
        <w:t xml:space="preserve">Abstract (EN): </w:t>
      </w:r>
      <w:r>
        <w:t>Long-duration energy storage is essential for stabilizing electricity systems dominated by wind and solar power, with pumped hydroelectric storage (PHS) as a mature long-duration storage solution. Yet the global potential of PHS under realistic hydrological, environmental, and social constraints has not been systematically quantified. Here we present a global bottom-up assessment integrating hydrology, topography, environment, and transmission accessibility. Screening 2.89 million river and 50 million mountain valleys, we identify 18.82 ± 2.66 PWh of economically and environmentally viable PHS resources that are highly concentrated in mountainous regions. Even under projected cost reductions of competing storage technologies through 2050, PHS remains the most cost-effective option for storage durations exceeding four hours and could deliver over 100 hours of storage for over half of global electricity demand. This study defines a physically constrained benchmark for the role of PHS in future power systems and provides a framework for integrating complementary storage technologies to support resilient, low-carbon electricity systems.</w:t>
      </w:r>
    </w:p>
    <w:p>
      <w:pPr>
        <w:spacing w:before="120" w:after="120"/>
      </w:pPr>
      <w:r>
        <w:rPr>
          <w:sz w:val="18"/>
        </w:rPr>
        <w:t>——————————————————————————————————————————————————————————————————————</w:t>
      </w:r>
    </w:p>
    <w:p>
      <w:pPr>
        <w:spacing w:before="160" w:after="40" w:line="240" w:lineRule="auto"/>
      </w:pPr>
      <w:r>
        <w:rPr>
          <w:b/>
        </w:rPr>
        <w:t xml:space="preserve">[9] </w:t>
      </w:r>
      <w:hyperlink r:id="rId119">
        <w:r>
          <w:rPr>
            <w:color w:val="1155CC"/>
            <w:u w:val="single"/>
          </w:rPr>
          <w:t>电子-空间协同调制赋能长循环有机液流电池</w:t>
        </w:r>
      </w:hyperlink>
    </w:p>
    <w:p>
      <w:pPr>
        <w:spacing w:before="0" w:after="80"/>
      </w:pPr>
      <w:r>
        <w:rPr>
          <w:i/>
          <w:sz w:val="20"/>
        </w:rPr>
        <w:t>EN: Long-cycling organic flow batteries enabled by electronic-spatial synergistic modulation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120">
        <w:r>
          <w:rPr>
            <w:color w:val="1155CC"/>
            <w:u w:val="single"/>
          </w:rPr>
          <w:t>10.1126/sciadv.aee5328</w:t>
        </w:r>
      </w:hyperlink>
    </w:p>
    <w:p>
      <w:pPr>
        <w:spacing w:before="0" w:after="120"/>
      </w:pPr>
      <w:r>
        <w:rPr>
          <w:b/>
        </w:rPr>
        <w:t xml:space="preserve">Notes: </w:t>
      </w:r>
      <w:r>
        <w:t>abstract_source=crossref</w:t>
      </w:r>
    </w:p>
    <w:p>
      <w:pPr>
        <w:spacing w:before="0" w:after="80" w:lineRule="auto" w:line="276"/>
      </w:pPr>
      <w:r>
        <w:rPr>
          <w:b/>
        </w:rPr>
        <w:t xml:space="preserve">摘要（ZH）: </w:t>
      </w:r>
      <w:r>
        <w:t>水系有机氧化还原液流电池（AORFBs）在电网级储能方面显示出前景，但受限于活性材料的稳定性不足和溶解度不高。在此，我们报告了一种电子-空间协同调制策略，以同时增强有机物种的水溶解度和电化学鲁棒性，并在4-氨基苯酚（PAP）基分子上进行了验证。通过在氨基位引入哌嗪环和乙酰基，我们设计了1-(4-(4-羟基苯基)哌嗪-1-基)乙-1-酮（AHPP）。这种协同调制稳定了氧化态，抑制了副反应，并将水溶液中的溶解度提高到1.9摩尔（3.8摩尔电子浓度）。基于AHPP的全有机液流电池在5000次循环后实现了95.7%的容量保持率，并在宽温度范围内稳定运行。将原位光谱和电化学分析与计算建模相结合，阐明了PAP基分子的氧化还原化学，并建立了中间体稳定性与官能团效应之间的联系。生命周期评估进一步揭示了基于AHPP的电池的环境足迹，展示了其在实际电网级储能应用中的巨大潜力。</w:t>
      </w:r>
    </w:p>
    <w:p>
      <w:pPr>
        <w:spacing w:before="0" w:after="200" w:lineRule="auto" w:line="276"/>
      </w:pPr>
      <w:r>
        <w:rPr>
          <w:b/>
        </w:rPr>
        <w:t xml:space="preserve">Abstract (EN): </w:t>
      </w:r>
      <w:r>
        <w:t>Aqueous organic redox flow batteries (AORFBs) show promise for grid-scale energy storage but are limited by inadequate stability and solubility of active materials. Here we report an electronic-spatial synergistic modulation strategy to simultaneously enhance aqueous dissolution and electrochemical robustness of organic species, demonstrated on 4-aminophenol (PAP)–based molecules. By introducing a piperazine ring and an acetyl group at the amino site, we design 1-(4-(4-hydroxyphenyl)piperazin-1-yl)ethan-1-one (AHPP). This synergistic modulation stabilizes the oxidized state, suppresses side reactions, and boosts solubility to 1.9 molar in aqueous solution (3.8-molar electron concentration). An all-organic flow battery based on AHPP achieves 95.7% capacity retention after 5000 cycles, with stable operation across a wide temperature range. Integrating in situ spectroscopic and electrochemical analysis with computational modeling elucidates the redox chemistry of PAP-based molecules and establishes a link between intermediate stability and functional group effects. Life cycle assessment further reveals the environmental footprint of AHPP-based batteries, demonstrating considerable potential for practical grid-scale storage applications.</w:t>
      </w:r>
    </w:p>
    <w:p>
      <w:pPr>
        <w:spacing w:before="120" w:after="120"/>
      </w:pPr>
      <w:r>
        <w:rPr>
          <w:sz w:val="18"/>
        </w:rPr>
        <w:t>——————————————————————————————————————————————————————————————————————</w:t>
      </w:r>
    </w:p>
    <w:p>
      <w:pPr>
        <w:spacing w:before="160" w:after="40" w:line="240" w:lineRule="auto"/>
      </w:pPr>
      <w:r>
        <w:rPr>
          <w:b/>
        </w:rPr>
        <w:t xml:space="preserve">[10] </w:t>
      </w:r>
      <w:hyperlink r:id="rId121">
        <w:r>
          <w:rPr>
            <w:color w:val="1155CC"/>
            <w:u w:val="single"/>
          </w:rPr>
          <w:t>氧协同的全纤维水伏器件具有毫安输出，用于自供电透气电子产品</w:t>
        </w:r>
      </w:hyperlink>
    </w:p>
    <w:p>
      <w:pPr>
        <w:spacing w:before="0" w:after="80"/>
      </w:pPr>
      <w:r>
        <w:rPr>
          <w:i/>
          <w:sz w:val="20"/>
        </w:rPr>
        <w:t>EN: Oxygen‐Synergized All‐Fiber Hydrovoltaics With Milliamp Output Toward Self‐Powered Breathable Electronics</w:t>
      </w:r>
    </w:p>
    <w:p>
      <w:pPr>
        <w:spacing w:before="0" w:after="120"/>
      </w:pPr>
      <w:r>
        <w:rPr>
          <w:b/>
        </w:rPr>
        <w:t xml:space="preserve">Source: </w:t>
      </w:r>
      <w:r>
        <w:t>Wiley: Advanced Materials: Table of Contents</w:t>
      </w:r>
      <w:r>
        <w:t xml:space="preserve">    </w:t>
      </w:r>
      <w:r>
        <w:rPr>
          <w:b/>
        </w:rPr>
        <w:t xml:space="preserve">Pub date: </w:t>
      </w:r>
      <w:r>
        <w:t>2026-05-20 07:19:46+00:00</w:t>
      </w:r>
      <w:r>
        <w:t xml:space="preserve">    </w:t>
      </w:r>
      <w:r>
        <w:rPr>
          <w:b/>
        </w:rPr>
        <w:t xml:space="preserve">DOI: </w:t>
      </w:r>
      <w:hyperlink r:id="rId122">
        <w:r>
          <w:rPr>
            <w:color w:val="1155CC"/>
            <w:u w:val="single"/>
          </w:rPr>
          <w:t>10.1002/adma.73057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穿戴技术的爆发式发展引发了对分散式能源供应的巨大需求，这些能源供应能够收集无处不在的环境刺激，例如水蒸发。传统的水伏发电机（HPG）通过功能材料中水梯度引起的定向离子迁移来收集能量，但其不令人满意的电输出严重阻碍了实际应用。在此，我们通过构建富离子存储电极并同时在功能层的固-液-气界面诱导氧参与反应，开发了一种液体诱导的高性能全纤维HPG，用于可持续自供电电子产品。利用HPG的分级结构配置，我们通过原位表征和理论计算验证了水伏效应和氧参与氧化还原反应的双途径协同发电机制。值得注意的是，该HPG表现出164.5 µW cm</w:t>
      </w:r>
      <w:r>
        <w:t xml:space="preserve"> </w:t>
      </w:r>
      <w:r>
        <w:t>−2</w:t>
      </w:r>
      <w:r>
        <w:t xml:space="preserve"> </w:t>
      </w:r>
      <w:r>
        <w:t>的惊人功率密度、1.25 mA cm</w:t>
      </w:r>
      <w:r>
        <w:t xml:space="preserve"> </w:t>
      </w:r>
      <w:r>
        <w:t>−2</w:t>
      </w:r>
      <w:r>
        <w:t xml:space="preserve"> </w:t>
      </w:r>
      <w:r>
        <w:t>的卓越电流密度、428.4 mm s</w:t>
      </w:r>
      <w:r>
        <w:t xml:space="preserve"> </w:t>
      </w:r>
      <w:r>
        <w:t>−1</w:t>
      </w:r>
      <w:r>
        <w:t xml:space="preserve"> </w:t>
      </w:r>
      <w:r>
        <w:t>的高透气性，以及在150次洗涤循环后仍保持88%高输出的优异可持续性，超越了大多数同类产品。作为应用演示，所组装的HPG电源组可以直接驱动各种可穿戴电子产品，无需额外的储能设备或整流电路。</w:t>
      </w:r>
    </w:p>
    <w:p>
      <w:pPr>
        <w:spacing w:before="0" w:after="200" w:lineRule="auto" w:line="276"/>
      </w:pPr>
      <w:r>
        <w:rPr>
          <w:b/>
        </w:rPr>
        <w:t xml:space="preserve">Abstract (EN): </w:t>
      </w:r>
      <w:r>
        <w:t>Eruptive development of wearable technology has evoked great demand for decentralized energy supplies harvesting ubiquitous environmental stimuli, such as water evaporation. Conventional hydrovoltaic power generators (HPG) collect energy through directional ion migration originating from water gradient in functional materials, while the unsatisfactory electrical output severely hinders the practical applications. Herein, we develop a liquid‐induced high‐performance all‐fiber HPG for sustainable self‐powered electronics by constructing an ion‐enriched storage electrode and coincidently inducing an oxygen‐involved reaction in the solid‐liquid‐gas interface of the functional layer. Taking advantage of the hierarchical structural configuration of HPG, we verify the dual pathway synergistic electricity generation mechanism of hydrovoltaic effect and oxygen‐involved redox through in situ characterization and theoretical calculations. Significantly, the HPG exhibits an impressive power density of 164.5 µW cm</w:t>
      </w:r>
      <w:r>
        <w:t xml:space="preserve"> </w:t>
      </w:r>
      <w:r>
        <w:t>−2</w:t>
      </w:r>
      <w:r>
        <w:t xml:space="preserve"> </w:t>
      </w:r>
      <w:r>
        <w:t>, an extraordinary current density of 1.25 mA cm</w:t>
      </w:r>
      <w:r>
        <w:t xml:space="preserve"> </w:t>
      </w:r>
      <w:r>
        <w:t>−2</w:t>
      </w:r>
      <w:r>
        <w:t xml:space="preserve"> </w:t>
      </w:r>
      <w:r>
        <w:t>, a high air‐permeability of 428.4 mm s</w:t>
      </w:r>
      <w:r>
        <w:t xml:space="preserve"> </w:t>
      </w:r>
      <w:r>
        <w:t>−1</w:t>
      </w:r>
      <w:r>
        <w:t xml:space="preserve"> </w:t>
      </w:r>
      <w:r>
        <w:t>, and an excellent sustainability with high output retention of 88% after 150 cycles of washing, outperforming most of the counterparts. As demonstration of applications, the as‐assembled HPG power supply packs can directly drive various wearable electronics without extra energy storage devices or rectification circuits, demonstrating the great expectation for the development of evaporation energy harvesters and self‐powered wearable electronics.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23">
        <w:r>
          <w:rPr>
            <w:color w:val="1155CC"/>
            <w:u w:val="single"/>
          </w:rPr>
          <w:t>揭示二维InSe中层依赖的相变和晶格动力学</w:t>
        </w:r>
      </w:hyperlink>
    </w:p>
    <w:p>
      <w:pPr>
        <w:spacing w:before="0" w:after="80"/>
      </w:pPr>
      <w:r>
        <w:rPr>
          <w:i/>
          <w:sz w:val="20"/>
        </w:rPr>
        <w:t>EN: Unveiling Layer‐Dependent Phase Transition and Lattice Dynamics in Two‐Dimensional InSe</w:t>
      </w:r>
    </w:p>
    <w:p>
      <w:pPr>
        <w:spacing w:before="0" w:after="120"/>
      </w:pPr>
      <w:r>
        <w:rPr>
          <w:b/>
        </w:rPr>
        <w:t xml:space="preserve">Source: </w:t>
      </w:r>
      <w:r>
        <w:t>Wiley: Advanced Materials: Table of Contents</w:t>
      </w:r>
      <w:r>
        <w:t xml:space="preserve">    </w:t>
      </w:r>
      <w:r>
        <w:rPr>
          <w:b/>
        </w:rPr>
        <w:t xml:space="preserve">Pub date: </w:t>
      </w:r>
      <w:r>
        <w:t>2026-05-16 13:18:56+00:00</w:t>
      </w:r>
      <w:r>
        <w:t xml:space="preserve">    </w:t>
      </w:r>
      <w:r>
        <w:rPr>
          <w:b/>
        </w:rPr>
        <w:t xml:space="preserve">DOI: </w:t>
      </w:r>
      <w:hyperlink r:id="rId124">
        <w:r>
          <w:rPr>
            <w:color w:val="1155CC"/>
            <w:u w:val="single"/>
          </w:rPr>
          <w:t>10.1002/adma.73416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 (2D) 硒化铟 (InSe) 因其优异的弹道输运特性、超塑性、热电特性、铁电性以及其他各种有趣的物理特性而引起了广泛关注。这些特性源于其范德华 (vdW) 层状结构、层间耦合和层内相互作用。2D InSe 的振动模式对厚度高度敏感。2D 材料的相变对其性质和应用至关重要，并与层间和层内振动密切相关。然而，厚度对相变过程中这些振动行为的影响仍未得到充分理解。在本研究中，我们研究了层数 (LN) 范围从 4 到 33 的 β‐InSe 在高压下的拉曼光谱，并构建了压力-LN 相图。出乎意料的是，由于量子限制和缺陷效应，层数较少的 InSe 薄片需要更多的能量才能发生相变，这通过 PL 实验和 DFT 计算得到了证实，无论压力是增加还是降低。这项研究为通过 vdW 材料中的压力工程探索和表征层间和层内晶格动力学奠定了坚实基础。</w:t>
      </w:r>
    </w:p>
    <w:p>
      <w:pPr>
        <w:spacing w:before="0" w:after="200" w:lineRule="auto" w:line="276"/>
      </w:pPr>
      <w:r>
        <w:rPr>
          <w:b/>
        </w:rPr>
        <w:t xml:space="preserve">Abstract (EN): </w:t>
      </w:r>
      <w:r>
        <w:t>Two‐dimensional (2D) indium selenide (InSe) has attracted considerable interest due to its superior ballistic transport properties, superplasticity, and thermoelectric properties. Ferroelectricity and a variety of other intriguing physical characteristics. These arise from its van der Waals (vdW) layered structure, interlayer coupling, and intralayer interactions. The vibrational modes of 2D InSe are highly sensitive to thickness. The phase transitions in 2D materials, which are critical to their properties and applications, are closely related to interlayer and intralayer vibrations. However, the effect of the thickness on these vibrational behaviors during phase transitions remains insufficiently understood. In this study, we investigate the Raman spectra of</w:t>
      </w:r>
      <w:r>
        <w:t xml:space="preserve"> </w:t>
      </w:r>
      <w:r>
        <w:t>β</w:t>
      </w:r>
      <w:r>
        <w:t xml:space="preserve"> </w:t>
      </w:r>
      <w:r>
        <w:t>‐InSe with layer numbers (LN) ranging from 4 to 33 under high pressure and construct a pressure LN phase diagram. Unexpectedly, due to the quantum confinement and defect effects, InSe flakes with fewer layers require more energy to undergo phase transitions which is confirmed by PL experiments and DFT calculations, irrespective of whether pressure is being increased or decreased. This research establishes a solid foundation for exploring and characterizing interlayer and intralayer lattice dynamics through pressure engineering in vdW materials.</w:t>
      </w:r>
    </w:p>
    <w:p>
      <w:pPr>
        <w:spacing w:before="120" w:after="120"/>
      </w:pPr>
      <w:r>
        <w:rPr>
          <w:sz w:val="18"/>
        </w:rPr>
        <w:t>——————————————————————————————————————————————————————————————————————</w:t>
      </w:r>
    </w:p>
    <w:p>
      <w:pPr>
        <w:spacing w:before="160" w:after="40" w:line="240" w:lineRule="auto"/>
      </w:pPr>
      <w:r>
        <w:rPr>
          <w:b/>
        </w:rPr>
        <w:t xml:space="preserve">[2] </w:t>
      </w:r>
      <w:hyperlink r:id="rId125">
        <w:r>
          <w:rPr>
            <w:color w:val="1155CC"/>
            <w:u w:val="single"/>
          </w:rPr>
          <w:t>[ASAP] 弱极性光学声子散射解耦层状热电材料中的电子和声子输运</w:t>
        </w:r>
      </w:hyperlink>
    </w:p>
    <w:p>
      <w:pPr>
        <w:spacing w:before="0" w:after="80"/>
      </w:pPr>
      <w:r>
        <w:rPr>
          <w:i/>
          <w:sz w:val="20"/>
        </w:rPr>
        <w:t>EN: [ASAP] Weak Polar Optical Phonon Scattering Decouples Electron and Phonon Transport in Layered Thermoelectric Materials</w:t>
      </w:r>
    </w:p>
    <w:p>
      <w:pPr>
        <w:spacing w:before="0" w:after="120"/>
      </w:pPr>
      <w:r>
        <w:rPr>
          <w:b/>
        </w:rPr>
        <w:t xml:space="preserve">Source: </w:t>
      </w:r>
      <w:r>
        <w:t>Journal of the American Chemical Society: Latest Articles (ACS Publications)</w:t>
      </w:r>
      <w:r>
        <w:t xml:space="preserve">    </w:t>
      </w:r>
      <w:r>
        <w:rPr>
          <w:b/>
        </w:rPr>
        <w:t xml:space="preserve">Pub date: </w:t>
      </w:r>
      <w:r>
        <w:t>2026-05-16 13:59:46+00:00</w:t>
      </w:r>
      <w:r>
        <w:t xml:space="preserve">    </w:t>
      </w:r>
      <w:r>
        <w:rPr>
          <w:b/>
        </w:rPr>
        <w:t xml:space="preserve">DOI: </w:t>
      </w:r>
      <w:hyperlink r:id="rId126">
        <w:r>
          <w:rPr>
            <w:color w:val="1155CC"/>
            <w:u w:val="single"/>
          </w:rPr>
          <w:t>10.1021/jacs.6c00402</w:t>
        </w:r>
      </w:hyperlink>
    </w:p>
    <w:p>
      <w:pPr>
        <w:spacing w:before="0" w:after="120"/>
      </w:pPr>
      <w:r>
        <w:rPr>
          <w:b/>
        </w:rPr>
        <w:t xml:space="preserve">Notes: </w:t>
      </w:r>
      <w:r>
        <w:t>abstract_source=openalex</w:t>
      </w:r>
    </w:p>
    <w:p>
      <w:pPr>
        <w:spacing w:before="0" w:after="80" w:lineRule="auto" w:line="276"/>
      </w:pPr>
      <w:r>
        <w:rPr>
          <w:b/>
        </w:rPr>
        <w:t xml:space="preserve">摘要（ZH）: </w:t>
      </w:r>
      <w:r>
        <w:t>高性能热电 (TE) 材料对于高效废热回收和固态冷却技术至关重要。热电材料设计中的一个持续挑战源于电导率 (σ)、塞贝克系数 (S) 和晶格热导率 (κL) 之间的强相互依赖性。层状化合物由于弱层间相互作用，可以有效抑制沿面外方向的 κL；然而，它们通常由于有限的能带色散和强极性光学声子 (POP) 散射而导致载流子迁移率 (μ) 较低。在此，我们进行了高通量密度泛函理论计算，筛选了 236 种层状半导体，并确定了具有低有效质量 (m*) 和弱 POP 散射的候选材料。我们确定了 23 种具有高面外 μ 的化合物，其中 14 种表现出大的功率因数 (S2σ)。值得注意的是，GaGe2Te 以其极高的面外 σ 和功率因数脱颖而出，这得益于小 m* 和小离子介电常数的有利组合。同时，GaGe2Te 在 300 K 下表现出 0.57 W m–1 K–1 的超低面外 κL，这源于弱层间键合和显著的声子非谐性。这些结果表明了一种通过减轻 POP 散射来解耦层状材料中电子和声子输运的有效策略，从而为高性能热电材料提供了一条有前景的途径。</w:t>
      </w:r>
    </w:p>
    <w:p>
      <w:pPr>
        <w:spacing w:before="0" w:after="200" w:lineRule="auto" w:line="276"/>
      </w:pPr>
      <w:r>
        <w:rPr>
          <w:b/>
        </w:rPr>
        <w:t xml:space="preserve">Abstract (EN): </w:t>
      </w:r>
      <w:r>
        <w:t>High-performance thermoelectric (TE) materials are crucial for efficient waste-heat recovery and solid-state cooling technologies. A persistent challenge in TE materials design arises from the strong interdependence among the electrical conductivity (σ), Seebeck coefficient (S), and lattice thermal conductivity (κL). Layered compounds can effectively suppress κL along the cross-plane direction owing to weak interlayer interactions; however, they often suffer from low carrier mobility (μ) caused by limited band dispersion and strong polar optical phonon (POP) scattering. Here, we perform high-throughput density functional theory calculations to screen 236 layered semiconductors and identify candidates with low effective mass (m*) and weak POP scattering. We identify 23 compounds with high cross-plane μ, among which 14 exhibit large power factors (S2σ). Notably, GaGe2Te stands out with exceptionally high cross-plane σ and power factor, enabled by a favorable combination of small m* and a small ionic dielectric constant. Simultaneously, GaGe2Te exhibits an ultralow cross-plane κL of 0.57 W m–1 K–1 at 300 K, originating from weak interlayer bonding and pronounced phonon anharmonicity. These results demonstrate an effective strategy to decouple electron and phonon transport in layered materials by mitigating POP scattering, thereby providing a promising pathway toward high-performance thermoelectric materials.</w:t>
      </w:r>
    </w:p>
    <w:p>
      <w:pPr>
        <w:spacing w:before="120" w:after="120"/>
      </w:pPr>
      <w:r>
        <w:rPr>
          <w:sz w:val="18"/>
        </w:rPr>
        <w:t>——————————————————————————————————————————————————————————————————————</w:t>
      </w:r>
    </w:p>
    <w:p>
      <w:pPr>
        <w:spacing w:before="160" w:after="40" w:line="240" w:lineRule="auto"/>
      </w:pPr>
      <w:r>
        <w:rPr>
          <w:b/>
        </w:rPr>
        <w:t xml:space="preserve">[3] </w:t>
      </w:r>
      <w:hyperlink r:id="rId127">
        <w:r>
          <w:rPr>
            <w:color w:val="1155CC"/>
            <w:u w:val="single"/>
          </w:rPr>
          <w:t>增压氨燃料SOFC系统用于电氢联产的技术热力学研究</w:t>
        </w:r>
      </w:hyperlink>
    </w:p>
    <w:p>
      <w:pPr>
        <w:spacing w:before="0" w:after="80"/>
      </w:pPr>
      <w:r>
        <w:rPr>
          <w:i/>
          <w:sz w:val="20"/>
        </w:rPr>
        <w:t>EN: Techno-thermodynamic investigation of pressurized ammonia-fueled SOFC systems for co-production of electricity and hydrogen</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8">
        <w:r>
          <w:rPr>
            <w:color w:val="1155CC"/>
            <w:u w:val="single"/>
          </w:rPr>
          <w:t>建筑虚拟储能的灵活性：供暖和制冷系统建模与控制的系统定量综述</w:t>
        </w:r>
      </w:hyperlink>
    </w:p>
    <w:p>
      <w:pPr>
        <w:spacing w:before="0" w:after="80"/>
      </w:pPr>
      <w:r>
        <w:rPr>
          <w:i/>
          <w:sz w:val="20"/>
        </w:rPr>
        <w:t>EN: Flexibility of building virtual energy storage: a systematic quantitative review of modeling and controlling heating and cooling systems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29">
        <w:r>
          <w:rPr>
            <w:color w:val="1155CC"/>
            <w:u w:val="single"/>
          </w:rPr>
          <w:t>自然通风模型预测控制导致的冷却用电量实测减少</w:t>
        </w:r>
      </w:hyperlink>
    </w:p>
    <w:p>
      <w:pPr>
        <w:spacing w:before="0" w:after="80"/>
      </w:pPr>
      <w:r>
        <w:rPr>
          <w:i/>
          <w:sz w:val="20"/>
        </w:rPr>
        <w:t>EN: Measured reductions in electricity use for cooling due to model predictive control of natural ventilation</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30">
        <w:r>
          <w:rPr>
            <w:color w:val="1155CC"/>
            <w:u w:val="single"/>
          </w:rPr>
          <w:t>柔性自支撑高性能 Ag2Se 热电薄膜用于树液流监测</w:t>
        </w:r>
      </w:hyperlink>
    </w:p>
    <w:p>
      <w:pPr>
        <w:spacing w:before="0" w:after="80"/>
      </w:pPr>
      <w:r>
        <w:rPr>
          <w:i/>
          <w:sz w:val="20"/>
        </w:rPr>
        <w:t>EN: Flexible freestanding Ag2Se thermoelectric films with high performance for sap flow monitoring</w:t>
      </w:r>
    </w:p>
    <w:p>
      <w:pPr>
        <w:spacing w:before="0" w:after="120"/>
      </w:pPr>
      <w:r>
        <w:rPr>
          <w:b/>
        </w:rPr>
        <w:t xml:space="preserve">Source: </w:t>
      </w:r>
      <w:r>
        <w:t>Joule</w:t>
      </w:r>
      <w:r>
        <w:t xml:space="preserve">    </w:t>
      </w:r>
      <w:r>
        <w:rPr>
          <w:b/>
        </w:rPr>
        <w:t xml:space="preserve">Pub date: </w:t>
      </w:r>
      <w:r>
        <w:t>2026-05-19 00:00:00+00:00</w:t>
      </w:r>
      <w:r>
        <w:t xml:space="preserve">    </w:t>
      </w:r>
      <w:r>
        <w:rPr>
          <w:b/>
        </w:rPr>
        <w:t xml:space="preserve">DOI: </w:t>
      </w:r>
      <w:hyperlink r:id="rId131">
        <w:r>
          <w:rPr>
            <w:color w:val="1155CC"/>
            <w:u w:val="single"/>
          </w:rPr>
          <w:t>10.1016/j.joule.2026.102487</w:t>
        </w:r>
      </w:hyperlink>
    </w:p>
    <w:p>
      <w:pPr>
        <w:spacing w:before="0" w:after="120"/>
      </w:pPr>
      <w:r>
        <w:rPr>
          <w:b/>
        </w:rPr>
        <w:t xml:space="preserve">Notes: </w:t>
      </w:r>
      <w:r>
        <w:t>abstract_source=rss_cell</w:t>
      </w:r>
    </w:p>
    <w:p>
      <w:pPr>
        <w:spacing w:before="0" w:after="80" w:lineRule="auto" w:line="276"/>
      </w:pPr>
      <w:r>
        <w:rPr>
          <w:b/>
        </w:rPr>
        <w:t xml:space="preserve">摘要（ZH）: </w:t>
      </w:r>
      <w:r>
        <w:t>超低含量碳纳米管 (CNT) (0.9 wt %) 使 Ag1.8Se 具有自支撑柔性，同时通过能量过滤增强了热电性能。Ag1.8Se/CNT 薄膜表现出高室温功率因数和小弯曲半径。约 10 微米厚的自支撑薄膜使柔性器件具有可观的功率输出。该策略为实现高性能无机热电材料提供了一条可持续途径。</w:t>
      </w:r>
    </w:p>
    <w:p>
      <w:pPr>
        <w:spacing w:before="0" w:after="200" w:lineRule="auto" w:line="276"/>
      </w:pPr>
      <w:r>
        <w:rPr>
          <w:b/>
        </w:rPr>
        <w:t xml:space="preserve">Abstract (EN): </w:t>
      </w:r>
      <w:r>
        <w:t>Ultralow-content CNT (0.9 wt %) enables freestanding flexibility in Ag1.8Se while enhancing thermoelectric performance via energy filtering. The Ag1.8Se/CNT films exhibit a high room-temperature power factor and small bending radius. The ∼10-μm-thick freestanding films enable flexible devices with substantial power output. This strategy provides a sustainable route to high-performance inorganic thermoelectrics.</w:t>
      </w:r>
    </w:p>
    <w:p>
      <w:pPr>
        <w:spacing w:before="120" w:after="120"/>
      </w:pPr>
      <w:r>
        <w:rPr>
          <w:sz w:val="18"/>
        </w:rPr>
        <w:t>——————————————————————————————————————————————————————————————————————</w:t>
      </w:r>
    </w:p>
    <w:p>
      <w:pPr>
        <w:spacing w:before="160" w:after="40" w:line="240" w:lineRule="auto"/>
      </w:pPr>
      <w:r>
        <w:rPr>
          <w:b/>
        </w:rPr>
        <w:t xml:space="preserve">[7] </w:t>
      </w:r>
      <w:hyperlink r:id="rId132">
        <w:r>
          <w:rPr>
            <w:color w:val="1155CC"/>
            <w:u w:val="single"/>
          </w:rPr>
          <w:t>一种共晶界面工程化的 Al2TiO5 纳米纤维气凝胶用于极端条件下的超级绝热</w:t>
        </w:r>
      </w:hyperlink>
    </w:p>
    <w:p>
      <w:pPr>
        <w:spacing w:before="0" w:after="80"/>
      </w:pPr>
      <w:r>
        <w:rPr>
          <w:i/>
          <w:sz w:val="20"/>
        </w:rPr>
        <w:t>EN: A Eutectic‐interface Engineered Al2TiO5 Nanofibrous Aerogel for Superinsulation Under Extreme Conditions</w:t>
      </w:r>
    </w:p>
    <w:p>
      <w:pPr>
        <w:spacing w:before="0" w:after="120"/>
      </w:pPr>
      <w:r>
        <w:rPr>
          <w:b/>
        </w:rPr>
        <w:t xml:space="preserve">Source: </w:t>
      </w:r>
      <w:r>
        <w:t>Wiley: Advanced Materials: Table of Contents</w:t>
      </w:r>
      <w:r>
        <w:t xml:space="preserve">    </w:t>
      </w:r>
      <w:r>
        <w:rPr>
          <w:b/>
        </w:rPr>
        <w:t xml:space="preserve">Pub date: </w:t>
      </w:r>
      <w:r>
        <w:t>2026-05-20 07:22:55+00:00</w:t>
      </w:r>
      <w:r>
        <w:t xml:space="preserve">    </w:t>
      </w:r>
      <w:r>
        <w:rPr>
          <w:b/>
        </w:rPr>
        <w:t xml:space="preserve">DOI: </w:t>
      </w:r>
      <w:hyperlink r:id="rId133">
        <w:r>
          <w:rPr>
            <w:color w:val="1155CC"/>
            <w:u w:val="single"/>
          </w:rPr>
          <w:t>10.1002/adma.73446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在极端温度下既是超级隔热体又具有机械鲁棒性的陶瓷气凝胶迫切需要但难以实现，这是由于热阻和热机械稳定性之间固有的权衡。在此，我们通过共晶界面工程策略，制备了一种3D弹性钛酸铝（Al</w:t>
      </w:r>
      <w:r>
        <w:rPr>
          <w:vertAlign w:val="subscript"/>
        </w:rPr>
        <w:t>2</w:t>
      </w:r>
      <w:r>
        <w:t>TiO</w:t>
      </w:r>
      <w:r>
        <w:rPr>
          <w:vertAlign w:val="subscript"/>
        </w:rPr>
        <w:t>5</w:t>
      </w:r>
      <w:r>
        <w:t>）纳米纤维气凝胶，从而解决了这一问题。该方法采用完全水基、可扩展的卷对卷静电纺丝工艺，实现了共连续Al</w:t>
      </w:r>
      <w:r>
        <w:rPr>
          <w:vertAlign w:val="subscript"/>
        </w:rPr>
        <w:t>2</w:t>
      </w:r>
      <w:r>
        <w:t>O</w:t>
      </w:r>
      <w:r>
        <w:rPr>
          <w:vertAlign w:val="subscript"/>
        </w:rPr>
        <w:t>3</w:t>
      </w:r>
      <w:r>
        <w:t>–TiO</w:t>
      </w:r>
      <w:r>
        <w:rPr>
          <w:vertAlign w:val="subscript"/>
        </w:rPr>
        <w:t>2</w:t>
      </w:r>
      <w:r>
        <w:t>共晶结构的低温合成——这种结构以前只能通过超高温熔体生长在致密陶瓷中获得。所得气凝胶（密度：25 mg·cm</w:t>
      </w:r>
      <w:r>
        <w:t xml:space="preserve"> </w:t>
      </w:r>
      <w:r>
        <w:t>−</w:t>
      </w:r>
      <w:r>
        <w:rPr>
          <w:vertAlign w:val="subscript"/>
        </w:rPr>
        <w:t>3</w:t>
      </w:r>
      <w:r>
        <w:t>）在25和1000°C下分别实现了0.033和0.103 W·m</w:t>
      </w:r>
      <w:r>
        <w:t xml:space="preserve"> </w:t>
      </w:r>
      <w:r>
        <w:t>−</w:t>
      </w:r>
      <w:r>
        <w:rPr>
          <w:vertAlign w:val="subscript"/>
        </w:rPr>
        <w:t>1</w:t>
      </w:r>
      <w:r>
        <w:t>·K</w:t>
      </w:r>
      <w:r>
        <w:t xml:space="preserve"> </w:t>
      </w:r>
      <w:r>
        <w:t>−</w:t>
      </w:r>
      <w:r>
        <w:rPr>
          <w:vertAlign w:val="subscript"/>
        </w:rPr>
        <w:t>1</w:t>
      </w:r>
      <w:r>
        <w:t>的超低热导率。此外，该气凝胶能够在1300°C的直接火焰下不发生结构失效，并在50%应变下重复压缩后弹性恢复高达90%。这种卓越的性能源于其共晶界面，这些界面既作为高效的声子散射体实现隔热，又提供固有的热稳定性。这</w:t>
      </w:r>
    </w:p>
    <w:p>
      <w:pPr>
        <w:spacing w:before="0" w:after="200" w:lineRule="auto" w:line="276"/>
      </w:pPr>
      <w:r>
        <w:rPr>
          <w:b/>
        </w:rPr>
        <w:t xml:space="preserve">Abstract (EN): </w:t>
      </w:r>
      <w:r>
        <w:t>Ceramic aerogels that are both thermal super‐insulators and mechanically robust under extreme temperatures are urgently needed yet elusive, due to the inherent trade‐off between thermal resistance and thermomechanical stability. Here, we solve the problem by reporting a 3D, elastic aluminum titanate (Al</w:t>
      </w:r>
      <w:r>
        <w:rPr>
          <w:vertAlign w:val="subscript"/>
        </w:rPr>
        <w:t>2</w:t>
      </w:r>
      <w:r>
        <w:t>TiO</w:t>
      </w:r>
      <w:r>
        <w:rPr>
          <w:vertAlign w:val="subscript"/>
        </w:rPr>
        <w:t>5</w:t>
      </w:r>
      <w:r>
        <w:t>) nanofibrous aerogel crafted via a eutectic‐interface engineering strategy. This approach employs a fully aqueous, scalable roll‐to‐roll electrospinning process, enabling the low‐temperature synthesis of a co‐continuous Al</w:t>
      </w:r>
      <w:r>
        <w:rPr>
          <w:vertAlign w:val="subscript"/>
        </w:rPr>
        <w:t>2</w:t>
      </w:r>
      <w:r>
        <w:t>O</w:t>
      </w:r>
      <w:r>
        <w:rPr>
          <w:vertAlign w:val="subscript"/>
        </w:rPr>
        <w:t>3</w:t>
      </w:r>
      <w:r>
        <w:t>–TiO</w:t>
      </w:r>
      <w:r>
        <w:rPr>
          <w:vertAlign w:val="subscript"/>
        </w:rPr>
        <w:t>2</w:t>
      </w:r>
      <w:r>
        <w:t>eutectic architecture—a structure previously attainable only in dense ceramics through ultra‐high‐temperature melt growth. The resulting aerogel (density: 25 mg·cm</w:t>
      </w:r>
      <w:r>
        <w:t xml:space="preserve"> </w:t>
      </w:r>
      <w:r>
        <w:t>−</w:t>
      </w:r>
      <w:r>
        <w:rPr>
          <w:vertAlign w:val="subscript"/>
        </w:rPr>
        <w:t>3</w:t>
      </w:r>
      <w:r>
        <w:t>) achieves an ultralow thermal conductivity of 0.033 and 0.103 W·m</w:t>
      </w:r>
      <w:r>
        <w:t xml:space="preserve"> </w:t>
      </w:r>
      <w:r>
        <w:t>−</w:t>
      </w:r>
      <w:r>
        <w:rPr>
          <w:vertAlign w:val="subscript"/>
        </w:rPr>
        <w:t>1</w:t>
      </w:r>
      <w:r>
        <w:t>·K</w:t>
      </w:r>
      <w:r>
        <w:t xml:space="preserve"> </w:t>
      </w:r>
      <w:r>
        <w:t>−</w:t>
      </w:r>
      <w:r>
        <w:rPr>
          <w:vertAlign w:val="subscript"/>
        </w:rPr>
        <w:t>1</w:t>
      </w:r>
      <w:r>
        <w:t>at 25 and 1000°C, respectively. Moreover, the aerogel can resist direct flame at 1300°C without structural failure, and recovers elastically up to 90% after repeated compression at 50% strain. This superior performance arises from its eutectic interfaces, which act as efficient phonon scatterers for thermal insulation while also providing intrinsic thermal stability. This work not only demonstrates a viable, sustainable path for mass‐producing elastic ceramic aerogels but also establishes a new material design paradigm, transforming brittle eutectic oxides into lightweight, elastic thermal super‐insulators for aerospace and energy applications.</w:t>
      </w:r>
    </w:p>
    <w:p>
      <w:pPr>
        <w:spacing w:before="120" w:after="120"/>
      </w:pPr>
      <w:r>
        <w:rPr>
          <w:sz w:val="18"/>
        </w:rPr>
        <w:t>——————————————————————————————————————————————————————————————————————</w:t>
      </w:r>
    </w:p>
    <w:p>
      <w:pPr>
        <w:spacing w:before="160" w:after="40" w:line="240" w:lineRule="auto"/>
      </w:pPr>
      <w:r>
        <w:rPr>
          <w:b/>
        </w:rPr>
        <w:t xml:space="preserve">[8] </w:t>
      </w:r>
      <w:hyperlink r:id="rId134">
        <w:r>
          <w:rPr>
            <w:color w:val="1155CC"/>
            <w:u w:val="single"/>
          </w:rPr>
          <w:t>无塑性变形制备独立式金属硫族化合物薄带用于高性能柔性热电发电机</w:t>
        </w:r>
      </w:hyperlink>
    </w:p>
    <w:p>
      <w:pPr>
        <w:spacing w:before="0" w:after="80"/>
      </w:pPr>
      <w:r>
        <w:rPr>
          <w:i/>
          <w:sz w:val="20"/>
        </w:rPr>
        <w:t>EN: Plastic‐Deformation‐Free Fabrication of Freestanding Metal Chalcogenide Ribbons for High‐Performance Flexible Thermoelectric Generators</w:t>
      </w:r>
    </w:p>
    <w:p>
      <w:pPr>
        <w:spacing w:before="0" w:after="120"/>
      </w:pPr>
      <w:r>
        <w:rPr>
          <w:b/>
        </w:rPr>
        <w:t xml:space="preserve">Source: </w:t>
      </w:r>
      <w:r>
        <w:t>Wiley: Advanced Materials: Table of Contents</w:t>
      </w:r>
      <w:r>
        <w:t xml:space="preserve">    </w:t>
      </w:r>
      <w:r>
        <w:rPr>
          <w:b/>
        </w:rPr>
        <w:t xml:space="preserve">Pub date: </w:t>
      </w:r>
      <w:r>
        <w:t>2026-05-20 07:23:45+00:00</w:t>
      </w:r>
      <w:r>
        <w:t xml:space="preserve">    </w:t>
      </w:r>
      <w:r>
        <w:rPr>
          <w:b/>
        </w:rPr>
        <w:t xml:space="preserve">DOI: </w:t>
      </w:r>
      <w:hyperlink r:id="rId135">
        <w:r>
          <w:rPr>
            <w:color w:val="1155CC"/>
            <w:u w:val="single"/>
          </w:rPr>
          <w:t>10.1002/adma.202519681</w:t>
        </w:r>
      </w:hyperlink>
    </w:p>
    <w:p>
      <w:pPr>
        <w:spacing w:before="0" w:after="120"/>
      </w:pPr>
      <w:r>
        <w:rPr>
          <w:b/>
        </w:rPr>
        <w:t xml:space="preserve">Notes: </w:t>
      </w:r>
      <w:r>
        <w:t>abstract_source=crossref</w:t>
      </w:r>
    </w:p>
    <w:p>
      <w:pPr>
        <w:spacing w:before="0" w:after="80" w:lineRule="auto" w:line="276"/>
      </w:pPr>
      <w:r>
        <w:rPr>
          <w:b/>
        </w:rPr>
        <w:t xml:space="preserve">摘要（ZH）: </w:t>
      </w:r>
      <w:r>
        <w:t>韧性金属硫族化合物半导体是可持续、高性能柔性热电发电机 (f‐TEGs) 的诱人候选材料。将块状韧性半导体加工成柔性薄带严重依赖塑性变形；然而，这种变形不可避免地会引入缺陷，导致有害的载流子散射。此外，通过塑性变形加工低塑性半导体尤其具有挑战性，因为其固有的脆性使其在应力下易于断裂。在此，我们开发了一种熔体纺丝策略，该策略避免了塑性变形，并直接实现了高效、可扩展地制备自支撑p型CuAg(Te,Se,S)和n型Ag2(Se,S)柔性薄带，即使某些硫族化合物具有低塑性。借助于薄厚度、调谐组分和精细微观结构的协同作用，优化组分的薄带表现出优异的柔韧性。此外，调节硫族化合物组分使柔性薄带具有优异的近室温功率因数，其中n型Ag2Se0.8S0.2和p型CuAgTe0.9Se0.04S0.06分别达到峰值1618和879 µW m−1K−2。</w:t>
      </w:r>
    </w:p>
    <w:p>
      <w:pPr>
        <w:spacing w:before="0" w:after="200" w:lineRule="auto" w:line="276"/>
      </w:pPr>
      <w:r>
        <w:rPr>
          <w:b/>
        </w:rPr>
        <w:t xml:space="preserve">Abstract (EN): </w:t>
      </w:r>
      <w:r>
        <w:t>Ductile metal chalcogenide semiconductors are intriguing candidates for sustainable, high‐performing flexible thermoelectric generators (f‐TEGs). Processing bulk ductile semiconductors into flexible ribbons relies heavily on plastic deformation; however, such deformation inevitably induces defects that cause detrimental carrier scattering. Furthermore, processing low‐plasticity semiconductors via plastic deformation is particularly challenging, as their inherent brittleness predisposes them to fracture under stress. Herein, we develop a melt spinning strategy that avoids plastic deformation and directly enables the efficient and scalable fabrication of freestanding p‐type CuAg(Te,Se,S) and n‐type Ag</w:t>
      </w:r>
      <w:r>
        <w:rPr>
          <w:vertAlign w:val="subscript"/>
        </w:rPr>
        <w:t>2</w:t>
      </w:r>
      <w:r>
        <w:t>(Se,S) flexible ribbons even some of the chalcogenides possess low plasticity. Facilitated by the synergy of thin thickness, tuned compositions and refined microstructures, the ribbons with optimized compositions exhibit excellent flexibility. Moreover, modulating the chalcogen compositions endows the flexible ribbons with superior near‐room‐temperature power factors, peaking at 1618 and 879 µW m</w:t>
      </w:r>
      <w:r>
        <w:t xml:space="preserve"> </w:t>
      </w:r>
      <w:r>
        <w:t>−1</w:t>
      </w:r>
      <w:r>
        <w:t xml:space="preserve"> </w:t>
      </w:r>
      <w:r>
        <w:t>K</w:t>
      </w:r>
      <w:r>
        <w:t xml:space="preserve"> </w:t>
      </w:r>
      <w:r>
        <w:t>−2</w:t>
      </w:r>
      <w:r>
        <w:t xml:space="preserve"> </w:t>
      </w:r>
      <w:r>
        <w:t>for n‐type Ag</w:t>
      </w:r>
      <w:r>
        <w:rPr>
          <w:vertAlign w:val="subscript"/>
        </w:rPr>
        <w:t>2</w:t>
      </w:r>
      <w:r>
        <w:t>Se</w:t>
      </w:r>
      <w:r>
        <w:t xml:space="preserve"> </w:t>
      </w:r>
      <w:r>
        <w:t>0.8</w:t>
      </w:r>
      <w:r>
        <w:t xml:space="preserve"> </w:t>
      </w:r>
      <w:r>
        <w:t>S</w:t>
      </w:r>
      <w:r>
        <w:t xml:space="preserve"> </w:t>
      </w:r>
      <w:r>
        <w:t>0.2</w:t>
      </w:r>
      <w:r>
        <w:t xml:space="preserve"> </w:t>
      </w:r>
      <w:r>
        <w:t>and p‐type CuAgTe</w:t>
      </w:r>
      <w:r>
        <w:t xml:space="preserve"> </w:t>
      </w:r>
      <w:r>
        <w:t>0.9</w:t>
      </w:r>
      <w:r>
        <w:t xml:space="preserve"> </w:t>
      </w:r>
      <w:r>
        <w:t>Se</w:t>
      </w:r>
      <w:r>
        <w:t xml:space="preserve"> </w:t>
      </w:r>
      <w:r>
        <w:t>0.04</w:t>
      </w:r>
      <w:r>
        <w:t xml:space="preserve"> </w:t>
      </w:r>
      <w:r>
        <w:t>S</w:t>
      </w:r>
      <w:r>
        <w:t xml:space="preserve"> </w:t>
      </w:r>
      <w:r>
        <w:t>0.06</w:t>
      </w:r>
      <w:r>
        <w:t xml:space="preserve"> </w:t>
      </w:r>
      <w:r>
        <w:t>, respectively. Notably, the in‐plane f‐TEGs assembled from highly flexible CuAg(Te,Se,S) and Ag</w:t>
      </w:r>
      <w:r>
        <w:rPr>
          <w:vertAlign w:val="subscript"/>
        </w:rPr>
        <w:t>2</w:t>
      </w:r>
      <w:r>
        <w:t>(Se,S) ribbons possess impressive normalized power densities that compare favorably to those of f‐TEGs constructed from organic thermoelectrics or inorganic–organic composites. This work provides a useful plastic‐deformation‐free paradigm for fabricating freestanding metal chalcogenide ribbons with high flexibility and thermoelectric properties toward the applications in wearable electronics.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36">
        <w:r>
          <w:rPr>
            <w:color w:val="1155CC"/>
            <w:u w:val="single"/>
          </w:rPr>
          <w:t>核废料处置延迟的财务风险：德国废物基金KENFO的随机分析</w:t>
        </w:r>
      </w:hyperlink>
    </w:p>
    <w:p>
      <w:pPr>
        <w:spacing w:before="0" w:after="80"/>
      </w:pPr>
      <w:r>
        <w:rPr>
          <w:i/>
          <w:sz w:val="20"/>
        </w:rPr>
        <w:t>EN: The financial risks of delays in nuclear waste disposal: A stochastic analysis of Germany’s waste fund KENFO</w:t>
      </w:r>
    </w:p>
    <w:p>
      <w:pPr>
        <w:spacing w:before="0" w:after="120"/>
      </w:pPr>
      <w:r>
        <w:rPr>
          <w:b/>
        </w:rPr>
        <w:t xml:space="preserve">Source: </w:t>
      </w:r>
      <w:r>
        <w:t>ScienceDirect Publication: Energy Policy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37">
        <w:r>
          <w:rPr>
            <w:color w:val="1155CC"/>
            <w:u w:val="single"/>
          </w:rPr>
          <w:t>煤气化合成天然气的技术演变与可持续部署：综述、建议和展望</w:t>
        </w:r>
      </w:hyperlink>
    </w:p>
    <w:p>
      <w:pPr>
        <w:spacing w:before="0" w:after="80"/>
      </w:pPr>
      <w:r>
        <w:rPr>
          <w:i/>
          <w:sz w:val="20"/>
        </w:rPr>
        <w:t>EN: Technological evolution and sustainable deployment of synthetic natural gas from coal gasification: a review, recommendations, and prospects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8">
        <w:r>
          <w:rPr>
            <w:color w:val="1155CC"/>
            <w:u w:val="single"/>
          </w:rPr>
          <w:t>用于光电化学水分解的高性能BiVO4基光阳极的工程化</w:t>
        </w:r>
      </w:hyperlink>
    </w:p>
    <w:p>
      <w:pPr>
        <w:spacing w:before="0" w:after="80"/>
      </w:pPr>
      <w:r>
        <w:rPr>
          <w:i/>
          <w:sz w:val="20"/>
        </w:rPr>
        <w:t>EN: Engineering high-performance BiVO4-based Photoanodes for Photoelectrochemical water splitting</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9">
        <w:r>
          <w:rPr>
            <w:color w:val="1155CC"/>
            <w:u w:val="single"/>
          </w:rPr>
          <w:t>网络化集成氢基微电网的多周期规划：一种机会约束信息鸿沟决策方法</w:t>
        </w:r>
      </w:hyperlink>
    </w:p>
    <w:p>
      <w:pPr>
        <w:spacing w:before="0" w:after="80"/>
      </w:pPr>
      <w:r>
        <w:rPr>
          <w:i/>
          <w:sz w:val="20"/>
        </w:rPr>
        <w:t>EN: Multi-period planning of networked integrated hydrogen-based microgrids: A chance-constrained information-gap decision approach</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08">
        <w:r>
          <w:rPr>
            <w:color w:val="1155CC"/>
            <w:u w:val="single"/>
          </w:rPr>
          <w:t>电催化系统：揭示流动电化学在电化学能源应用及其他领域的潜力</w:t>
        </w:r>
      </w:hyperlink>
    </w:p>
    <w:p>
      <w:pPr>
        <w:spacing w:before="0" w:after="80"/>
      </w:pPr>
      <w:r>
        <w:rPr>
          <w:i/>
          <w:sz w:val="20"/>
        </w:rPr>
        <w:t>EN: Electrocatalytic systems: Unveiling the potential of flow electrochemistry for electrochemical energy applications and beyond</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40">
        <w:r>
          <w:rPr>
            <w:color w:val="1155CC"/>
            <w:u w:val="single"/>
          </w:rPr>
          <w:t>实现热化学绿色氢生产的最大效率</w:t>
        </w:r>
      </w:hyperlink>
    </w:p>
    <w:p>
      <w:pPr>
        <w:spacing w:before="0" w:after="80"/>
      </w:pPr>
      <w:r>
        <w:rPr>
          <w:i/>
          <w:sz w:val="20"/>
        </w:rPr>
        <w:t>EN: Achieving maximum efficiency in thermochemical green hydrogen production</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1">
        <w:r>
          <w:rPr>
            <w:color w:val="1155CC"/>
            <w:u w:val="single"/>
          </w:rPr>
          <w:t>基于滑动窗口集成混合Sobol-Shapley方法的动态循环下燃料电池性能时空敏感性分析</w:t>
        </w:r>
      </w:hyperlink>
    </w:p>
    <w:p>
      <w:pPr>
        <w:spacing w:before="0" w:after="80"/>
      </w:pPr>
      <w:r>
        <w:rPr>
          <w:i/>
          <w:sz w:val="20"/>
        </w:rPr>
        <w:t>EN: Spatiotemporal sensitivity analysis of fuel cell performance under dynamic cycling using a sliding-window-integrated hybrid Sobol-Shapley method</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42">
        <w:r>
          <w:rPr>
            <w:color w:val="1155CC"/>
            <w:u w:val="single"/>
          </w:rPr>
          <w:t>基于时域阶跃响应分析的电堆级质子交换膜水电解槽在线电阻诊断</w:t>
        </w:r>
      </w:hyperlink>
    </w:p>
    <w:p>
      <w:pPr>
        <w:spacing w:before="0" w:after="80"/>
      </w:pPr>
      <w:r>
        <w:rPr>
          <w:i/>
          <w:sz w:val="20"/>
        </w:rPr>
        <w:t>EN: Online resistance diagnostics based on a time-domain step-response analysis for stack-level proton exchange membrane water electrolyzers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43">
        <w:r>
          <w:rPr>
            <w:color w:val="1155CC"/>
            <w:u w:val="single"/>
          </w:rPr>
          <w:t>[ASAP] 机器学习引导的金属有机框架孔隙工程用于超高体积甲烷储存</w:t>
        </w:r>
      </w:hyperlink>
    </w:p>
    <w:p>
      <w:pPr>
        <w:spacing w:before="0" w:after="80"/>
      </w:pPr>
      <w:r>
        <w:rPr>
          <w:i/>
          <w:sz w:val="20"/>
        </w:rPr>
        <w:t>EN: [ASAP] Machine Learning-Guided Pore Engineering of Metal–Organic Frameworks for Ultrahigh Volumetric Methane Storage</w:t>
      </w:r>
    </w:p>
    <w:p>
      <w:pPr>
        <w:spacing w:before="0" w:after="120"/>
      </w:pPr>
      <w:r>
        <w:rPr>
          <w:b/>
        </w:rPr>
        <w:t xml:space="preserve">Source: </w:t>
      </w:r>
      <w:r>
        <w:t>Journal of the American Chemical Society: Latest Articles (ACS Publications)</w:t>
      </w:r>
      <w:r>
        <w:t xml:space="preserve">    </w:t>
      </w:r>
      <w:r>
        <w:rPr>
          <w:b/>
        </w:rPr>
        <w:t xml:space="preserve">Pub date: </w:t>
      </w:r>
      <w:r>
        <w:t>2026-05-16 13:58:47+00:00</w:t>
      </w:r>
      <w:r>
        <w:t xml:space="preserve">    </w:t>
      </w:r>
      <w:r>
        <w:rPr>
          <w:b/>
        </w:rPr>
        <w:t xml:space="preserve">DOI: </w:t>
      </w:r>
      <w:hyperlink r:id="rId144">
        <w:r>
          <w:rPr>
            <w:color w:val="1155CC"/>
            <w:u w:val="single"/>
          </w:rPr>
          <w:t>10.1021/jacs.6c02540</w:t>
        </w:r>
      </w:hyperlink>
    </w:p>
    <w:p>
      <w:pPr>
        <w:spacing w:before="0" w:after="120"/>
      </w:pPr>
      <w:r>
        <w:rPr>
          <w:b/>
        </w:rPr>
        <w:t xml:space="preserve">Notes: </w:t>
      </w:r>
      <w:r>
        <w:t>abstract_source=pubmed</w:t>
      </w:r>
    </w:p>
    <w:p>
      <w:pPr>
        <w:spacing w:before="0" w:after="80" w:lineRule="auto" w:line="276"/>
      </w:pPr>
      <w:r>
        <w:rPr>
          <w:b/>
        </w:rPr>
        <w:t xml:space="preserve">摘要（ZH）: </w:t>
      </w:r>
      <w:r>
        <w:t>在温和条件下实现甲烷的高体积储存仍然是吸附天然气技术实际应用的核心挑战。在此，我们报告了一种机器学习 (ML) 指导策略，该策略将大规模计算筛选与实验孔隙工程相结合，以识别和优化具有高体积甲烷工作容量的金属有机框架 (MOFs)。我们使用通过对 CoRE MOF 2024 数据库中的结构进行巨正则蒙特卡罗模拟获得的吸附数据训练了一个 Extra Trees Regressor 模型，实现了出色的预测精度 (R2 = 0.96)。ML 筛选突出显示了 UMCM-4、MUF-8 和 MOF-5 作为性能最佳且可实验获得的候选材料，其在 298 K 和 5-100 bar 下测得的体积甲烷工作容量 (225、225 和 231 cm3(stp) cm-3) 与 ML 预测结果密切匹配。特征重要性分析表明，孔隙率、孔体积和骨架密度通过非单调相互作用共同决定体积甲烷储存，定义了孔隙率的最佳范围为 0.78-0.86，孔体积为 1.20-2.00 cm3 g-1，骨架密度为 0.40-0.70 g cm-3。在这些见解的指导下，采用连接体功能化来精细调整结构参数，使得 MUF-8-CH3 和 MUF-8-C4H4 的超高体积甲烷工作容量达到 237 cm3(stp) cm-3，超越了所有先前报道的 MOFs。这种 ML 指导的孔隙工程范式为高性能甲烷吸附剂的合理设计提供了一条通用途径。</w:t>
      </w:r>
    </w:p>
    <w:p>
      <w:pPr>
        <w:spacing w:before="0" w:after="200" w:lineRule="auto" w:line="276"/>
      </w:pPr>
      <w:r>
        <w:rPr>
          <w:b/>
        </w:rPr>
        <w:t xml:space="preserve">Abstract (EN): </w:t>
      </w:r>
      <w:r>
        <w:t>The high volumetric storage of methane under mild conditions remains a central challenge for the practical implementation of adsorbed natural gas technologies. Here, we report a machine learning (ML)-guided strategy that integrates large-scale computational screening with experimental pore engineering to identify and optimize metal-organic frameworks (MOFs) for high volumetric methane working capacity. An Extra Trees Regressor model was trained using adsorption data obtained through grand canonical Monte Carlo simulations on the structures from the CoRE MOF 2024 database, achieving excellent predictive accuracy (R2 = 0.96). ML screening highlighted UMCM-4, MUF-8, and MOF-5 as top-performing and experimentally accessible candidates, whose measured volumetric methane working capacities at 298 K and 5-100 bar (225, 225, and 231 cm3(stp) cm-3) closely match ML predictions. Feature-importance analysis reveals that porosity, pore volume, and framework density govern volumetric methane storage through a nonmonotonic interplay, defining an optimal range of 0.78-0.86 for porosity, 1.20-2.00 cm3 g-1 for pore volume, and 0.40-0.70 g cm-3 for framework density. Guided by these insights, linker functionalization was employed to finely tune structural parameters, leading to ultrahigh volumetric methane working capacities of 237 cm3(stp) cm-3 for MUF-8-CH3 and MUF-8-C4H4, surpassing all previously reported MOFs. This ML-guided pore engineering paradigm provides a generalizable route for the rational design of high-performance methane adsorbents.</w:t>
      </w:r>
    </w:p>
    <w:p>
      <w:pPr>
        <w:spacing w:before="120" w:after="120"/>
      </w:pPr>
      <w:r>
        <w:rPr>
          <w:sz w:val="18"/>
        </w:rPr>
        <w:t>——————————————————————————————————————————————————————————————————————</w:t>
      </w:r>
    </w:p>
    <w:p>
      <w:pPr>
        <w:spacing w:before="160" w:after="40" w:line="240" w:lineRule="auto"/>
      </w:pPr>
      <w:r>
        <w:rPr>
          <w:b/>
        </w:rPr>
        <w:t xml:space="preserve">[9] </w:t>
      </w:r>
      <w:hyperlink r:id="rId145">
        <w:r>
          <w:rPr>
            <w:color w:val="1155CC"/>
            <w:u w:val="single"/>
          </w:rPr>
          <w:t>在共电解中运行用于Power-to-X应用的工业尺寸固体氧化物电解池的长期降解和微观结构演变</w:t>
        </w:r>
      </w:hyperlink>
    </w:p>
    <w:p>
      <w:pPr>
        <w:spacing w:before="0" w:after="80"/>
      </w:pPr>
      <w:r>
        <w:rPr>
          <w:i/>
          <w:sz w:val="20"/>
        </w:rPr>
        <w:t>EN: Long-term degradation and microstructural evolution of industrial-sized solid oxide electrolysis cells operated in co-electrolysis for power-to-X applications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27">
        <w:r>
          <w:rPr>
            <w:color w:val="1155CC"/>
            <w:u w:val="single"/>
          </w:rPr>
          <w:t>增压氨燃料SOFC系统用于电氢联产的技术热力学研究</w:t>
        </w:r>
      </w:hyperlink>
    </w:p>
    <w:p>
      <w:pPr>
        <w:spacing w:before="0" w:after="80"/>
      </w:pPr>
      <w:r>
        <w:rPr>
          <w:i/>
          <w:sz w:val="20"/>
        </w:rPr>
        <w:t>EN: Techno-thermodynamic investigation of pressurized ammonia-fueled SOFC systems for co-production of electricity and hydrogen</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46">
        <w:r>
          <w:rPr>
            <w:color w:val="1155CC"/>
            <w:u w:val="single"/>
          </w:rPr>
          <w:t>P2H系统中可再生能源驱动绿色氢气的混合多电解槽系统优化设计与规模确定</w:t>
        </w:r>
      </w:hyperlink>
    </w:p>
    <w:p>
      <w:pPr>
        <w:spacing w:before="0" w:after="80"/>
      </w:pPr>
      <w:r>
        <w:rPr>
          <w:i/>
          <w:sz w:val="20"/>
        </w:rPr>
        <w:t>EN: Optimal design and sizing of hybrid multi-electrolyzer systems for renewable energy driven green hydrogen in P2H systems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47">
        <w:r>
          <w:rPr>
            <w:color w:val="1155CC"/>
            <w:u w:val="single"/>
          </w:rPr>
          <w:t>近100%选择性光催化甲烷制甲醇转化由协同氯自由基和氧空位实现</w:t>
        </w:r>
      </w:hyperlink>
    </w:p>
    <w:p>
      <w:pPr>
        <w:spacing w:before="0" w:after="80"/>
      </w:pPr>
      <w:r>
        <w:rPr>
          <w:i/>
          <w:sz w:val="20"/>
        </w:rPr>
        <w:t>EN: Near‐100% Selective Photocatalytic Methane‐to‐Methanol Conversion Enabled by Synergistic Chlorine Radicals and Oxygen Vacancies</w:t>
      </w:r>
    </w:p>
    <w:p>
      <w:pPr>
        <w:spacing w:before="0" w:after="120"/>
      </w:pPr>
      <w:r>
        <w:rPr>
          <w:b/>
        </w:rPr>
        <w:t xml:space="preserve">Source: </w:t>
      </w:r>
      <w:r>
        <w:t>Wiley: Angewandte Chemie International Edition: Table of Contents</w:t>
      </w:r>
      <w:r>
        <w:t xml:space="preserve">    </w:t>
      </w:r>
      <w:r>
        <w:rPr>
          <w:b/>
        </w:rPr>
        <w:t xml:space="preserve">Pub date: </w:t>
      </w:r>
      <w:r>
        <w:t>2026-05-18 03:12:43+00:00</w:t>
      </w:r>
      <w:r>
        <w:t xml:space="preserve">    </w:t>
      </w:r>
      <w:r>
        <w:rPr>
          <w:b/>
        </w:rPr>
        <w:t xml:space="preserve">DOI: </w:t>
      </w:r>
      <w:hyperlink r:id="rId148">
        <w:r>
          <w:rPr>
            <w:color w:val="1155CC"/>
            <w:u w:val="single"/>
          </w:rPr>
          <w:t>10.1002/anie.3983956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甲烷选择性光催化转化为单一产物是一项重大挑战，主要由于不可控的过度氧化和低效还原。在此，我们开创了一种自由基/活性位点协同策略，将反应路径专门导向甲醇。这通过一种双功能Cl─TiO</w:t>
      </w:r>
      <w:r>
        <w:rPr>
          <w:vertAlign w:val="subscript"/>
        </w:rPr>
        <w:t>2</w:t>
      </w:r>
      <w:r>
        <w:t>‐OV催化剂实现，该催化剂整合了氯修饰和氧空位（OV）工程。关键是，表面氯重定向了氧化途径：光生空穴优先驱动Cl</w:t>
      </w:r>
      <w:r>
        <w:t xml:space="preserve"> </w:t>
      </w:r>
      <w:r>
        <w:t>−</w:t>
      </w:r>
      <w:r>
        <w:t>/Cl•循环，而不是从H</w:t>
      </w:r>
      <w:r>
        <w:rPr>
          <w:vertAlign w:val="subscript"/>
        </w:rPr>
        <w:t>2</w:t>
      </w:r>
      <w:r>
        <w:t>O生成非选择性•OH自由基。生成的Cl•自由基活化CH</w:t>
      </w:r>
      <w:r>
        <w:rPr>
          <w:vertAlign w:val="subscript"/>
        </w:rPr>
        <w:t>4</w:t>
      </w:r>
      <w:r>
        <w:t>的C─H键形成•CH</w:t>
      </w:r>
      <w:r>
        <w:rPr>
          <w:vertAlign w:val="subscript"/>
        </w:rPr>
        <w:t>3</w:t>
      </w:r>
      <w:r>
        <w:t>，•CH</w:t>
      </w:r>
      <w:r>
        <w:rPr>
          <w:vertAlign w:val="subscript"/>
        </w:rPr>
        <w:t>3</w:t>
      </w:r>
      <w:r>
        <w:t>与O</w:t>
      </w:r>
      <w:r>
        <w:rPr>
          <w:vertAlign w:val="subscript"/>
        </w:rPr>
        <w:t>2</w:t>
      </w:r>
      <w:r>
        <w:t>结合生成CH</w:t>
      </w:r>
      <w:r>
        <w:rPr>
          <w:vertAlign w:val="subscript"/>
        </w:rPr>
        <w:t>3</w:t>
      </w:r>
      <w:r>
        <w:t>OOH中间体。同时，工程化的OV位点作为富电子中心，有效地将CH</w:t>
      </w:r>
      <w:r>
        <w:rPr>
          <w:vertAlign w:val="subscript"/>
        </w:rPr>
        <w:t>3</w:t>
      </w:r>
      <w:r>
        <w:t>OOH还原为CH</w:t>
      </w:r>
      <w:r>
        <w:rPr>
          <w:vertAlign w:val="subscript"/>
        </w:rPr>
        <w:t>3</w:t>
      </w:r>
      <w:r>
        <w:t>OH。这种选择性氧化（通过Cl•）和高效还原（通过OV）的解耦抑制了所有副反应，以近100%的选择性和1242 µmol g</w:t>
      </w:r>
      <w:r>
        <w:t xml:space="preserve"> </w:t>
      </w:r>
      <w:r>
        <w:t>−1</w:t>
      </w:r>
      <w:r>
        <w:t xml:space="preserve"> </w:t>
      </w:r>
      <w:r>
        <w:t>的产率生成甲醇。相比之下，TiO</w:t>
      </w:r>
      <w:r>
        <w:rPr>
          <w:vertAlign w:val="subscript"/>
        </w:rPr>
        <w:t>2</w:t>
      </w:r>
      <w:r>
        <w:t>‐OV则受到•OH介导的连续氧化</w:t>
      </w:r>
    </w:p>
    <w:p>
      <w:pPr>
        <w:spacing w:before="0" w:after="200" w:lineRule="auto" w:line="276"/>
      </w:pPr>
      <w:r>
        <w:rPr>
          <w:b/>
        </w:rPr>
        <w:t xml:space="preserve">Abstract (EN): </w:t>
      </w:r>
      <w:r>
        <w:t>The selective photocatalytic conversion of methane to a single product is a grand challenge, primarily due to uncontrollable over‐oxidation and inefficient reduction. Herein, we pioneer a radical/active‐site synergistic strategy to steer the reaction pathway exclusively toward methanol. This is realized by a dual‐functional Cl─TiO</w:t>
      </w:r>
      <w:r>
        <w:rPr>
          <w:vertAlign w:val="subscript"/>
        </w:rPr>
        <w:t>2</w:t>
      </w:r>
      <w:r>
        <w:t>‐OV catalyst that integrates chlorine modification and oxygen vacancy (OV) engineering. Crucially, surface chlorine redirects the oxidation route: instead of generating non‐selective •OH radicals from H</w:t>
      </w:r>
      <w:r>
        <w:rPr>
          <w:vertAlign w:val="subscript"/>
        </w:rPr>
        <w:t>2</w:t>
      </w:r>
      <w:r>
        <w:t>O, photogenerated holes preferentially drive a Cl</w:t>
      </w:r>
      <w:r>
        <w:t xml:space="preserve"> </w:t>
      </w:r>
      <w:r>
        <w:t>−</w:t>
      </w:r>
      <w:r>
        <w:t>/Cl• cycle. The resulting Cl• radicals activate the C─H bond of CH</w:t>
      </w:r>
      <w:r>
        <w:rPr>
          <w:vertAlign w:val="subscript"/>
        </w:rPr>
        <w:t>4</w:t>
      </w:r>
      <w:r>
        <w:t>to form •CH</w:t>
      </w:r>
      <w:r>
        <w:rPr>
          <w:vertAlign w:val="subscript"/>
        </w:rPr>
        <w:t>3</w:t>
      </w:r>
      <w:r>
        <w:t>, which combines with O</w:t>
      </w:r>
      <w:r>
        <w:rPr>
          <w:vertAlign w:val="subscript"/>
        </w:rPr>
        <w:t>2</w:t>
      </w:r>
      <w:r>
        <w:t>to yield the CH</w:t>
      </w:r>
      <w:r>
        <w:rPr>
          <w:vertAlign w:val="subscript"/>
        </w:rPr>
        <w:t>3</w:t>
      </w:r>
      <w:r>
        <w:t>OOH intermediate. Simultaneously, the engineered OV sites act as electron‐rich centers that efficiently reduce CH</w:t>
      </w:r>
      <w:r>
        <w:rPr>
          <w:vertAlign w:val="subscript"/>
        </w:rPr>
        <w:t>3</w:t>
      </w:r>
      <w:r>
        <w:t>OOH to CH</w:t>
      </w:r>
      <w:r>
        <w:rPr>
          <w:vertAlign w:val="subscript"/>
        </w:rPr>
        <w:t>3</w:t>
      </w:r>
      <w:r>
        <w:t>OH. This decoupling of selective oxidation (via Cl•) and efficient reduction (via OVs) suppresses all side‐reactions, delivering methanol with nearly 100% selectivity and a yield of 1242 µmol g</w:t>
      </w:r>
      <w:r>
        <w:t xml:space="preserve"> </w:t>
      </w:r>
      <w:r>
        <w:t>−1</w:t>
      </w:r>
      <w:r>
        <w:t xml:space="preserve"> </w:t>
      </w:r>
      <w:r>
        <w:t>. In contrast, TiO</w:t>
      </w:r>
      <w:r>
        <w:rPr>
          <w:vertAlign w:val="subscript"/>
        </w:rPr>
        <w:t>2</w:t>
      </w:r>
      <w:r>
        <w:t>‐OV suffers from •OH‐mediated sequential oxidation to HCHO/CO</w:t>
      </w:r>
      <w:r>
        <w:rPr>
          <w:vertAlign w:val="subscript"/>
        </w:rPr>
        <w:t>2</w:t>
      </w:r>
      <w:r>
        <w:t>, and Cl─TiO</w:t>
      </w:r>
      <w:r>
        <w:rPr>
          <w:vertAlign w:val="subscript"/>
        </w:rPr>
        <w:t>2</w:t>
      </w:r>
      <w:r>
        <w:t>lacks sufficient reduction power, resulting in a CH</w:t>
      </w:r>
      <w:r>
        <w:rPr>
          <w:vertAlign w:val="subscript"/>
        </w:rPr>
        <w:t>3</w:t>
      </w:r>
      <w:r>
        <w:t>OOH/CH</w:t>
      </w:r>
      <w:r>
        <w:rPr>
          <w:vertAlign w:val="subscript"/>
        </w:rPr>
        <w:t>3</w:t>
      </w:r>
      <w:r>
        <w:t>OH mixture. This work not only offers an effective approach for highly selective photocatalytic methane conversion but also deepens mechanistic insight into radical/active‐site cooperativity in synergistic catalysis.</w:t>
      </w:r>
    </w:p>
    <w:p>
      <w:pPr>
        <w:spacing w:before="120" w:after="120"/>
      </w:pPr>
      <w:r>
        <w:rPr>
          <w:sz w:val="18"/>
        </w:rPr>
        <w:t>——————————————————————————————————————————————————————————————————————</w:t>
      </w:r>
    </w:p>
    <w:p>
      <w:pPr>
        <w:spacing w:before="160" w:after="40" w:line="240" w:lineRule="auto"/>
      </w:pPr>
      <w:r>
        <w:rPr>
          <w:b/>
        </w:rPr>
        <w:t xml:space="preserve">[13] </w:t>
      </w:r>
      <w:hyperlink r:id="rId149">
        <w:r>
          <w:rPr>
            <w:color w:val="1155CC"/>
            <w:u w:val="single"/>
          </w:rPr>
          <w:t>大陆H2储层的数十年记录揭示了地下微生物生命和天然H2勘探的潜力</w:t>
        </w:r>
      </w:hyperlink>
    </w:p>
    <w:p>
      <w:pPr>
        <w:spacing w:before="0" w:after="80"/>
      </w:pPr>
      <w:r>
        <w:rPr>
          <w:i/>
          <w:sz w:val="20"/>
        </w:rPr>
        <w:t>EN: Decadal record of continental H2 reservoirs reveals potential for subsurface microbial life and natural H2 exploration</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150">
        <w:r>
          <w:rPr>
            <w:color w:val="1155CC"/>
            <w:u w:val="single"/>
          </w:rPr>
          <w:t>10.1073/pnas.2603895123</w:t>
        </w:r>
      </w:hyperlink>
    </w:p>
    <w:p>
      <w:pPr>
        <w:spacing w:before="0" w:after="120"/>
      </w:pPr>
      <w:r>
        <w:rPr>
          <w:b/>
        </w:rPr>
        <w:t xml:space="preserve">Notes: </w:t>
      </w:r>
      <w:r>
        <w:t>abstract_source=crossref</w:t>
      </w:r>
    </w:p>
    <w:p>
      <w:pPr>
        <w:spacing w:before="0" w:after="80" w:lineRule="auto" w:line="276"/>
      </w:pPr>
      <w:r>
        <w:rPr>
          <w:b/>
        </w:rPr>
        <w:t xml:space="preserve">摘要（ZH）: </w:t>
      </w:r>
      <w:r>
        <w:t>对氢在脱碳和绿色能源转型中经济潜力的兴趣是近期才出现的现象。关于潜在储层的浓度、体积和可持续性仍存在主要问题，因为迄今为止的预测主要基于理论模型而非经验数据。本研究整合了先前未发表的蛇纹石化和辐射分解产生天然氢的长期数据，以及在深层地下生物圈调查期间进行的研究。结果为地壳中天然氢的可用量和潜在排放速率提供了限制。加拿大某地点每年超过140吨的氢气排放量表明，单个矿区每年可提供约470万千瓦时（kwH）的氢能。这些数据表明，根据迄今为止1至10年以上的监测，大量的氢气排放可能具有长期可持续性。该研究地点的计算表明，当地产生的能量对位于产氢岩石上的工业和社区都具有经济价值。鉴于超过70%的大陆地壳具有产氢潜力，这种能源的本地/区域利用是一个尚未开发的机遇，此外还能扩展我们对地球及其他地方宜居性的理解。我们提出了氢经济的一种替代愿景，可以解决迄今为止主要基于长距离氢运输所产生的一些当前挑战</w:t>
      </w:r>
    </w:p>
    <w:p>
      <w:pPr>
        <w:spacing w:before="0" w:after="200" w:lineRule="auto" w:line="276"/>
      </w:pPr>
      <w:r>
        <w:rPr>
          <w:b/>
        </w:rPr>
        <w:t xml:space="preserve">Abstract (EN): </w:t>
      </w:r>
      <w:r>
        <w:t>Interest in the economic potential for hydrogen for decarbonization and the green energy transition is a recent phenomenon. Major questions remain concerning the concentrations, volumes, and sustainability of potential reservoirs, as projections to date are largely theoretical models rather than empirical data. This study integrates previously unpublished long-term data for natural hydrogen production from serpentinization and radiolysis, with research carried out during investigations of the deep subsurface biosphere. The results provide constraints on the volume of natural hydrogen available in the crust and the rates of potential discharge. Discharge rates of &amp;gt;140 tonnes of hydrogen per year from a site in Canada suggest ~4.7 million kwH of energy from hydrogen per year could be available from a single mine location. These data indicate that large discharges of hydrogen may be sustainable in the long-term based on monitoring to date from 1 to &amp;gt;10 y. Calculations from this study site show that the amount of locally generated energy has economic value for both industries and communities located on hydrogen-producing rock. Given that &amp;gt;70% of the continental crust has the potential for hydrogen generation, such local/regional use of this energy source is an unexplored opportunity, in addition expanding our understanding of the habitability of Earth and beyond. We present an alternative vision for the hydrogen economy that can address some of the current challenges arising from the focus to date, that has been largely based on transportation of hydrogen over long distances from source location to markets.</w:t>
      </w:r>
    </w:p>
    <w:p>
      <w:pPr>
        <w:spacing w:before="120" w:after="120"/>
      </w:pPr>
      <w:r>
        <w:rPr>
          <w:sz w:val="18"/>
        </w:rPr>
        <w:t>——————————————————————————————————————————————————————————————————————</w:t>
      </w:r>
    </w:p>
    <w:p>
      <w:pPr>
        <w:spacing w:before="160" w:after="40" w:line="240" w:lineRule="auto"/>
      </w:pPr>
      <w:r>
        <w:rPr>
          <w:b/>
        </w:rPr>
        <w:t xml:space="preserve">[14] </w:t>
      </w:r>
      <w:hyperlink r:id="rId151">
        <w:r>
          <w:rPr>
            <w:color w:val="1155CC"/>
            <w:u w:val="single"/>
          </w:rPr>
          <w:t>负载型IrOx上通过不连续非晶态中间层实现非晶格氧触发的去质子化用于酸性析氧</w:t>
        </w:r>
      </w:hyperlink>
    </w:p>
    <w:p>
      <w:pPr>
        <w:spacing w:before="0" w:after="80"/>
      </w:pPr>
      <w:r>
        <w:rPr>
          <w:i/>
          <w:sz w:val="20"/>
        </w:rPr>
        <w:t>EN: Non‐Lattice Oxygen Triggered Deprotonation via Discontinuous Amorphous Interlayer on Supported IrOx for Acidic Oxygen Evolution</w:t>
      </w:r>
    </w:p>
    <w:p>
      <w:pPr>
        <w:spacing w:before="0" w:after="120"/>
      </w:pPr>
      <w:r>
        <w:rPr>
          <w:b/>
        </w:rPr>
        <w:t xml:space="preserve">Source: </w:t>
      </w:r>
      <w:r>
        <w:t>Wiley: Advanced Energy Materials: Table of Contents</w:t>
      </w:r>
      <w:r>
        <w:t xml:space="preserve">    </w:t>
      </w:r>
      <w:r>
        <w:rPr>
          <w:b/>
        </w:rPr>
        <w:t xml:space="preserve">Pub date: </w:t>
      </w:r>
      <w:r>
        <w:t>2026-05-18 07:10:39+00:00</w:t>
      </w:r>
      <w:r>
        <w:t xml:space="preserve">    </w:t>
      </w:r>
      <w:r>
        <w:rPr>
          <w:b/>
        </w:rPr>
        <w:t xml:space="preserve">DOI: </w:t>
      </w:r>
      <w:hyperlink r:id="rId152">
        <w:r>
          <w:rPr>
            <w:color w:val="1155CC"/>
            <w:u w:val="single"/>
          </w:rPr>
          <w:t>10.1002/aenm.71085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用于酸性析氧反应 (OER) 的铱基催化剂主要遵循吸附物演化机制 (AEM)，其固有活性受限于缓慢的质子转移动力学。基于此，提出了一种策略，即在负载型铱基催化剂上构建一个不连续的 WOx 夹层，该夹层包含孤立的 W 单原子和非晶态 WOx 簇。优化后的 Ir/W‐TiN 催化剂在 293 mV 的极低过电位下实现了 100 mA cm−2 的电流密度。利用非晶态 WOx 中的非晶格氧，该设计促进了反应路径从传统的 AEM 转向界面非晶格氧辅助去质子化机制 (IOADM)，同时提高了活性和稳定性。W 物种的引入促进了氧空位和氢键网络的形成，这降低了反应能垒并加速了去质子化动力学。在质子交换膜水电解槽中，采用 Ir/W‐TiN 阳极的膜电极组件在 1.8 V 下表现出超过 2.2 A cm−2 的高电流密度。此外，在 0.2 mgIr cm−2 的低 Ir 负载下，它表现出优异的耐久性，在 1.0 A cm−2 下稳定运行 2000 小时。</w:t>
      </w:r>
    </w:p>
    <w:p>
      <w:pPr>
        <w:spacing w:before="0" w:after="200" w:lineRule="auto" w:line="276"/>
      </w:pPr>
      <w:r>
        <w:rPr>
          <w:b/>
        </w:rPr>
        <w:t xml:space="preserve">Abstract (EN): </w:t>
      </w:r>
      <w:r>
        <w:t>Iridium‐based catalysts for the acidic oxygen evolution reaction (OER) predominantly follow the adsorbate evolution mechanism (AEM), with their intrinsic activity limited by sluggish proton‐transfer kinetics. Based on this, a strategy is proposed involving the construction of a discontinuous WO</w:t>
      </w:r>
      <w:r>
        <w:t xml:space="preserve"> </w:t>
      </w:r>
      <w:r>
        <w:t>x</w:t>
      </w:r>
      <w:r>
        <w:t xml:space="preserve"> </w:t>
      </w:r>
      <w:r>
        <w:t>interlayer incorporating isolated W single atoms and amorphous WO</w:t>
      </w:r>
      <w:r>
        <w:t xml:space="preserve"> </w:t>
      </w:r>
      <w:r>
        <w:t>x</w:t>
      </w:r>
      <w:r>
        <w:t xml:space="preserve"> </w:t>
      </w:r>
      <w:r>
        <w:t>clusters on supported Ir‐based catalysts. The optimized Ir/W‐TiN catalyst achieves current densities of 100 mA cm</w:t>
      </w:r>
      <w:r>
        <w:t xml:space="preserve"> </w:t>
      </w:r>
      <w:r>
        <w:t>−2</w:t>
      </w:r>
      <w:r>
        <w:t xml:space="preserve"> </w:t>
      </w:r>
      <w:r>
        <w:t>at remarkably low overpotentials of 293 mV. Leveraging the non‐lattice oxygen from the amorphous WO</w:t>
      </w:r>
      <w:r>
        <w:t xml:space="preserve"> </w:t>
      </w:r>
      <w:r>
        <w:t>x</w:t>
      </w:r>
      <w:r>
        <w:t xml:space="preserve"> </w:t>
      </w:r>
      <w:r>
        <w:t>, this design promotes a shift in the reaction pathway from the conventional AEM to an interface non‐lattice oxygen‐assisted deprotonation mechanism (IOADM), simultaneously enhancing both activity and stability. The incorporation of W species facilitates the formation of oxygen vacancies and a hydrogen‐bond network, which lowers the reaction energy barrier and accelerates deprotonation kinetics. In a proton exchange membrane water electrolyzer, the membrane electrode assembly with the Ir/W‐TiN anode exhibits a high current density exceeding 2.2 A cm</w:t>
      </w:r>
      <w:r>
        <w:t xml:space="preserve"> </w:t>
      </w:r>
      <w:r>
        <w:t>−2</w:t>
      </w:r>
      <w:r>
        <w:t xml:space="preserve"> </w:t>
      </w:r>
      <w:r>
        <w:t>at 1.8 V. Furthermore, with a low Ir loading of 0.2 mgIr cm</w:t>
      </w:r>
      <w:r>
        <w:t xml:space="preserve"> </w:t>
      </w:r>
      <w:r>
        <w:t>−2</w:t>
      </w:r>
      <w:r>
        <w:t xml:space="preserve"> </w:t>
      </w:r>
      <w:r>
        <w:t>, it demonstrates excellent durability, maintaining stable operation for 2000 h at 1.0 A cm</w:t>
      </w:r>
      <w:r>
        <w:t xml:space="preserve"> </w:t>
      </w:r>
      <w:r>
        <w:t>−2</w:t>
      </w:r>
      <w:r>
        <w:t xml:space="preserve"> </w:t>
      </w:r>
      <w:r>
        <w:t>. This work provides new mechanistic insights for designing highly efficient, stable, and low‐Ir‐loaded anode catalysts via interface engineering.</w:t>
      </w:r>
    </w:p>
    <w:p>
      <w:pPr>
        <w:spacing w:before="120" w:after="120"/>
      </w:pPr>
      <w:r>
        <w:rPr>
          <w:sz w:val="18"/>
        </w:rPr>
        <w:t>——————————————————————————————————————————————————————————————————————</w:t>
      </w:r>
    </w:p>
    <w:p>
      <w:pPr>
        <w:spacing w:before="160" w:after="40" w:line="240" w:lineRule="auto"/>
      </w:pPr>
      <w:r>
        <w:rPr>
          <w:b/>
        </w:rPr>
        <w:t xml:space="preserve">[15] </w:t>
      </w:r>
      <w:hyperlink r:id="rId153">
        <w:r>
          <w:rPr>
            <w:color w:val="1155CC"/>
            <w:u w:val="single"/>
          </w:rPr>
          <w:t>理论指导通过稀土模板化精细调谐Pt三元合金中的应变效应：实现高性能PEMFCs催化剂</w:t>
        </w:r>
      </w:hyperlink>
    </w:p>
    <w:p>
      <w:pPr>
        <w:spacing w:before="0" w:after="80"/>
      </w:pPr>
      <w:r>
        <w:rPr>
          <w:i/>
          <w:sz w:val="20"/>
        </w:rPr>
        <w:t>EN: Theory Guided Fine‐Tune of Strain Effects in Pt Ternary Alloy via Rare Earth Templating: Achieving High Performance PEMFCs Catalysts</w:t>
      </w:r>
    </w:p>
    <w:p>
      <w:pPr>
        <w:spacing w:before="0" w:after="120"/>
      </w:pPr>
      <w:r>
        <w:rPr>
          <w:b/>
        </w:rPr>
        <w:t xml:space="preserve">Source: </w:t>
      </w:r>
      <w:r>
        <w:t>Wiley: Advanced Materials: Table of Contents</w:t>
      </w:r>
      <w:r>
        <w:t xml:space="preserve">    </w:t>
      </w:r>
      <w:r>
        <w:rPr>
          <w:b/>
        </w:rPr>
        <w:t xml:space="preserve">Pub date: </w:t>
      </w:r>
      <w:r>
        <w:t>2026-05-18 07:30:28+00:00</w:t>
      </w:r>
      <w:r>
        <w:t xml:space="preserve">    </w:t>
      </w:r>
      <w:r>
        <w:rPr>
          <w:b/>
        </w:rPr>
        <w:t xml:space="preserve">DOI: </w:t>
      </w:r>
      <w:hyperlink r:id="rId154">
        <w:r>
          <w:rPr>
            <w:color w:val="1155CC"/>
            <w:u w:val="single"/>
          </w:rPr>
          <w:t>10.1002/adma.73269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铂基催化剂缓慢的动力学和不足的耐久性仍然是限制质子交换膜燃料电池(PEMFCs)部署的关键障碍。在此，我们报告了一种理论指导合成结合稀土模板法，以实现以前无法获得的具有定制原子尺度应变的Pt</w:t>
      </w:r>
      <w:r>
        <w:rPr>
          <w:vertAlign w:val="subscript"/>
        </w:rPr>
        <w:t>5</w:t>
      </w:r>
      <w:r>
        <w:t>Co类相。在密度泛函理论(DFT)计算的指导下，我们发现Pt</w:t>
      </w:r>
      <w:r>
        <w:rPr>
          <w:vertAlign w:val="subscript"/>
        </w:rPr>
        <w:t>5</w:t>
      </w:r>
      <w:r>
        <w:t>Co类亚层可以对Pt(111)壳层产生独特的温和压缩应变(−1.24%)，并产生最佳的*OH结合能偏移(Δ</w:t>
      </w:r>
      <w:r>
        <w:t xml:space="preserve"> </w:t>
      </w:r>
      <w:r>
        <w:t>E</w:t>
      </w:r>
      <w:r>
        <w:t xml:space="preserve"> </w:t>
      </w:r>
      <w:r>
        <w:t>≈ 0.11</w:t>
      </w:r>
      <w:r>
        <w:t xml:space="preserve"> </w:t>
      </w:r>
      <w:r>
        <w:t>eV</w:t>
      </w:r>
      <w:r>
        <w:t xml:space="preserve"> </w:t>
      </w:r>
      <w:r>
        <w:t>)。这一偏移将合金催化剂定位在氧还原反应活性火山图的顶点附近。这一预测指导了三元合金Pt</w:t>
      </w:r>
      <w:r>
        <w:rPr>
          <w:vertAlign w:val="subscript"/>
        </w:rPr>
        <w:t>5</w:t>
      </w:r>
      <w:r>
        <w:t>(Ce)Co@Pt多层纳米颗粒的合成，其特点是具有Ce稳定核、Pt</w:t>
      </w:r>
      <w:r>
        <w:rPr>
          <w:vertAlign w:val="subscript"/>
        </w:rPr>
        <w:t>5</w:t>
      </w:r>
      <w:r>
        <w:t>Co类亚层和富Pt壳层。该催化剂表现出极高的活性和耐久性，在旋转圆盘电极测试中实现了2.6 A∙mg</w:t>
      </w:r>
      <w:r>
        <w:t xml:space="preserve"> </w:t>
      </w:r>
      <w:r>
        <w:t>Pt</w:t>
      </w:r>
      <w:r>
        <w:t xml:space="preserve"> </w:t>
      </w:r>
      <w:r>
        <w:t>−1</w:t>
      </w:r>
      <w:r>
        <w:t xml:space="preserve"> </w:t>
      </w:r>
      <w:r>
        <w:t>的质量活性。在燃料电池膜电极组件测试中，Pt</w:t>
      </w:r>
      <w:r>
        <w:rPr>
          <w:vertAlign w:val="subscript"/>
        </w:rPr>
        <w:t>5</w:t>
      </w:r>
      <w:r>
        <w:t>(Ce)Co@Pt在重型车辆工况下，在0.7 V时电流密度达到1.9 A∙cm</w:t>
      </w:r>
      <w:r>
        <w:t xml:space="preserve"> </w:t>
      </w:r>
      <w:r>
        <w:t>−2</w:t>
      </w:r>
      <w:r>
        <w:t xml:space="preserve"> </w:t>
      </w:r>
      <w:r>
        <w:t>。值得注意的是，它保</w:t>
      </w:r>
    </w:p>
    <w:p>
      <w:pPr>
        <w:spacing w:before="0" w:after="200" w:lineRule="auto" w:line="276"/>
      </w:pPr>
      <w:r>
        <w:rPr>
          <w:b/>
        </w:rPr>
        <w:t xml:space="preserve">Abstract (EN): </w:t>
      </w:r>
      <w:r>
        <w:t>The sluggish kinetics and insufficient durability of platinum‐based catalysts remain crucial barriers limiting proton‐exchange‐membrane fuel cells (PEMFCs) deployment. Here, we report a theory‐guided synthesis combined with rare‐earth templating to realize a previously inaccessible Pt</w:t>
      </w:r>
      <w:r>
        <w:rPr>
          <w:vertAlign w:val="subscript"/>
        </w:rPr>
        <w:t>5</w:t>
      </w:r>
      <w:r>
        <w:t>Co‐like phase with tailored atomic‐scale strain. Guided by density functional theory (DFT) calculations, we identified that a Pt</w:t>
      </w:r>
      <w:r>
        <w:rPr>
          <w:vertAlign w:val="subscript"/>
        </w:rPr>
        <w:t>5</w:t>
      </w:r>
      <w:r>
        <w:t>Co‐like sublayer can induce a unique mild compressive strain (−1.24%) to the Pt(111) shell and an optimal *OH binding energy shift (Δ</w:t>
      </w:r>
      <w:r>
        <w:t xml:space="preserve"> </w:t>
      </w:r>
      <w:r>
        <w:t>E</w:t>
      </w:r>
      <w:r>
        <w:t xml:space="preserve"> </w:t>
      </w:r>
      <w:r>
        <w:t>≈ 0.11</w:t>
      </w:r>
      <w:r>
        <w:t xml:space="preserve"> </w:t>
      </w:r>
      <w:r>
        <w:t>eV</w:t>
      </w:r>
      <w:r>
        <w:t xml:space="preserve"> </w:t>
      </w:r>
      <w:r>
        <w:t>). This shift positions the alloy catalyst near the apex of the oxygen reduction reaction activity volcano. This prediction guided the synthesis of ternary alloy Pt</w:t>
      </w:r>
      <w:r>
        <w:rPr>
          <w:vertAlign w:val="subscript"/>
        </w:rPr>
        <w:t>5</w:t>
      </w:r>
      <w:r>
        <w:t>(Ce)Co@Pt multilayer nanoparticles, featuring a Ce‐stabilized core, a Pt</w:t>
      </w:r>
      <w:r>
        <w:rPr>
          <w:vertAlign w:val="subscript"/>
        </w:rPr>
        <w:t>5</w:t>
      </w:r>
      <w:r>
        <w:t>Co‐like sublayer, and a Pt‐rich shell. This catalyst demonstrates both exceptionally high activity and durability, achieving a mass activity of 2.6 A∙mg</w:t>
      </w:r>
      <w:r>
        <w:t xml:space="preserve"> </w:t>
      </w:r>
      <w:r>
        <w:t>Pt</w:t>
      </w:r>
      <w:r>
        <w:t xml:space="preserve"> </w:t>
      </w:r>
      <w:r>
        <w:t>−1</w:t>
      </w:r>
      <w:r>
        <w:t xml:space="preserve"> </w:t>
      </w:r>
      <w:r>
        <w:t>in rotating disk electrode testing. In fuel cell membrane electrode assembly tests, Pt</w:t>
      </w:r>
      <w:r>
        <w:rPr>
          <w:vertAlign w:val="subscript"/>
        </w:rPr>
        <w:t>5</w:t>
      </w:r>
      <w:r>
        <w:t>(Ce)Co@Pt achieves a current density of 1.9 A∙cm</w:t>
      </w:r>
      <w:r>
        <w:t xml:space="preserve"> </w:t>
      </w:r>
      <w:r>
        <w:t>−2</w:t>
      </w:r>
      <w:r>
        <w:t xml:space="preserve"> </w:t>
      </w:r>
      <w:r>
        <w:t>at 0.7 V under heavy‐duty vehicle conditions. Remarkably, it maintains 1.2 A∙cm</w:t>
      </w:r>
      <w:r>
        <w:t xml:space="preserve"> </w:t>
      </w:r>
      <w:r>
        <w:t>−2</w:t>
      </w:r>
      <w:r>
        <w:t xml:space="preserve"> </w:t>
      </w:r>
      <w:r>
        <w:t>after 1 80 000 AST cycles, doubling the U.S. DOE 2025 target. This work demonstrates a rational design strategy that DFT‐guided strain engineering integrates with rare‐earth templating to advance Pt‐based catalysts for fuel cell applications.</w:t>
      </w:r>
    </w:p>
    <w:p>
      <w:pPr>
        <w:spacing w:before="120" w:after="120"/>
      </w:pPr>
      <w:r>
        <w:rPr>
          <w:sz w:val="18"/>
        </w:rPr>
        <w:t>——————————————————————————————————————————————————————————————————————</w:t>
      </w:r>
    </w:p>
    <w:p>
      <w:pPr>
        <w:spacing w:before="160" w:after="40" w:line="240" w:lineRule="auto"/>
      </w:pPr>
      <w:r>
        <w:rPr>
          <w:b/>
        </w:rPr>
        <w:t xml:space="preserve">[16] </w:t>
      </w:r>
      <w:hyperlink r:id="rId155">
        <w:r>
          <w:rPr>
            <w:color w:val="1155CC"/>
            <w:u w:val="single"/>
          </w:rPr>
          <w:t>[ASAP] 固氮酶家族酶甲硫烷还原酶活化碳-硫键的合成铁模型</w:t>
        </w:r>
      </w:hyperlink>
    </w:p>
    <w:p>
      <w:pPr>
        <w:spacing w:before="0" w:after="80"/>
      </w:pPr>
      <w:r>
        <w:rPr>
          <w:i/>
          <w:sz w:val="20"/>
        </w:rPr>
        <w:t>EN: [ASAP] A Synthetic Iron Model of Carbon–Sulfur Bond Activation by the Nitrogenase-Family Enzyme Methylthio-Alkane Reductase</w:t>
      </w:r>
    </w:p>
    <w:p>
      <w:pPr>
        <w:spacing w:before="0" w:after="120"/>
      </w:pPr>
      <w:r>
        <w:rPr>
          <w:b/>
        </w:rPr>
        <w:t xml:space="preserve">Source: </w:t>
      </w:r>
      <w:r>
        <w:t>Journal of the American Chemical Society: Latest Articles (ACS Publications)</w:t>
      </w:r>
      <w:r>
        <w:t xml:space="preserve">    </w:t>
      </w:r>
      <w:r>
        <w:rPr>
          <w:b/>
        </w:rPr>
        <w:t xml:space="preserve">Pub date: </w:t>
      </w:r>
      <w:r>
        <w:t>2026-05-18 11:33:49+00:00</w:t>
      </w:r>
      <w:r>
        <w:t xml:space="preserve">    </w:t>
      </w:r>
      <w:r>
        <w:rPr>
          <w:b/>
        </w:rPr>
        <w:t xml:space="preserve">DOI: </w:t>
      </w:r>
      <w:hyperlink r:id="rId156">
        <w:r>
          <w:rPr>
            <w:color w:val="1155CC"/>
            <w:u w:val="single"/>
          </w:rPr>
          <w:t>10.1021/jacs.6c05863</w:t>
        </w:r>
      </w:hyperlink>
    </w:p>
    <w:p>
      <w:pPr>
        <w:spacing w:before="0" w:after="120"/>
      </w:pPr>
      <w:r>
        <w:rPr>
          <w:b/>
        </w:rPr>
        <w:t xml:space="preserve">Notes: </w:t>
      </w:r>
      <w:r>
        <w:t>abstract_source=pubmed</w:t>
      </w:r>
    </w:p>
    <w:p>
      <w:pPr>
        <w:spacing w:before="0" w:after="80" w:lineRule="auto" w:line="276"/>
      </w:pPr>
      <w:r>
        <w:rPr>
          <w:b/>
        </w:rPr>
        <w:t xml:space="preserve">摘要（ZH）: </w:t>
      </w:r>
      <w:r>
        <w:t>全铁（FeFe）固氮酶利用复杂的铁硫簇催化二氮还原为氨（N2R）。最近发现，将甲基硫代烷还原为甲硫醇和烃片段的甲基硫代烷还原酶（mar）具有结构相似的活性位点。在本报告中，我们探讨了三膦硼烷铁络合物（[Fe]）（一种N2R催化剂）与硫代烷的反应性，作为功能模型系统。中性二氮铁络合物（[Fe(N2)]）与二甲基硫醚（Me2S）反应，生成1:1的甲基铁（[FeMe]）和甲硫醇铁（[Fe(SMe)]）产物混合物。随后的质子化形成甲烷和甲硫醇，这是mar还原Me2S的产物。动力学研究，包括动力学同位素效应（KIE）、预平衡范特霍夫参数和艾林分析，以及与广泛硫代烷的反应性，均表明[Fe(SMe2)]是关键中间体，通过与[Fe(N2)]的吸热预平衡形成。在[Fe(SMe2)]中，C-S键强度降低了44 kcal mol-1，使其易于发生键均裂。我们提出，C-S键均裂发生时，释放的烷基自由基被第二个当量的铁捕获。通过[Fe]对N2和硫代烷还原的比较表明，Fe上底物活化的模式相似，即N≡N的π*轨道和Me2S的C-S σ*轨道发生反馈键合，分别使底物准备好进行N-H键形成和C-S键均裂。</w:t>
      </w:r>
    </w:p>
    <w:p>
      <w:pPr>
        <w:spacing w:before="0" w:after="200" w:lineRule="auto" w:line="276"/>
      </w:pPr>
      <w:r>
        <w:rPr>
          <w:b/>
        </w:rPr>
        <w:t xml:space="preserve">Abstract (EN): </w:t>
      </w:r>
      <w:r>
        <w:t>The all-iron (FeFe) nitrogenase utilizes a complex iron-sulfur cluster to catalyze the reduction of dinitrogen to ammonia (N2R). Recently, it has been found that methylthio-alkane reductase (mar), which reduces methyl thioalkanes to methanethiol and hydrocarbon fragments, has a structurally similar active site. In this report, we explore the reactivity of a trisphosphine boratrane iron complex ([Fe]), an N2R catalyst, with thioalkanes as a functional model system. Reacting the neutral iron dinitrogen complex ([Fe(N2)]) with dimethyl sulfide (Me2S) yields a 1:1 mixture of iron methyl ([FeMe]) and iron methyl thiolate ([Fe(SMe)]) products. Subsequent protonation forms methane and methanethiol, the products of Me2S reduction by mar. Kinetic studies, including kinetic isotope effects (KIE), pre-equilibrium Van't Hoff parameters, and Eyring analysis, as well as the reactivity with a broad scope of thioalkanes, point to [Fe(SMe2)], formed via an uphill pre-equilibrium with [Fe(N2)] as a key intermediate. In [Fe(SMe2)], the C-S bond strength decreases by 44 kcal mol-1, priming it for bond homolysis. We propose that homolytic C-S bond cleavage occurs with the released alkyl radical being trapped by a second equivalent of iron. Comparisons of N2 and thioalkane reduction by [Fe] suggest similar modes of substrate activation at Fe, namely, backbonding into a π* orbital of N≡N and a C-S σ* orbital of Me2S, setting the substrates up for N-H bond formation and homolytic C-S bond cleavage, respectively.</w:t>
      </w:r>
    </w:p>
    <w:p>
      <w:pPr>
        <w:spacing w:before="120" w:after="120"/>
      </w:pPr>
      <w:r>
        <w:rPr>
          <w:sz w:val="18"/>
        </w:rPr>
        <w:t>——————————————————————————————————————————————————————————————————————</w:t>
      </w:r>
    </w:p>
    <w:p>
      <w:pPr>
        <w:spacing w:before="160" w:after="40" w:line="240" w:lineRule="auto"/>
      </w:pPr>
      <w:r>
        <w:rPr>
          <w:b/>
        </w:rPr>
        <w:t xml:space="preserve">[17] </w:t>
      </w:r>
      <w:hyperlink r:id="rId157">
        <w:r>
          <w:rPr>
            <w:color w:val="1155CC"/>
            <w:u w:val="single"/>
          </w:rPr>
          <w:t>固定化钴酞菁CO2电还原制甲醇中阳离子尺寸的倒置效应</w:t>
        </w:r>
      </w:hyperlink>
    </w:p>
    <w:p>
      <w:pPr>
        <w:spacing w:before="0" w:after="80"/>
      </w:pPr>
      <w:r>
        <w:rPr>
          <w:i/>
          <w:sz w:val="20"/>
        </w:rPr>
        <w:t>EN: Inversed Cation Size Effects on Methanol Formations From CO2 Electroreduction by Immobilized Cobalt Phthalocyanine</w:t>
      </w:r>
    </w:p>
    <w:p>
      <w:pPr>
        <w:spacing w:before="0" w:after="120"/>
      </w:pPr>
      <w:r>
        <w:rPr>
          <w:b/>
        </w:rPr>
        <w:t xml:space="preserve">Source: </w:t>
      </w:r>
      <w:r>
        <w:t>Wiley: Angewandte Chemie International Edition: Table of Contents</w:t>
      </w:r>
      <w:r>
        <w:t xml:space="preserve">    </w:t>
      </w:r>
      <w:r>
        <w:rPr>
          <w:b/>
        </w:rPr>
        <w:t xml:space="preserve">Pub date: </w:t>
      </w:r>
      <w:r>
        <w:t>2026-05-18 11:58:34+00:00</w:t>
      </w:r>
      <w:r>
        <w:t xml:space="preserve">    </w:t>
      </w:r>
      <w:r>
        <w:rPr>
          <w:b/>
        </w:rPr>
        <w:t xml:space="preserve">DOI: </w:t>
      </w:r>
      <w:hyperlink r:id="rId158">
        <w:r>
          <w:rPr>
            <w:color w:val="1155CC"/>
            <w:u w:val="single"/>
          </w:rPr>
          <w:t>10.1002/anie.1450878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2电催化还原制甲醇为可持续燃料合成提供了一条引人注目的途径，其中电双层（EDL）中的阳离子对催化性能产生实质性影响。尽管阳离子对CO2‐CO转化的调节已被广泛记录，但其对下游还原途径生成CH3OH的影响受到的关注相对较少。通过多尺度模拟，我们确定固定化钴酞菁（CoPc）上的甲醇合成受最终质子转移（*CH2OH + H2O → * + CH3OH + OH−）的动力学控制。EDL环境显著加速了这一决速步（RDS）。此外，活性表现出对阳离子半径的明显依赖性，遵循Li+ &gt; Na+ &gt; K+ &gt; Cs+的趋势，较小的阳离子系统性地降低了质子转移势垒。这一趋势源于较小阳离子对过渡态的增强可及性，其中Li+实现了比Cs+更紧密的配位。</w:t>
      </w:r>
    </w:p>
    <w:p>
      <w:pPr>
        <w:spacing w:before="0" w:after="200" w:lineRule="auto" w:line="276"/>
      </w:pPr>
      <w:r>
        <w:rPr>
          <w:b/>
        </w:rPr>
        <w:t xml:space="preserve">Abstract (EN): </w:t>
      </w:r>
      <w:r>
        <w:t>The electrocatalytic reduction of CO</w:t>
      </w:r>
      <w:r>
        <w:rPr>
          <w:vertAlign w:val="subscript"/>
        </w:rPr>
        <w:t>2</w:t>
      </w:r>
      <w:r>
        <w:t>to methanol offers a compelling pathway for sustainable fuel synthesis, wherein cations in the electric double layer (EDL) exert a substantial influence on catalytic performance. Although cation modulation of CO</w:t>
      </w:r>
      <w:r>
        <w:rPr>
          <w:vertAlign w:val="subscript"/>
        </w:rPr>
        <w:t>2</w:t>
      </w:r>
      <w:r>
        <w:t>‐to‐CO conversion has been extensively documented, its influence on downstream reduction pathways toward CH</w:t>
      </w:r>
      <w:r>
        <w:rPr>
          <w:vertAlign w:val="subscript"/>
        </w:rPr>
        <w:t>3</w:t>
      </w:r>
      <w:r>
        <w:t>OH has received comparatively little attention. Using multiscale simulation, we establish that methanol synthesis over immobilized cobalt phthalocyanine (CoPc) is kinetically governed by the final proton transfer (*CH</w:t>
      </w:r>
      <w:r>
        <w:rPr>
          <w:vertAlign w:val="subscript"/>
        </w:rPr>
        <w:t>2</w:t>
      </w:r>
      <w:r>
        <w:t>OH + H</w:t>
      </w:r>
      <w:r>
        <w:rPr>
          <w:vertAlign w:val="subscript"/>
        </w:rPr>
        <w:t>2</w:t>
      </w:r>
      <w:r>
        <w:t>O → * + CH</w:t>
      </w:r>
      <w:r>
        <w:rPr>
          <w:vertAlign w:val="subscript"/>
        </w:rPr>
        <w:t>3</w:t>
      </w:r>
      <w:r>
        <w:t>OH + OH</w:t>
      </w:r>
      <w:r>
        <w:t xml:space="preserve"> </w:t>
      </w:r>
      <w:r>
        <w:t>−</w:t>
      </w:r>
      <w:r>
        <w:t>). The EDL environment substantially accelerates this rate‐determining step (RDS). Moreover, the activity exhibits a clear dependence on cation radius, following the trend Li</w:t>
      </w:r>
      <w:r>
        <w:t xml:space="preserve"> </w:t>
      </w:r>
      <w:r>
        <w:t>+</w:t>
      </w:r>
      <w:r>
        <w:t xml:space="preserve"> </w:t>
      </w:r>
      <w:r>
        <w:t>&amp;gt; Na</w:t>
      </w:r>
      <w:r>
        <w:t xml:space="preserve"> </w:t>
      </w:r>
      <w:r>
        <w:t>+</w:t>
      </w:r>
      <w:r>
        <w:t xml:space="preserve"> </w:t>
      </w:r>
      <w:r>
        <w:t>&amp;gt; K</w:t>
      </w:r>
      <w:r>
        <w:t xml:space="preserve"> </w:t>
      </w:r>
      <w:r>
        <w:t>+</w:t>
      </w:r>
      <w:r>
        <w:t xml:space="preserve"> </w:t>
      </w:r>
      <w:r>
        <w:t>&amp;gt; Cs</w:t>
      </w:r>
      <w:r>
        <w:t xml:space="preserve"> </w:t>
      </w:r>
      <w:r>
        <w:t>+</w:t>
      </w:r>
      <w:r>
        <w:t xml:space="preserve"> </w:t>
      </w:r>
      <w:r>
        <w:t>, with smaller cations systematically lowering the proton transfer barrier. This trend stems from the enhanced accessibility of smaller cations to the transition state, where Li</w:t>
      </w:r>
      <w:r>
        <w:t xml:space="preserve"> </w:t>
      </w:r>
      <w:r>
        <w:t>+</w:t>
      </w:r>
      <w:r>
        <w:t xml:space="preserve"> </w:t>
      </w:r>
      <w:r>
        <w:t>achieves tighter coordination than Cs</w:t>
      </w:r>
      <w:r>
        <w:t xml:space="preserve"> </w:t>
      </w:r>
      <w:r>
        <w:t>+</w:t>
      </w:r>
      <w:r>
        <w:t xml:space="preserve"> </w:t>
      </w:r>
      <w:r>
        <w:t>, conferring greater electrostatic stabilization and a correspondingly reduced barrier. Conversely, smaller cations attenuate the hydrogen‐bond network surrounding OH</w:t>
      </w:r>
      <w:r>
        <w:t xml:space="preserve"> </w:t>
      </w:r>
      <w:r>
        <w:t>−</w:t>
      </w:r>
      <w:r>
        <w:t>, potentially impeding OH</w:t>
      </w:r>
      <w:r>
        <w:t xml:space="preserve"> </w:t>
      </w:r>
      <w:r>
        <w:t>−</w:t>
      </w:r>
      <w:r>
        <w:t>transfer from the catalyst surface to the bulk electrolyte. These multifaceted cation effects underscore the complex interplay between kinetic promotion and mass transfer limitations in electrocatalytic systems.</w:t>
      </w:r>
    </w:p>
    <w:p>
      <w:pPr>
        <w:spacing w:before="120" w:after="120"/>
      </w:pPr>
      <w:r>
        <w:rPr>
          <w:sz w:val="18"/>
        </w:rPr>
        <w:t>——————————————————————————————————————————————————————————————————————</w:t>
      </w:r>
    </w:p>
    <w:p>
      <w:pPr>
        <w:spacing w:before="160" w:after="40" w:line="240" w:lineRule="auto"/>
      </w:pPr>
      <w:r>
        <w:rPr>
          <w:b/>
        </w:rPr>
        <w:t xml:space="preserve">[18] </w:t>
      </w:r>
      <w:hyperlink r:id="rId159">
        <w:r>
          <w:rPr>
            <w:color w:val="1155CC"/>
            <w:u w:val="single"/>
          </w:rPr>
          <w:t>[ASAP] 通过机理建模揭示硝酸盐还原中的竞争动力学：Ru和Pd掺杂剂对反应选择性的影响</w:t>
        </w:r>
      </w:hyperlink>
    </w:p>
    <w:p>
      <w:pPr>
        <w:spacing w:before="0" w:after="80"/>
      </w:pPr>
      <w:r>
        <w:rPr>
          <w:i/>
          <w:sz w:val="20"/>
        </w:rPr>
        <w:t>EN: [ASAP] Deciphering Competitive Kinetics in Nitrate Reduction via Mechanistic Modeling: Impact of Ru and Pd Dopants on Reaction Selectivity</w:t>
      </w:r>
    </w:p>
    <w:p>
      <w:pPr>
        <w:spacing w:before="0" w:after="120"/>
      </w:pPr>
      <w:r>
        <w:rPr>
          <w:b/>
        </w:rPr>
        <w:t xml:space="preserve">Source: </w:t>
      </w:r>
      <w:r>
        <w:t>Journal of the American Chemical Society: Latest Articles (ACS Publications)</w:t>
      </w:r>
      <w:r>
        <w:t xml:space="preserve">    </w:t>
      </w:r>
      <w:r>
        <w:rPr>
          <w:b/>
        </w:rPr>
        <w:t xml:space="preserve">Pub date: </w:t>
      </w:r>
      <w:r>
        <w:t>2026-05-18 15:12:22+00:00</w:t>
      </w:r>
      <w:r>
        <w:t xml:space="preserve">    </w:t>
      </w:r>
      <w:r>
        <w:rPr>
          <w:b/>
        </w:rPr>
        <w:t xml:space="preserve">DOI: </w:t>
      </w:r>
      <w:hyperlink r:id="rId160">
        <w:r>
          <w:rPr>
            <w:color w:val="1155CC"/>
            <w:u w:val="single"/>
          </w:rPr>
          <w:t>10.1021/jacs.6c05585</w:t>
        </w:r>
      </w:hyperlink>
    </w:p>
    <w:p>
      <w:pPr>
        <w:spacing w:before="0" w:after="120"/>
      </w:pPr>
      <w:r>
        <w:rPr>
          <w:b/>
        </w:rPr>
        <w:t xml:space="preserve">Notes: </w:t>
      </w:r>
      <w:r>
        <w:t>abstract_source=openalex</w:t>
      </w:r>
    </w:p>
    <w:p>
      <w:pPr>
        <w:spacing w:before="0" w:after="80" w:lineRule="auto" w:line="276"/>
      </w:pPr>
      <w:r>
        <w:rPr>
          <w:b/>
        </w:rPr>
        <w:t xml:space="preserve">摘要（ZH）: </w:t>
      </w:r>
      <w:r>
        <w:t>结合严格的定量建模表征，这项工作为诊断动力学瓶颈和加速高选择性电催化剂的合理设计提供了一个预测性蓝图。</w:t>
      </w:r>
    </w:p>
    <w:p>
      <w:pPr>
        <w:spacing w:before="0" w:after="200" w:lineRule="auto" w:line="276"/>
      </w:pPr>
      <w:r>
        <w:rPr>
          <w:b/>
        </w:rPr>
        <w:t xml:space="preserve">Abstract (EN): </w:t>
      </w:r>
      <w:r>
        <w:t>characterization with rigorous quantitative modeling, this work provides a predictive blueprint for diagnosing kinetic bottlenecks and accelerating the rational design of highly selective electrocatalysts.</w:t>
      </w:r>
    </w:p>
    <w:p>
      <w:pPr>
        <w:spacing w:before="120" w:after="120"/>
      </w:pPr>
      <w:r>
        <w:rPr>
          <w:sz w:val="18"/>
        </w:rPr>
        <w:t>——————————————————————————————————————————————————————————————————————</w:t>
      </w:r>
    </w:p>
    <w:p>
      <w:pPr>
        <w:spacing w:before="160" w:after="40" w:line="240" w:lineRule="auto"/>
      </w:pPr>
      <w:r>
        <w:rPr>
          <w:b/>
        </w:rPr>
        <w:t xml:space="preserve">[19] </w:t>
      </w:r>
      <w:hyperlink r:id="rId161">
        <w:r>
          <w:rPr>
            <w:color w:val="1155CC"/>
            <w:u w:val="single"/>
          </w:rPr>
          <w:t>钯掺杂实现的界面协同作用用于从硝酸盐卓越的安培级氨电合成</w:t>
        </w:r>
      </w:hyperlink>
    </w:p>
    <w:p>
      <w:pPr>
        <w:spacing w:before="0" w:after="80"/>
      </w:pPr>
      <w:r>
        <w:rPr>
          <w:i/>
          <w:sz w:val="20"/>
        </w:rPr>
        <w:t>EN: Palladium‐Doping‐Enabled Interface Synergy for Superb Ampere Level Ammonia Electrosynthesis From Nitrate</w:t>
      </w:r>
    </w:p>
    <w:p>
      <w:pPr>
        <w:spacing w:before="0" w:after="120"/>
      </w:pPr>
      <w:r>
        <w:rPr>
          <w:b/>
        </w:rPr>
        <w:t xml:space="preserve">Source: </w:t>
      </w:r>
      <w:r>
        <w:t>Wiley: Angewandte Chemie International Edition: Table of Contents</w:t>
      </w:r>
      <w:r>
        <w:t xml:space="preserve">    </w:t>
      </w:r>
      <w:r>
        <w:rPr>
          <w:b/>
        </w:rPr>
        <w:t xml:space="preserve">Pub date: </w:t>
      </w:r>
      <w:r>
        <w:t>2026-05-18 15:31:18+00:00</w:t>
      </w:r>
      <w:r>
        <w:t xml:space="preserve">    </w:t>
      </w:r>
      <w:r>
        <w:rPr>
          <w:b/>
        </w:rPr>
        <w:t xml:space="preserve">DOI: </w:t>
      </w:r>
      <w:hyperlink r:id="rId162">
        <w:r>
          <w:rPr>
            <w:color w:val="1155CC"/>
            <w:u w:val="single"/>
          </w:rPr>
          <w:t>10.1002/anie.2794664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实际的电催化硝酸盐制氨转化在工业电流密度下性能不足。在此，我们报道了一种电化学重构的Pd掺杂Co催化剂，其在‒1.43 A cm^−2的超高分电流密度下实现了&gt;98.0%的氨法拉第效率，并稳定运行超过170小时。结合原位光谱学和理论模拟揭示了一种双重增强机制，其中Pd掺杂降低了决速步骤*NO加氢的能垒，并重构了界面微环境。这种重构促进了阳离子富集，并建立了动态的氢向下取向水网络，在高通量条件下促进了质子转移和中间体稳定化。与在铜基体系中的作用不同，钴基体中的Pd显著优化了表面中间体的动力学，增强了局部界面电场，并增加了氢键网络的灵活性。这项工作展示了原子位点工程和微环境控制之间在实现超越传统电子调控的高速率电催化方面的关键协同作用。</w:t>
      </w:r>
    </w:p>
    <w:p>
      <w:pPr>
        <w:spacing w:before="0" w:after="200" w:lineRule="auto" w:line="276"/>
      </w:pPr>
      <w:r>
        <w:rPr>
          <w:b/>
        </w:rPr>
        <w:t xml:space="preserve">Abstract (EN): </w:t>
      </w:r>
      <w:r>
        <w:t>The practical electrocatalytic nitrate‐to‐ammonia conversion suffers from insufficient performance at industrial current densities. Here, we report an electrochemically reconstructed Pd‐doped Co catalyst that achieves &amp;gt; 98.0% ammonia Faradaic efficiency at an ultrahigh partial current density of ‒1.43 A cm</w:t>
      </w:r>
      <w:r>
        <w:t xml:space="preserve"> </w:t>
      </w:r>
      <w:r>
        <w:t>−2</w:t>
      </w:r>
      <w:r>
        <w:t xml:space="preserve"> </w:t>
      </w:r>
      <w:r>
        <w:t>and operates stably for over 170 h. Integrated in situ spectroscopy and theoretical simulations reveal a dual‐enhancement mechanism, in which Pd doping lowers the energy barrier of the rate‐determining *NO hydrogenation step and reconstructs the interfacial microenvironment. This restructuring promotes cation enrichment and establishes a dynamic hydrogen‐down‐oriented water network, facilitating proton transfer and intermediate stabilization under high‐flux conditions. Unlike its role in Cu‐based systems, Pd in the Co matrix distinctly optimizes the kinetics of surface intermediates, enhances the local interfacial electric field, and increases the flexibility of the hydrogen‐bond network. This work demonstrates the critical synergy between atomic‐site engineering and microenvironment control for achieving high‐rate electrocatalysis beyond conventional electronic modulation.</w:t>
      </w:r>
    </w:p>
    <w:p>
      <w:pPr>
        <w:spacing w:before="120" w:after="120"/>
      </w:pPr>
      <w:r>
        <w:rPr>
          <w:sz w:val="18"/>
        </w:rPr>
        <w:t>——————————————————————————————————————————————————————————————————————</w:t>
      </w:r>
    </w:p>
    <w:p>
      <w:pPr>
        <w:spacing w:before="160" w:after="40" w:line="240" w:lineRule="auto"/>
      </w:pPr>
      <w:r>
        <w:rPr>
          <w:b/>
        </w:rPr>
        <w:t xml:space="preserve">[20] </w:t>
      </w:r>
      <w:hyperlink r:id="rId163">
        <w:r>
          <w:rPr>
            <w:color w:val="1155CC"/>
            <w:u w:val="single"/>
          </w:rPr>
          <w:t>出版商更正：通过原位软X射线吸收证实理论驱动的高价金属位点设计用于水氧化</w:t>
        </w:r>
      </w:hyperlink>
    </w:p>
    <w:p>
      <w:pPr>
        <w:spacing w:before="0" w:after="80"/>
      </w:pPr>
      <w:r>
        <w:rPr>
          <w:i/>
          <w:sz w:val="20"/>
        </w:rPr>
        <w:t>EN: Publisher Correction: Theory-driven design of high-valence metal sites for water oxidation confirmed using in situ soft X-ray absorption</w:t>
      </w:r>
    </w:p>
    <w:p>
      <w:pPr>
        <w:spacing w:before="0" w:after="120"/>
      </w:pPr>
      <w:r>
        <w:rPr>
          <w:b/>
        </w:rPr>
        <w:t xml:space="preserve">Source: </w:t>
      </w:r>
      <w:r>
        <w:t>Nature Chemistry</w:t>
      </w:r>
      <w:r>
        <w:t xml:space="preserve">    </w:t>
      </w:r>
      <w:r>
        <w:rPr>
          <w:b/>
        </w:rPr>
        <w:t xml:space="preserve">Pub date: </w:t>
      </w:r>
      <w:r>
        <w:t>2026-05-19 00:00:00+00:00</w:t>
      </w:r>
      <w:r>
        <w:t xml:space="preserve">    </w:t>
      </w:r>
      <w:r>
        <w:rPr>
          <w:b/>
        </w:rPr>
        <w:t xml:space="preserve">DOI: </w:t>
      </w:r>
      <w:hyperlink r:id="rId164">
        <w:r>
          <w:rPr>
            <w:color w:val="1155CC"/>
            <w:u w:val="single"/>
          </w:rPr>
          <w:t>10.1038/s41557-026-02170-1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165">
        <w:r>
          <w:rPr>
            <w:color w:val="1155CC"/>
            <w:u w:val="single"/>
          </w:rPr>
          <w:t>硼纳米团簇的室温储氢</w:t>
        </w:r>
      </w:hyperlink>
    </w:p>
    <w:p>
      <w:pPr>
        <w:spacing w:before="0" w:after="80"/>
      </w:pPr>
      <w:r>
        <w:rPr>
          <w:i/>
          <w:sz w:val="20"/>
        </w:rPr>
        <w:t>EN: Room-temperature hydrogen storage of boron nanoclusters</w:t>
      </w:r>
    </w:p>
    <w:p>
      <w:pPr>
        <w:spacing w:before="0" w:after="120"/>
      </w:pPr>
      <w:r>
        <w:rPr>
          <w:b/>
        </w:rPr>
        <w:t xml:space="preserve">Source: </w:t>
      </w:r>
      <w:r>
        <w:t>Nature Nanotechnology</w:t>
      </w:r>
      <w:r>
        <w:t xml:space="preserve">    </w:t>
      </w:r>
      <w:r>
        <w:rPr>
          <w:b/>
        </w:rPr>
        <w:t xml:space="preserve">Pub date: </w:t>
      </w:r>
      <w:r>
        <w:t>2026-05-19 00:00:00+00:00</w:t>
      </w:r>
      <w:r>
        <w:t xml:space="preserve">    </w:t>
      </w:r>
      <w:r>
        <w:rPr>
          <w:b/>
        </w:rPr>
        <w:t xml:space="preserve">DOI: </w:t>
      </w:r>
      <w:hyperlink r:id="rId166">
        <w:r>
          <w:rPr>
            <w:color w:val="1155CC"/>
            <w:u w:val="single"/>
          </w:rPr>
          <w:t>10.1038/s41565-026-02150-z</w:t>
        </w:r>
      </w:hyperlink>
    </w:p>
    <w:p>
      <w:pPr>
        <w:spacing w:before="0" w:after="120"/>
      </w:pPr>
      <w:r>
        <w:rPr>
          <w:b/>
        </w:rPr>
        <w:t xml:space="preserve">Notes: </w:t>
      </w:r>
      <w:r>
        <w:t>abstract_source=nature_html</w:t>
      </w:r>
    </w:p>
    <w:p>
      <w:pPr>
        <w:spacing w:before="0" w:after="80" w:lineRule="auto" w:line="276"/>
      </w:pPr>
      <w:r>
        <w:rPr>
          <w:b/>
        </w:rPr>
        <w:t xml:space="preserve">摘要（ZH）: </w:t>
      </w:r>
      <w:r>
        <w:t>硼氢化锂 (LiBH4) 是一种有前景的储氢材料，因为它具有高储氢容量。然而，其脱氢产物硼和LiH对双氢分子的低反应活性使得硼氢化物的再生极具挑战性。在此，我们理论上揭示了H2解离成H原子并被活性Bspike原子（表面突出的、低配位和高反应活性的硼原子）吸附是B–H键形成的前提，而不是H2与B之间的直接反应。此外，Bspike原子的比例随着B簇尺寸的减小呈指数级增长，这表明将B颗粒尺寸减小到超小尺度对于提高加氢反应活性至关重要。因此，我们实验合成了由超细LiBH4纳米颗粒和3 nm Ni催化簇装饰而成的纳米复合材料用于储氢。脱氢后，这些纳米复合材料形成5–10 nm尺度的紧密相邻的B和LiH簇，而Ni簇保持完整。Ni簇不仅促进H2解离成H原子，而且与B簇强烈相互作用，削弱B–B键，这使得B/LiH在低至30 °C和100 bar H2的条件下加氢再生为LiBH4。</w:t>
      </w:r>
    </w:p>
    <w:p>
      <w:pPr>
        <w:spacing w:before="0" w:after="200" w:lineRule="auto" w:line="276"/>
      </w:pPr>
      <w:r>
        <w:rPr>
          <w:b/>
        </w:rPr>
        <w:t xml:space="preserve">Abstract (EN): </w:t>
      </w:r>
      <w:r>
        <w:t>Lithium borohydride (LiBH4) is a promising hydrogen carrier owing to its high hydrogen storage capacity. However, the low reactivity of its dehydrogenation products, boron and LiH, towards dihydrogen molecules makes the re-generation of borohydrides extremely challenging. Here we theoretically unravel that the dissociation of H2 into H atoms and its adsorption by the active Bspike atoms (surface-protruding boron atoms with low coordination and high reactivity) is a prerequisite for the formation of B–H bond, rather than the direct reaction between H2 and B. Moreover, the proportion of Bspike atoms increases exponentially as the size of B clusters decreases, indicating that reducing B particle size to the ultrasmall scale is critical for enhancing hydrogenation reactivity. Thereby, we experimentally synthesize nanocomposites consisting of ultrafine LiBH4 nanoparticles decorated with 3 nm Ni catalytic clusters for hydrogen storage. Upon dehydrogenation, these nanocomposites form B and LiH clusters in close proximity at 5–10 nm scale, while the Ni clusters remain intact. The Ni clusters not only facilitate the dissociation of H2 into H atoms but also strongly interact with the B clusters, weakening B–B bond, which enables the hydrogenation of B/LiH back to LiBH4 at temperatures as low as 30 °C under 100 bar H2.</w:t>
      </w:r>
    </w:p>
    <w:p>
      <w:pPr>
        <w:spacing w:before="120" w:after="120"/>
      </w:pPr>
      <w:r>
        <w:rPr>
          <w:sz w:val="18"/>
        </w:rPr>
        <w:t>——————————————————————————————————————————————————————————————————————</w:t>
      </w:r>
    </w:p>
    <w:p>
      <w:pPr>
        <w:spacing w:before="160" w:after="40" w:line="240" w:lineRule="auto"/>
      </w:pPr>
      <w:r>
        <w:rPr>
          <w:b/>
        </w:rPr>
        <w:t xml:space="preserve">[22] </w:t>
      </w:r>
      <w:hyperlink r:id="rId167">
        <w:r>
          <w:rPr>
            <w:color w:val="1155CC"/>
            <w:u w:val="single"/>
          </w:rPr>
          <w:t>[ASAP] 使用铁基MOFs进行光催化氨合成：配体功能化的作用</w:t>
        </w:r>
      </w:hyperlink>
    </w:p>
    <w:p>
      <w:pPr>
        <w:spacing w:before="0" w:after="80"/>
      </w:pPr>
      <w:r>
        <w:rPr>
          <w:i/>
          <w:sz w:val="20"/>
        </w:rPr>
        <w:t>EN: [ASAP] Photocatalytic Ammonia Synthesis using Fe-Based MOFs: The Role of Ligand Functionalization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2026-05-19 13:35:18+00:00</w:t>
      </w:r>
      <w:r>
        <w:t xml:space="preserve">    </w:t>
      </w:r>
      <w:r>
        <w:rPr>
          <w:b/>
        </w:rPr>
        <w:t xml:space="preserve">DOI: </w:t>
      </w:r>
      <w:hyperlink r:id="rId168">
        <w:r>
          <w:rPr>
            <w:color w:val="1155CC"/>
            <w:u w:val="single"/>
          </w:rPr>
          <w:t>10.1021/jacs.5c22833</w:t>
        </w:r>
      </w:hyperlink>
    </w:p>
    <w:p>
      <w:pPr>
        <w:spacing w:before="0" w:after="120"/>
      </w:pPr>
      <w:r>
        <w:rPr>
          <w:b/>
        </w:rPr>
        <w:t xml:space="preserve">Notes: </w:t>
      </w:r>
      <w:r>
        <w:t>abstract_source=pubmed</w:t>
      </w:r>
    </w:p>
    <w:p>
      <w:pPr>
        <w:spacing w:before="0" w:after="80" w:lineRule="auto" w:line="276"/>
      </w:pPr>
      <w:r>
        <w:rPr>
          <w:b/>
        </w:rPr>
        <w:t xml:space="preserve">摘要（ZH）: </w:t>
      </w:r>
      <w:r>
        <w:t>光催化氨 (NH3) 合成提供了一种碳中和的替代方案，以取代每年产生4200万公吨CO2当量排放的哈伯-博世法。然而，当代光催化剂的太阳能制氨转化率远未达到实际要求，因此，了解具有明确活性位点的体系中的限制因素至关重要。在此，我们通过结合实验和计算研究，展示了MIL-101(Fe)中μ3-氧中心三核Fe簇如何作为N2到NH3转化的催化基序。与分子类似物的比较研究表明，该簇在MOF骨架内稳定，维持氧化还原循环并保持高催化活性。我们系统地用-NH2、-Br、-NO2、-F和-CF3对MIL-101(Fe)的二羧酸配体进行功能化，以探讨配体化学如何调节Fe电子密度、N2吸附能力和质子可用性，并利用光谱和表面表征技术以及时间分辨红外光谱评估激发态寿命，将这些性质与催化性能相关联。F功能化优化了N2活化、Fe活性位点的质子可用性和激发态寿命之间的平衡，使NH3产量相对于未修饰的MIL-101(Fe)提高了约60%。这项对配体功能化MIL-101(Fe) MOF的研究揭示了潜在的构效关系，并推进了太阳能驱动NH3合成的设计原则。</w:t>
      </w:r>
    </w:p>
    <w:p>
      <w:pPr>
        <w:spacing w:before="0" w:after="200" w:lineRule="auto" w:line="276"/>
      </w:pPr>
      <w:r>
        <w:rPr>
          <w:b/>
        </w:rPr>
        <w:t xml:space="preserve">Abstract (EN): </w:t>
      </w:r>
      <w:r>
        <w:t>Photocatalytic ammonia (NH3) synthesis offers a carbon-neutral alternative to the Haber-Bosch process, which generates 42 million metric tons of CO2 equivalent emissions annually. However, solar-to-ammonia conversion with contemporary photocatalysts remains far from practical requirements, and understanding the limiting factors in systems with well-defined active sites is crucial. Here, we show how the μ3-oxo-centered trinuclear Fe cluster in MIL-101(Fe) functions as the catalytic motif for N2-to-NH3 conversion through combined experimental and computational investigations. Comparative studies with a molecular analogue demonstrate that the cluster is stabilized within the MOF framework, sustaining redox cycling and maintaining high catalytic activity. We systematically functionalized the dicarboxylate ligands of MIL-101(Fe) with -NH2, -Br, -NO2, -F, and -CF3 to probe how ligand chemistry modulates Fe electron density, N2 adsorption capacity, and proton availability, correlating these properties with catalytic performance using spectroscopic and surface characterization techniques alongside time-resolved infrared to assess excited-state lifetimes. F-functionalization optimally balances N2 activation, proton availability at Fe active sites, and excited-state lifetimes, boosting NH3 production by ∼ 60% relative to unmodified MIL-101(Fe). This study of ligand-functionalized MIL-101(Fe) MOFs uncovers the underlying structure-activity relationships and advances design principles for solar-driven NH3 synthesis.</w:t>
      </w:r>
    </w:p>
    <w:p>
      <w:pPr>
        <w:spacing w:before="120" w:after="120"/>
      </w:pPr>
      <w:r>
        <w:rPr>
          <w:sz w:val="18"/>
        </w:rPr>
        <w:t>——————————————————————————————————————————————————————————————————————</w:t>
      </w:r>
    </w:p>
    <w:p>
      <w:pPr>
        <w:spacing w:before="160" w:after="40" w:line="240" w:lineRule="auto"/>
      </w:pPr>
      <w:r>
        <w:rPr>
          <w:b/>
        </w:rPr>
        <w:t xml:space="preserve">[23] </w:t>
      </w:r>
      <w:hyperlink r:id="rId169">
        <w:r>
          <w:rPr>
            <w:color w:val="1155CC"/>
            <w:u w:val="single"/>
          </w:rPr>
          <w:t>揭示双活性中心用于苯甲醇脱氢氧化与析氢偶联的空间分辨激子动力学</w:t>
        </w:r>
      </w:hyperlink>
    </w:p>
    <w:p>
      <w:pPr>
        <w:spacing w:before="0" w:after="80"/>
      </w:pPr>
      <w:r>
        <w:rPr>
          <w:i/>
          <w:sz w:val="20"/>
        </w:rPr>
        <w:t>EN: Revealing Spatially Resolved Exciton Dynamics of Dual Active Centers for Dehydrogenation Oxidation of Benzyl Alcohol Coupled by Hydrogen Evolution</w:t>
      </w:r>
    </w:p>
    <w:p>
      <w:pPr>
        <w:spacing w:before="0" w:after="120"/>
      </w:pPr>
      <w:r>
        <w:rPr>
          <w:b/>
        </w:rPr>
        <w:t xml:space="preserve">Source: </w:t>
      </w:r>
      <w:r>
        <w:t>Wiley: Angewandte Chemie International Edition: Table of Contents</w:t>
      </w:r>
      <w:r>
        <w:t xml:space="preserve">    </w:t>
      </w:r>
      <w:r>
        <w:rPr>
          <w:b/>
        </w:rPr>
        <w:t xml:space="preserve">Pub date: </w:t>
      </w:r>
      <w:r>
        <w:t>2026-05-19 16:21:39+00:00</w:t>
      </w:r>
      <w:r>
        <w:t xml:space="preserve">    </w:t>
      </w:r>
      <w:r>
        <w:rPr>
          <w:b/>
        </w:rPr>
        <w:t xml:space="preserve">DOI: </w:t>
      </w:r>
      <w:hyperlink r:id="rId170">
        <w:r>
          <w:rPr>
            <w:color w:val="1155CC"/>
            <w:u w:val="single"/>
          </w:rPr>
          <w:t>10.1002/anie.4629546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质醇的光氧化偶联H2析出因其更高的经济性而受到越来越多的关注。然而，光激子利用不足已成为限制其实际应用的瓶颈，因此精确调控光催化剂的微观结构对于实现高效光活性至关重要。策略性地引入功能性活性中心已被证明是优化光催化剂激子动力学的有效策略。在此，钴（Co）团簇和单原子Co─O位点被共同修饰在异质结构的MoS2/CdS复合材料上，以整合异质结和非贵金属助催化的优点，这通过X射线吸收精细结构光谱和球差校正透射电子显微镜技术得到了证实。在人工太阳光下，实现了苯甲醇（BA）氧化（181.8 mmolBAD·g−1·h−1）偶联H2析出（64.6 mmolH2·g−1·h−1）的显著协同光活性。飞秒瞬态吸收光谱和开尔文探针力显微镜技术证明了空间分离/转移动力学的改善。</w:t>
      </w:r>
    </w:p>
    <w:p>
      <w:pPr>
        <w:spacing w:before="0" w:after="200" w:lineRule="auto" w:line="276"/>
      </w:pPr>
      <w:r>
        <w:rPr>
          <w:b/>
        </w:rPr>
        <w:t xml:space="preserve">Abstract (EN): </w:t>
      </w:r>
      <w:r>
        <w:t>Photooxidation of biomass alcohols coupling H</w:t>
      </w:r>
      <w:r>
        <w:rPr>
          <w:vertAlign w:val="subscript"/>
        </w:rPr>
        <w:t>2</w:t>
      </w:r>
      <w:r>
        <w:t>evolution has received increasing attention due to its higher economy. However, the insufficient photoexciton utilization has become a bottleneck restricting its practical application, thereby precisely regulating the microstructure of photocatalysts is crucial for achieving efficient photoactivity. Strategically introducing functional active centers has been proven to be a valid strategy for optimizing the exciton dynamics of photocatalysts. Herein, the cobalt (Co) clusters and single‐atom Co─O sites were co‐decorated on the heterostructured MoS</w:t>
      </w:r>
      <w:r>
        <w:rPr>
          <w:vertAlign w:val="subscript"/>
        </w:rPr>
        <w:t>2</w:t>
      </w:r>
      <w:r>
        <w:t>/CdS composite to integrate the merits of heterojunction and non‐precious metal cocatalysis, which was demonstrated by the x‐ray absorption fine structure spectroscopy and spherical aberration‐corrected transmission electron microscope techniques. Remarkable collaborative photoactivity for benzyl alcohol (BA) oxidation (181.8 mmol</w:t>
      </w:r>
      <w:r>
        <w:t xml:space="preserve"> </w:t>
      </w:r>
      <w:r>
        <w:t>BAD</w:t>
      </w:r>
      <w:r>
        <w:t xml:space="preserve"> </w:t>
      </w:r>
      <w:r>
        <w:t>·g</w:t>
      </w:r>
      <w:r>
        <w:t xml:space="preserve"> </w:t>
      </w:r>
      <w:r>
        <w:t>−1</w:t>
      </w:r>
      <w:r>
        <w:t xml:space="preserve"> </w:t>
      </w:r>
      <w:r>
        <w:t>·h</w:t>
      </w:r>
      <w:r>
        <w:t xml:space="preserve"> </w:t>
      </w:r>
      <w:r>
        <w:t>−1</w:t>
      </w:r>
      <w:r>
        <w:t xml:space="preserve"> </w:t>
      </w:r>
      <w:r>
        <w:t>) coupling H</w:t>
      </w:r>
      <w:r>
        <w:rPr>
          <w:vertAlign w:val="subscript"/>
        </w:rPr>
        <w:t>2</w:t>
      </w:r>
      <w:r>
        <w:t>evolution (64.6 mmol</w:t>
      </w:r>
      <w:r>
        <w:t xml:space="preserve"> </w:t>
      </w:r>
      <w:r>
        <w:t>H2</w:t>
      </w:r>
      <w:r>
        <w:t xml:space="preserve"> </w:t>
      </w:r>
      <w:r>
        <w:t>·g</w:t>
      </w:r>
      <w:r>
        <w:t xml:space="preserve"> </w:t>
      </w:r>
      <w:r>
        <w:t>−1</w:t>
      </w:r>
      <w:r>
        <w:t xml:space="preserve"> </w:t>
      </w:r>
      <w:r>
        <w:t>·h</w:t>
      </w:r>
      <w:r>
        <w:t xml:space="preserve"> </w:t>
      </w:r>
      <w:r>
        <w:t>−1</w:t>
      </w:r>
      <w:r>
        <w:t xml:space="preserve"> </w:t>
      </w:r>
      <w:r>
        <w:t>) was achieved under artificial sunlight. Femtosecond transient absorption spectroscopy and Kelvin probe force microscopy techniques proved the improved spatial separation/transfer kinetics and hindered recombination kinetics of photoexcitons. Based on density functional theory, the Co clusters act as the oxidation sites for BA, and the Co─O sites serve as the H</w:t>
      </w:r>
      <w:r>
        <w:rPr>
          <w:vertAlign w:val="subscript"/>
        </w:rPr>
        <w:t>2</w:t>
      </w:r>
      <w:r>
        <w:t>evolution reduction centers, enabling the synergistically enhanced REDOX half‐reactions due to more effective spatial separation of photoexcitons. This study proposes a strategic catalyst construction insight for highly efficient collaborative REDOX photocatalysis.</w:t>
      </w:r>
    </w:p>
    <w:p>
      <w:pPr>
        <w:spacing w:before="120" w:after="120"/>
      </w:pPr>
      <w:r>
        <w:rPr>
          <w:sz w:val="18"/>
        </w:rPr>
        <w:t>——————————————————————————————————————————————————————————————————————</w:t>
      </w:r>
    </w:p>
    <w:p>
      <w:pPr>
        <w:spacing w:before="160" w:after="40" w:line="240" w:lineRule="auto"/>
      </w:pPr>
      <w:r>
        <w:rPr>
          <w:b/>
        </w:rPr>
        <w:t xml:space="preserve">[24] </w:t>
      </w:r>
      <w:hyperlink r:id="rId171">
        <w:r>
          <w:rPr>
            <w:color w:val="1155CC"/>
            <w:u w:val="single"/>
          </w:rPr>
          <w:t>精确调控界面氧自由基用于选择性光催化甲烷部分氧化制甲醇</w:t>
        </w:r>
      </w:hyperlink>
    </w:p>
    <w:p>
      <w:pPr>
        <w:spacing w:before="0" w:after="80"/>
      </w:pPr>
      <w:r>
        <w:rPr>
          <w:i/>
          <w:sz w:val="20"/>
        </w:rPr>
        <w:t>EN: Precisely Modulating the Interfacial Oxygen Radicals for Selective Photocatalytic Methane Partial Oxidation to Methanol</w:t>
      </w:r>
    </w:p>
    <w:p>
      <w:pPr>
        <w:spacing w:before="0" w:after="120"/>
      </w:pPr>
      <w:r>
        <w:rPr>
          <w:b/>
        </w:rPr>
        <w:t xml:space="preserve">Source: </w:t>
      </w:r>
      <w:r>
        <w:t>Wiley: Angewandte Chemie International Edition: Table of Contents</w:t>
      </w:r>
      <w:r>
        <w:t xml:space="preserve">    </w:t>
      </w:r>
      <w:r>
        <w:rPr>
          <w:b/>
        </w:rPr>
        <w:t xml:space="preserve">Pub date: </w:t>
      </w:r>
      <w:r>
        <w:t>2026-05-19 16:28:56+00:00</w:t>
      </w:r>
      <w:r>
        <w:t xml:space="preserve">    </w:t>
      </w:r>
      <w:r>
        <w:rPr>
          <w:b/>
        </w:rPr>
        <w:t xml:space="preserve">DOI: </w:t>
      </w:r>
      <w:hyperlink r:id="rId172">
        <w:r>
          <w:rPr>
            <w:color w:val="1155CC"/>
            <w:u w:val="single"/>
          </w:rPr>
          <w:t>10.1002/anie.1583650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在环境条件下选择性光催化甲烷 (CH</w:t>
      </w:r>
      <w:r>
        <w:rPr>
          <w:vertAlign w:val="subscript"/>
        </w:rPr>
        <w:t>4</w:t>
      </w:r>
      <w:r>
        <w:t>) 部分氧化为直接甲醇 (CH</w:t>
      </w:r>
      <w:r>
        <w:rPr>
          <w:vertAlign w:val="subscript"/>
        </w:rPr>
        <w:t>3</w:t>
      </w:r>
      <w:r>
        <w:t>OH) 生产提供了一条可持续途径，同时减少了温室气体。然而，由于活性氧物种 (ROS)，特别是羟基自由基 (•OH) 的不受控制生成，它们容易使 CH</w:t>
      </w:r>
      <w:r>
        <w:rPr>
          <w:vertAlign w:val="subscript"/>
        </w:rPr>
        <w:t>3</w:t>
      </w:r>
      <w:r>
        <w:t>OH 过度氧化，因此实现高产率和高选择性仍然具有挑战性。在此，我们报道了一种负载在 TiO</w:t>
      </w:r>
      <w:r>
        <w:rPr>
          <w:vertAlign w:val="subscript"/>
        </w:rPr>
        <w:t>2</w:t>
      </w:r>
      <w:r>
        <w:t>上的 PdNi 合金助催化剂，它能够通过电子和结构调制精细调节界面 ROS 动力学。机制研究表明，PdNi 界面通过 d 带中心调制，将 *O 质子化的适度动力学势垒与 *OH 吸附的热力学增强相结合。这种协同效应抑制了 O</w:t>
      </w:r>
      <w:r>
        <w:rPr>
          <w:vertAlign w:val="subscript"/>
        </w:rPr>
        <w:t>2</w:t>
      </w:r>
      <w:r>
        <w:t>向活性 •OH 物种的转化，从而减轻了 CH</w:t>
      </w:r>
      <w:r>
        <w:rPr>
          <w:vertAlign w:val="subscript"/>
        </w:rPr>
        <w:t>3</w:t>
      </w:r>
      <w:r>
        <w:t>OH 的过度氧化。结果，优化后的 PdNi</w:t>
      </w:r>
      <w:r>
        <w:t xml:space="preserve"> </w:t>
      </w:r>
      <w:r>
        <w:t>0.49</w:t>
      </w:r>
      <w:r>
        <w:t xml:space="preserve"> </w:t>
      </w:r>
      <w:r>
        <w:t>/TiO</w:t>
      </w:r>
      <w:r>
        <w:rPr>
          <w:vertAlign w:val="subscript"/>
        </w:rPr>
        <w:t>2</w:t>
      </w:r>
      <w:r>
        <w:t>光催化剂以分子 O</w:t>
      </w:r>
      <w:r>
        <w:rPr>
          <w:vertAlign w:val="subscript"/>
        </w:rPr>
        <w:t>2</w:t>
      </w:r>
      <w:r>
        <w:t>作为唯一的氧化剂，实现了 9557.4 µmol g</w:t>
      </w:r>
      <w:r>
        <w:t xml:space="preserve"> </w:t>
      </w:r>
      <w:r>
        <w:t>−1</w:t>
      </w:r>
      <w:r>
        <w:t xml:space="preserve"> </w:t>
      </w:r>
      <w:r>
        <w:t>h</w:t>
      </w:r>
      <w:r>
        <w:t xml:space="preserve"> </w:t>
      </w:r>
      <w:r>
        <w:t>−1</w:t>
      </w:r>
      <w:r>
        <w:t xml:space="preserve"> </w:t>
      </w:r>
      <w:r>
        <w:t>的 CH</w:t>
      </w:r>
      <w:r>
        <w:rPr>
          <w:vertAlign w:val="subscript"/>
        </w:rPr>
        <w:t>3</w:t>
      </w:r>
      <w:r>
        <w:t>OH 产率和 87.5% 的选择性。除了调节 ROS 动力学，Ni</w:t>
      </w:r>
    </w:p>
    <w:p>
      <w:pPr>
        <w:spacing w:before="0" w:after="200" w:lineRule="auto" w:line="276"/>
      </w:pPr>
      <w:r>
        <w:rPr>
          <w:b/>
        </w:rPr>
        <w:t xml:space="preserve">Abstract (EN): </w:t>
      </w:r>
      <w:r>
        <w:t>Selective photocatalytic partial oxidation of methane (CH</w:t>
      </w:r>
      <w:r>
        <w:rPr>
          <w:vertAlign w:val="subscript"/>
        </w:rPr>
        <w:t>4</w:t>
      </w:r>
      <w:r>
        <w:t>) under ambient conditions offers a sustainable route for direct methanol (CH</w:t>
      </w:r>
      <w:r>
        <w:rPr>
          <w:vertAlign w:val="subscript"/>
        </w:rPr>
        <w:t>3</w:t>
      </w:r>
      <w:r>
        <w:t>OH) production while reducing greenhouse gases. However, achieving both high yield and selectivity remains challenging due to the uncontrolled generation of reactive oxygen species (ROS), particularly hydroxyl radicals (•OH), which readily overoxidize CH</w:t>
      </w:r>
      <w:r>
        <w:rPr>
          <w:vertAlign w:val="subscript"/>
        </w:rPr>
        <w:t>3</w:t>
      </w:r>
      <w:r>
        <w:t>OH. Here, we report a PdNi alloy cocatalyst supported on TiO</w:t>
      </w:r>
      <w:r>
        <w:rPr>
          <w:vertAlign w:val="subscript"/>
        </w:rPr>
        <w:t>2</w:t>
      </w:r>
      <w:r>
        <w:t>that enables fine‐tuning of interfacial ROS dynamics via electronic and structural modulation. Mechanistic studies reveal that the PdNi interface couples moderate kinetic barriers for *O protonation with thermodynamic enhancement of *OH adsorption via d‐band center modulation. This cooperative effect suppresses the transition of O</w:t>
      </w:r>
      <w:r>
        <w:rPr>
          <w:vertAlign w:val="subscript"/>
        </w:rPr>
        <w:t>2</w:t>
      </w:r>
      <w:r>
        <w:t>into reactive •OH species, thereby mitigating CH</w:t>
      </w:r>
      <w:r>
        <w:rPr>
          <w:vertAlign w:val="subscript"/>
        </w:rPr>
        <w:t>3</w:t>
      </w:r>
      <w:r>
        <w:t>OH overoxidation. As a result, the optimized PdNi</w:t>
      </w:r>
      <w:r>
        <w:t xml:space="preserve"> </w:t>
      </w:r>
      <w:r>
        <w:t>0.49</w:t>
      </w:r>
      <w:r>
        <w:t xml:space="preserve"> </w:t>
      </w:r>
      <w:r>
        <w:t>/TiO</w:t>
      </w:r>
      <w:r>
        <w:rPr>
          <w:vertAlign w:val="subscript"/>
        </w:rPr>
        <w:t>2</w:t>
      </w:r>
      <w:r>
        <w:t>photocatalyst achieves a CH</w:t>
      </w:r>
      <w:r>
        <w:rPr>
          <w:vertAlign w:val="subscript"/>
        </w:rPr>
        <w:t>3</w:t>
      </w:r>
      <w:r>
        <w:t>OH yield of 9557.4 µmol g</w:t>
      </w:r>
      <w:r>
        <w:t xml:space="preserve"> </w:t>
      </w:r>
      <w:r>
        <w:t>−1</w:t>
      </w:r>
      <w:r>
        <w:t xml:space="preserve"> </w:t>
      </w:r>
      <w:r>
        <w:t>h</w:t>
      </w:r>
      <w:r>
        <w:t xml:space="preserve"> </w:t>
      </w:r>
      <w:r>
        <w:t>−1</w:t>
      </w:r>
      <w:r>
        <w:t xml:space="preserve"> </w:t>
      </w:r>
      <w:r>
        <w:t>with 87.5% selectivity using molecular O</w:t>
      </w:r>
      <w:r>
        <w:rPr>
          <w:vertAlign w:val="subscript"/>
        </w:rPr>
        <w:t>2</w:t>
      </w:r>
      <w:r>
        <w:t>as the sole oxidant. Beyond regulating ROS dynamics, Ni incorporation also optimizes the desorption behavior of CH</w:t>
      </w:r>
      <w:r>
        <w:rPr>
          <w:vertAlign w:val="subscript"/>
        </w:rPr>
        <w:t>3</w:t>
      </w:r>
      <w:r>
        <w:t>OH, further contributing to the high selectivity of the target product. This work establishes a rational interfacial design strategy for steering photocatalytic oxidation pathways and advancing selective methane conversion technologies.</w:t>
      </w:r>
    </w:p>
    <w:p>
      <w:pPr>
        <w:spacing w:before="120" w:after="120"/>
      </w:pPr>
      <w:r>
        <w:rPr>
          <w:sz w:val="18"/>
        </w:rPr>
        <w:t>——————————————————————————————————————————————————————————————————————</w:t>
      </w:r>
    </w:p>
    <w:p>
      <w:pPr>
        <w:spacing w:before="160" w:after="40" w:line="240" w:lineRule="auto"/>
      </w:pPr>
      <w:r>
        <w:rPr>
          <w:b/>
        </w:rPr>
        <w:t xml:space="preserve">[25] </w:t>
      </w:r>
      <w:hyperlink r:id="rId173">
        <w:r>
          <w:rPr>
            <w:color w:val="1155CC"/>
            <w:u w:val="single"/>
          </w:rPr>
          <w:t>[ASAP] 局部碱性微环境实现超过800小时稳定的光催化全海水分解</w:t>
        </w:r>
      </w:hyperlink>
    </w:p>
    <w:p>
      <w:pPr>
        <w:spacing w:before="0" w:after="80"/>
      </w:pPr>
      <w:r>
        <w:rPr>
          <w:i/>
          <w:sz w:val="20"/>
        </w:rPr>
        <w:t>EN: [ASAP] Local Alkaline Microenvironment Enables over 800 h Stable Photocatalytic Overall Seawater Splitting</w:t>
      </w:r>
    </w:p>
    <w:p>
      <w:pPr>
        <w:spacing w:before="0" w:after="120"/>
      </w:pPr>
      <w:r>
        <w:rPr>
          <w:b/>
        </w:rPr>
        <w:t xml:space="preserve">Source: </w:t>
      </w:r>
      <w:r>
        <w:t>ACS Energy Letters: Latest Articles (ACS Publications)</w:t>
      </w:r>
      <w:r>
        <w:t xml:space="preserve">    </w:t>
      </w:r>
      <w:r>
        <w:rPr>
          <w:b/>
        </w:rPr>
        <w:t xml:space="preserve">Pub date: </w:t>
      </w:r>
      <w:r>
        <w:t>2026-05-19 17:05:13+00:00</w:t>
      </w:r>
      <w:r>
        <w:t xml:space="preserve">    </w:t>
      </w:r>
      <w:r>
        <w:rPr>
          <w:b/>
        </w:rPr>
        <w:t xml:space="preserve">DOI: </w:t>
      </w:r>
      <w:hyperlink r:id="rId174">
        <w:r>
          <w:rPr>
            <w:color w:val="1155CC"/>
            <w:u w:val="single"/>
          </w:rPr>
          <w:t>10.1021/acsenergylett.6c01324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175">
        <w:r>
          <w:rPr>
            <w:color w:val="1155CC"/>
            <w:u w:val="single"/>
          </w:rPr>
          <w:t>[ASAP] 间隙氢调制的亚纳米PdPtIrCoNiH高熵氢化物纳米线用于高效氢电催化</w:t>
        </w:r>
      </w:hyperlink>
    </w:p>
    <w:p>
      <w:pPr>
        <w:spacing w:before="0" w:after="80"/>
      </w:pPr>
      <w:r>
        <w:rPr>
          <w:i/>
          <w:sz w:val="20"/>
        </w:rPr>
        <w:t>EN: [ASAP] Interstitial-Hydrogen-Modulated Subnanometer PdPtIrCoNiH High-Entropy Hydride Nanowires for Efficient Hydrogen Electrocatalysis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2026-05-19 18:05:36+00:00</w:t>
      </w:r>
      <w:r>
        <w:t xml:space="preserve">    </w:t>
      </w:r>
      <w:r>
        <w:rPr>
          <w:b/>
        </w:rPr>
        <w:t xml:space="preserve">DOI: </w:t>
      </w:r>
      <w:hyperlink r:id="rId176">
        <w:r>
          <w:rPr>
            <w:color w:val="1155CC"/>
            <w:u w:val="single"/>
          </w:rPr>
          <w:t>10.1021/jacs.5c22868</w:t>
        </w:r>
      </w:hyperlink>
    </w:p>
    <w:p>
      <w:pPr>
        <w:spacing w:before="0" w:after="120"/>
      </w:pPr>
      <w:r>
        <w:rPr>
          <w:b/>
        </w:rPr>
        <w:t xml:space="preserve">Notes: </w:t>
      </w:r>
      <w:r>
        <w:t>abstract_source=pubmed</w:t>
      </w:r>
    </w:p>
    <w:p>
      <w:pPr>
        <w:spacing w:before="0" w:after="80" w:lineRule="auto" w:line="276"/>
      </w:pPr>
      <w:r>
        <w:rPr>
          <w:b/>
        </w:rPr>
        <w:t xml:space="preserve">摘要（ZH）: </w:t>
      </w:r>
      <w:r>
        <w:t>缓慢的 Volmer 步骤（水解离/形成）对碱性氢电催化提出了根本性挑战。在此，我们证明了在 PdPtIrCoNiH15 高熵氢化物纳米线中整合高熵设计和间隙氢工程可以有效克服这一动力学限制。PdPtIrCoNiH15 纳米线催化剂（直径约 1.21 nm）在 0.05 V 过电位下，对于 0.1 M KOH 中的氢氧化反应 (HOR) 和 1.0 M KOH 中的析氢反应 (HER)，分别表现出 8.02 和 4.55 A mgPGM-1 的卓越质量活性，优于商业 Pt/C 和其他对照催化剂。原位 X 射线光谱学揭示，间隙 H 诱导 PdPtIrCoNiH15 中的晶格膨胀并缓冲结构畸变，这可以促进水解离/*OH 吸附并提高催化活性/结构可逆性。密度泛函理论 (DFT) 计算揭示了 PdPtIrCoNiH15 表面上 *H/*OH 结合能 (HBE/OHBE) 的梯度分布。高熵效应和间隙氢可能导致 Pd/Pt 和 Ir/Co/Ni 位点上的电子富集和亏缺，从而分别优化这些位点上的 HBE 和 OHBE。梯度吸附和优化的 HBE/OHBE 为 *H 迁移提供了有利通道，并降低了 Volmer 步骤的能垒，从而提高了催化活性。在阴离子交换膜燃料电池 (AEMFC) 中，PdPtIrCoNiH15 阳极实现了 1.37 W cm-2 的显著峰值功率密度。作为 AEM 水电解槽 (AEMWE) 阴极，它需要...</w:t>
      </w:r>
    </w:p>
    <w:p>
      <w:pPr>
        <w:spacing w:before="0" w:after="200" w:lineRule="auto" w:line="276"/>
      </w:pPr>
      <w:r>
        <w:rPr>
          <w:b/>
        </w:rPr>
        <w:t xml:space="preserve">Abstract (EN): </w:t>
      </w:r>
      <w:r>
        <w:t>The slow Volmer step (water dissociation/formation) poses a fundamental challenge in alkaline hydrogen electrocatalysis. Here, we demonstrate that the integration of high-entropy design and interstitial hydrogen engineering in PdPtIrCoNiH15 high-entropy hydride nanowires effectively overcomes this kinetic limitation. The PdPtIrCoNiH15 nanowire catalyst (diameter ca. 1.21 nm) exhibits remarkable mass activities of 8.02 and 4.55 A mgPGM-1 at an overpotential of 0.05 V for the hydrogen oxidation reaction (HOR) in 0.1 M KOH and the hydrogen evolution reaction (HER) in 1.0 M KOH, respectively, outperforming commercial Pt/C and other control catalysts. Operando X-ray spectroscopies reveal that interstitial H induces lattice expansion in PdPtIrCoNiH15 and buffers the structural distortion, which can promote water dissociation/*OH adsorption and boost catalytic activity/structural reversibility. Density functional theory (DFT) calculations reveal the gradient distribution of *H/*OH binding energy (HBE/OHBE) on the PdPtIrCoNiH15 surface. The high-entropy effect and interstitial hydrogen could cause electron richness and deficiency on the Pd/Pt and Ir/Co/Ni sites, thus optimizing the HBE and OHBE on these sites, respectively. The gradient adsorption and optimized HBE/OHBE enable favorable channels for *H migration and lower the energy barrier of the Volmer step, thereby improving the catalytic activity. In an anion-exchange membrane fuel cell (AEMFC), the PdPtIrCoNiH15 anode achieves a remarkable peak power density of 1.37 W cm-2. As an AEM water electrolyzer (AEMWE) cathode, it requires only 1.626 V to reach 1 A cm-2 and maintains a slow degradation rate of 71 μV h-1 over 1000 h, representing one of the most active alkaline hydrogen electrocatalysts reported.</w:t>
      </w:r>
    </w:p>
    <w:p>
      <w:pPr>
        <w:spacing w:before="120" w:after="120"/>
      </w:pPr>
      <w:r>
        <w:rPr>
          <w:sz w:val="18"/>
        </w:rPr>
        <w:t>——————————————————————————————————————————————————————————————————————</w:t>
      </w:r>
    </w:p>
    <w:p>
      <w:pPr>
        <w:spacing w:before="160" w:after="40" w:line="240" w:lineRule="auto"/>
      </w:pPr>
      <w:r>
        <w:rPr>
          <w:b/>
        </w:rPr>
        <w:t xml:space="preserve">[27] </w:t>
      </w:r>
      <w:hyperlink r:id="rId177">
        <w:r>
          <w:rPr>
            <w:color w:val="1155CC"/>
            <w:u w:val="single"/>
          </w:rPr>
          <w:t>自旋极化和化学催化：我们已知、有效方法和未来展望</w:t>
        </w:r>
      </w:hyperlink>
    </w:p>
    <w:p>
      <w:pPr>
        <w:spacing w:before="0" w:after="80"/>
      </w:pPr>
      <w:r>
        <w:rPr>
          <w:i/>
          <w:sz w:val="20"/>
        </w:rPr>
        <w:t>EN: Spin polarization and chemical catalysis: what we know, what works, and what's next</w:t>
      </w:r>
    </w:p>
    <w:p>
      <w:pPr>
        <w:spacing w:before="0" w:after="120"/>
      </w:pPr>
      <w:r>
        <w:rPr>
          <w:b/>
        </w:rPr>
        <w:t xml:space="preserve">Source: </w:t>
      </w:r>
      <w:r>
        <w:t>RSC - Chem. Soc. Rev. latest articles</w:t>
      </w:r>
      <w:r>
        <w:t xml:space="preserve">    </w:t>
      </w:r>
      <w:r>
        <w:rPr>
          <w:b/>
        </w:rPr>
        <w:t xml:space="preserve">Pub date: </w:t>
      </w:r>
      <w:r>
        <w:t>2026-05-19 23:00:00+00:00</w:t>
      </w:r>
    </w:p>
    <w:p>
      <w:pPr>
        <w:spacing w:before="0" w:after="120"/>
      </w:pPr>
      <w:r>
        <w:rPr>
          <w:b/>
        </w:rPr>
        <w:t xml:space="preserve">Notes: </w:t>
      </w:r>
      <w:r>
        <w:t>abstract_source=rsc_html</w:t>
      </w:r>
    </w:p>
    <w:p>
      <w:pPr>
        <w:spacing w:before="0" w:after="80" w:lineRule="auto" w:line="276"/>
      </w:pPr>
      <w:r>
        <w:rPr>
          <w:b/>
        </w:rPr>
        <w:t xml:space="preserve">摘要（ZH）: </w:t>
      </w:r>
      <w:r>
        <w:t>自旋极化作为一种固有的电子自由度，已成为催化领域的一个变革性杠杆，为解决环境污染控制、可再生能源生产和现代化学制造中的挑战提供了新途径。基于电子性质与催化活性之间的内在联系，自旋效应可以通过修饰 d 带中心、调节 eg 电子以及促进光生载流子分离和传输等机制来增强催化性能。在本综述中，我们介绍了已建立的机制、代表性证据和现有局限性，并基于自旋分辨 d 带能级、eg 占据、自旋辅助载流子分离和自旋过滤的基本作用，对自旋催化进行了最新概述，重点关注其在析氢、O2 析出/还原、CO2 转化、氨合成和 CO 氧化中的应用。接下来，我们强调了通过调节自旋极化来提高催化性能的有效策略，包括结构工程和外部磁场的应用。最后，我们概述了通过实验技术和理论方法的协同发展，将自旋效应整合到先进催化系统中的优先事项，从而为可持续化学过程开辟了机遇。</w:t>
      </w:r>
    </w:p>
    <w:p>
      <w:pPr>
        <w:spacing w:before="0" w:after="200" w:lineRule="auto" w:line="276"/>
      </w:pPr>
      <w:r>
        <w:rPr>
          <w:b/>
        </w:rPr>
        <w:t xml:space="preserve">Abstract (EN): </w:t>
      </w:r>
      <w:r>
        <w:t>Spin polarization, an intrinsic electronic degree of freedom, has emerged as a transformative lever in catalysis, offering new avenues to address challenges in environmental pollution control, renewable energy generation, and modern chemical manufacturing. Building on the inherent connection between electronic properties and catalytic activity, spin effects can enhance catalytic performance through mechanisms such as modification of the d-band center, regulation of eg electrons, and promotion of photogenerated carrier separation and transport. In this review, we introduce established mechanisms, representative evidence, and remaining limitations, and present an up-to-date overview of spin catalysis grounded in the fundamental roles of spin-resolved d-band levels, eg occupancy, spin-assisted carrier separation, and spin filtering, with emphasis on applications in hydrogen evolution, O2 evolution/reduction, CO2 conversion, ammonia synthesis, and CO oxidation. We next highlight effective strategies to improve catalytic performance by modulating spin polarization, including structural engineering and the application of external magnetic fields. Finally, we outline priorities for integrating spin effects into advanced catalytic systems through coordinated development in experimental technologies and theoretical approaches, thereby unlocking opportunities for sustainable chemical processes.</w:t>
      </w:r>
    </w:p>
    <w:p>
      <w:pPr>
        <w:spacing w:before="120" w:after="120"/>
      </w:pPr>
      <w:r>
        <w:rPr>
          <w:sz w:val="18"/>
        </w:rPr>
        <w:t>——————————————————————————————————————————————————————————————————————</w:t>
      </w:r>
    </w:p>
    <w:p>
      <w:pPr>
        <w:spacing w:before="160" w:after="40" w:line="240" w:lineRule="auto"/>
      </w:pPr>
      <w:r>
        <w:rPr>
          <w:b/>
        </w:rPr>
        <w:t xml:space="preserve">[28] </w:t>
      </w:r>
      <w:hyperlink r:id="rId178">
        <w:r>
          <w:rPr>
            <w:color w:val="1155CC"/>
            <w:u w:val="single"/>
          </w:rPr>
          <w:t>一种用于常温光驱动化学链氨合成的气-液切换反应系统</w:t>
        </w:r>
      </w:hyperlink>
    </w:p>
    <w:p>
      <w:pPr>
        <w:spacing w:before="0" w:after="80"/>
      </w:pPr>
      <w:r>
        <w:rPr>
          <w:i/>
          <w:sz w:val="20"/>
        </w:rPr>
        <w:t>EN: A gas–liquid switching reaction system for normothermic photo-driven chemical looping ammonia synthesis</w:t>
      </w:r>
    </w:p>
    <w:p>
      <w:pPr>
        <w:spacing w:before="0" w:after="120"/>
      </w:pPr>
      <w:r>
        <w:rPr>
          <w:b/>
        </w:rPr>
        <w:t xml:space="preserve">Source: </w:t>
      </w:r>
      <w:r>
        <w:t>RSC - Energy Environ. Sci. latest articles</w:t>
      </w:r>
      <w:r>
        <w:t xml:space="preserve">    </w:t>
      </w:r>
      <w:r>
        <w:rPr>
          <w:b/>
        </w:rPr>
        <w:t xml:space="preserve">Pub date: </w:t>
      </w:r>
      <w:r>
        <w:t>2026-05-19 23:00:00+00:00</w:t>
      </w:r>
    </w:p>
    <w:p>
      <w:pPr>
        <w:spacing w:before="0" w:after="120"/>
      </w:pPr>
      <w:r>
        <w:rPr>
          <w:b/>
        </w:rPr>
        <w:t xml:space="preserve">Notes: </w:t>
      </w:r>
      <w:r>
        <w:t>abstract_source=rsc_html</w:t>
      </w:r>
    </w:p>
    <w:p>
      <w:pPr>
        <w:spacing w:before="0" w:after="80" w:lineRule="auto" w:line="276"/>
      </w:pPr>
      <w:r>
        <w:rPr>
          <w:b/>
        </w:rPr>
        <w:t xml:space="preserve">摘要（ZH）: </w:t>
      </w:r>
      <w:r>
        <w:t>化学链氨合成 (CLAS) 最近已成为一种有前景的可持续氨合成方法。然而，它需要较高的操作温度和精心设计的氮载体。在此，我们开发了一种气液切换反应系统 (GLS)，该系统使金属氧化物（TiO2、MoO3、NiO、ZrO2、Y2O3、Gd2O3、Bi2O3、Co3O4、CuO、In2O3 和 MgO）能够作为氮载体，在环境条件下实现光驱动的 CLAS。GLS 中的 TiO2 表现出与热驱动 CLAS 相当的活性，实现了 1.48 ± 0.03 mmol g−1 h−1 的氨生产速率，比单一光催化过程提高了 49.3 倍，在 400 nm 处的表观量子产率为 5.31%，太阳能制氨 (STA) 效率为 0.40%。GLS 是一个两步过程：气相反应（N2 和水蒸气）中的氮化，随后是液相反应（溶解的 N2 和水）中的表面更新。这种设计利用反应物相态，通过诱导氮和水覆盖的周期性交替来影响其表面可及性。GLS 调节 N 原子的吸电子效应，控制 Ti–N 键的形成和断裂，并驱动 N 原子进出晶格，从而实现高效的表面氮化和氨生产。这项工作将 CLAS 策略与光催化相结合，为在环境条件下使用低成本金属氧化物进行可持续氨合成开辟了新途径，并为克服化学链反应中的动力学和热力学障碍提供了新视角。</w:t>
      </w:r>
    </w:p>
    <w:p>
      <w:pPr>
        <w:spacing w:before="0" w:after="200" w:lineRule="auto" w:line="276"/>
      </w:pPr>
      <w:r>
        <w:rPr>
          <w:b/>
        </w:rPr>
        <w:t xml:space="preserve">Abstract (EN): </w:t>
      </w:r>
      <w:r>
        <w:t>Chemical looping ammonia synthesis (CLAS) has recently emerged as a promising approach for sustainable ammonia synthesis. However, it requires a high operating temperature and carefully designed nitrogen carriers. Herein, we developed a gas–liquid switching reaction system (GLS) that enables metal oxides (TiO2, MoO3, NiO, ZrO2, Y2O3, Gd2O3, Bi2O3, Co3O4, CuO, In2O3, and MgO) to act as nitrogen carriers for achieving photo-driven CLAS under ambient conditions. TiO2 within the GLS demonstrated competitive activity with that of thermal-driven CLAS, achieving an ammonia production rate of 1.48 ± 0.03 mmol g−1 h−1, a 49.3-fold improvement over the single photocatalytic process, with an apparent quantum yield of 5.31% at 400 nm and a solar to ammonia (STA) efficiency of 0.40%. GLS is a two-step process, nitridation in the gaseous reaction (N2 and water vapor) followed by surface renewal in the liquid reaction (dissolved N2 and water). This design utilizes the reactant phase state to influence its surface accessibility by inducing periodic alternation between nitrogen and water coverage. GLS modulates the electron-withdrawing effect of N atoms, controls the formation and breaking of Ti–N bonds, and drives the N atoms in and out of the lattice for efficient surface nitriding and ammonia production. This work bridges the CLAS strategy with photocatalysis, charting a new course for sustainable ammonia synthesis using low-cost metal oxides under ambient conditions, and offers a fresh perspective to overcome the kinetic and thermodynamic hurdles in chemical looping reactions.</w:t>
      </w:r>
    </w:p>
    <w:p>
      <w:pPr>
        <w:spacing w:before="120" w:after="120"/>
      </w:pPr>
      <w:r>
        <w:rPr>
          <w:sz w:val="18"/>
        </w:rPr>
        <w:t>——————————————————————————————————————————————————————————————————————</w:t>
      </w:r>
    </w:p>
    <w:p>
      <w:pPr>
        <w:spacing w:before="160" w:after="40" w:line="240" w:lineRule="auto"/>
      </w:pPr>
      <w:r>
        <w:rPr>
          <w:b/>
        </w:rPr>
        <w:t xml:space="preserve">[29] </w:t>
      </w:r>
      <w:hyperlink r:id="rId179">
        <w:r>
          <w:rPr>
            <w:color w:val="1155CC"/>
            <w:u w:val="single"/>
          </w:rPr>
          <w:t>考虑PEM电解槽关键部件退化的电氢耦合系统运行区域表征</w:t>
        </w:r>
      </w:hyperlink>
    </w:p>
    <w:p>
      <w:pPr>
        <w:spacing w:before="0" w:after="80"/>
      </w:pPr>
      <w:r>
        <w:rPr>
          <w:i/>
          <w:sz w:val="20"/>
        </w:rPr>
        <w:t>EN: Operating region characterization for electric-hydrogen coupling systems considering degradation of key components in PEM electrolyzers</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180">
        <w:r>
          <w:rPr>
            <w:color w:val="1155CC"/>
            <w:u w:val="single"/>
          </w:rPr>
          <w:t>天然氢系统：理解富集并应对地下挑战</w:t>
        </w:r>
      </w:hyperlink>
    </w:p>
    <w:p>
      <w:pPr>
        <w:spacing w:before="0" w:after="80"/>
      </w:pPr>
      <w:r>
        <w:rPr>
          <w:i/>
          <w:sz w:val="20"/>
        </w:rPr>
        <w:t>EN: Natural hydrogen systems: understanding accumulation and confronting subsurface challenges</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181">
        <w:r>
          <w:rPr>
            <w:color w:val="1155CC"/>
            <w:u w:val="single"/>
          </w:rPr>
          <w:t>钼口袋驱动的低铂氧还原催化剂用于 100 瓦级燃料电池堆</w:t>
        </w:r>
      </w:hyperlink>
    </w:p>
    <w:p>
      <w:pPr>
        <w:spacing w:before="0" w:after="80"/>
      </w:pPr>
      <w:r>
        <w:rPr>
          <w:i/>
          <w:sz w:val="20"/>
        </w:rPr>
        <w:t>EN: Molybdenum‐Pocket Driven Low‐Platinum Oxygen Reduction Catalysts for 100‐Watt‐Scale Fuel Cell Stacks</w:t>
      </w:r>
    </w:p>
    <w:p>
      <w:pPr>
        <w:spacing w:before="0" w:after="120"/>
      </w:pPr>
      <w:r>
        <w:rPr>
          <w:b/>
        </w:rPr>
        <w:t xml:space="preserve">Source: </w:t>
      </w:r>
      <w:r>
        <w:t>Wiley: Advanced Materials: Table of Contents</w:t>
      </w:r>
      <w:r>
        <w:t xml:space="preserve">    </w:t>
      </w:r>
      <w:r>
        <w:rPr>
          <w:b/>
        </w:rPr>
        <w:t xml:space="preserve">Pub date: </w:t>
      </w:r>
      <w:r>
        <w:t>2026-05-20 07:21:32+00:00</w:t>
      </w:r>
      <w:r>
        <w:t xml:space="preserve">    </w:t>
      </w:r>
      <w:r>
        <w:rPr>
          <w:b/>
        </w:rPr>
        <w:t xml:space="preserve">DOI: </w:t>
      </w:r>
      <w:hyperlink r:id="rId182">
        <w:r>
          <w:rPr>
            <w:color w:val="1155CC"/>
            <w:u w:val="single"/>
          </w:rPr>
          <w:t>10.1002/adma.73444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开发高效低铂（Pt）质子交换膜燃料电池（PEMFC）堆栈对其商业化至关重要。然而，超低载量Pt催化剂（&lt;0.10 mg cm</w:t>
      </w:r>
      <w:r>
        <w:t xml:space="preserve"> </w:t>
      </w:r>
      <w:r>
        <w:t>−2</w:t>
      </w:r>
      <w:r>
        <w:t xml:space="preserve"> </w:t>
      </w:r>
      <w:r>
        <w:t>）由于高氧阻力，尤其是在实际堆栈运行条件下，其活性和稳定性固有地较差。在此，我们提出了一种氧化钼口袋驱动的Pt</w:t>
      </w:r>
      <w:r>
        <w:rPr>
          <w:vertAlign w:val="subscript"/>
        </w:rPr>
        <w:t>2</w:t>
      </w:r>
      <w:r>
        <w:t>Co（MoO</w:t>
      </w:r>
      <w:r>
        <w:rPr>
          <w:vertAlign w:val="subscript"/>
        </w:rPr>
        <w:t>3</w:t>
      </w:r>
      <w:r>
        <w:t>‐Pt</w:t>
      </w:r>
      <w:r>
        <w:rPr>
          <w:vertAlign w:val="subscript"/>
        </w:rPr>
        <w:t>2</w:t>
      </w:r>
      <w:r>
        <w:t>Co）合金来解决上述挑战，其中富含氧空位的MoO</w:t>
      </w:r>
      <w:r>
        <w:rPr>
          <w:vertAlign w:val="subscript"/>
        </w:rPr>
        <w:t>3</w:t>
      </w:r>
      <w:r>
        <w:t>可以作为关键的“储氧口袋”，以提高氧还原反应（ORR）活性并最大限度地减少Co的浸出。因此，基于MoO</w:t>
      </w:r>
      <w:r>
        <w:rPr>
          <w:vertAlign w:val="subscript"/>
        </w:rPr>
        <w:t>3</w:t>
      </w:r>
      <w:r>
        <w:t>‐Pt</w:t>
      </w:r>
      <w:r>
        <w:rPr>
          <w:vertAlign w:val="subscript"/>
        </w:rPr>
        <w:t>2</w:t>
      </w:r>
      <w:r>
        <w:t>Co/C的膜电极组件（MEA）在H</w:t>
      </w:r>
      <w:r>
        <w:rPr>
          <w:vertAlign w:val="subscript"/>
        </w:rPr>
        <w:t>2</w:t>
      </w:r>
      <w:r>
        <w:t>‐O</w:t>
      </w:r>
      <w:r>
        <w:rPr>
          <w:vertAlign w:val="subscript"/>
        </w:rPr>
        <w:t>2</w:t>
      </w:r>
      <w:r>
        <w:t>和H</w:t>
      </w:r>
      <w:r>
        <w:rPr>
          <w:vertAlign w:val="subscript"/>
        </w:rPr>
        <w:t>2</w:t>
      </w:r>
      <w:r>
        <w:t>‐air中分别实现了3.20 W cm</w:t>
      </w:r>
      <w:r>
        <w:t xml:space="preserve"> </w:t>
      </w:r>
      <w:r>
        <w:t>−2</w:t>
      </w:r>
      <w:r>
        <w:t xml:space="preserve"> </w:t>
      </w:r>
      <w:r>
        <w:t>和1.73 W cm</w:t>
      </w:r>
      <w:r>
        <w:t xml:space="preserve"> </w:t>
      </w:r>
      <w:r>
        <w:t>−2</w:t>
      </w:r>
      <w:r>
        <w:t xml:space="preserve"> </w:t>
      </w:r>
      <w:r>
        <w:t>的卓越峰值功率密度，且Pt载量低至0.10 mg cm</w:t>
      </w:r>
      <w:r>
        <w:t xml:space="preserve"> </w:t>
      </w:r>
      <w:r>
        <w:t>−2</w:t>
      </w:r>
      <w:r>
        <w:t xml:space="preserve"> </w:t>
      </w:r>
      <w:r>
        <w:t>，超越了尖端MEA。同时，基于MoO</w:t>
      </w:r>
      <w:r>
        <w:rPr>
          <w:vertAlign w:val="subscript"/>
        </w:rPr>
        <w:t>3</w:t>
      </w:r>
      <w:r>
        <w:t>‐Pt</w:t>
      </w:r>
      <w:r>
        <w:rPr>
          <w:vertAlign w:val="subscript"/>
        </w:rPr>
        <w:t>2</w:t>
      </w:r>
      <w:r>
        <w:t>Co/C的MEA可以保持创纪录的</w:t>
      </w:r>
    </w:p>
    <w:p>
      <w:pPr>
        <w:spacing w:before="0" w:after="200" w:lineRule="auto" w:line="276"/>
      </w:pPr>
      <w:r>
        <w:rPr>
          <w:b/>
        </w:rPr>
        <w:t xml:space="preserve">Abstract (EN): </w:t>
      </w:r>
      <w:r>
        <w:t>Developing highly efficient and low‐platinum (Pt) proton exchange membrane fuel cell (PEMFC) stacks is imperative for their commercialization. However, ultralow‐loading Pt catalysts (&amp;lt;0.10 mg cm</w:t>
      </w:r>
      <w:r>
        <w:t xml:space="preserve"> </w:t>
      </w:r>
      <w:r>
        <w:t>−2</w:t>
      </w:r>
      <w:r>
        <w:t xml:space="preserve"> </w:t>
      </w:r>
      <w:r>
        <w:t>) are inherently less active and unstable due to high oxygen resistance, particularly under practical stack operating conditions. Here, we present a molybdenum oxide‐pocket‐driven Pt</w:t>
      </w:r>
      <w:r>
        <w:rPr>
          <w:vertAlign w:val="subscript"/>
        </w:rPr>
        <w:t>2</w:t>
      </w:r>
      <w:r>
        <w:t>Co (MoO</w:t>
      </w:r>
      <w:r>
        <w:rPr>
          <w:vertAlign w:val="subscript"/>
        </w:rPr>
        <w:t>3</w:t>
      </w:r>
      <w:r>
        <w:t>‐Pt</w:t>
      </w:r>
      <w:r>
        <w:rPr>
          <w:vertAlign w:val="subscript"/>
        </w:rPr>
        <w:t>2</w:t>
      </w:r>
      <w:r>
        <w:t>Co) alloy to tackle the aforementioned challenge, where MoO</w:t>
      </w:r>
      <w:r>
        <w:rPr>
          <w:vertAlign w:val="subscript"/>
        </w:rPr>
        <w:t>3</w:t>
      </w:r>
      <w:r>
        <w:t>with abundant oxygen vacancies can act as the pivotal “oxygen storage pocket” to boost the oxygen reduction reaction (ORR) activity and minimize the leaching of Co. Consequently, the MoO</w:t>
      </w:r>
      <w:r>
        <w:rPr>
          <w:vertAlign w:val="subscript"/>
        </w:rPr>
        <w:t>3</w:t>
      </w:r>
      <w:r>
        <w:t>‐Pt</w:t>
      </w:r>
      <w:r>
        <w:rPr>
          <w:vertAlign w:val="subscript"/>
        </w:rPr>
        <w:t>2</w:t>
      </w:r>
      <w:r>
        <w:t>Co/C‐based membrane electrode assembly (MEA) enables exceptional peak power densities of 3.20 W cm</w:t>
      </w:r>
      <w:r>
        <w:t xml:space="preserve"> </w:t>
      </w:r>
      <w:r>
        <w:t>−2</w:t>
      </w:r>
      <w:r>
        <w:t xml:space="preserve"> </w:t>
      </w:r>
      <w:r>
        <w:t>and 1.73 W cm</w:t>
      </w:r>
      <w:r>
        <w:t xml:space="preserve"> </w:t>
      </w:r>
      <w:r>
        <w:t>−2</w:t>
      </w:r>
      <w:r>
        <w:t xml:space="preserve"> </w:t>
      </w:r>
      <w:r>
        <w:t>in H</w:t>
      </w:r>
      <w:r>
        <w:rPr>
          <w:vertAlign w:val="subscript"/>
        </w:rPr>
        <w:t>2</w:t>
      </w:r>
      <w:r>
        <w:t>‐O</w:t>
      </w:r>
      <w:r>
        <w:rPr>
          <w:vertAlign w:val="subscript"/>
        </w:rPr>
        <w:t>2</w:t>
      </w:r>
      <w:r>
        <w:t>and H</w:t>
      </w:r>
      <w:r>
        <w:rPr>
          <w:vertAlign w:val="subscript"/>
        </w:rPr>
        <w:t>2</w:t>
      </w:r>
      <w:r>
        <w:t>‐air, respectively, with a low Pt loading of 0.10 mg cm</w:t>
      </w:r>
      <w:r>
        <w:t xml:space="preserve"> </w:t>
      </w:r>
      <w:r>
        <w:t>−2</w:t>
      </w:r>
      <w:r>
        <w:t xml:space="preserve"> </w:t>
      </w:r>
      <w:r>
        <w:t>, outperforming cutting‐edge MEAs. Meanwhile, the MoO</w:t>
      </w:r>
      <w:r>
        <w:rPr>
          <w:vertAlign w:val="subscript"/>
        </w:rPr>
        <w:t>3</w:t>
      </w:r>
      <w:r>
        <w:t>‐Pt</w:t>
      </w:r>
      <w:r>
        <w:rPr>
          <w:vertAlign w:val="subscript"/>
        </w:rPr>
        <w:t>2</w:t>
      </w:r>
      <w:r>
        <w:t>Co/C‐based MEA can retain a record‐breaking mass activity of 1.68 A mg</w:t>
      </w:r>
      <w:r>
        <w:t xml:space="preserve"> </w:t>
      </w:r>
      <w:r>
        <w:t>−1</w:t>
      </w:r>
      <w:r>
        <w:t xml:space="preserve"> </w:t>
      </w:r>
      <w:r>
        <w:t>after 30k‐cycle accelerated stress tests and can be operated stably at 0.65 V beyond 550 h. Most importantly, we develop a MoO</w:t>
      </w:r>
      <w:r>
        <w:rPr>
          <w:vertAlign w:val="subscript"/>
        </w:rPr>
        <w:t>3</w:t>
      </w:r>
      <w:r>
        <w:t>‐Pt</w:t>
      </w:r>
      <w:r>
        <w:rPr>
          <w:vertAlign w:val="subscript"/>
        </w:rPr>
        <w:t>2</w:t>
      </w:r>
      <w:r>
        <w:t>Co/C‐based fuel cell stack that delivers an excellent rated power of 123 W in H</w:t>
      </w:r>
      <w:r>
        <w:rPr>
          <w:vertAlign w:val="subscript"/>
        </w:rPr>
        <w:t>2</w:t>
      </w:r>
      <w:r>
        <w:t>‐air, which can project Pt utilization of 0.0975 g</w:t>
      </w:r>
      <w:r>
        <w:t xml:space="preserve"> </w:t>
      </w:r>
      <w:r>
        <w:t>Pt</w:t>
      </w:r>
      <w:r>
        <w:t xml:space="preserve"> </w:t>
      </w:r>
      <w:r>
        <w:t>kW</w:t>
      </w:r>
      <w:r>
        <w:t xml:space="preserve"> </w:t>
      </w:r>
      <w:r>
        <w:t>−1</w:t>
      </w:r>
      <w:r>
        <w:t xml:space="preserve"> </w:t>
      </w:r>
      <w:r>
        <w:t>for a 100‐kW hydrogen fuel cell vehicle, exceeding the US Department of energy (DOE) ultimate target of 0.10 g</w:t>
      </w:r>
      <w:r>
        <w:t xml:space="preserve"> </w:t>
      </w:r>
      <w:r>
        <w:t>Pt</w:t>
      </w:r>
      <w:r>
        <w:t xml:space="preserve"> </w:t>
      </w:r>
      <w:r>
        <w:t>kW</w:t>
      </w:r>
      <w:r>
        <w:t xml:space="preserve"> </w:t>
      </w:r>
      <w:r>
        <w:t>−1</w:t>
      </w:r>
      <w:r>
        <w:t xml:space="preserve"> </w:t>
      </w:r>
      <w:r>
        <w:t>.</w:t>
      </w:r>
    </w:p>
    <w:p>
      <w:pPr>
        <w:spacing w:before="120" w:after="120"/>
      </w:pPr>
      <w:r>
        <w:rPr>
          <w:sz w:val="18"/>
        </w:rPr>
        <w:t>——————————————————————————————————————————————————————————————————————</w:t>
      </w:r>
    </w:p>
    <w:p>
      <w:pPr>
        <w:spacing w:before="160" w:after="40" w:line="240" w:lineRule="auto"/>
      </w:pPr>
      <w:r>
        <w:rPr>
          <w:b/>
        </w:rPr>
        <w:t xml:space="preserve">[32] </w:t>
      </w:r>
      <w:hyperlink r:id="rId183">
        <w:r>
          <w:rPr>
            <w:color w:val="1155CC"/>
            <w:u w:val="single"/>
          </w:rPr>
          <w:t>[ASAP] 更正：“致密铂基金属间化合物纳米颗粒限域于中空介孔碳中用于耐用高功率重型燃料电池”</w:t>
        </w:r>
      </w:hyperlink>
    </w:p>
    <w:p>
      <w:pPr>
        <w:spacing w:before="0" w:after="80"/>
      </w:pPr>
      <w:r>
        <w:rPr>
          <w:i/>
          <w:sz w:val="20"/>
        </w:rPr>
        <w:t>EN: [ASAP] Correction to “Dense Platinum-Based Intermetallic Nanoparticles Confined into Hollow Mesoporous Carbon for Durable High-Power Heavy-Duty Fuel Cells”</w:t>
      </w:r>
    </w:p>
    <w:p>
      <w:pPr>
        <w:spacing w:before="0" w:after="120"/>
      </w:pPr>
      <w:r>
        <w:rPr>
          <w:b/>
        </w:rPr>
        <w:t xml:space="preserve">Source: </w:t>
      </w:r>
      <w:r>
        <w:t>Journal of the American Chemical Society: Latest Articles (ACS Publications)</w:t>
      </w:r>
      <w:r>
        <w:t xml:space="preserve">    </w:t>
      </w:r>
      <w:r>
        <w:rPr>
          <w:b/>
        </w:rPr>
        <w:t xml:space="preserve">Pub date: </w:t>
      </w:r>
      <w:r>
        <w:t>2026-05-20 08:48:48+00:00</w:t>
      </w:r>
      <w:r>
        <w:t xml:space="preserve">    </w:t>
      </w:r>
      <w:r>
        <w:rPr>
          <w:b/>
        </w:rPr>
        <w:t xml:space="preserve">DOI: </w:t>
      </w:r>
      <w:hyperlink r:id="rId184">
        <w:r>
          <w:rPr>
            <w:color w:val="1155CC"/>
            <w:u w:val="single"/>
          </w:rPr>
          <w:t>10.1021/jacs.6c09189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85">
        <w:r>
          <w:rPr>
            <w:color w:val="1155CC"/>
            <w:u w:val="single"/>
          </w:rPr>
          <w:t>迈向可持续和低碳工业转型：来自工业绿色微电网的启示</w:t>
        </w:r>
      </w:hyperlink>
    </w:p>
    <w:p>
      <w:pPr>
        <w:spacing w:before="0" w:after="80"/>
      </w:pPr>
      <w:r>
        <w:rPr>
          <w:i/>
          <w:sz w:val="20"/>
        </w:rPr>
        <w:t>EN: Toward sustainable and low-carbon industrial transformation: Insights from industrial green microgrids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86">
        <w:r>
          <w:rPr>
            <w:color w:val="1155CC"/>
            <w:u w:val="single"/>
          </w:rPr>
          <w:t>德国钢铁工业脱碳障碍识别作为可行性评估的基础</w:t>
        </w:r>
      </w:hyperlink>
    </w:p>
    <w:p>
      <w:pPr>
        <w:spacing w:before="0" w:after="80"/>
      </w:pPr>
      <w:r>
        <w:rPr>
          <w:i/>
          <w:sz w:val="20"/>
        </w:rPr>
        <w:t>EN: Identification of barriers to decarbonise the German steel industry as a basis for a feasibility assessment</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87">
        <w:r>
          <w:rPr>
            <w:color w:val="1155CC"/>
            <w:u w:val="single"/>
          </w:rPr>
          <w:t>具有联合机会约束的偏远矿区多能源系统双层多目标随机优化</w:t>
        </w:r>
      </w:hyperlink>
    </w:p>
    <w:p>
      <w:pPr>
        <w:spacing w:before="0" w:after="80"/>
      </w:pPr>
      <w:r>
        <w:rPr>
          <w:i/>
          <w:sz w:val="20"/>
        </w:rPr>
        <w:t>EN: Bi-level multi-objective stochastic optimization of multi-energy systems in remote mining areas with joint chance constraints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9">
        <w:r>
          <w:rPr>
            <w:color w:val="1155CC"/>
            <w:u w:val="single"/>
          </w:rPr>
          <w:t>自然通风模型预测控制导致的冷却用电量实测减少</w:t>
        </w:r>
      </w:hyperlink>
    </w:p>
    <w:p>
      <w:pPr>
        <w:spacing w:before="0" w:after="80"/>
      </w:pPr>
      <w:r>
        <w:rPr>
          <w:i/>
          <w:sz w:val="20"/>
        </w:rPr>
        <w:t>EN: Measured reductions in electricity use for cooling due to model predictive control of natural ventilation</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88">
        <w:r>
          <w:rPr>
            <w:color w:val="1155CC"/>
            <w:u w:val="single"/>
          </w:rPr>
          <w:t>用于数据中心运营鲁棒机器学习建模的时序因果特征选择</w:t>
        </w:r>
      </w:hyperlink>
    </w:p>
    <w:p>
      <w:pPr>
        <w:spacing w:before="0" w:after="80"/>
      </w:pPr>
      <w:r>
        <w:rPr>
          <w:i/>
          <w:sz w:val="20"/>
        </w:rPr>
        <w:t>EN: Temporal causal feature selection for robust machine learning modelling of data center operations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09">
        <w:r>
          <w:rPr>
            <w:color w:val="1155CC"/>
            <w:u w:val="single"/>
          </w:rPr>
          <w:t>一种用于自储能建筑的可膨胀水泥诱导赝超级电容器砖</w:t>
        </w:r>
      </w:hyperlink>
    </w:p>
    <w:p>
      <w:pPr>
        <w:spacing w:before="0" w:after="80"/>
      </w:pPr>
      <w:r>
        <w:rPr>
          <w:i/>
          <w:sz w:val="20"/>
        </w:rPr>
        <w:t>EN: An expandable cement-induced pseudo-supercapacitor brick for self-energy-storage buildings</w:t>
      </w:r>
    </w:p>
    <w:p>
      <w:pPr>
        <w:spacing w:before="0" w:after="120"/>
      </w:pPr>
      <w:r>
        <w:rPr>
          <w:b/>
        </w:rPr>
        <w:t xml:space="preserve">Source: </w:t>
      </w:r>
      <w:r>
        <w:t>RSC - Energy Environ. Sci. latest articles</w:t>
      </w:r>
      <w:r>
        <w:t xml:space="preserve">    </w:t>
      </w:r>
      <w:r>
        <w:rPr>
          <w:b/>
        </w:rPr>
        <w:t xml:space="preserve">Pub date: </w:t>
      </w:r>
      <w:r>
        <w:t>2026-05-17 23:00:00+00:00</w:t>
      </w:r>
    </w:p>
    <w:p>
      <w:pPr>
        <w:spacing w:before="0" w:after="120"/>
      </w:pPr>
      <w:r>
        <w:rPr>
          <w:b/>
        </w:rPr>
        <w:t xml:space="preserve">Notes: </w:t>
      </w:r>
      <w:r>
        <w:t>abstract_source=rsc_html</w:t>
      </w:r>
    </w:p>
    <w:p>
      <w:pPr>
        <w:spacing w:before="0" w:after="80" w:lineRule="auto" w:line="276"/>
      </w:pPr>
      <w:r>
        <w:rPr>
          <w:b/>
        </w:rPr>
        <w:t xml:space="preserve">摘要（ZH）: </w:t>
      </w:r>
      <w:r>
        <w:t>建筑深刻地影响着人类生活，然而，它们却占全球温室气体排放的近三分之一。作为主要的建筑材料，水泥是这些排放物的主要来源。因此，开发水泥基储能设备为低碳建筑解决方案提供了一条有前景的途径。然而，由于传统水泥固有的电化学惰性和储能能力不足，此类设备的性能在实际应用中仍不尽如人意。在本研究中，我们通过激活普通硅酸盐水泥的赝电容行为，使其能够作为高性能电极，引入了一种新颖的策略。结合镁水泥电解质，我们制造了一种全水泥超级电容器，它同时提供储能和承重功能。值得注意的是，这种集成设备实现了858.1 F的创纪录电容，超过了此前报道的水泥基超级电容器。此外，该设备可以直接浇铸成可扩展的砖状模块，从而实现无缝组装成储能墙。室外现场测试表明，该设备能够高效捕获光伏能量并将其输送给实际的电力负载。在中国不同地区的建筑规模模拟表明，用我们的储能砖替换传统外墙可将自用率显著提高高达40%，每年每栋建筑可额外产生约3000 kWh的电量，在高辐照地区可达6000 kWh。这一突破为d提供了一个变革性的解决方案。</w:t>
      </w:r>
    </w:p>
    <w:p>
      <w:pPr>
        <w:spacing w:before="0" w:after="200" w:lineRule="auto" w:line="276"/>
      </w:pPr>
      <w:r>
        <w:rPr>
          <w:b/>
        </w:rPr>
        <w:t xml:space="preserve">Abstract (EN): </w:t>
      </w:r>
      <w:r>
        <w:t>Buildings profoundly shape human life, yet they account for nearly one-third of global greenhouse gas emissions. As a primary building material, cement is a major contributor to these emissions. Therefore, developing cement-based energy storage devices presents a promising pathway toward low-carbon building solutions. However, due to the inherent electrochemical inertness and lack of energy storage capacity of conventional cement, the performance of such devices remains unsatisfactory for real-world applications. In this study, we introduce a novel strategy by activating the pseudocapacitive behavior of ordinary Portland cement, enabling it to function as a high-performance electrode. Combined with a magnesium cement electrolyte, we fabricate a full-cement supercapacitor that simultaneously provides energy storage and load-bearing functions. Remarkably, this integrated device achieves a record capacitance of 858.1 F, exceeding previously reported cement-based supercapacitors. Furthermore, the device can be directly cast into scalable brick-like modules, allowing seamless assembly into energy-storage walls. Outdoor field tests demonstrate efficient photovoltaic energy capture and delivery to practical electrical loads. Building-scale simulations across various regions in China demonstrate that replacing conventional exterior walls with our energy-storage bricks significantly increases the self-consumption rate by up to 40%, yielding an incremental ∼3000 kWh per building annually and 6000 kWh in high-irradiance regions. This breakthrough offers a transformative solution for developing self-powered buildings and decentralized energy infrastructure with significant carbon reduction potential.</w:t>
      </w:r>
    </w:p>
    <w:p>
      <w:pPr>
        <w:spacing w:before="120" w:after="120"/>
      </w:pPr>
      <w:r>
        <w:rPr>
          <w:sz w:val="18"/>
        </w:rPr>
        <w:t>——————————————————————————————————————————————————————————————————————</w:t>
      </w:r>
    </w:p>
    <w:p>
      <w:pPr>
        <w:spacing w:before="160" w:after="40" w:line="240" w:lineRule="auto"/>
      </w:pPr>
      <w:r>
        <w:rPr>
          <w:b/>
        </w:rPr>
        <w:t xml:space="preserve">[7] </w:t>
      </w:r>
      <w:hyperlink r:id="rId189">
        <w:r>
          <w:rPr>
            <w:color w:val="1155CC"/>
            <w:u w:val="single"/>
          </w:rPr>
          <w:t>一种具有异构电动汽车意愿的隐私保护个性化联邦强化学习框架用于V2G调度</w:t>
        </w:r>
      </w:hyperlink>
    </w:p>
    <w:p>
      <w:pPr>
        <w:spacing w:before="0" w:after="80"/>
      </w:pPr>
      <w:r>
        <w:rPr>
          <w:i/>
          <w:sz w:val="20"/>
        </w:rPr>
        <w:t>EN: A privacy-preserving personalized federated reinforcement learning framework with heterogeneous EV willingness for V2G scheduling</w:t>
      </w:r>
    </w:p>
    <w:p>
      <w:pPr>
        <w:spacing w:before="0" w:after="120"/>
      </w:pPr>
      <w:r>
        <w:rPr>
          <w:b/>
        </w:rPr>
        <w:t xml:space="preserve">Source: </w:t>
      </w:r>
      <w:r>
        <w:t>ScienceDirect Publication: Applied Energy</w:t>
      </w:r>
      <w:r>
        <w:t xml:space="preserve">    </w:t>
      </w:r>
      <w:r>
        <w:rPr>
          <w:b/>
        </w:rPr>
        <w:t xml:space="preserve">Pub date: </w:t>
      </w:r>
      <w:r>
        <w:t>2026-05-18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90">
        <w:r>
          <w:rPr>
            <w:color w:val="1155CC"/>
            <w:u w:val="single"/>
          </w:rPr>
          <w:t>1970-2020年人为全挥发性范围有机化合物的全球排放趋势</w:t>
        </w:r>
      </w:hyperlink>
    </w:p>
    <w:p>
      <w:pPr>
        <w:spacing w:before="0" w:after="80"/>
      </w:pPr>
      <w:r>
        <w:rPr>
          <w:i/>
          <w:sz w:val="20"/>
        </w:rPr>
        <w:t>EN: Global emission trends of anthropogenic full-volatility-range organic compounds 1970-2020</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191">
        <w:r>
          <w:rPr>
            <w:color w:val="1155CC"/>
            <w:u w:val="single"/>
          </w:rPr>
          <w:t>10.1093/nsr/nwag281</w:t>
        </w:r>
      </w:hyperlink>
    </w:p>
    <w:p>
      <w:pPr>
        <w:spacing w:before="0" w:after="120"/>
      </w:pPr>
      <w:r>
        <w:rPr>
          <w:b/>
        </w:rPr>
        <w:t xml:space="preserve">Notes: </w:t>
      </w:r>
      <w:r>
        <w:t>abstract_source=rss_oup</w:t>
      </w:r>
    </w:p>
    <w:p>
      <w:pPr>
        <w:spacing w:before="0" w:after="80" w:lineRule="auto" w:line="276"/>
      </w:pPr>
      <w:r>
        <w:rPr>
          <w:b/>
        </w:rPr>
        <w:t xml:space="preserve">摘要（ZH）: </w:t>
      </w:r>
      <w:r>
        <w:t>全挥发性范围有机化合物 (FVOC)，包括低挥发性、半挥发性、中等挥发性和非甲烷挥发性有机化合物 (L/S/IVOC 和 NMVOC)，是影响大气化学和气候的关键组分。准确估算其排放量对于模拟空气质量和理解气溶胶收支至关重要。然而，全球 FVOC 排放的长期趋势仍未量化。在此，我们在气候和空气污染研究多分辨率排放清单模型 (MEIC) 框架下，开发了 1970-2020 年按挥发性分级解析的全球人为 FVOC 排放清单 (MEIC-global-FVOC)，该清单整合了测量的气相和颗粒相排放因子。MEIC-global-FVOC 排放清单通过捕获 IVOC 排放并可能解释 L/SVOC 排放蒸发部分，填补了当前清单的空白，导致全球有机化合物排放量比当前清单高出 28%-41%。1970-2020 年间，全球 FVOC 排放量从 106.1 Mt 增加到 165.0 Mt，其中 L/SVOC (每十年 9.7%) 和 IVOC (每十年 11.5%) 的增长率高于 NMVOC (每十年 8.4%)，这主要由住宅生物燃料燃烧和挥发性化学产品 (VCPs) 使用等分散源活动的增加所驱动。1970-2020 年间，全球 L/S/IVOC 排放量从 35.0 Mt 增加到 58.4 Mt。从区域来看，由于生物燃料燃烧的增加，发展中地区的 L/S/IVOC 排放量迅速增加，而发达地区的排放量则下降或保持稳定，在</w:t>
      </w:r>
    </w:p>
    <w:p>
      <w:pPr>
        <w:spacing w:before="0" w:after="200" w:lineRule="auto" w:line="276"/>
      </w:pPr>
      <w:r>
        <w:rPr>
          <w:b/>
        </w:rPr>
        <w:t xml:space="preserve">Abstract (EN): </w:t>
      </w:r>
      <w:r>
        <w:t>Full-volatility-range organic compounds (FVOC), including low-volatility, semi-volatile, intermediate-volatility, and non-methane volatile organic compounds (L/S/IVOC and NMVOC), are key components influencing atmospheric chemistry and climate. Accurate estimates of their emissions are crucial for modeling air quality and understanding aerosol budgets. However, the long-term trends of global FVOC emissions remain unquantified. Here, we develop a volatility-bin-resolved global anthropogenic FVOC emission inventory for 1970–2020 under the Multi-resolution Emission Inventory model for Climate and air pollution research (MEIC) framework (MEIC-global-FVOC), integrating measured gas- and particle-phase emission factors. The MEIC-global-FVOC emission inventory fills the gaps in current inventories by capturing IVOC emissions and likely accounting for part of the evaporative fraction of L/SVOC emissions, leading to 28%-41% higher estimates for global organic compound emissions than current inventories. Global FVOC emissions increase from 106.1 Mt to 165.0 Mt during 1970–2020, with higher growth rates of L/SVOC (9.7% per decade) and IVOC (11.5% per decade) than that of NMVOC (8.4% per decade), mainly driven by increased activities in scattered sources such as residential biofuel combustion and volatile chemical products (VCPs) use. Global L/S/IVOC emissions increase from 35.0 Mt to 58.4 Mt during 1970–2020. Regionally, L/S/IVOC emissions increase rapidly in developing regions due to rising biofuel combustion, whereas emissions in developed regions decrease or remain stable under the offsetting effects of improved PM controls, coal phase-out, sustained rural biofuel use, and increased VCPs demand. Despite notable uncertainties, the MEIC-global-FVOC emission inventory provides more complete estimates of global organic compound emissions and a new dataset for advancing chemical transport modeling and understanding air pollution sources.</w:t>
      </w:r>
    </w:p>
    <w:p>
      <w:pPr>
        <w:spacing w:before="120" w:after="120"/>
      </w:pPr>
      <w:r>
        <w:rPr>
          <w:sz w:val="18"/>
        </w:rPr>
        <w:t>——————————————————————————————————————————————————————————————————————</w:t>
      </w:r>
    </w:p>
    <w:p>
      <w:pPr>
        <w:spacing w:before="160" w:after="40" w:line="240" w:lineRule="auto"/>
      </w:pPr>
      <w:r>
        <w:rPr>
          <w:b/>
        </w:rPr>
        <w:t xml:space="preserve">[9] </w:t>
      </w:r>
      <w:hyperlink r:id="rId192">
        <w:r>
          <w:rPr>
            <w:color w:val="1155CC"/>
            <w:u w:val="single"/>
          </w:rPr>
          <w:t>人类对全球小型水体气候引起的温室气体排放的放大作用</w:t>
        </w:r>
      </w:hyperlink>
    </w:p>
    <w:p>
      <w:pPr>
        <w:spacing w:before="0" w:after="80"/>
      </w:pPr>
      <w:r>
        <w:rPr>
          <w:i/>
          <w:sz w:val="20"/>
        </w:rPr>
        <w:t>EN: Human amplification of climate-induced greenhouse gas emissions from global small water bodies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193">
        <w:r>
          <w:rPr>
            <w:color w:val="1155CC"/>
            <w:u w:val="single"/>
          </w:rPr>
          <w:t>10.1073/pnas.2537678123</w:t>
        </w:r>
      </w:hyperlink>
    </w:p>
    <w:p>
      <w:pPr>
        <w:spacing w:before="0" w:after="120"/>
      </w:pPr>
      <w:r>
        <w:rPr>
          <w:b/>
        </w:rPr>
        <w:t xml:space="preserve">Notes: </w:t>
      </w:r>
      <w:r>
        <w:t>abstract_source=crossref</w:t>
      </w:r>
    </w:p>
    <w:p>
      <w:pPr>
        <w:spacing w:before="0" w:after="80" w:lineRule="auto" w:line="276"/>
      </w:pPr>
      <w:r>
        <w:rPr>
          <w:b/>
        </w:rPr>
        <w:t xml:space="preserve">摘要（ZH）: </w:t>
      </w:r>
      <w:r>
        <w:t>人类活动加剧了小型水体 (SWBs) 产生的气候诱导温室气体排放，在全球碳循环中产生了关键但尚未量化的反馈。在此，我们通过对470个实地观测数据进行机器学习模型训练，并将其扩展到包含328万个水体的全球数据库，量化了这种人类活动造成的放大效应，这种效应导致SWBs每年排放84.5 Tg CO₂和11.0 Tg CH₄，仅占地球表面积6%的SWBs却贡献了内陆水体总排放量中不成比例的份额（15%的CO₂和28%的CH₄）。这种放大效应主要由农业养分负荷和土地利用强度驱动，这使得农业流域的CH₄通量比森林系统高出五倍。未来预测显示，在SSP5-8.5情景下，这种协同作用将使到2100年的排放量增加高达30% (CO₂) 和14% (CH₄)，而可持续路径 (SSP1-2.6) 可以通过养分减排努力来缓解这种排放加速，这是当前气候变化评估中一个在很大程度上被忽视的反馈过程。</w:t>
      </w:r>
    </w:p>
    <w:p>
      <w:pPr>
        <w:spacing w:before="0" w:after="200" w:lineRule="auto" w:line="276"/>
      </w:pPr>
      <w:r>
        <w:rPr>
          <w:b/>
        </w:rPr>
        <w:t xml:space="preserve">Abstract (EN): </w:t>
      </w:r>
      <w:r>
        <w:t>Human activities amplify climate-induced greenhouse gas emissions from small water bodies (SWBs), creating critical but unquantified feedback in the global carbon cycle. Here, by training machine learning models on 470 field observations and upscaling to a global database of 3.28 million water bodies, we quantify this human amplification, which drives SWBs to emit 84.5 Tg CO</w:t>
      </w:r>
      <w:r>
        <w:rPr>
          <w:vertAlign w:val="subscript"/>
        </w:rPr>
        <w:t>2</w:t>
      </w:r>
      <w:r>
        <w:t>y</w:t>
      </w:r>
      <w:r>
        <w:t xml:space="preserve"> </w:t>
      </w:r>
      <w:r>
        <w:t>−1</w:t>
      </w:r>
      <w:r>
        <w:t xml:space="preserve"> </w:t>
      </w:r>
      <w:r>
        <w:t>and 11.0 Tg CH</w:t>
      </w:r>
      <w:r>
        <w:rPr>
          <w:vertAlign w:val="subscript"/>
        </w:rPr>
        <w:t>4</w:t>
      </w:r>
      <w:r>
        <w:t>y</w:t>
      </w:r>
      <w:r>
        <w:t xml:space="preserve"> </w:t>
      </w:r>
      <w:r>
        <w:t>−1</w:t>
      </w:r>
      <w:r>
        <w:t xml:space="preserve"> </w:t>
      </w:r>
      <w:r>
        <w:t>, a disproportionate share of total inland water emissions (15% of CO</w:t>
      </w:r>
      <w:r>
        <w:rPr>
          <w:vertAlign w:val="subscript"/>
        </w:rPr>
        <w:t>2</w:t>
      </w:r>
      <w:r>
        <w:t>and 28% of CH</w:t>
      </w:r>
      <w:r>
        <w:rPr>
          <w:vertAlign w:val="subscript"/>
        </w:rPr>
        <w:t>4</w:t>
      </w:r>
      <w:r>
        <w:t>) from only 6% of Earth’s surface area. This amplification is primarily fueled by agricultural nutrient loading and land use intensity, which elevate CH</w:t>
      </w:r>
      <w:r>
        <w:rPr>
          <w:vertAlign w:val="subscript"/>
        </w:rPr>
        <w:t>4</w:t>
      </w:r>
      <w:r>
        <w:t>fluxes in agricultural catchments five times higher than those in forested systems. Future projections show this synergy will increase emissions by up to 30% (CO</w:t>
      </w:r>
      <w:r>
        <w:rPr>
          <w:vertAlign w:val="subscript"/>
        </w:rPr>
        <w:t>2</w:t>
      </w:r>
      <w:r>
        <w:t>) and 14% (CH</w:t>
      </w:r>
      <w:r>
        <w:rPr>
          <w:vertAlign w:val="subscript"/>
        </w:rPr>
        <w:t>4</w:t>
      </w:r>
      <w:r>
        <w:t>) by 2100 under SSP5-8.5, whereas sustainable pathways (SSP1-2.6) could mitigate this emission acceleration through nutrient mitigation efforts, a largely neglected feedback process in current climate change assessments.</w:t>
      </w:r>
    </w:p>
    <w:p>
      <w:pPr>
        <w:spacing w:before="120" w:after="120"/>
      </w:pPr>
      <w:r>
        <w:rPr>
          <w:sz w:val="18"/>
        </w:rPr>
        <w:t>——————————————————————————————————————————————————————————————————————</w:t>
      </w:r>
    </w:p>
    <w:p>
      <w:pPr>
        <w:spacing w:before="160" w:after="40" w:line="240" w:lineRule="auto"/>
      </w:pPr>
      <w:r>
        <w:rPr>
          <w:b/>
        </w:rPr>
        <w:t xml:space="preserve">[10] </w:t>
      </w:r>
      <w:hyperlink r:id="rId194">
        <w:r>
          <w:rPr>
            <w:color w:val="1155CC"/>
            <w:u w:val="single"/>
          </w:rPr>
          <w:t>通过减少与耕地扩张相关的因素来扭转自然的巨大退化</w:t>
        </w:r>
      </w:hyperlink>
    </w:p>
    <w:p>
      <w:pPr>
        <w:spacing w:before="0" w:after="80"/>
      </w:pPr>
      <w:r>
        <w:rPr>
          <w:i/>
          <w:sz w:val="20"/>
        </w:rPr>
        <w:t>EN: Reversing the great degradation of nature by reducing factors related to cropland expansion</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195">
        <w:r>
          <w:rPr>
            <w:color w:val="1155CC"/>
            <w:u w:val="single"/>
          </w:rPr>
          <w:t>10.1073/pnas.2506601123</w:t>
        </w:r>
      </w:hyperlink>
    </w:p>
    <w:p>
      <w:pPr>
        <w:spacing w:before="0" w:after="120"/>
      </w:pPr>
      <w:r>
        <w:rPr>
          <w:b/>
        </w:rPr>
        <w:t xml:space="preserve">Notes: </w:t>
      </w:r>
      <w:r>
        <w:t>abstract_source=crossref</w:t>
      </w:r>
    </w:p>
    <w:p>
      <w:pPr>
        <w:spacing w:before="0" w:after="80" w:lineRule="auto" w:line="276"/>
      </w:pPr>
      <w:r>
        <w:rPr>
          <w:b/>
        </w:rPr>
        <w:t xml:space="preserve">摘要（ZH）: </w:t>
      </w:r>
      <w:r>
        <w:t>作为栖息地丧失的主要原因之一，农业耕地扩张是对生物多样性的主要威胁。我们分析了人口、人均作物需求和作物产量的过去和预期未来趋势，以估算在适度气候变化水平下，到2050年和2100年全球农业耕地需求。根据“一切照旧”模式，预计到本世纪末，高收入国家的耕地净增长将很少或没有，而低收入国家的耕地面积可能几乎翻倍。我们考虑了两种减少全球耕地扩张的策略：通过更健康的饮食、减少食物浪费和减少生物燃料生产来降低高收入国家的人均作物需求；以及加速低收入国家的经济发展。低收入国家的经济发展可以通过更慢的人口增长、提高作物产量和更高的全球作物贸易量来减少未来的耕地需求，这可能远超抵消不断增长的人均作物需求。这些影响将远远超过高收入国家作物需求减少所带来的耕地需求减少。此外，通过将低收入国家加速经济发展与高收入国家作物需求减少以及贸易摩擦减少相结合，到2100年全球耕地需求可能大幅减少。尽管经济增长常被认为与环境保护相悖，但加速低收入国家的经济发展不会。</w:t>
      </w:r>
    </w:p>
    <w:p>
      <w:pPr>
        <w:spacing w:before="0" w:after="200" w:lineRule="auto" w:line="276"/>
      </w:pPr>
      <w:r>
        <w:rPr>
          <w:b/>
        </w:rPr>
        <w:t xml:space="preserve">Abstract (EN): </w:t>
      </w:r>
      <w:r>
        <w:t>As one of the main causes of habitat loss, agricultural cropland expansion is a major threat to biodiversity. We analyze past and anticipated future trends in population, per capita crop demand, and crop yield to estimate agricultural cropland requirements globally by 2050 and 2100, assuming moderate levels of climate change. According to a model of “business as usual,” higher-income countries would be expected to show little or no net growth in cropland by the end of the century whereas cropland area could nearly double in lower-income countries. We consider two strategies to reduce global cropland expansion: decreasing per capita crop demand in higher-income countries by eating healthier diets, reducing food waste, and reducing biofuel production, and accelerating economic development in lower-income countries. Economic development in lower-income countries could reduce future cropland requirements via slower population growth, improved crop yield, and higher volumes of global crop trade, which could more than offset rising per capita crop demand. These impacts would far exceed reductions in cropland requirements from decreased crop demand in higher-income countries. Further, by combining accelerated economic development in lower-income countries with reduced crop demand in higher-income countries in tandem with reduced trade friction, global cropland requirements could shrink dramatically by the year 2100. Although economic growth is often considered to work in opposition to environmental conservation, accelerating economic development in lower-income countries would not only help alleviate poverty but could also confer benefits for biodiversity and global climate change.</w:t>
      </w:r>
    </w:p>
    <w:p>
      <w:pPr>
        <w:spacing w:before="120" w:after="120"/>
      </w:pPr>
      <w:r>
        <w:rPr>
          <w:sz w:val="18"/>
        </w:rPr>
        <w:t>——————————————————————————————————————————————————————————————————————</w:t>
      </w:r>
    </w:p>
    <w:p>
      <w:pPr>
        <w:spacing w:before="160" w:after="40" w:line="240" w:lineRule="auto"/>
      </w:pPr>
      <w:r>
        <w:rPr>
          <w:b/>
        </w:rPr>
        <w:t xml:space="preserve">[11] </w:t>
      </w:r>
      <w:hyperlink r:id="rId196">
        <w:r>
          <w:rPr>
            <w:color w:val="1155CC"/>
            <w:u w:val="single"/>
          </w:rPr>
          <w:t>通过一氧化碳 (CO) 和 5-羟甲基糠醛 (HMF) 的配对电解实现经济的低碳化学品生产</w:t>
        </w:r>
      </w:hyperlink>
    </w:p>
    <w:p>
      <w:pPr>
        <w:spacing w:before="0" w:after="80"/>
      </w:pPr>
      <w:r>
        <w:rPr>
          <w:i/>
          <w:sz w:val="20"/>
        </w:rPr>
        <w:t>EN: Economic Low‐Carbon Chemical Production via Paired Electrolysis of Carbon Monoxide (CO) and 5‐hydroxymethylfurfural (HMF)</w:t>
      </w:r>
    </w:p>
    <w:p>
      <w:pPr>
        <w:spacing w:before="0" w:after="120"/>
      </w:pPr>
      <w:r>
        <w:rPr>
          <w:b/>
        </w:rPr>
        <w:t xml:space="preserve">Source: </w:t>
      </w:r>
      <w:r>
        <w:t>Wiley: Advanced Materials: Table of Contents</w:t>
      </w:r>
      <w:r>
        <w:t xml:space="preserve">    </w:t>
      </w:r>
      <w:r>
        <w:rPr>
          <w:b/>
        </w:rPr>
        <w:t xml:space="preserve">Pub date: </w:t>
      </w:r>
      <w:r>
        <w:t>2026-05-19 08:40:40+00:00</w:t>
      </w:r>
      <w:r>
        <w:t xml:space="preserve">    </w:t>
      </w:r>
      <w:r>
        <w:rPr>
          <w:b/>
        </w:rPr>
        <w:t xml:space="preserve">DOI: </w:t>
      </w:r>
      <w:hyperlink r:id="rId197">
        <w:r>
          <w:rPr>
            <w:color w:val="1155CC"/>
            <w:u w:val="single"/>
          </w:rPr>
          <w:t>10.1002/adma.73411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w:t>
      </w:r>
      <w:r>
        <w:rPr>
          <w:vertAlign w:val="subscript"/>
        </w:rPr>
        <w:t>2</w:t>
      </w:r>
      <w:r>
        <w:t>和生物质衍生醇（如5-羟甲基糠醛（HMF）和甘油）的配对电解为联产有价值的化学品提供了一种可持续的方法，但存在阴极-阳极兼容性差和经济可行性有限的问题。在此，我们表明用一氧化碳（CO）替代CO</w:t>
      </w:r>
      <w:r>
        <w:rPr>
          <w:vertAlign w:val="subscript"/>
        </w:rPr>
        <w:t>2</w:t>
      </w:r>
      <w:r>
        <w:t>并采用阴极电解液层电解槽设计，通过阻止HCO</w:t>
      </w:r>
      <w:r>
        <w:rPr>
          <w:vertAlign w:val="subscript"/>
        </w:rPr>
        <w:t>3</w:t>
      </w:r>
      <w:r>
        <w:t>−</w:t>
      </w:r>
      <w:r>
        <w:t>形成和抑制电极间质量交换，共同提高了醇配对电解的运行稳定性。在该平台中，与甘油氧化相比，HMF氧化被认为是最佳阳极伴侣，因为它表现出可忽略不计的产物交叉，并且其中间体的氧化动力学始终优于析氧反应。因此，在包含阴极电解液层的膜电极组件电解槽中，CO和HMF的配对电解实现了乙烯和2,5-呋喃二甲酸（FDCA）的高效稳定联产，这两种都是分别来源于CO</w:t>
      </w:r>
      <w:r>
        <w:rPr>
          <w:vertAlign w:val="subscript"/>
        </w:rPr>
        <w:t>2</w:t>
      </w:r>
      <w:r>
        <w:t>和生物质的关键塑料单体。技术经济和环境评估表明，CO-HMF配对优于所有测试的CO</w:t>
      </w:r>
      <w:r>
        <w:rPr>
          <w:vertAlign w:val="subscript"/>
        </w:rPr>
        <w:t>2</w:t>
      </w:r>
      <w:r>
        <w:t>或CO-HMF或甘油组合，并且其生产成本和碳排放接近石油衍生的对苯二甲酸。T</w:t>
      </w:r>
    </w:p>
    <w:p>
      <w:pPr>
        <w:spacing w:before="0" w:after="200" w:lineRule="auto" w:line="276"/>
      </w:pPr>
      <w:r>
        <w:rPr>
          <w:b/>
        </w:rPr>
        <w:t xml:space="preserve">Abstract (EN): </w:t>
      </w:r>
      <w:r>
        <w:t>Paired electrolysis of CO</w:t>
      </w:r>
      <w:r>
        <w:rPr>
          <w:vertAlign w:val="subscript"/>
        </w:rPr>
        <w:t>2</w:t>
      </w:r>
      <w:r>
        <w:t>and biomass‐derived alcohols, such as 5‑hydroxymethylfurfural (HMF) and glycerol, offers a sustainable approach for co‐producing valuable chemicals, but suffers from poor cathode‐anode compatibility and limited economic feasibility. Herein, we show that replacing CO</w:t>
      </w:r>
      <w:r>
        <w:rPr>
          <w:vertAlign w:val="subscript"/>
        </w:rPr>
        <w:t>2</w:t>
      </w:r>
      <w:r>
        <w:t>with carbon monoxide (CO) and adopting a catholyte‐layer electrolyzer design jointly enhance the operational stability of alcohol‐paired electrolysis by preventing HCO</w:t>
      </w:r>
      <w:r>
        <w:rPr>
          <w:vertAlign w:val="subscript"/>
        </w:rPr>
        <w:t>3</w:t>
      </w:r>
      <w:r>
        <w:t>−</w:t>
      </w:r>
      <w:r>
        <w:t>formation and suppressing inter‑electrode mass exchange. Within this platform, HMF oxidation is identified as the optimal anodic partner compared with glycerol oxidation, because it exhibits negligible product crossover and the oxidation kinetics of its intermediates consistently outpace those of the oxygen evolution reaction. Consequently, the paired electrolysis of CO and HMF in a membrane‐electrode assembly electrolyzer incorporating a catholyte‐layer enabled efficient and stable co‑production of ethylene and 2,5‑furandicarboxylic acid (FDCA), both key plastic monomers derived from CO</w:t>
      </w:r>
      <w:r>
        <w:rPr>
          <w:vertAlign w:val="subscript"/>
        </w:rPr>
        <w:t>2</w:t>
      </w:r>
      <w:r>
        <w:t>and biomass, respectively. Techno‐economic and environmental assessment indicate that the CO‐HMF pairing outperforms all tested combination of CO</w:t>
      </w:r>
      <w:r>
        <w:rPr>
          <w:vertAlign w:val="subscript"/>
        </w:rPr>
        <w:t>2</w:t>
      </w:r>
      <w:r>
        <w:t>or CO‐HMF or glycerol and approaches the production cost and carbon emission to petroleum‐derived terephthalic acid. These results demonstrate CO electrolysis coupled with HMF oxidation as a cost‐effective and climate‐conscious strategy for sustainable chemical production.</w:t>
      </w:r>
    </w:p>
    <w:p>
      <w:pPr>
        <w:spacing w:before="120" w:after="120"/>
      </w:pPr>
      <w:r>
        <w:rPr>
          <w:sz w:val="18"/>
        </w:rPr>
        <w:t>——————————————————————————————————————————————————————————————————————</w:t>
      </w:r>
    </w:p>
    <w:p>
      <w:pPr>
        <w:spacing w:before="160" w:after="40" w:line="240" w:lineRule="auto"/>
      </w:pPr>
      <w:r>
        <w:rPr>
          <w:b/>
        </w:rPr>
        <w:t xml:space="preserve">[12] </w:t>
      </w:r>
      <w:hyperlink r:id="rId198">
        <w:r>
          <w:rPr>
            <w:color w:val="1155CC"/>
            <w:u w:val="single"/>
          </w:rPr>
          <w:t>森林碳协议低估了气候驱动的碳损失风险</w:t>
        </w:r>
      </w:hyperlink>
    </w:p>
    <w:p>
      <w:pPr>
        <w:spacing w:before="0" w:after="80"/>
      </w:pPr>
      <w:r>
        <w:rPr>
          <w:i/>
          <w:sz w:val="20"/>
        </w:rPr>
        <w:t>EN: Forest carbon protocols underestimate climate-driven carbon loss risks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199">
        <w:r>
          <w:rPr>
            <w:color w:val="1155CC"/>
            <w:u w:val="single"/>
          </w:rPr>
          <w:t>10.1038/s41586-026-10571-y</w:t>
        </w:r>
      </w:hyperlink>
    </w:p>
    <w:p>
      <w:pPr>
        <w:spacing w:before="0" w:after="120"/>
      </w:pPr>
      <w:r>
        <w:rPr>
          <w:b/>
        </w:rPr>
        <w:t xml:space="preserve">Notes: </w:t>
      </w:r>
      <w:r>
        <w:t>abstract_source=nature_html</w:t>
      </w:r>
    </w:p>
    <w:p>
      <w:pPr>
        <w:spacing w:before="0" w:after="80" w:lineRule="auto" w:line="276"/>
      </w:pPr>
      <w:r>
        <w:rPr>
          <w:b/>
        </w:rPr>
        <w:t xml:space="preserve">摘要（ZH）: </w:t>
      </w:r>
      <w:r>
        <w:t>尽管减少化石燃料排放对于减缓气候变化至关重要，但维护和增强森林碳汇已被广泛推广为基于自然的解决方案1,2,3,4。然而，在评估森林在气候减缓中的潜在作用时，可能导致森林碳储量损失的干扰因素却未被充分考虑5,6,7。这使得难以适当地确定“缓冲池”的大小：这是一种旨在补偿碳信用项目中意外碳损失的机制8,9。在此，我们利用森林清查、卫星数据、干扰建模和机器学习来绘制美国本土（CONUS）因自然干扰造成的逆转（碳损失）风险图。在CONUS森林中，我们发现气候变化增加了自然干扰导致碳损失的百年风险，尤其是在加利福尼亚州和落基山间西部地区。CONUS最大的森林气候减缓项目当前的缓冲池可能平均小了6.3倍，考虑到未来气候情景、干扰严重程度和其他碳库的不确定性，这一范围可能在2.2到8.0倍之间。我们提供了自然干扰导致森林碳损失长期风险的空间显式地图，这突出表明当前用于构建碳抵消缓冲池的方法需要在气候变化下进行修订才能成功。</w:t>
      </w:r>
    </w:p>
    <w:p>
      <w:pPr>
        <w:spacing w:before="0" w:after="200" w:lineRule="auto" w:line="276"/>
      </w:pPr>
      <w:r>
        <w:rPr>
          <w:b/>
        </w:rPr>
        <w:t xml:space="preserve">Abstract (EN): </w:t>
      </w:r>
      <w:r>
        <w:t>Although the reduction of fossil fuel emissions remains of the utmost importance to mitigate climate change, maintaining and enhancing carbon sinks in forests have been widely promoted as nature-based climate solutions1,2,3,4. However, disturbances that could result in losses of forest carbon stocks are poorly accounted for when estimating the potential role of forests in climate mitigation5,6,7. This makes it difficult to appropriately size ‘buffer pools’: a mechanism designed to compensate for unintended carbon losses in carbon crediting projects8,9. Here we use forest inventory, satellite data, disturbance modelling and machine learning to map reversal (carbon loss) risk in the contiguous United States (CONUS) from natural disturbance. Across CONUS forests, we show that climate change increases the 100-year risk of carbon losses from natural disturbance, particularly in California and the Intermountain West. The current buffer pool of the largest CONUS forest climate mitigation programme is likely too small by an average factor of 6.3, and this could range from 2.2- to 8.0-fold too small when considering uncertainties around future climate scenarios, disturbance severity and other carbon pools. We provide spatially explicit maps of the long-term risks to forest carbon losses from natural disturbances, which highlight that current methodologies used for constructing carbon offset buffer pools require revisions to succeed under climate change.</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200">
        <w:r>
          <w:rPr>
            <w:color w:val="1155CC"/>
            <w:u w:val="single"/>
          </w:rPr>
          <w:t>通过熔融碳酸盐电解实现沼气提质和增值利用的示范</w:t>
        </w:r>
      </w:hyperlink>
    </w:p>
    <w:p>
      <w:pPr>
        <w:spacing w:before="0" w:after="80"/>
      </w:pPr>
      <w:r>
        <w:rPr>
          <w:i/>
          <w:sz w:val="20"/>
        </w:rPr>
        <w:t>EN: Demonstration of biogas upgrading and valorization via molten carbonate electrolysis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8">
        <w:r>
          <w:rPr>
            <w:color w:val="1155CC"/>
            <w:u w:val="single"/>
          </w:rPr>
          <w:t>电催化系统：揭示流动电化学在电化学能源应用及其他领域的潜力</w:t>
        </w:r>
      </w:hyperlink>
    </w:p>
    <w:p>
      <w:pPr>
        <w:spacing w:before="0" w:after="80"/>
      </w:pPr>
      <w:r>
        <w:rPr>
          <w:i/>
          <w:sz w:val="20"/>
        </w:rPr>
        <w:t>EN: Electrocatalytic systems: Unveiling the potential of flow electrochemistry for electrochemical energy applications and beyond</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01">
        <w:r>
          <w:rPr>
            <w:color w:val="1155CC"/>
            <w:u w:val="single"/>
          </w:rPr>
          <w:t>基于合作博弈的综合电力和燃气系统规划与CCUS</w:t>
        </w:r>
      </w:hyperlink>
    </w:p>
    <w:p>
      <w:pPr>
        <w:spacing w:before="0" w:after="80"/>
      </w:pPr>
      <w:r>
        <w:rPr>
          <w:i/>
          <w:sz w:val="20"/>
        </w:rPr>
        <w:t>EN: Cooperative bargaining-based integrated electricity and gas system planning with CCUS</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02">
        <w:r>
          <w:rPr>
            <w:color w:val="1155CC"/>
            <w:u w:val="single"/>
          </w:rPr>
          <w:t>[ASAP] 铁器时代：离子液体介导的界面电荷转移实现氧化铁上 CO2 选择性光还原为甲酸</w:t>
        </w:r>
      </w:hyperlink>
    </w:p>
    <w:p>
      <w:pPr>
        <w:spacing w:before="0" w:after="80"/>
      </w:pPr>
      <w:r>
        <w:rPr>
          <w:i/>
          <w:sz w:val="20"/>
        </w:rPr>
        <w:t>EN: [ASAP] Iron Age: Ionic-Liquid-Mediated Interfacial Charge Transfer Enables Selective CO2 Photoreduction to Formic Acid on Iron Oxide</w:t>
      </w:r>
    </w:p>
    <w:p>
      <w:pPr>
        <w:spacing w:before="0" w:after="120"/>
      </w:pPr>
      <w:r>
        <w:rPr>
          <w:b/>
        </w:rPr>
        <w:t xml:space="preserve">Source: </w:t>
      </w:r>
      <w:r>
        <w:t>Journal of the American Chemical Society: Latest Articles (ACS Publications)</w:t>
      </w:r>
      <w:r>
        <w:t xml:space="preserve">    </w:t>
      </w:r>
      <w:r>
        <w:rPr>
          <w:b/>
        </w:rPr>
        <w:t xml:space="preserve">Pub date: </w:t>
      </w:r>
      <w:r>
        <w:t>2026-05-17 15:48:15+00:00</w:t>
      </w:r>
      <w:r>
        <w:t xml:space="preserve">    </w:t>
      </w:r>
      <w:r>
        <w:rPr>
          <w:b/>
        </w:rPr>
        <w:t xml:space="preserve">DOI: </w:t>
      </w:r>
      <w:hyperlink r:id="rId203">
        <w:r>
          <w:rPr>
            <w:color w:val="1155CC"/>
            <w:u w:val="single"/>
          </w:rPr>
          <w:t>10.1021/jacs.6c04801</w:t>
        </w:r>
      </w:hyperlink>
    </w:p>
    <w:p>
      <w:pPr>
        <w:spacing w:before="0" w:after="120"/>
      </w:pPr>
      <w:r>
        <w:rPr>
          <w:b/>
        </w:rPr>
        <w:t xml:space="preserve">Notes: </w:t>
      </w:r>
      <w:r>
        <w:t>abstract_source=pubmed</w:t>
      </w:r>
    </w:p>
    <w:p>
      <w:pPr>
        <w:spacing w:before="0" w:after="80" w:lineRule="auto" w:line="276"/>
      </w:pPr>
      <w:r>
        <w:rPr>
          <w:b/>
        </w:rPr>
        <w:t xml:space="preserve">摘要（ZH）: </w:t>
      </w:r>
      <w:r>
        <w:t>人工光合作用能够太阳能驱动水中的CO2还原生成甲酸，甲酸是一种C1氢载体和可再生燃料前体。然而，水性介质中甲酸的选择性形成根本上受限于低效的界面质子-电子耦合。在此，我们展示了离子液体 (ILs) 通过离子对途径主动介导界面电荷转移，提取并稳定光生电子和质子，从而实现选择性CO2光还原。在此背景下，我们的氧化铁微棒在LED照射下的IL-水溶液中表现出高活性的甲酸生产能力。在不同的ILs中，1,2-二甲基-1-正丁基咪唑 2-甲基咪唑盐 (BMMIm.MeIm) 提供了最高的效率，实现了约55.4 μmol (554 μmol.g-1) 的甲酸产率，选择性 &gt;99%，表观量子产率为4.4%。光谱分析 (EPR、NMR 和原位FTIR) 揭示了 [CO2]•- 和咪唑鎓阳离子自由基物种的形成，证实了IL直接参与电荷提取和CO2活化。穆斯堡尔谱证实赤铁矿是主要相，并揭示了IL诱导形成了6-9%的还原铁 (Fe(0)/Fe(I))，表明微棒内Fe2O3的部分还原。IL创造了一个有序的界面微环境，调节能带能量学，促进电荷分离，并稳定CO2衍生的中间体，而光诱导的自由基特征表明瞬态界面电荷转移过程有利于选择性甲酸盐的生产。</w:t>
      </w:r>
    </w:p>
    <w:p>
      <w:pPr>
        <w:spacing w:before="0" w:after="200" w:lineRule="auto" w:line="276"/>
      </w:pPr>
      <w:r>
        <w:rPr>
          <w:b/>
        </w:rPr>
        <w:t xml:space="preserve">Abstract (EN): </w:t>
      </w:r>
      <w:r>
        <w:t>Artificial photosynthesis enables the solar-driven reduction of CO2 in water to form formic acid, a C1 hydrogen carrier and renewable fuel precursor. However, selective formic acid formation in aqueous media remains fundamentally limited by inefficient interfacial proton-electron coupling. Here, we show that ionic liquids (ILs) actively mediate interfacial charge transfer through ion-pair pathways that extract and stabilize photogenerated electrons and protons, thereby enabling selective CO2 photoreduction. In this context, our iron oxide microrods exhibit high activity for formic acid production in IL-aqueous solutions under LED irradiation. Among the different ILs, 1,2-dimethyl-1-n-butyl-imidazolium 2-methylimidazolate (BMMIm.MeIm) affords the highest efficiency, achieving a yield of about 55.4 μmol (554 μmol.g-1) of formic acid with &gt;99% selectivity and an apparent quantum yield of 4.4%. Spectroscopic analyses (EPR, NMR, and ex situ FTIR) reveal the formation of [CO2]•- and imidazolium-cation radical species, confirming the direct participation of IL in charge extraction and CO2 activation. Mössbauer spectroscopy confirmed hematite as the predominant phase and revealed an IL-induced formation of 6-9% reduced iron (Fe(0)/Fe(I)), indicating partial Fe2O3 reduction within the microrods. The IL creates an organized interfacial microenvironment that tunes band energetics, promotes charge separation, and stabilizes CO2-derived intermediates, while light-induced radical signatures indicate transient interfacial charge-transfer processes that favor selective formate production. This catalytic system also demonstrates efficiency under natural sunlight, producing 27.7 μmol (277 μmol.g-1), highlighting its adaptability and robustness. DFT calculations further reveal that IL cation-anion orientation at Fe2O3 surfaces modulates band energetics and promotes interfacial charge transfer.</w:t>
      </w:r>
    </w:p>
    <w:p>
      <w:pPr>
        <w:spacing w:before="120" w:after="120"/>
      </w:pPr>
      <w:r>
        <w:rPr>
          <w:sz w:val="18"/>
        </w:rPr>
        <w:t>——————————————————————————————————————————————————————————————————————</w:t>
      </w:r>
    </w:p>
    <w:p>
      <w:pPr>
        <w:spacing w:before="160" w:after="40" w:line="240" w:lineRule="auto"/>
      </w:pPr>
      <w:r>
        <w:rPr>
          <w:b/>
        </w:rPr>
        <w:t xml:space="preserve">[5] </w:t>
      </w:r>
      <w:hyperlink r:id="rId204">
        <w:r>
          <w:rPr>
            <w:color w:val="1155CC"/>
            <w:u w:val="single"/>
          </w:rPr>
          <w:t>笼状催化剂：内源性金属簇的串联组装和温度调控对称性破缺用于相控CO2电还原</w:t>
        </w:r>
      </w:hyperlink>
    </w:p>
    <w:p>
      <w:pPr>
        <w:spacing w:before="0" w:after="80"/>
      </w:pPr>
      <w:r>
        <w:rPr>
          <w:i/>
          <w:sz w:val="20"/>
        </w:rPr>
        <w:t>EN: Cage Catalyst: Tandem Assembly and Temperature‐Regulated Symmetry Breaking of Endogenous Metal Cluster for Phase‐Controlled CO2 Electroreduction</w:t>
      </w:r>
    </w:p>
    <w:p>
      <w:pPr>
        <w:spacing w:before="0" w:after="120"/>
      </w:pPr>
      <w:r>
        <w:rPr>
          <w:b/>
        </w:rPr>
        <w:t xml:space="preserve">Source: </w:t>
      </w:r>
      <w:r>
        <w:t>Wiley: Angewandte Chemie International Edition: Table of Contents</w:t>
      </w:r>
      <w:r>
        <w:t xml:space="preserve">    </w:t>
      </w:r>
      <w:r>
        <w:rPr>
          <w:b/>
        </w:rPr>
        <w:t xml:space="preserve">Pub date: </w:t>
      </w:r>
      <w:r>
        <w:t>2026-05-18 03:17:04+00:00</w:t>
      </w:r>
      <w:r>
        <w:t xml:space="preserve">    </w:t>
      </w:r>
      <w:r>
        <w:rPr>
          <w:b/>
        </w:rPr>
        <w:t xml:space="preserve">DOI: </w:t>
      </w:r>
      <w:hyperlink r:id="rId205">
        <w:r>
          <w:rPr>
            <w:color w:val="1155CC"/>
            <w:u w:val="single"/>
          </w:rPr>
          <w:t>10.1002/anie.5948094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金属簇封装在多孔有机笼（POCs）中是制备金属酶模拟催化剂的一种有前景的策略。然而，构建含有内源性金属簇的POCs并实现对其形成和结构演变的原子级控制仍然是一个关键挑战。在此，我们通过配位驱动串联组装，在亚胺基[4+6] POC（</w:t>
      </w:r>
      <w:r>
        <w:t xml:space="preserve"> </w:t>
      </w:r>
      <w:r>
        <w:t>α</w:t>
      </w:r>
      <w:r>
        <w:t xml:space="preserve"> </w:t>
      </w:r>
      <w:r>
        <w:t>‐Ag</w:t>
      </w:r>
      <w:r>
        <w:rPr>
          <w:vertAlign w:val="subscript"/>
        </w:rPr>
        <w:t>4</w:t>
      </w:r>
      <w:r>
        <w:t>X</w:t>
      </w:r>
      <w:r>
        <w:rPr>
          <w:vertAlign w:val="subscript"/>
        </w:rPr>
        <w:t>4</w:t>
      </w:r>
      <w:r>
        <w:t>@Cage‐2</w:t>
      </w:r>
      <w:r>
        <w:t xml:space="preserve"> </w:t>
      </w:r>
      <w:r>
        <w:t>，X = Cl, Br, I）中实现了立方四核Ag卤化物簇的原位生长，并通过时间分辨质谱进行了监测。加热后，</w:t>
      </w:r>
      <w:r>
        <w:t xml:space="preserve"> </w:t>
      </w:r>
      <w:r>
        <w:t>α</w:t>
      </w:r>
      <w:r>
        <w:t xml:space="preserve"> </w:t>
      </w:r>
      <w:r>
        <w:t>‐Ag</w:t>
      </w:r>
      <w:r>
        <w:rPr>
          <w:vertAlign w:val="subscript"/>
        </w:rPr>
        <w:t>4</w:t>
      </w:r>
      <w:r>
        <w:t>X</w:t>
      </w:r>
      <w:r>
        <w:rPr>
          <w:vertAlign w:val="subscript"/>
        </w:rPr>
        <w:t>4</w:t>
      </w:r>
      <w:r>
        <w:t>@Cage‐2</w:t>
      </w:r>
      <w:r>
        <w:t xml:space="preserve"> </w:t>
      </w:r>
      <w:r>
        <w:t>（X = Cl, Br）发生单晶到单晶转变，通过Ag–X键断裂实现对称性破缺，结构从立方烷转变为扭曲的六面体（</w:t>
      </w:r>
      <w:r>
        <w:t xml:space="preserve"> </w:t>
      </w:r>
      <w:r>
        <w:t>β</w:t>
      </w:r>
      <w:r>
        <w:t xml:space="preserve"> </w:t>
      </w:r>
      <w:r>
        <w:t>相）。这是分子笼中内源性金属簇热诱导结构变化的罕见原子级观察。对于CO</w:t>
      </w:r>
      <w:r>
        <w:rPr>
          <w:vertAlign w:val="subscript"/>
        </w:rPr>
        <w:t>2</w:t>
      </w:r>
      <w:r>
        <w:t>电还原，</w:t>
      </w:r>
      <w:r>
        <w:t xml:space="preserve"> </w:t>
      </w:r>
      <w:r>
        <w:t>β</w:t>
      </w:r>
      <w:r>
        <w:t xml:space="preserve"> </w:t>
      </w:r>
      <w:r>
        <w:t>‐Ag</w:t>
      </w:r>
      <w:r>
        <w:rPr>
          <w:vertAlign w:val="subscript"/>
        </w:rPr>
        <w:t>4</w:t>
      </w:r>
      <w:r>
        <w:t>X</w:t>
      </w:r>
      <w:r>
        <w:rPr>
          <w:vertAlign w:val="subscript"/>
        </w:rPr>
        <w:t>4</w:t>
      </w:r>
      <w:r>
        <w:t>@Cage‐2</w:t>
      </w:r>
    </w:p>
    <w:p>
      <w:pPr>
        <w:spacing w:before="0" w:after="200" w:lineRule="auto" w:line="276"/>
      </w:pPr>
      <w:r>
        <w:rPr>
          <w:b/>
        </w:rPr>
        <w:t xml:space="preserve">Abstract (EN): </w:t>
      </w:r>
      <w:r>
        <w:t>Encapsulation of metal clusters in porous organic cages (POCs) is a promising strategy for metalloenzyme‐mimetic catalysts. However, constructing POCs with endogenous metal clusters and achieving atomic‐level control over their formation and structural evolution remains a key challenge. Here, we realize the in situ growth of a cubic tetranuclear Ag‐halide cluster in an imine‐based [4+6] POC (</w:t>
      </w:r>
      <w:r>
        <w:t xml:space="preserve"> </w:t>
      </w:r>
      <w:r>
        <w:t>α</w:t>
      </w:r>
      <w:r>
        <w:t xml:space="preserve"> </w:t>
      </w:r>
      <w:r>
        <w:t>‐Ag</w:t>
      </w:r>
      <w:r>
        <w:rPr>
          <w:vertAlign w:val="subscript"/>
        </w:rPr>
        <w:t>4</w:t>
      </w:r>
      <w:r>
        <w:t>X</w:t>
      </w:r>
      <w:r>
        <w:rPr>
          <w:vertAlign w:val="subscript"/>
        </w:rPr>
        <w:t>4</w:t>
      </w:r>
      <w:r>
        <w:t>@Cage‐2</w:t>
      </w:r>
      <w:r>
        <w:t xml:space="preserve"> </w:t>
      </w:r>
      <w:r>
        <w:t>, X = Cl, Br, I) via coordination‐driven tandem assembly, monitored by time‐resolved mass spectrometry. Upon heating,</w:t>
      </w:r>
      <w:r>
        <w:t xml:space="preserve"> </w:t>
      </w:r>
      <w:r>
        <w:t>α</w:t>
      </w:r>
      <w:r>
        <w:t xml:space="preserve"> </w:t>
      </w:r>
      <w:r>
        <w:t>‐Ag</w:t>
      </w:r>
      <w:r>
        <w:rPr>
          <w:vertAlign w:val="subscript"/>
        </w:rPr>
        <w:t>4</w:t>
      </w:r>
      <w:r>
        <w:t>X</w:t>
      </w:r>
      <w:r>
        <w:rPr>
          <w:vertAlign w:val="subscript"/>
        </w:rPr>
        <w:t>4</w:t>
      </w:r>
      <w:r>
        <w:t>@Cage‐2</w:t>
      </w:r>
      <w:r>
        <w:t xml:space="preserve"> </w:t>
      </w:r>
      <w:r>
        <w:t>(X = Cl, Br) undergoes a single‐crystal‐to‐single‐crystal transformation, with symmetry breaking via Ag–X bond cleavage and structural transition from cubane to distorted hexahedron (</w:t>
      </w:r>
      <w:r>
        <w:t xml:space="preserve"> </w:t>
      </w:r>
      <w:r>
        <w:t>β</w:t>
      </w:r>
      <w:r>
        <w:t xml:space="preserve"> </w:t>
      </w:r>
      <w:r>
        <w:t>phase). This is a rare atomic‐level observation of thermally induced structural change of endogenous metal clusters in molecular cages. For CO</w:t>
      </w:r>
      <w:r>
        <w:rPr>
          <w:vertAlign w:val="subscript"/>
        </w:rPr>
        <w:t>2</w:t>
      </w:r>
      <w:r>
        <w:t>electroreduction,</w:t>
      </w:r>
      <w:r>
        <w:t xml:space="preserve"> </w:t>
      </w:r>
      <w:r>
        <w:t>β</w:t>
      </w:r>
      <w:r>
        <w:t xml:space="preserve"> </w:t>
      </w:r>
      <w:r>
        <w:t>‐Ag</w:t>
      </w:r>
      <w:r>
        <w:rPr>
          <w:vertAlign w:val="subscript"/>
        </w:rPr>
        <w:t>4</w:t>
      </w:r>
      <w:r>
        <w:t>X</w:t>
      </w:r>
      <w:r>
        <w:rPr>
          <w:vertAlign w:val="subscript"/>
        </w:rPr>
        <w:t>4</w:t>
      </w:r>
      <w:r>
        <w:t>@Cage‐2</w:t>
      </w:r>
      <w:r>
        <w:t xml:space="preserve"> </w:t>
      </w:r>
      <w:r>
        <w:t>reaches 98.7% FE</w:t>
      </w:r>
      <w:r>
        <w:t xml:space="preserve"> </w:t>
      </w:r>
      <w:r>
        <w:t>CO</w:t>
      </w:r>
      <w:r>
        <w:t xml:space="preserve"> </w:t>
      </w:r>
      <w:r>
        <w:t>at −1.05 V versus RHE with 100 h stability (outperforming its</w:t>
      </w:r>
      <w:r>
        <w:t xml:space="preserve"> </w:t>
      </w:r>
      <w:r>
        <w:t>α</w:t>
      </w:r>
      <w:r>
        <w:t xml:space="preserve"> </w:t>
      </w:r>
      <w:r>
        <w:t>‐phase counterpart), a TOF of 100 060 h</w:t>
      </w:r>
      <w:r>
        <w:t xml:space="preserve"> </w:t>
      </w:r>
      <w:r>
        <w:t>−1</w:t>
      </w:r>
      <w:r>
        <w:t xml:space="preserve"> </w:t>
      </w:r>
      <w:r>
        <w:t>at 500 mA cm</w:t>
      </w:r>
      <w:r>
        <w:t xml:space="preserve"> </w:t>
      </w:r>
      <w:r>
        <w:t>−2</w:t>
      </w:r>
      <w:r>
        <w:t xml:space="preserve"> </w:t>
      </w:r>
      <w:r>
        <w:t>, ranking among top molecular materials. Mechanistic studies reveal that the</w:t>
      </w:r>
      <w:r>
        <w:t xml:space="preserve"> </w:t>
      </w:r>
      <w:r>
        <w:t>β</w:t>
      </w:r>
      <w:r>
        <w:t xml:space="preserve"> </w:t>
      </w:r>
      <w:r>
        <w:t>‐Ag</w:t>
      </w:r>
      <w:r>
        <w:rPr>
          <w:vertAlign w:val="subscript"/>
        </w:rPr>
        <w:t>4</w:t>
      </w:r>
      <w:r>
        <w:t>X</w:t>
      </w:r>
      <w:r>
        <w:rPr>
          <w:vertAlign w:val="subscript"/>
        </w:rPr>
        <w:t>4</w:t>
      </w:r>
      <w:r>
        <w:t>structural distortion disrupts charge symmetry of the four Ag atoms and localizes electrons at the bond‐cleaved Ag site, lowering the energy barrier for key *COOH intermediate formation. This work offers insights into the dynamic evolution of confined metal clusters via precise host–guest structural engineering.</w:t>
      </w:r>
    </w:p>
    <w:p>
      <w:pPr>
        <w:spacing w:before="120" w:after="120"/>
      </w:pPr>
      <w:r>
        <w:rPr>
          <w:sz w:val="18"/>
        </w:rPr>
        <w:t>——————————————————————————————————————————————————————————————————————</w:t>
      </w:r>
    </w:p>
    <w:p>
      <w:pPr>
        <w:spacing w:before="160" w:after="40" w:line="240" w:lineRule="auto"/>
      </w:pPr>
      <w:r>
        <w:rPr>
          <w:b/>
        </w:rPr>
        <w:t xml:space="preserve">[6] </w:t>
      </w:r>
      <w:hyperlink r:id="rId206">
        <w:r>
          <w:rPr>
            <w:color w:val="1155CC"/>
            <w:u w:val="single"/>
          </w:rPr>
          <w:t>石墨炔作为氮化碳异质结中的空穴传输通道用于协同CO2还原和γ-丁内酯合成</w:t>
        </w:r>
      </w:hyperlink>
    </w:p>
    <w:p>
      <w:pPr>
        <w:spacing w:before="0" w:after="80"/>
      </w:pPr>
      <w:r>
        <w:rPr>
          <w:i/>
          <w:sz w:val="20"/>
        </w:rPr>
        <w:t>EN: Graphdiyne as a Hole‐Transport Channel in Carbon Nitride Heterojunctions for Synergistic CO2 Reduction and γ‐Butyrolactone Synthesis</w:t>
      </w:r>
    </w:p>
    <w:p>
      <w:pPr>
        <w:spacing w:before="0" w:after="120"/>
      </w:pPr>
      <w:r>
        <w:rPr>
          <w:b/>
        </w:rPr>
        <w:t xml:space="preserve">Source: </w:t>
      </w:r>
      <w:r>
        <w:t>Wiley: Angewandte Chemie International Edition: Table of Contents</w:t>
      </w:r>
      <w:r>
        <w:t xml:space="preserve">    </w:t>
      </w:r>
      <w:r>
        <w:rPr>
          <w:b/>
        </w:rPr>
        <w:t xml:space="preserve">Pub date: </w:t>
      </w:r>
      <w:r>
        <w:t>2026-05-18 03:20:49+00:00</w:t>
      </w:r>
      <w:r>
        <w:t xml:space="preserve">    </w:t>
      </w:r>
      <w:r>
        <w:rPr>
          <w:b/>
        </w:rPr>
        <w:t xml:space="preserve">DOI: </w:t>
      </w:r>
      <w:hyperlink r:id="rId207">
        <w:r>
          <w:rPr>
            <w:color w:val="1155CC"/>
            <w:u w:val="single"/>
          </w:rPr>
          <w:t>10.1002/anie.3147768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将光催化CO</w:t>
      </w:r>
      <w:r>
        <w:rPr>
          <w:vertAlign w:val="subscript"/>
        </w:rPr>
        <w:t>2</w:t>
      </w:r>
      <w:r>
        <w:t>还原与有机氧化耦合有望增强太阳能转换和原子经济性，但由于难以协调选择性氧化还原转化同时抑制副反应，这仍然具有挑战性。在此，我们报道了一种无金属的石墨炔（GDY）/聚合氮化碳（PCN）异质结，其在CO</w:t>
      </w:r>
      <w:r>
        <w:rPr>
          <w:vertAlign w:val="subscript"/>
        </w:rPr>
        <w:t>2</w:t>
      </w:r>
      <w:r>
        <w:t>还原与四氢呋喃氧化生成</w:t>
      </w:r>
      <w:r>
        <w:t xml:space="preserve"> </w:t>
      </w:r>
      <w:r>
        <w:t>γ</w:t>
      </w:r>
      <w:r>
        <w:t xml:space="preserve"> </w:t>
      </w:r>
      <w:r>
        <w:t>-丁内酯的耦合反应中实现了卓越的双功能性能。优化后的复合材料在温和的光热条件下，CO生产率为55 µmol·h</w:t>
      </w:r>
      <w:r>
        <w:t xml:space="preserve"> </w:t>
      </w:r>
      <w:r>
        <w:t>−1</w:t>
      </w:r>
      <w:r>
        <w:t xml:space="preserve"> </w:t>
      </w:r>
      <w:r>
        <w:t>·g</w:t>
      </w:r>
      <w:r>
        <w:t xml:space="preserve"> </w:t>
      </w:r>
      <w:r>
        <w:t>−1</w:t>
      </w:r>
      <w:r>
        <w:t xml:space="preserve"> </w:t>
      </w:r>
      <w:r>
        <w:t>，选择性为95%，</w:t>
      </w:r>
      <w:r>
        <w:t xml:space="preserve"> </w:t>
      </w:r>
      <w:r>
        <w:t>γ</w:t>
      </w:r>
      <w:r>
        <w:t xml:space="preserve"> </w:t>
      </w:r>
      <w:r>
        <w:t>-丁内酯产率为54%，选择性接近100%（&amp;gt; 99%），分别比热处理的PCN提高了2.9倍和6.8倍。机制研究表明，GDY作为空穴传输层，产生了一个内置电场，驱动电荷载流子的空间分离。这种配置将电子限制在PCN上用于CO</w:t>
      </w:r>
      <w:r>
        <w:rPr>
          <w:vertAlign w:val="subscript"/>
        </w:rPr>
        <w:t>2</w:t>
      </w:r>
      <w:r>
        <w:t>还原，同时将空穴导向GDY用于四氢呋喃活化。此外，无金属异质结抑制了困扰金属负载系统的过度氧化途径，从而实现了卓越的选择性控制。这项工作确立了GDY/PCN异质结作为一种强大的</w:t>
      </w:r>
    </w:p>
    <w:p>
      <w:pPr>
        <w:spacing w:before="0" w:after="200" w:lineRule="auto" w:line="276"/>
      </w:pPr>
      <w:r>
        <w:rPr>
          <w:b/>
        </w:rPr>
        <w:t xml:space="preserve">Abstract (EN): </w:t>
      </w:r>
      <w:r>
        <w:t>Coupling photocatalytic CO</w:t>
      </w:r>
      <w:r>
        <w:rPr>
          <w:vertAlign w:val="subscript"/>
        </w:rPr>
        <w:t>2</w:t>
      </w:r>
      <w:r>
        <w:t>reduction with organic oxidation promises enhanced solar energy conversion and atom economy but remains challenging due to the difficulty in orchestrating selective redox transformations while suppressing side reactions. Here, we report a metal‐free graphdiyne (GDY)/polymeric carbon nitride (PCN) heterojunction that achieves exceptional bifunctional performance in CO</w:t>
      </w:r>
      <w:r>
        <w:rPr>
          <w:vertAlign w:val="subscript"/>
        </w:rPr>
        <w:t>2</w:t>
      </w:r>
      <w:r>
        <w:t>reduction coupled with tetrahydrofuran oxidation to</w:t>
      </w:r>
      <w:r>
        <w:t xml:space="preserve"> </w:t>
      </w:r>
      <w:r>
        <w:t>γ</w:t>
      </w:r>
      <w:r>
        <w:t xml:space="preserve"> </w:t>
      </w:r>
      <w:r>
        <w:t>‐butyrolactone. The optimized composite delivers a CO production rate of 55 µmol·h</w:t>
      </w:r>
      <w:r>
        <w:t xml:space="preserve"> </w:t>
      </w:r>
      <w:r>
        <w:t>−1</w:t>
      </w:r>
      <w:r>
        <w:t xml:space="preserve"> </w:t>
      </w:r>
      <w:r>
        <w:t>·g</w:t>
      </w:r>
      <w:r>
        <w:t xml:space="preserve"> </w:t>
      </w:r>
      <w:r>
        <w:t>−1</w:t>
      </w:r>
      <w:r>
        <w:t xml:space="preserve"> </w:t>
      </w:r>
      <w:r>
        <w:t>with 95% selectivity, and a</w:t>
      </w:r>
      <w:r>
        <w:t xml:space="preserve"> </w:t>
      </w:r>
      <w:r>
        <w:t>γ</w:t>
      </w:r>
      <w:r>
        <w:t xml:space="preserve"> </w:t>
      </w:r>
      <w:r>
        <w:t>‐butyrolactone yield of 54% with near‐unity selectivity (&amp;gt; 99%) under mild photothermal conditions, representing 2.9‐fold and 6.8‐fold enhancements over thermally treated PCN, respectively. Mechanistic investigations reveal that GDY serves as a hole‐transport layer, generating a built‐in electric field that drives spatial separation of charge carriers. This configuration confines electrons on PCN for CO</w:t>
      </w:r>
      <w:r>
        <w:rPr>
          <w:vertAlign w:val="subscript"/>
        </w:rPr>
        <w:t>2</w:t>
      </w:r>
      <w:r>
        <w:t>reduction while directing holes to GDY for tetrahydrofuran activation. Moreover, the metal‐free heterojunction suppresses over‐oxidation pathways that plague metal‐loaded systems, enabling remarkable selectivity control. This work establishes the GDY/PCN heterojunction as a powerful platform for cooperative photoredox catalysis and provides a blueprint for designing metal‐free heterojunctions toward sustainable synthesis.</w:t>
      </w:r>
    </w:p>
    <w:p>
      <w:pPr>
        <w:spacing w:before="120" w:after="120"/>
      </w:pPr>
      <w:r>
        <w:rPr>
          <w:sz w:val="18"/>
        </w:rPr>
        <w:t>——————————————————————————————————————————————————————————————————————</w:t>
      </w:r>
    </w:p>
    <w:p>
      <w:pPr>
        <w:spacing w:before="160" w:after="40" w:line="240" w:lineRule="auto"/>
      </w:pPr>
      <w:r>
        <w:rPr>
          <w:b/>
        </w:rPr>
        <w:t xml:space="preserve">[7] </w:t>
      </w:r>
      <w:hyperlink r:id="rId208">
        <w:r>
          <w:rPr>
            <w:color w:val="1155CC"/>
            <w:u w:val="single"/>
          </w:rPr>
          <w:t>几秒内实现近100%高值化：将PET-金属氧化物混合物转化为rGO上的M1Ox簇和高级合成气/芳烃产品</w:t>
        </w:r>
      </w:hyperlink>
    </w:p>
    <w:p>
      <w:pPr>
        <w:spacing w:before="0" w:after="80"/>
      </w:pPr>
      <w:r>
        <w:rPr>
          <w:i/>
          <w:sz w:val="20"/>
        </w:rPr>
        <w:t>EN: Nearly 100% Valorization in Seconds: Transforming PET‐Metal Oxide Mixtures Into M1Ox Clusters on rGO and Premium Syngas/Aromatics Products</w:t>
      </w:r>
    </w:p>
    <w:p>
      <w:pPr>
        <w:spacing w:before="0" w:after="120"/>
      </w:pPr>
      <w:r>
        <w:rPr>
          <w:b/>
        </w:rPr>
        <w:t xml:space="preserve">Source: </w:t>
      </w:r>
      <w:r>
        <w:t>Wiley: Angewandte Chemie International Edition: Table of Contents</w:t>
      </w:r>
      <w:r>
        <w:t xml:space="preserve">    </w:t>
      </w:r>
      <w:r>
        <w:rPr>
          <w:b/>
        </w:rPr>
        <w:t xml:space="preserve">Pub date: </w:t>
      </w:r>
      <w:r>
        <w:t>2026-05-18 03:21:22+00:00</w:t>
      </w:r>
      <w:r>
        <w:t xml:space="preserve">    </w:t>
      </w:r>
      <w:r>
        <w:rPr>
          <w:b/>
        </w:rPr>
        <w:t xml:space="preserve">DOI: </w:t>
      </w:r>
      <w:hyperlink r:id="rId209">
        <w:r>
          <w:rPr>
            <w:color w:val="1155CC"/>
            <w:u w:val="single"/>
          </w:rPr>
          <w:t>10.1002/anie.1688371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聚对苯二甲酸乙二醇酯 (PET) 的高效回收通常受到低价值产品、有限的加工能力、反应时间长和碳转化不完全等挑战的阻碍。在此，我们开发了一种大规模、超快焦耳辅助重整策略，可在数秒内实现含有10 g PET废料和金属氧化物的物理混合物近100%的价值化。该过程将超过30%的碳转化为负载在还原氧化石墨烯 (M</w:t>
      </w:r>
      <w:r>
        <w:rPr>
          <w:vertAlign w:val="subscript"/>
        </w:rPr>
        <w:t>1</w:t>
      </w:r>
      <w:r>
        <w:t>O</w:t>
      </w:r>
      <w:r>
        <w:t xml:space="preserve"> </w:t>
      </w:r>
      <w:r>
        <w:t>x</w:t>
      </w:r>
      <w:r>
        <w:t xml:space="preserve"> </w:t>
      </w:r>
      <w:r>
        <w:t>/rGO) 纳米片上的单金属原子氧化物簇，同时将剩余的碳转化为高价值合成气和芳香族化合物。当应用于PET废料和商用ZnO的物理混合物时，气态产物主要由合成气（88.91 mmol CO和41.85 mmol H</w:t>
      </w:r>
      <w:r>
        <w:rPr>
          <w:vertAlign w:val="subscript"/>
        </w:rPr>
        <w:t>2</w:t>
      </w:r>
      <w:r>
        <w:t>）组成，芳香族组分含有22.84 mmol 苯，固体产物为Zn</w:t>
      </w:r>
      <w:r>
        <w:rPr>
          <w:vertAlign w:val="subscript"/>
        </w:rPr>
        <w:t>1</w:t>
      </w:r>
      <w:r>
        <w:t>O</w:t>
      </w:r>
      <w:r>
        <w:rPr>
          <w:vertAlign w:val="subscript"/>
        </w:rPr>
        <w:t>4</w:t>
      </w:r>
      <w:r>
        <w:t>/rGO纳米片。同步辐射X射线吸收精细结构和X射线发射光谱分析证实，在合成的Zn</w:t>
      </w:r>
      <w:r>
        <w:rPr>
          <w:vertAlign w:val="subscript"/>
        </w:rPr>
        <w:t>1</w:t>
      </w:r>
      <w:r>
        <w:t>O</w:t>
      </w:r>
      <w:r>
        <w:rPr>
          <w:vertAlign w:val="subscript"/>
        </w:rPr>
        <w:t>4</w:t>
      </w:r>
      <w:r>
        <w:t>/rGO纳米片中，Zn中心周围存在四配位氧环境。通过准原位傅里叶变换红外光谱和准原位气相色谱/质谱监测PET重整路径，并</w:t>
      </w:r>
    </w:p>
    <w:p>
      <w:pPr>
        <w:spacing w:before="0" w:after="200" w:lineRule="auto" w:line="276"/>
      </w:pPr>
      <w:r>
        <w:rPr>
          <w:b/>
        </w:rPr>
        <w:t xml:space="preserve">Abstract (EN): </w:t>
      </w:r>
      <w:r>
        <w:t>The efficient recycling of polyethylene terephthalate (PET) is often hindered by challenges such as low‐value products, limited processing capacity, prolonged reaction times, and incomplete carbon conversion. Here, we develop a large‐scale, ultrafast Joule‐assisted reformation strategy that achieves nearly 100% valorization of physical mixtures containing 10 g of PET waste and metal oxides within seconds. This process converts more than 30% of the carbon into single‐metal‐atom oxide clusters supported on reduced graphene oxide (M</w:t>
      </w:r>
      <w:r>
        <w:rPr>
          <w:vertAlign w:val="subscript"/>
        </w:rPr>
        <w:t>1</w:t>
      </w:r>
      <w:r>
        <w:t>O</w:t>
      </w:r>
      <w:r>
        <w:t xml:space="preserve"> </w:t>
      </w:r>
      <w:r>
        <w:t>x</w:t>
      </w:r>
      <w:r>
        <w:t xml:space="preserve"> </w:t>
      </w:r>
      <w:r>
        <w:t>/rGO) nanosheets, while transforming the remaining carbon into high‐value syngas and aromatic compounds. When applied to a physical mixture of PET waste and commercial ZnO, the gaseous products consist mainly of syngas (88.91 mmol CO and 41.85 mmol H</w:t>
      </w:r>
      <w:r>
        <w:rPr>
          <w:vertAlign w:val="subscript"/>
        </w:rPr>
        <w:t>2</w:t>
      </w:r>
      <w:r>
        <w:t>), the aromatic fraction contains 22.84 mmol benzene, and the solid product is Zn</w:t>
      </w:r>
      <w:r>
        <w:rPr>
          <w:vertAlign w:val="subscript"/>
        </w:rPr>
        <w:t>1</w:t>
      </w:r>
      <w:r>
        <w:t>O</w:t>
      </w:r>
      <w:r>
        <w:rPr>
          <w:vertAlign w:val="subscript"/>
        </w:rPr>
        <w:t>4</w:t>
      </w:r>
      <w:r>
        <w:t>/rGO nanosheets. Synchrotron‐radiation X‐ray absorption fine structure and X‐ray emission spectroscopy analyses confirm a four‐coordinate oxygen environment around the Zn center in the as‐synthesized Zn</w:t>
      </w:r>
      <w:r>
        <w:rPr>
          <w:vertAlign w:val="subscript"/>
        </w:rPr>
        <w:t>1</w:t>
      </w:r>
      <w:r>
        <w:t>O</w:t>
      </w:r>
      <w:r>
        <w:rPr>
          <w:vertAlign w:val="subscript"/>
        </w:rPr>
        <w:t>4</w:t>
      </w:r>
      <w:r>
        <w:t>/rGO nanosheets. The PET reformation pathway was monitored using quasi‐in situ Fourier transform infrared spectroscopy and quasi‐in situ gas chromatography/mass spectrometry, and ab initio molecular dynamics simulations revealed a fragmentation–annulation mechanism. The resulting Zn</w:t>
      </w:r>
      <w:r>
        <w:rPr>
          <w:vertAlign w:val="subscript"/>
        </w:rPr>
        <w:t>1</w:t>
      </w:r>
      <w:r>
        <w:t>O</w:t>
      </w:r>
      <w:r>
        <w:rPr>
          <w:vertAlign w:val="subscript"/>
        </w:rPr>
        <w:t>4</w:t>
      </w:r>
      <w:r>
        <w:t>/rGO nanosheets exhibit excellent electrocatalytic performance for syngas production via CO</w:t>
      </w:r>
      <w:r>
        <w:rPr>
          <w:vertAlign w:val="subscript"/>
        </w:rPr>
        <w:t>2</w:t>
      </w:r>
      <w:r>
        <w:t>reduction at an industrial‐level current density of 400 mA cm</w:t>
      </w:r>
      <w:r>
        <w:t xml:space="preserve"> </w:t>
      </w:r>
      <w:r>
        <w:t>−2</w:t>
      </w:r>
      <w:r>
        <w:t xml:space="preserve"> </w:t>
      </w:r>
      <w:r>
        <w:t>. This work establishes a new paradigm for the near‐complete valorization of PET waste into high‐value products.</w:t>
      </w:r>
    </w:p>
    <w:p>
      <w:pPr>
        <w:spacing w:before="120" w:after="120"/>
      </w:pPr>
      <w:r>
        <w:rPr>
          <w:sz w:val="18"/>
        </w:rPr>
        <w:t>——————————————————————————————————————————————————————————————————————</w:t>
      </w:r>
    </w:p>
    <w:p>
      <w:pPr>
        <w:spacing w:before="160" w:after="40" w:line="240" w:lineRule="auto"/>
      </w:pPr>
      <w:r>
        <w:rPr>
          <w:b/>
        </w:rPr>
        <w:t xml:space="preserve">[8] </w:t>
      </w:r>
      <w:hyperlink r:id="rId157">
        <w:r>
          <w:rPr>
            <w:color w:val="1155CC"/>
            <w:u w:val="single"/>
          </w:rPr>
          <w:t>固定化钴酞菁CO2电还原制甲醇中阳离子尺寸的倒置效应</w:t>
        </w:r>
      </w:hyperlink>
    </w:p>
    <w:p>
      <w:pPr>
        <w:spacing w:before="0" w:after="80"/>
      </w:pPr>
      <w:r>
        <w:rPr>
          <w:i/>
          <w:sz w:val="20"/>
        </w:rPr>
        <w:t>EN: Inversed Cation Size Effects on Methanol Formations From CO2 Electroreduction by Immobilized Cobalt Phthalocyanine</w:t>
      </w:r>
    </w:p>
    <w:p>
      <w:pPr>
        <w:spacing w:before="0" w:after="120"/>
      </w:pPr>
      <w:r>
        <w:rPr>
          <w:b/>
        </w:rPr>
        <w:t xml:space="preserve">Source: </w:t>
      </w:r>
      <w:r>
        <w:t>Wiley: Angewandte Chemie International Edition: Table of Contents</w:t>
      </w:r>
      <w:r>
        <w:t xml:space="preserve">    </w:t>
      </w:r>
      <w:r>
        <w:rPr>
          <w:b/>
        </w:rPr>
        <w:t xml:space="preserve">Pub date: </w:t>
      </w:r>
      <w:r>
        <w:t>2026-05-18 11:58:34+00:00</w:t>
      </w:r>
      <w:r>
        <w:t xml:space="preserve">    </w:t>
      </w:r>
      <w:r>
        <w:rPr>
          <w:b/>
        </w:rPr>
        <w:t xml:space="preserve">DOI: </w:t>
      </w:r>
      <w:hyperlink r:id="rId158">
        <w:r>
          <w:rPr>
            <w:color w:val="1155CC"/>
            <w:u w:val="single"/>
          </w:rPr>
          <w:t>10.1002/anie.1450878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2电催化还原制甲醇为可持续燃料合成提供了一条引人注目的途径，其中电双层（EDL）中的阳离子对催化性能产生实质性影响。尽管阳离子对CO2‐CO转化的调节已被广泛记录，但其对下游还原途径生成CH3OH的影响受到的关注相对较少。通过多尺度模拟，我们确定固定化钴酞菁（CoPc）上的甲醇合成受最终质子转移（*CH2OH + H2O → * + CH3OH + OH−）的动力学控制。EDL环境显著加速了这一决速步（RDS）。此外，活性表现出对阳离子半径的明显依赖性，遵循Li+ &gt; Na+ &gt; K+ &gt; Cs+的趋势，较小的阳离子系统性地降低了质子转移势垒。这一趋势源于较小阳离子对过渡态的增强可及性，其中Li+实现了比Cs+更紧密的配位。</w:t>
      </w:r>
    </w:p>
    <w:p>
      <w:pPr>
        <w:spacing w:before="0" w:after="200" w:lineRule="auto" w:line="276"/>
      </w:pPr>
      <w:r>
        <w:rPr>
          <w:b/>
        </w:rPr>
        <w:t xml:space="preserve">Abstract (EN): </w:t>
      </w:r>
      <w:r>
        <w:t>The electrocatalytic reduction of CO</w:t>
      </w:r>
      <w:r>
        <w:rPr>
          <w:vertAlign w:val="subscript"/>
        </w:rPr>
        <w:t>2</w:t>
      </w:r>
      <w:r>
        <w:t>to methanol offers a compelling pathway for sustainable fuel synthesis, wherein cations in the electric double layer (EDL) exert a substantial influence on catalytic performance. Although cation modulation of CO</w:t>
      </w:r>
      <w:r>
        <w:rPr>
          <w:vertAlign w:val="subscript"/>
        </w:rPr>
        <w:t>2</w:t>
      </w:r>
      <w:r>
        <w:t>‐to‐CO conversion has been extensively documented, its influence on downstream reduction pathways toward CH</w:t>
      </w:r>
      <w:r>
        <w:rPr>
          <w:vertAlign w:val="subscript"/>
        </w:rPr>
        <w:t>3</w:t>
      </w:r>
      <w:r>
        <w:t>OH has received comparatively little attention. Using multiscale simulation, we establish that methanol synthesis over immobilized cobalt phthalocyanine (CoPc) is kinetically governed by the final proton transfer (*CH</w:t>
      </w:r>
      <w:r>
        <w:rPr>
          <w:vertAlign w:val="subscript"/>
        </w:rPr>
        <w:t>2</w:t>
      </w:r>
      <w:r>
        <w:t>OH + H</w:t>
      </w:r>
      <w:r>
        <w:rPr>
          <w:vertAlign w:val="subscript"/>
        </w:rPr>
        <w:t>2</w:t>
      </w:r>
      <w:r>
        <w:t>O → * + CH</w:t>
      </w:r>
      <w:r>
        <w:rPr>
          <w:vertAlign w:val="subscript"/>
        </w:rPr>
        <w:t>3</w:t>
      </w:r>
      <w:r>
        <w:t>OH + OH</w:t>
      </w:r>
      <w:r>
        <w:t xml:space="preserve"> </w:t>
      </w:r>
      <w:r>
        <w:t>−</w:t>
      </w:r>
      <w:r>
        <w:t>). The EDL environment substantially accelerates this rate‐determining step (RDS). Moreover, the activity exhibits a clear dependence on cation radius, following the trend Li</w:t>
      </w:r>
      <w:r>
        <w:t xml:space="preserve"> </w:t>
      </w:r>
      <w:r>
        <w:t>+</w:t>
      </w:r>
      <w:r>
        <w:t xml:space="preserve"> </w:t>
      </w:r>
      <w:r>
        <w:t>&amp;gt; Na</w:t>
      </w:r>
      <w:r>
        <w:t xml:space="preserve"> </w:t>
      </w:r>
      <w:r>
        <w:t>+</w:t>
      </w:r>
      <w:r>
        <w:t xml:space="preserve"> </w:t>
      </w:r>
      <w:r>
        <w:t>&amp;gt; K</w:t>
      </w:r>
      <w:r>
        <w:t xml:space="preserve"> </w:t>
      </w:r>
      <w:r>
        <w:t>+</w:t>
      </w:r>
      <w:r>
        <w:t xml:space="preserve"> </w:t>
      </w:r>
      <w:r>
        <w:t>&amp;gt; Cs</w:t>
      </w:r>
      <w:r>
        <w:t xml:space="preserve"> </w:t>
      </w:r>
      <w:r>
        <w:t>+</w:t>
      </w:r>
      <w:r>
        <w:t xml:space="preserve"> </w:t>
      </w:r>
      <w:r>
        <w:t>, with smaller cations systematically lowering the proton transfer barrier. This trend stems from the enhanced accessibility of smaller cations to the transition state, where Li</w:t>
      </w:r>
      <w:r>
        <w:t xml:space="preserve"> </w:t>
      </w:r>
      <w:r>
        <w:t>+</w:t>
      </w:r>
      <w:r>
        <w:t xml:space="preserve"> </w:t>
      </w:r>
      <w:r>
        <w:t>achieves tighter coordination than Cs</w:t>
      </w:r>
      <w:r>
        <w:t xml:space="preserve"> </w:t>
      </w:r>
      <w:r>
        <w:t>+</w:t>
      </w:r>
      <w:r>
        <w:t xml:space="preserve"> </w:t>
      </w:r>
      <w:r>
        <w:t>, conferring greater electrostatic stabilization and a correspondingly reduced barrier. Conversely, smaller cations attenuate the hydrogen‐bond network surrounding OH</w:t>
      </w:r>
      <w:r>
        <w:t xml:space="preserve"> </w:t>
      </w:r>
      <w:r>
        <w:t>−</w:t>
      </w:r>
      <w:r>
        <w:t>, potentially impeding OH</w:t>
      </w:r>
      <w:r>
        <w:t xml:space="preserve"> </w:t>
      </w:r>
      <w:r>
        <w:t>−</w:t>
      </w:r>
      <w:r>
        <w:t>transfer from the catalyst surface to the bulk electrolyte. These multifaceted cation effects underscore the complex interplay between kinetic promotion and mass transfer limitations in electrocatalytic systems.</w:t>
      </w:r>
    </w:p>
    <w:p>
      <w:pPr>
        <w:spacing w:before="120" w:after="120"/>
      </w:pPr>
      <w:r>
        <w:rPr>
          <w:sz w:val="18"/>
        </w:rPr>
        <w:t>——————————————————————————————————————————————————————————————————————</w:t>
      </w:r>
    </w:p>
    <w:p>
      <w:pPr>
        <w:spacing w:before="160" w:after="40" w:line="240" w:lineRule="auto"/>
      </w:pPr>
      <w:r>
        <w:rPr>
          <w:b/>
        </w:rPr>
        <w:t xml:space="preserve">[9] </w:t>
      </w:r>
      <w:hyperlink r:id="rId210">
        <w:r>
          <w:rPr>
            <w:color w:val="1155CC"/>
            <w:u w:val="single"/>
          </w:rPr>
          <w:t>金属-π位点局域化氢-*CO偶联用于增强CO2电甲烷化</w:t>
        </w:r>
      </w:hyperlink>
    </w:p>
    <w:p>
      <w:pPr>
        <w:spacing w:before="0" w:after="80"/>
      </w:pPr>
      <w:r>
        <w:rPr>
          <w:i/>
          <w:sz w:val="20"/>
        </w:rPr>
        <w:t>EN: Metal‐π Sites Localized Hydrogen‐*CO Coupling for Enhanced CO2 Electromethanation</w:t>
      </w:r>
    </w:p>
    <w:p>
      <w:pPr>
        <w:spacing w:before="0" w:after="120"/>
      </w:pPr>
      <w:r>
        <w:rPr>
          <w:b/>
        </w:rPr>
        <w:t xml:space="preserve">Source: </w:t>
      </w:r>
      <w:r>
        <w:t>Wiley: Angewandte Chemie International Edition: Table of Contents</w:t>
      </w:r>
      <w:r>
        <w:t xml:space="preserve">    </w:t>
      </w:r>
      <w:r>
        <w:rPr>
          <w:b/>
        </w:rPr>
        <w:t xml:space="preserve">Pub date: </w:t>
      </w:r>
      <w:r>
        <w:t>2026-05-18 12:01:19+00:00</w:t>
      </w:r>
      <w:r>
        <w:t xml:space="preserve">    </w:t>
      </w:r>
      <w:r>
        <w:rPr>
          <w:b/>
        </w:rPr>
        <w:t xml:space="preserve">DOI: </w:t>
      </w:r>
      <w:hyperlink r:id="rId211">
        <w:r>
          <w:rPr>
            <w:color w:val="1155CC"/>
            <w:u w:val="single"/>
          </w:rPr>
          <w:t>10.1002/anie.4689245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Cu–N–C单原子催化剂上的电化学CO</w:t>
      </w:r>
      <w:r>
        <w:rPr>
          <w:vertAlign w:val="subscript"/>
        </w:rPr>
        <w:t>2</w:t>
      </w:r>
      <w:r>
        <w:t>‐到‐CH</w:t>
      </w:r>
      <w:r>
        <w:rPr>
          <w:vertAlign w:val="subscript"/>
        </w:rPr>
        <w:t>4</w:t>
      </w:r>
      <w:r>
        <w:t>转化，根本上受限于大量无金属CN基质中*H/*CO的空间错配，其中长程氢转移容易导致*H偶联或*CO二聚化，最终阻碍*CHO的形成。在此，我们设计了一种二维金属‐有机聚合物催化剂，其特点是空间上相邻的Cu和1H‐苯并三唑形成Cu‐π单元，在800 mA·cm</w:t>
      </w:r>
      <w:r>
        <w:t xml:space="preserve"> </w:t>
      </w:r>
      <w:r>
        <w:t>−2</w:t>
      </w:r>
      <w:r>
        <w:t xml:space="preserve"> </w:t>
      </w:r>
      <w:r>
        <w:t>下，CH</w:t>
      </w:r>
      <w:r>
        <w:rPr>
          <w:vertAlign w:val="subscript"/>
        </w:rPr>
        <w:t>4</w:t>
      </w:r>
      <w:r>
        <w:t>的法拉第效率达到61%。利用红外自由电子激光(IRFEL)纳米光谱技术，我们识别了关键的Cu‐π配位环境和低频键合模式，这是传统红外技术无法获得的。互补的原位同步辐射红外、电化学实验和理论计算揭示，π位点吸附水合阳离子，从而实现向Cu位点上相邻*CO的局部氢供应，并抑制长程氢转移引起的副反应。这种无机‐有机协同作用为*H和*CO的空间匹配开辟了一条新途径，推动了高效CO</w:t>
      </w:r>
      <w:r>
        <w:rPr>
          <w:vertAlign w:val="subscript"/>
        </w:rPr>
        <w:t>2</w:t>
      </w:r>
      <w:r>
        <w:t>‐到‐碳氢化合物的转化。</w:t>
      </w:r>
    </w:p>
    <w:p>
      <w:pPr>
        <w:spacing w:before="0" w:after="200" w:lineRule="auto" w:line="276"/>
      </w:pPr>
      <w:r>
        <w:rPr>
          <w:b/>
        </w:rPr>
        <w:t xml:space="preserve">Abstract (EN): </w:t>
      </w:r>
      <w:r>
        <w:t>Electrochemical CO</w:t>
      </w:r>
      <w:r>
        <w:rPr>
          <w:vertAlign w:val="subscript"/>
        </w:rPr>
        <w:t>2</w:t>
      </w:r>
      <w:r>
        <w:t>‐to‐CH</w:t>
      </w:r>
      <w:r>
        <w:rPr>
          <w:vertAlign w:val="subscript"/>
        </w:rPr>
        <w:t>4</w:t>
      </w:r>
      <w:r>
        <w:t>conversion on Cu–N–C single‐atom catalysts is fundamentally limited by *H/*CO spatial mismatch from numerous metal‐free CN matrix, where the long‐range hydrogen transfer easily causes *H coupling or *CO dimerization, ultimately impeding *CHO formation. Herein, we design a two‐dimensional metal–organic polymer catalyst featuring spatially adjacent Cu and 1H‐benzotriazole to form Cu‐π units, which achieves a Faradaic efficiency of 61% for CH</w:t>
      </w:r>
      <w:r>
        <w:rPr>
          <w:vertAlign w:val="subscript"/>
        </w:rPr>
        <w:t>4</w:t>
      </w:r>
      <w:r>
        <w:t>at 800 mA·cm</w:t>
      </w:r>
      <w:r>
        <w:t xml:space="preserve"> </w:t>
      </w:r>
      <w:r>
        <w:t>−2</w:t>
      </w:r>
      <w:r>
        <w:t xml:space="preserve"> </w:t>
      </w:r>
      <w:r>
        <w:t>. Using Infrared free‐electron laser (IRFEL) nanospectroscopy, we identify the key Cu‐π coordination environment and low‐frequency bonding modes, unavailable by conventional IR techniques. Complementary in‐situ synchrotron radiation IR, electrochemical experiments and theoretical calculations reveal that π sites adsorb hydrated cations, enabling localized hydrogen supply to adjacent *CO on Cu sites and suppressing long‐range hydrogen transfer‐induced side reactions. This inorganic–organic synergy paves a new pathway to spatially match *H and *CO, advancing efficient CO</w:t>
      </w:r>
      <w:r>
        <w:rPr>
          <w:vertAlign w:val="subscript"/>
        </w:rPr>
        <w:t>2</w:t>
      </w:r>
      <w:r>
        <w:t>‐to‐hydrocarbons conversion.</w:t>
      </w:r>
    </w:p>
    <w:p>
      <w:pPr>
        <w:spacing w:before="120" w:after="120"/>
      </w:pPr>
      <w:r>
        <w:rPr>
          <w:sz w:val="18"/>
        </w:rPr>
        <w:t>——————————————————————————————————————————————————————————————————————</w:t>
      </w:r>
    </w:p>
    <w:p>
      <w:pPr>
        <w:spacing w:before="160" w:after="40" w:line="240" w:lineRule="auto"/>
      </w:pPr>
      <w:r>
        <w:rPr>
          <w:b/>
        </w:rPr>
        <w:t xml:space="preserve">[10] </w:t>
      </w:r>
      <w:hyperlink r:id="rId196">
        <w:r>
          <w:rPr>
            <w:color w:val="1155CC"/>
            <w:u w:val="single"/>
          </w:rPr>
          <w:t>通过一氧化碳 (CO) 和 5-羟甲基糠醛 (HMF) 的配对电解实现经济的低碳化学品生产</w:t>
        </w:r>
      </w:hyperlink>
    </w:p>
    <w:p>
      <w:pPr>
        <w:spacing w:before="0" w:after="80"/>
      </w:pPr>
      <w:r>
        <w:rPr>
          <w:i/>
          <w:sz w:val="20"/>
        </w:rPr>
        <w:t>EN: Economic Low‐Carbon Chemical Production via Paired Electrolysis of Carbon Monoxide (CO) and 5‐hydroxymethylfurfural (HMF)</w:t>
      </w:r>
    </w:p>
    <w:p>
      <w:pPr>
        <w:spacing w:before="0" w:after="120"/>
      </w:pPr>
      <w:r>
        <w:rPr>
          <w:b/>
        </w:rPr>
        <w:t xml:space="preserve">Source: </w:t>
      </w:r>
      <w:r>
        <w:t>Wiley: Advanced Materials: Table of Contents</w:t>
      </w:r>
      <w:r>
        <w:t xml:space="preserve">    </w:t>
      </w:r>
      <w:r>
        <w:rPr>
          <w:b/>
        </w:rPr>
        <w:t xml:space="preserve">Pub date: </w:t>
      </w:r>
      <w:r>
        <w:t>2026-05-19 08:40:40+00:00</w:t>
      </w:r>
      <w:r>
        <w:t xml:space="preserve">    </w:t>
      </w:r>
      <w:r>
        <w:rPr>
          <w:b/>
        </w:rPr>
        <w:t xml:space="preserve">DOI: </w:t>
      </w:r>
      <w:hyperlink r:id="rId197">
        <w:r>
          <w:rPr>
            <w:color w:val="1155CC"/>
            <w:u w:val="single"/>
          </w:rPr>
          <w:t>10.1002/adma.73411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w:t>
      </w:r>
      <w:r>
        <w:rPr>
          <w:vertAlign w:val="subscript"/>
        </w:rPr>
        <w:t>2</w:t>
      </w:r>
      <w:r>
        <w:t>和生物质衍生醇（如5-羟甲基糠醛（HMF）和甘油）的配对电解为联产有价值的化学品提供了一种可持续的方法，但存在阴极-阳极兼容性差和经济可行性有限的问题。在此，我们表明用一氧化碳（CO）替代CO</w:t>
      </w:r>
      <w:r>
        <w:rPr>
          <w:vertAlign w:val="subscript"/>
        </w:rPr>
        <w:t>2</w:t>
      </w:r>
      <w:r>
        <w:t>并采用阴极电解液层电解槽设计，通过阻止HCO</w:t>
      </w:r>
      <w:r>
        <w:rPr>
          <w:vertAlign w:val="subscript"/>
        </w:rPr>
        <w:t>3</w:t>
      </w:r>
      <w:r>
        <w:t>−</w:t>
      </w:r>
      <w:r>
        <w:t>形成和抑制电极间质量交换，共同提高了醇配对电解的运行稳定性。在该平台中，与甘油氧化相比，HMF氧化被认为是最佳阳极伴侣，因为它表现出可忽略不计的产物交叉，并且其中间体的氧化动力学始终优于析氧反应。因此，在包含阴极电解液层的膜电极组件电解槽中，CO和HMF的配对电解实现了乙烯和2,5-呋喃二甲酸（FDCA）的高效稳定联产，这两种都是分别来源于CO</w:t>
      </w:r>
      <w:r>
        <w:rPr>
          <w:vertAlign w:val="subscript"/>
        </w:rPr>
        <w:t>2</w:t>
      </w:r>
      <w:r>
        <w:t>和生物质的关键塑料单体。技术经济和环境评估表明，CO-HMF配对优于所有测试的CO</w:t>
      </w:r>
      <w:r>
        <w:rPr>
          <w:vertAlign w:val="subscript"/>
        </w:rPr>
        <w:t>2</w:t>
      </w:r>
      <w:r>
        <w:t>或CO-HMF或甘油组合，并且其生产成本和碳排放接近石油衍生的对苯二甲酸。T</w:t>
      </w:r>
    </w:p>
    <w:p>
      <w:pPr>
        <w:spacing w:before="0" w:after="200" w:lineRule="auto" w:line="276"/>
      </w:pPr>
      <w:r>
        <w:rPr>
          <w:b/>
        </w:rPr>
        <w:t xml:space="preserve">Abstract (EN): </w:t>
      </w:r>
      <w:r>
        <w:t>Paired electrolysis of CO</w:t>
      </w:r>
      <w:r>
        <w:rPr>
          <w:vertAlign w:val="subscript"/>
        </w:rPr>
        <w:t>2</w:t>
      </w:r>
      <w:r>
        <w:t>and biomass‐derived alcohols, such as 5‑hydroxymethylfurfural (HMF) and glycerol, offers a sustainable approach for co‐producing valuable chemicals, but suffers from poor cathode‐anode compatibility and limited economic feasibility. Herein, we show that replacing CO</w:t>
      </w:r>
      <w:r>
        <w:rPr>
          <w:vertAlign w:val="subscript"/>
        </w:rPr>
        <w:t>2</w:t>
      </w:r>
      <w:r>
        <w:t>with carbon monoxide (CO) and adopting a catholyte‐layer electrolyzer design jointly enhance the operational stability of alcohol‐paired electrolysis by preventing HCO</w:t>
      </w:r>
      <w:r>
        <w:rPr>
          <w:vertAlign w:val="subscript"/>
        </w:rPr>
        <w:t>3</w:t>
      </w:r>
      <w:r>
        <w:t>−</w:t>
      </w:r>
      <w:r>
        <w:t>formation and suppressing inter‑electrode mass exchange. Within this platform, HMF oxidation is identified as the optimal anodic partner compared with glycerol oxidation, because it exhibits negligible product crossover and the oxidation kinetics of its intermediates consistently outpace those of the oxygen evolution reaction. Consequently, the paired electrolysis of CO and HMF in a membrane‐electrode assembly electrolyzer incorporating a catholyte‐layer enabled efficient and stable co‑production of ethylene and 2,5‑furandicarboxylic acid (FDCA), both key plastic monomers derived from CO</w:t>
      </w:r>
      <w:r>
        <w:rPr>
          <w:vertAlign w:val="subscript"/>
        </w:rPr>
        <w:t>2</w:t>
      </w:r>
      <w:r>
        <w:t>and biomass, respectively. Techno‐economic and environmental assessment indicate that the CO‐HMF pairing outperforms all tested combination of CO</w:t>
      </w:r>
      <w:r>
        <w:rPr>
          <w:vertAlign w:val="subscript"/>
        </w:rPr>
        <w:t>2</w:t>
      </w:r>
      <w:r>
        <w:t>or CO‐HMF or glycerol and approaches the production cost and carbon emission to petroleum‐derived terephthalic acid. These results demonstrate CO electrolysis coupled with HMF oxidation as a cost‐effective and climate‐conscious strategy for sustainable chemical production.</w:t>
      </w:r>
    </w:p>
    <w:p>
      <w:pPr>
        <w:spacing w:before="120" w:after="120"/>
      </w:pPr>
      <w:r>
        <w:rPr>
          <w:sz w:val="18"/>
        </w:rPr>
        <w:t>——————————————————————————————————————————————————————————————————————</w:t>
      </w:r>
    </w:p>
    <w:p>
      <w:pPr>
        <w:spacing w:before="160" w:after="40" w:line="240" w:lineRule="auto"/>
      </w:pPr>
      <w:r>
        <w:rPr>
          <w:b/>
        </w:rPr>
        <w:t xml:space="preserve">[11] </w:t>
      </w:r>
      <w:hyperlink r:id="rId26">
        <w:r>
          <w:rPr>
            <w:color w:val="1155CC"/>
            <w:u w:val="single"/>
          </w:rPr>
          <w:t>[ASAP] 利用光电化学实现自养大肠杆菌的太阳能驱动生长</w:t>
        </w:r>
      </w:hyperlink>
    </w:p>
    <w:p>
      <w:pPr>
        <w:spacing w:before="0" w:after="80"/>
      </w:pPr>
      <w:r>
        <w:rPr>
          <w:i/>
          <w:sz w:val="20"/>
        </w:rPr>
        <w:t>EN: [ASAP] Toward Solar-Powered Growth of Autotrophic Escherichia coli Using Photoelectrochemistry</w:t>
      </w:r>
    </w:p>
    <w:p>
      <w:pPr>
        <w:spacing w:before="0" w:after="120"/>
      </w:pPr>
      <w:r>
        <w:rPr>
          <w:b/>
        </w:rPr>
        <w:t xml:space="preserve">Source: </w:t>
      </w:r>
      <w:r>
        <w:t>Journal of the American Chemical Society: Latest Articles (ACS Publications)</w:t>
      </w:r>
      <w:r>
        <w:t xml:space="preserve">    </w:t>
      </w:r>
      <w:r>
        <w:rPr>
          <w:b/>
        </w:rPr>
        <w:t xml:space="preserve">Pub date: </w:t>
      </w:r>
      <w:r>
        <w:t>2026-05-19 09:43:51+00:00</w:t>
      </w:r>
      <w:r>
        <w:t xml:space="preserve">    </w:t>
      </w:r>
      <w:r>
        <w:rPr>
          <w:b/>
        </w:rPr>
        <w:t xml:space="preserve">DOI: </w:t>
      </w:r>
      <w:hyperlink r:id="rId27">
        <w:r>
          <w:rPr>
            <w:color w:val="1155CC"/>
            <w:u w:val="single"/>
          </w:rPr>
          <w:t>10.1021/jacs.6c03677</w:t>
        </w:r>
      </w:hyperlink>
    </w:p>
    <w:p>
      <w:pPr>
        <w:spacing w:before="0" w:after="120"/>
      </w:pPr>
      <w:r>
        <w:rPr>
          <w:b/>
        </w:rPr>
        <w:t xml:space="preserve">Notes: </w:t>
      </w:r>
      <w:r>
        <w:t>abstract_source=pubmed</w:t>
      </w:r>
    </w:p>
    <w:p>
      <w:pPr>
        <w:spacing w:before="0" w:after="80" w:lineRule="auto" w:line="276"/>
      </w:pPr>
      <w:r>
        <w:rPr>
          <w:b/>
        </w:rPr>
        <w:t xml:space="preserve">摘要（ZH）: </w:t>
      </w:r>
      <w:r>
        <w:t>可再生能源与微生物CO2固定化的集成耦合仍然是碳中和生物制造中的一个主要挑战。在此，提出了一种生物混合设计，它将用于太阳能驱动CO2转化为甲酸的半人工叶片与经过工程改造的自养大肠杆菌（E. coli）相结合，该大肠杆菌利用甲酸作为能源生产生物质。首先，采用适应性实验室进化来增强甲酸消耗并克服缓慢的自养生长。其次，建立了电极-微生物兼容性，表明适应菌株可以直接利用酶改性阴极从CO2电化学产生的甲酸生长。第三，将电能来源替换为模拟太阳光，开发了一种生物光电化学装置以支持E. coli生长。最后，设计了一个由半人工叶片和自养E. coli组成的集成平台，该平台将太阳能CO2到生物质的转化与O2析出耦合，模拟了自然光合作用。</w:t>
      </w:r>
    </w:p>
    <w:p>
      <w:pPr>
        <w:spacing w:before="0" w:after="200" w:lineRule="auto" w:line="276"/>
      </w:pPr>
      <w:r>
        <w:rPr>
          <w:b/>
        </w:rPr>
        <w:t xml:space="preserve">Abstract (EN): </w:t>
      </w:r>
      <w:r>
        <w:t>Integrated coupling of renewable energy sources with microbial CO2 fixation remains a major challenge in carbon-neutral biomanufacturing. Here, a biohybrid design is presented that combines a semiartificial leaf for solar-powered conversion of CO2 into formate with an autotrophic Escherichia coli (E. coli) that is engineered to use formate as an energy source to produce biomass. First, adaptive laboratory evolution was employed to enhance formate consumption and overcome slow autotrophic growth. Second, electrode-microbe compatibility was established, showing that the adapted strain can grow directly using formate electrochemically generated from CO2 by an enzyme-modified cathode. Third, the electrical energy source was replaced with simulated sunlight, developing a biophotoelectrochemical device to support E. coli growth. Finally, an integrated platform consisting of a semiartificial leaf and autotrophic E. coli was designed, which couples solar CO2-to-biomass conversion and O2 evolution, replicating natural photosynthesis.</w:t>
      </w:r>
    </w:p>
    <w:p>
      <w:pPr>
        <w:spacing w:before="120" w:after="120"/>
      </w:pPr>
      <w:r>
        <w:rPr>
          <w:sz w:val="18"/>
        </w:rPr>
        <w:t>——————————————————————————————————————————————————————————————————————</w:t>
      </w:r>
    </w:p>
    <w:p>
      <w:pPr>
        <w:spacing w:before="160" w:after="40" w:line="240" w:lineRule="auto"/>
      </w:pPr>
      <w:r>
        <w:rPr>
          <w:b/>
        </w:rPr>
        <w:t xml:space="preserve">[12] </w:t>
      </w:r>
      <w:hyperlink r:id="rId28">
        <w:r>
          <w:rPr>
            <w:color w:val="1155CC"/>
            <w:u w:val="single"/>
          </w:rPr>
          <w:t>两种用于从CO2和H2O生产太阳能甲酸盐的人工叶片结构</w:t>
        </w:r>
      </w:hyperlink>
    </w:p>
    <w:p>
      <w:pPr>
        <w:spacing w:before="0" w:after="80"/>
      </w:pPr>
      <w:r>
        <w:rPr>
          <w:i/>
          <w:sz w:val="20"/>
        </w:rPr>
        <w:t>EN: Two Artificial Leaf Architectures for Solar Formate Production From CO2 and H2O</w:t>
      </w:r>
    </w:p>
    <w:p>
      <w:pPr>
        <w:spacing w:before="0" w:after="120"/>
      </w:pPr>
      <w:r>
        <w:rPr>
          <w:b/>
        </w:rPr>
        <w:t xml:space="preserve">Source: </w:t>
      </w:r>
      <w:r>
        <w:t>Wiley: Angewandte Chemie International Edition: Table of Contents</w:t>
      </w:r>
      <w:r>
        <w:t xml:space="preserve">    </w:t>
      </w:r>
      <w:r>
        <w:rPr>
          <w:b/>
        </w:rPr>
        <w:t xml:space="preserve">Pub date: </w:t>
      </w:r>
      <w:r>
        <w:t>2026-05-19 16:21:04+00:00</w:t>
      </w:r>
      <w:r>
        <w:t xml:space="preserve">    </w:t>
      </w:r>
      <w:r>
        <w:rPr>
          <w:b/>
        </w:rPr>
        <w:t xml:space="preserve">DOI: </w:t>
      </w:r>
      <w:hyperlink r:id="rId29">
        <w:r>
          <w:rPr>
            <w:color w:val="1155CC"/>
            <w:u w:val="single"/>
          </w:rPr>
          <w:t>10.1002/anie.2703193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驱动的人工树叶用于从CO2生产甲酸是太阳能燃料的一种有吸引力的途径，然而，现有的太阳能甲酸装置性能仍然较低，其架构和材料选择尚未充分探索。在此，我们报告了两种独特的完全集成、自支撑的太阳能甲酸装置架构的制造，并阐明了潜在的设计原理和材料选择策略。第一种架构将Si光阴极与BiVO4光阳极集成，并利用高活性Pd催化剂进行CO2还原。它代表了第一个包含两个光电极（不包括光伏[PV]偏置电极）的人工树叶装置，可在单束光照下有效生产甲酸。第二种架构采用由四结钙钛矿太阳能电池驱动的暗阴极和暗阳极，并使用高稳定性Bi催化剂进行CO2还原。该装置实现了创纪录的174 µmol h−1甲酸生产速率，在迄今报道的所有人工树叶装置中，太阳能-甲酸能量效率高达2%。这些结果证明了在太阳能燃料生产中，无PV和PV辅助装置架构的可行性并概述了其设计原理。</w:t>
      </w:r>
    </w:p>
    <w:p>
      <w:pPr>
        <w:spacing w:before="0" w:after="200" w:lineRule="auto" w:line="276"/>
      </w:pPr>
      <w:r>
        <w:rPr>
          <w:b/>
        </w:rPr>
        <w:t xml:space="preserve">Abstract (EN): </w:t>
      </w:r>
      <w:r>
        <w:t>Sunlight‐powered artificial leaves for the production of formate from CO</w:t>
      </w:r>
      <w:r>
        <w:rPr>
          <w:vertAlign w:val="subscript"/>
        </w:rPr>
        <w:t>2</w:t>
      </w:r>
      <w:r>
        <w:t>are an attractive route to solar fuels, yet existing solar formate devices remain low in performance, and their architecture and material choices are underexplored. Herein, we report the fabrication of two distinct fully integrated, self‐standing solar formate device architectures and elucidate the underlying design principles and material selection strategies. The first architecture integrates a Si photocathode with a BiVO</w:t>
      </w:r>
      <w:r>
        <w:rPr>
          <w:vertAlign w:val="subscript"/>
        </w:rPr>
        <w:t>4</w:t>
      </w:r>
      <w:r>
        <w:t>photoanode and utilizes a highly active Pd catalyst for CO</w:t>
      </w:r>
      <w:r>
        <w:rPr>
          <w:vertAlign w:val="subscript"/>
        </w:rPr>
        <w:t>2</w:t>
      </w:r>
      <w:r>
        <w:t>reduction. It represents the first artificial leaf device comprising two photoelectrodes (excluding photovoltaic [PV]‐biased electrodes) for effective formate production under single‐beam illumination. The second architecture employs a dark cathode and a dark anode driven by a 4‐junction perovskite solar cell and uses a highly stable Bi catalyst for CO</w:t>
      </w:r>
      <w:r>
        <w:rPr>
          <w:vertAlign w:val="subscript"/>
        </w:rPr>
        <w:t>2</w:t>
      </w:r>
      <w:r>
        <w:t>reduction. This device delivers a record‐high formate production rate of 174 µmol h</w:t>
      </w:r>
      <w:r>
        <w:t xml:space="preserve"> </w:t>
      </w:r>
      <w:r>
        <w:t>−1</w:t>
      </w:r>
      <w:r>
        <w:t xml:space="preserve"> </w:t>
      </w:r>
      <w:r>
        <w:t>with a remarkable solar‐to‐formate energy efficiency of 2% among all artificial leaf devices reported to date. These results demonstrate the feasibility and outline the design principles of both PV‐free and PV‐assisted device architectures in solar fuel production.</w:t>
      </w:r>
    </w:p>
    <w:p>
      <w:pPr>
        <w:spacing w:before="120" w:after="120"/>
      </w:pPr>
      <w:r>
        <w:rPr>
          <w:sz w:val="18"/>
        </w:rPr>
        <w:t>——————————————————————————————————————————————————————————————————————</w:t>
      </w:r>
    </w:p>
    <w:p>
      <w:pPr>
        <w:spacing w:before="160" w:after="40" w:line="240" w:lineRule="auto"/>
      </w:pPr>
      <w:r>
        <w:rPr>
          <w:b/>
        </w:rPr>
        <w:t xml:space="preserve">[13] </w:t>
      </w:r>
      <w:hyperlink r:id="rId212">
        <w:r>
          <w:rPr>
            <w:color w:val="1155CC"/>
            <w:u w:val="single"/>
          </w:rPr>
          <w:t>无金属光催化CO2还原为甲酸盐：可见光驱动的连续光致电子转移机制</w:t>
        </w:r>
      </w:hyperlink>
    </w:p>
    <w:p>
      <w:pPr>
        <w:spacing w:before="0" w:after="80"/>
      </w:pPr>
      <w:r>
        <w:rPr>
          <w:i/>
          <w:sz w:val="20"/>
        </w:rPr>
        <w:t>EN: Metal‐Free Photocatalytic CO2 Reduction to Formate Driven by Visible Light via a Consecutive Photoinduced Electron Transfer Mechanism</w:t>
      </w:r>
    </w:p>
    <w:p>
      <w:pPr>
        <w:spacing w:before="0" w:after="120"/>
      </w:pPr>
      <w:r>
        <w:rPr>
          <w:b/>
        </w:rPr>
        <w:t xml:space="preserve">Source: </w:t>
      </w:r>
      <w:r>
        <w:t>Wiley: Angewandte Chemie International Edition: Table of Contents</w:t>
      </w:r>
      <w:r>
        <w:t xml:space="preserve">    </w:t>
      </w:r>
      <w:r>
        <w:rPr>
          <w:b/>
        </w:rPr>
        <w:t xml:space="preserve">Pub date: </w:t>
      </w:r>
      <w:r>
        <w:t>2026-05-19 16:34:14+00:00</w:t>
      </w:r>
      <w:r>
        <w:t xml:space="preserve">    </w:t>
      </w:r>
      <w:r>
        <w:rPr>
          <w:b/>
        </w:rPr>
        <w:t xml:space="preserve">DOI: </w:t>
      </w:r>
      <w:hyperlink r:id="rId213">
        <w:r>
          <w:rPr>
            <w:color w:val="1155CC"/>
            <w:u w:val="single"/>
          </w:rPr>
          <w:t>10.1002/anie.1083625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可见光下使用无金属有机体系实现高效选择性光催化CO2还原（PCO2R）仍然是一个重大挑战。在此，我们报道了首个无金属、自敏化分子光催化剂，能够通过连续光诱导电子转移（ConPET）机制驱动可见光诱导的CO2到HCOO−的转化。合理设计的BPI-OMe，具有给电子基团，在可见光照射下表现出卓越的性能，甲酸盐产率为27.51 mmol g−1 h−1，选择性&gt; 99%。这种卓越的活性源于其优化的电子特性：低激发能（2.98 eV）、长寿命电荷分离阴离子自由基态（τ = 806.94 ns）、高能SOMO能级（−3.47 eV）和强CO2结合亲和力（−0.147 eV）。原位ESR和超快光谱分析揭示了ConPET过程：连续光子吸收使电子从抗坏血酸转移到BPI-OMe，生成BPI-OMe，随后将电子传递给CO2形成CO2−，CO2−随后被转化</w:t>
      </w:r>
    </w:p>
    <w:p>
      <w:pPr>
        <w:spacing w:before="0" w:after="200" w:lineRule="auto" w:line="276"/>
      </w:pPr>
      <w:r>
        <w:rPr>
          <w:b/>
        </w:rPr>
        <w:t xml:space="preserve">Abstract (EN): </w:t>
      </w:r>
      <w:r>
        <w:t>Realizing efficient and selective photocatalytic CO</w:t>
      </w:r>
      <w:r>
        <w:rPr>
          <w:vertAlign w:val="subscript"/>
        </w:rPr>
        <w:t>2</w:t>
      </w:r>
      <w:r>
        <w:t>reduction (PCO</w:t>
      </w:r>
      <w:r>
        <w:rPr>
          <w:vertAlign w:val="subscript"/>
        </w:rPr>
        <w:t>2</w:t>
      </w:r>
      <w:r>
        <w:t>R) using metal‐free organic systems under visible light remains a significant challenge. Here, we report the first metal‐free, self‐sensitized molecular photocatalyst capable of driving visible‐light‐induced CO</w:t>
      </w:r>
      <w:r>
        <w:rPr>
          <w:vertAlign w:val="subscript"/>
        </w:rPr>
        <w:t>2</w:t>
      </w:r>
      <w:r>
        <w:t>‐to‐HCOO</w:t>
      </w:r>
      <w:r>
        <w:t xml:space="preserve"> </w:t>
      </w:r>
      <w:r>
        <w:t>−</w:t>
      </w:r>
      <w:r>
        <w:t>conversion via a consecutive photoinduced electron transfer (ConPET) mechanism. The rationally designed BPI‐OMe, featuring an electron‐donating group, demonstrates exceptional performance under visible light irradiation, achieving a formate production rate of 27.51 mmol g</w:t>
      </w:r>
      <w:r>
        <w:t xml:space="preserve"> </w:t>
      </w:r>
      <w:r>
        <w:t>−1</w:t>
      </w:r>
      <w:r>
        <w:t xml:space="preserve"> </w:t>
      </w:r>
      <w:r>
        <w:t>h</w:t>
      </w:r>
      <w:r>
        <w:t xml:space="preserve"> </w:t>
      </w:r>
      <w:r>
        <w:t>−1</w:t>
      </w:r>
      <w:r>
        <w:t xml:space="preserve"> </w:t>
      </w:r>
      <w:r>
        <w:t>with &amp;gt; 99% selectivity. This outstanding activity stems from its optimized electronic properties: a low excitation energy (2.98 eV), a long‐lived charge‐separated anion radical state (</w:t>
      </w:r>
      <w:r>
        <w:t xml:space="preserve"> </w:t>
      </w:r>
      <w:r>
        <w:t>τ</w:t>
      </w:r>
      <w:r>
        <w:t xml:space="preserve"> </w:t>
      </w:r>
      <w:r>
        <w:t>= 806.94 ns), a high‐energy SOMO level (−3.47 eV), and strong CO</w:t>
      </w:r>
      <w:r>
        <w:rPr>
          <w:vertAlign w:val="subscript"/>
        </w:rPr>
        <w:t>2</w:t>
      </w:r>
      <w:r>
        <w:t>binding affinity (−0.147 eV). In situ ESR and ultrafast spectroscopic analyses reveal the ConPET process: sequential photon absorption enables electron transfer from ascorbic acid to BPI‐OMe, generating BPI‐OMe, followed by electron delivery to CO</w:t>
      </w:r>
      <w:r>
        <w:rPr>
          <w:vertAlign w:val="subscript"/>
        </w:rPr>
        <w:t>2</w:t>
      </w:r>
      <w:r>
        <w:t>to form CO</w:t>
      </w:r>
      <w:r>
        <w:rPr>
          <w:vertAlign w:val="subscript"/>
        </w:rPr>
        <w:t>2</w:t>
      </w:r>
      <w:r>
        <w:t>−</w:t>
      </w:r>
      <w:r>
        <w:t>, which is subsequently converted to formate through a hydrogen atom transfer. This work not only represents a breakthrough in metal‐free PCO2R but also provides a general molecular design strategy based on multi‐photon charge accumulation for enabling challenging solar‐to‐chemical transformations.</w:t>
      </w:r>
    </w:p>
    <w:p>
      <w:pPr>
        <w:spacing w:before="120" w:after="120"/>
      </w:pPr>
      <w:r>
        <w:rPr>
          <w:sz w:val="18"/>
        </w:rPr>
        <w:t>——————————————————————————————————————————————————————————————————————</w:t>
      </w:r>
    </w:p>
    <w:p>
      <w:pPr>
        <w:spacing w:before="160" w:after="40" w:line="240" w:lineRule="auto"/>
      </w:pPr>
      <w:r>
        <w:rPr>
          <w:b/>
        </w:rPr>
        <w:t xml:space="preserve">[14] </w:t>
      </w:r>
      <w:hyperlink r:id="rId177">
        <w:r>
          <w:rPr>
            <w:color w:val="1155CC"/>
            <w:u w:val="single"/>
          </w:rPr>
          <w:t>自旋极化和化学催化：我们已知、有效方法和未来展望</w:t>
        </w:r>
      </w:hyperlink>
    </w:p>
    <w:p>
      <w:pPr>
        <w:spacing w:before="0" w:after="80"/>
      </w:pPr>
      <w:r>
        <w:rPr>
          <w:i/>
          <w:sz w:val="20"/>
        </w:rPr>
        <w:t>EN: Spin polarization and chemical catalysis: what we know, what works, and what's next</w:t>
      </w:r>
    </w:p>
    <w:p>
      <w:pPr>
        <w:spacing w:before="0" w:after="120"/>
      </w:pPr>
      <w:r>
        <w:rPr>
          <w:b/>
        </w:rPr>
        <w:t xml:space="preserve">Source: </w:t>
      </w:r>
      <w:r>
        <w:t>RSC - Chem. Soc. Rev. latest articles</w:t>
      </w:r>
      <w:r>
        <w:t xml:space="preserve">    </w:t>
      </w:r>
      <w:r>
        <w:rPr>
          <w:b/>
        </w:rPr>
        <w:t xml:space="preserve">Pub date: </w:t>
      </w:r>
      <w:r>
        <w:t>2026-05-19 23:00:00+00:00</w:t>
      </w:r>
    </w:p>
    <w:p>
      <w:pPr>
        <w:spacing w:before="0" w:after="120"/>
      </w:pPr>
      <w:r>
        <w:rPr>
          <w:b/>
        </w:rPr>
        <w:t xml:space="preserve">Notes: </w:t>
      </w:r>
      <w:r>
        <w:t>abstract_source=rsc_html</w:t>
      </w:r>
    </w:p>
    <w:p>
      <w:pPr>
        <w:spacing w:before="0" w:after="80" w:lineRule="auto" w:line="276"/>
      </w:pPr>
      <w:r>
        <w:rPr>
          <w:b/>
        </w:rPr>
        <w:t xml:space="preserve">摘要（ZH）: </w:t>
      </w:r>
      <w:r>
        <w:t>自旋极化作为一种固有的电子自由度，已成为催化领域的一个变革性杠杆，为解决环境污染控制、可再生能源生产和现代化学制造中的挑战提供了新途径。基于电子性质与催化活性之间的内在联系，自旋效应可以通过修饰 d 带中心、调节 eg 电子以及促进光生载流子分离和传输等机制来增强催化性能。在本综述中，我们介绍了已建立的机制、代表性证据和现有局限性，并基于自旋分辨 d 带能级、eg 占据、自旋辅助载流子分离和自旋过滤的基本作用，对自旋催化进行了最新概述，重点关注其在析氢、O2 析出/还原、CO2 转化、氨合成和 CO 氧化中的应用。接下来，我们强调了通过调节自旋极化来提高催化性能的有效策略，包括结构工程和外部磁场的应用。最后，我们概述了通过实验技术和理论方法的协同发展，将自旋效应整合到先进催化系统中的优先事项，从而为可持续化学过程开辟了机遇。</w:t>
      </w:r>
    </w:p>
    <w:p>
      <w:pPr>
        <w:spacing w:before="0" w:after="200" w:lineRule="auto" w:line="276"/>
      </w:pPr>
      <w:r>
        <w:rPr>
          <w:b/>
        </w:rPr>
        <w:t xml:space="preserve">Abstract (EN): </w:t>
      </w:r>
      <w:r>
        <w:t>Spin polarization, an intrinsic electronic degree of freedom, has emerged as a transformative lever in catalysis, offering new avenues to address challenges in environmental pollution control, renewable energy generation, and modern chemical manufacturing. Building on the inherent connection between electronic properties and catalytic activity, spin effects can enhance catalytic performance through mechanisms such as modification of the d-band center, regulation of eg electrons, and promotion of photogenerated carrier separation and transport. In this review, we introduce established mechanisms, representative evidence, and remaining limitations, and present an up-to-date overview of spin catalysis grounded in the fundamental roles of spin-resolved d-band levels, eg occupancy, spin-assisted carrier separation, and spin filtering, with emphasis on applications in hydrogen evolution, O2 evolution/reduction, CO2 conversion, ammonia synthesis, and CO oxidation. We next highlight effective strategies to improve catalytic performance by modulating spin polarization, including structural engineering and the application of external magnetic fields. Finally, we outline priorities for integrating spin effects into advanced catalytic systems through coordinated development in experimental technologies and theoretical approaches, thereby unlocking opportunities for sustainable chemical processes.</w:t>
      </w:r>
    </w:p>
    <w:p>
      <w:pPr>
        <w:spacing w:before="120" w:after="120"/>
      </w:pPr>
      <w:r>
        <w:rPr>
          <w:sz w:val="18"/>
        </w:rPr>
        <w:t>——————————————————————————————————————————————————————————————————————</w:t>
      </w:r>
    </w:p>
    <w:p>
      <w:pPr>
        <w:spacing w:before="160" w:after="40" w:line="240" w:lineRule="auto"/>
      </w:pPr>
      <w:r>
        <w:rPr>
          <w:b/>
        </w:rPr>
        <w:t xml:space="preserve">[15] </w:t>
      </w:r>
      <w:hyperlink r:id="rId214">
        <w:r>
          <w:rPr>
            <w:color w:val="1155CC"/>
            <w:u w:val="single"/>
          </w:rPr>
          <w:t>使用光催化MOFs进行CO2还原的光捕获新兴趋势</w:t>
        </w:r>
      </w:hyperlink>
    </w:p>
    <w:p>
      <w:pPr>
        <w:spacing w:before="0" w:after="80"/>
      </w:pPr>
      <w:r>
        <w:rPr>
          <w:i/>
          <w:sz w:val="20"/>
        </w:rPr>
        <w:t>EN: Emerging trends in light harnessing for CO2 reduction using photocatalytic MOFs</w:t>
      </w:r>
    </w:p>
    <w:p>
      <w:pPr>
        <w:spacing w:before="0" w:after="120"/>
      </w:pPr>
      <w:r>
        <w:rPr>
          <w:b/>
        </w:rPr>
        <w:t xml:space="preserve">Source: </w:t>
      </w:r>
      <w:r>
        <w:t>Chem</w:t>
      </w:r>
      <w:r>
        <w:t xml:space="preserve">    </w:t>
      </w:r>
      <w:r>
        <w:rPr>
          <w:b/>
        </w:rPr>
        <w:t xml:space="preserve">Pub date: </w:t>
      </w:r>
      <w:r>
        <w:t>2026-05-20 00:00:00+00:00</w:t>
      </w:r>
      <w:r>
        <w:t xml:space="preserve">    </w:t>
      </w:r>
      <w:r>
        <w:rPr>
          <w:b/>
        </w:rPr>
        <w:t xml:space="preserve">DOI: </w:t>
      </w:r>
      <w:hyperlink r:id="rId215">
        <w:r>
          <w:rPr>
            <w:color w:val="1155CC"/>
            <w:u w:val="single"/>
          </w:rPr>
          <w:t>10.1016/j.chempr.2026.103044</w:t>
        </w:r>
      </w:hyperlink>
    </w:p>
    <w:p>
      <w:pPr>
        <w:spacing w:before="0" w:after="120"/>
      </w:pPr>
      <w:r>
        <w:rPr>
          <w:b/>
        </w:rPr>
        <w:t xml:space="preserve">Notes: </w:t>
      </w:r>
      <w:r>
        <w:t>abstract_source=rss_cell</w:t>
      </w:r>
    </w:p>
    <w:p>
      <w:pPr>
        <w:spacing w:before="0" w:after="80" w:lineRule="auto" w:line="276"/>
      </w:pPr>
      <w:r>
        <w:rPr>
          <w:b/>
        </w:rPr>
        <w:t xml:space="preserve">摘要（ZH）: </w:t>
      </w:r>
      <w:r>
        <w:t>金属有机框架 (MOFs) 是人工光合作用的理想候选材料，然而，其宽带隙通常将活性限制在紫外区域。本文探讨了克服这种光谱失配的前沿策略，重点关注先进的光捕获结构。我们评估了通过等离激元和量子点 (QDs) 进行的敏化，以及天线和薄膜的结构工程。通过整合三线态-三线态湮灭 (TTA) 等非线性光学过程，基于 MOF 的系统可以突破传统的效率限制，利用整个太阳光谱将二氧化碳 (CO2) 转化为可持续燃料。</w:t>
      </w:r>
    </w:p>
    <w:p>
      <w:pPr>
        <w:spacing w:before="0" w:after="200" w:lineRule="auto" w:line="276"/>
      </w:pPr>
      <w:r>
        <w:rPr>
          <w:b/>
        </w:rPr>
        <w:t xml:space="preserve">Abstract (EN): </w:t>
      </w:r>
      <w:r>
        <w:t>Metal-organic frameworks (MOFs) are perfect candidates for artificial photosynthesis, yet their wide band gaps often restrict activity to the ultraviolet regime. This perspective explores frontier strategies to overcome this spectral mismatch, focusing on advanced light-harvesting architectures. We evaluate sensitization through plasmonics and quantum dots (QDs) alongside structural engineering of antennae and thin films. By integrating non-linear optical processes like triplet-triplet annihilation (TTA), MOF-based systems can bypass conventional efficiency limits, transforming carbon dioxide (CO2) into sustainable fuels by using the full solar spectrum.</w:t>
      </w:r>
    </w:p>
    <w:p>
      <w:pPr>
        <w:spacing w:before="120" w:after="120"/>
      </w:pPr>
      <w:r>
        <w:rPr>
          <w:sz w:val="18"/>
        </w:rPr>
        <w:t>——————————————————————————————————————————————————————————————————————</w:t>
      </w:r>
    </w:p>
    <w:p>
      <w:pPr>
        <w:spacing w:before="160" w:after="40" w:line="240" w:lineRule="auto"/>
      </w:pPr>
      <w:r>
        <w:rPr>
          <w:b/>
        </w:rPr>
        <w:t xml:space="preserve">[16] </w:t>
      </w:r>
      <w:hyperlink r:id="rId216">
        <w:r>
          <w:rPr>
            <w:color w:val="1155CC"/>
            <w:u w:val="single"/>
          </w:rPr>
          <w:t>[ASAP] 通过界面水重构对 CO2 活化途径进行热调控，实现安培级、接近统一的 CO 电合成</w:t>
        </w:r>
      </w:hyperlink>
    </w:p>
    <w:p>
      <w:pPr>
        <w:spacing w:before="0" w:after="80"/>
      </w:pPr>
      <w:r>
        <w:rPr>
          <w:i/>
          <w:sz w:val="20"/>
        </w:rPr>
        <w:t>EN: [ASAP] Thermal Regulation of CO2 Activation Pathways via Interfacial Water Restructuring Enables Ampere-Level, Near-Unity CO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2026-05-20 08:35:07+00:00</w:t>
      </w:r>
      <w:r>
        <w:t xml:space="preserve">    </w:t>
      </w:r>
      <w:r>
        <w:rPr>
          <w:b/>
        </w:rPr>
        <w:t xml:space="preserve">DOI: </w:t>
      </w:r>
      <w:hyperlink r:id="rId217">
        <w:r>
          <w:rPr>
            <w:color w:val="1155CC"/>
            <w:u w:val="single"/>
          </w:rPr>
          <w:t>10.1021/jacs.6c02677</w:t>
        </w:r>
      </w:hyperlink>
    </w:p>
    <w:p>
      <w:pPr>
        <w:spacing w:before="0" w:after="120"/>
      </w:pPr>
      <w:r>
        <w:rPr>
          <w:b/>
        </w:rPr>
        <w:t xml:space="preserve">Notes: </w:t>
      </w:r>
      <w:r>
        <w:t>abstract_source=pubmed</w:t>
      </w:r>
    </w:p>
    <w:p>
      <w:pPr>
        <w:spacing w:before="0" w:after="80" w:lineRule="auto" w:line="276"/>
      </w:pPr>
      <w:r>
        <w:rPr>
          <w:b/>
        </w:rPr>
        <w:t xml:space="preserve">摘要（ZH）: </w:t>
      </w:r>
      <w:r>
        <w:t>CO2电化学还原为CO是碳利用技术中的关键步骤，然而，在与工业膜电极组件 (MEA) 电解槽相关的升高温度下，由于竞争性析氢反应 (HER) 的存在，保持高CO选择性仍然具有挑战性。此外，CO选择性对铜基催化剂的温度依赖性在很大程度上仍未被探索。在此，我们证明将原子In或Sn掺入Cu中从根本上重塑了Cu催化剂在升高温度下的选择性。稀合金催化剂In1Cu和Sn1Cu在60 °C的MEA电解槽中，在宽电流密度窗口 (0.1-1.1 A cm-2) 内实现了&gt;95%的CO法拉第效率 (FE)，远超其在环境温度下的性能。原位衰减全反射表面增强红外吸收光谱表明，升高温度会降低界面水活度，这有利于CO2活化从质子耦合的*COOH途径转向电子驱动的*COO--相关途径，同时抑制HER和CO加氢。相比之下，银等基准CO选择性催化剂在20-60 °C下CO产量表现出最小的温度诱导变化。这些发现将温度确定为MEA电解槽中用于铜基催化剂上高速率、选择性CO生产的不可避免但以前未充分利用的操作参数。</w:t>
      </w:r>
    </w:p>
    <w:p>
      <w:pPr>
        <w:spacing w:before="0" w:after="200" w:lineRule="auto" w:line="276"/>
      </w:pPr>
      <w:r>
        <w:rPr>
          <w:b/>
        </w:rPr>
        <w:t xml:space="preserve">Abstract (EN): </w:t>
      </w:r>
      <w:r>
        <w:t>Electrochemical reduction of CO2 to CO is a key step in carbon utilization technologies, yet maintaining high CO selectivity under elevated temperatures relevant to industrial membrane-electrode-assembly (MEA) electrolyzers remains challenging due to the competing hydrogen evolution reaction (HER). Additionally, the temperature dependence of CO selectivity on Cu-based catalysts has remained largely unexplored. Here, we demonstrate that incorporating atomic In or Sn into Cu fundamentally reshapes the selectivity of Cu catalysts at elevated temperatures. Dilute alloy catalysts, In1Cu and Sn1Cu, achieve &gt;95% FE of CO over a broad current-density window (0.1-1.1 A cm-2) at 60 °C in MEA electrolyzers, far exceeding their performance at ambient temperature. In situ attenuated total reflection surface-enhanced infrared absorption spectroscopy suggests that elevating temperature depletes interfacial water activity, which favors a shift in CO2 activation from a proton-coupled *COOH pathway toward an electron-driven *COO--associated pathway, while also suppressing HER and CO hydrogenation. In contrast, benchmark CO-selective catalysts such as Ag exhibit minimal temperature-induced changes in CO production at 20-60 °C. These findings identify temperature as an unavoidable yet previously underutilized operating parameter in MEA electrolyzers for high-rate, selective CO production on Cu-based catalysts.</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208">
        <w:r>
          <w:rPr>
            <w:color w:val="1155CC"/>
            <w:u w:val="single"/>
          </w:rPr>
          <w:t>几秒内实现近100%高值化：将PET-金属氧化物混合物转化为rGO上的M1Ox簇和高级合成气/芳烃产品</w:t>
        </w:r>
      </w:hyperlink>
    </w:p>
    <w:p>
      <w:pPr>
        <w:spacing w:before="0" w:after="80"/>
      </w:pPr>
      <w:r>
        <w:rPr>
          <w:i/>
          <w:sz w:val="20"/>
        </w:rPr>
        <w:t>EN: Nearly 100% Valorization in Seconds: Transforming PET‐Metal Oxide Mixtures Into M1Ox Clusters on rGO and Premium Syngas/Aromatics Products</w:t>
      </w:r>
    </w:p>
    <w:p>
      <w:pPr>
        <w:spacing w:before="0" w:after="120"/>
      </w:pPr>
      <w:r>
        <w:rPr>
          <w:b/>
        </w:rPr>
        <w:t xml:space="preserve">Source: </w:t>
      </w:r>
      <w:r>
        <w:t>Wiley: Angewandte Chemie International Edition: Table of Contents</w:t>
      </w:r>
      <w:r>
        <w:t xml:space="preserve">    </w:t>
      </w:r>
      <w:r>
        <w:rPr>
          <w:b/>
        </w:rPr>
        <w:t xml:space="preserve">Pub date: </w:t>
      </w:r>
      <w:r>
        <w:t>2026-05-18 03:21:22+00:00</w:t>
      </w:r>
      <w:r>
        <w:t xml:space="preserve">    </w:t>
      </w:r>
      <w:r>
        <w:rPr>
          <w:b/>
        </w:rPr>
        <w:t xml:space="preserve">DOI: </w:t>
      </w:r>
      <w:hyperlink r:id="rId209">
        <w:r>
          <w:rPr>
            <w:color w:val="1155CC"/>
            <w:u w:val="single"/>
          </w:rPr>
          <w:t>10.1002/anie.1688371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聚对苯二甲酸乙二醇酯 (PET) 的高效回收通常受到低价值产品、有限的加工能力、反应时间长和碳转化不完全等挑战的阻碍。在此，我们开发了一种大规模、超快焦耳辅助重整策略，可在数秒内实现含有10 g PET废料和金属氧化物的物理混合物近100%的价值化。该过程将超过30%的碳转化为负载在还原氧化石墨烯 (M</w:t>
      </w:r>
      <w:r>
        <w:rPr>
          <w:vertAlign w:val="subscript"/>
        </w:rPr>
        <w:t>1</w:t>
      </w:r>
      <w:r>
        <w:t>O</w:t>
      </w:r>
      <w:r>
        <w:t xml:space="preserve"> </w:t>
      </w:r>
      <w:r>
        <w:t>x</w:t>
      </w:r>
      <w:r>
        <w:t xml:space="preserve"> </w:t>
      </w:r>
      <w:r>
        <w:t>/rGO) 纳米片上的单金属原子氧化物簇，同时将剩余的碳转化为高价值合成气和芳香族化合物。当应用于PET废料和商用ZnO的物理混合物时，气态产物主要由合成气（88.91 mmol CO和41.85 mmol H</w:t>
      </w:r>
      <w:r>
        <w:rPr>
          <w:vertAlign w:val="subscript"/>
        </w:rPr>
        <w:t>2</w:t>
      </w:r>
      <w:r>
        <w:t>）组成，芳香族组分含有22.84 mmol 苯，固体产物为Zn</w:t>
      </w:r>
      <w:r>
        <w:rPr>
          <w:vertAlign w:val="subscript"/>
        </w:rPr>
        <w:t>1</w:t>
      </w:r>
      <w:r>
        <w:t>O</w:t>
      </w:r>
      <w:r>
        <w:rPr>
          <w:vertAlign w:val="subscript"/>
        </w:rPr>
        <w:t>4</w:t>
      </w:r>
      <w:r>
        <w:t>/rGO纳米片。同步辐射X射线吸收精细结构和X射线发射光谱分析证实，在合成的Zn</w:t>
      </w:r>
      <w:r>
        <w:rPr>
          <w:vertAlign w:val="subscript"/>
        </w:rPr>
        <w:t>1</w:t>
      </w:r>
      <w:r>
        <w:t>O</w:t>
      </w:r>
      <w:r>
        <w:rPr>
          <w:vertAlign w:val="subscript"/>
        </w:rPr>
        <w:t>4</w:t>
      </w:r>
      <w:r>
        <w:t>/rGO纳米片中，Zn中心周围存在四配位氧环境。通过准原位傅里叶变换红外光谱和准原位气相色谱/质谱监测PET重整路径，并</w:t>
      </w:r>
    </w:p>
    <w:p>
      <w:pPr>
        <w:spacing w:before="0" w:after="200" w:lineRule="auto" w:line="276"/>
      </w:pPr>
      <w:r>
        <w:rPr>
          <w:b/>
        </w:rPr>
        <w:t xml:space="preserve">Abstract (EN): </w:t>
      </w:r>
      <w:r>
        <w:t>The efficient recycling of polyethylene terephthalate (PET) is often hindered by challenges such as low‐value products, limited processing capacity, prolonged reaction times, and incomplete carbon conversion. Here, we develop a large‐scale, ultrafast Joule‐assisted reformation strategy that achieves nearly 100% valorization of physical mixtures containing 10 g of PET waste and metal oxides within seconds. This process converts more than 30% of the carbon into single‐metal‐atom oxide clusters supported on reduced graphene oxide (M</w:t>
      </w:r>
      <w:r>
        <w:rPr>
          <w:vertAlign w:val="subscript"/>
        </w:rPr>
        <w:t>1</w:t>
      </w:r>
      <w:r>
        <w:t>O</w:t>
      </w:r>
      <w:r>
        <w:t xml:space="preserve"> </w:t>
      </w:r>
      <w:r>
        <w:t>x</w:t>
      </w:r>
      <w:r>
        <w:t xml:space="preserve"> </w:t>
      </w:r>
      <w:r>
        <w:t>/rGO) nanosheets, while transforming the remaining carbon into high‐value syngas and aromatic compounds. When applied to a physical mixture of PET waste and commercial ZnO, the gaseous products consist mainly of syngas (88.91 mmol CO and 41.85 mmol H</w:t>
      </w:r>
      <w:r>
        <w:rPr>
          <w:vertAlign w:val="subscript"/>
        </w:rPr>
        <w:t>2</w:t>
      </w:r>
      <w:r>
        <w:t>), the aromatic fraction contains 22.84 mmol benzene, and the solid product is Zn</w:t>
      </w:r>
      <w:r>
        <w:rPr>
          <w:vertAlign w:val="subscript"/>
        </w:rPr>
        <w:t>1</w:t>
      </w:r>
      <w:r>
        <w:t>O</w:t>
      </w:r>
      <w:r>
        <w:rPr>
          <w:vertAlign w:val="subscript"/>
        </w:rPr>
        <w:t>4</w:t>
      </w:r>
      <w:r>
        <w:t>/rGO nanosheets. Synchrotron‐radiation X‐ray absorption fine structure and X‐ray emission spectroscopy analyses confirm a four‐coordinate oxygen environment around the Zn center in the as‐synthesized Zn</w:t>
      </w:r>
      <w:r>
        <w:rPr>
          <w:vertAlign w:val="subscript"/>
        </w:rPr>
        <w:t>1</w:t>
      </w:r>
      <w:r>
        <w:t>O</w:t>
      </w:r>
      <w:r>
        <w:rPr>
          <w:vertAlign w:val="subscript"/>
        </w:rPr>
        <w:t>4</w:t>
      </w:r>
      <w:r>
        <w:t>/rGO nanosheets. The PET reformation pathway was monitored using quasi‐in situ Fourier transform infrared spectroscopy and quasi‐in situ gas chromatography/mass spectrometry, and ab initio molecular dynamics simulations revealed a fragmentation–annulation mechanism. The resulting Zn</w:t>
      </w:r>
      <w:r>
        <w:rPr>
          <w:vertAlign w:val="subscript"/>
        </w:rPr>
        <w:t>1</w:t>
      </w:r>
      <w:r>
        <w:t>O</w:t>
      </w:r>
      <w:r>
        <w:rPr>
          <w:vertAlign w:val="subscript"/>
        </w:rPr>
        <w:t>4</w:t>
      </w:r>
      <w:r>
        <w:t>/rGO nanosheets exhibit excellent electrocatalytic performance for syngas production via CO</w:t>
      </w:r>
      <w:r>
        <w:rPr>
          <w:vertAlign w:val="subscript"/>
        </w:rPr>
        <w:t>2</w:t>
      </w:r>
      <w:r>
        <w:t>reduction at an industrial‐level current density of 400 mA cm</w:t>
      </w:r>
      <w:r>
        <w:t xml:space="preserve"> </w:t>
      </w:r>
      <w:r>
        <w:t>−2</w:t>
      </w:r>
      <w:r>
        <w:t xml:space="preserve"> </w:t>
      </w:r>
      <w:r>
        <w:t>. This work establishes a new paradigm for the near‐complete valorization of PET waste into high‐value products.</w:t>
      </w:r>
    </w:p>
    <w:p>
      <w:pPr>
        <w:spacing w:before="120" w:after="120"/>
      </w:pPr>
      <w:r>
        <w:rPr>
          <w:sz w:val="18"/>
        </w:rPr>
        <w:t>——————————————————————————————————————————————————————————————————————</w:t>
      </w:r>
    </w:p>
    <w:p>
      <w:pPr>
        <w:spacing w:before="160" w:after="40" w:line="240" w:lineRule="auto"/>
      </w:pPr>
      <w:r>
        <w:rPr>
          <w:b/>
        </w:rPr>
        <w:t xml:space="preserve">[2] </w:t>
      </w:r>
      <w:hyperlink r:id="rId218">
        <w:r>
          <w:rPr>
            <w:color w:val="1155CC"/>
            <w:u w:val="single"/>
          </w:rPr>
          <w:t>微分支稳定化动态环氧网络用于快速固化、机械坚固和可升级再循环的热固性材料</w:t>
        </w:r>
      </w:hyperlink>
    </w:p>
    <w:p>
      <w:pPr>
        <w:spacing w:before="0" w:after="80"/>
      </w:pPr>
      <w:r>
        <w:rPr>
          <w:i/>
          <w:sz w:val="20"/>
        </w:rPr>
        <w:t>EN: Microbranching‐Stabilized Dynamic Epoxy Networks for Rapid‐Curing, Mechanically Robust, and Upcyclable Thermosets</w:t>
      </w:r>
    </w:p>
    <w:p>
      <w:pPr>
        <w:spacing w:before="0" w:after="120"/>
      </w:pPr>
      <w:r>
        <w:rPr>
          <w:b/>
        </w:rPr>
        <w:t xml:space="preserve">Source: </w:t>
      </w:r>
      <w:r>
        <w:t>Wiley: Angewandte Chemie International Edition: Table of Contents</w:t>
      </w:r>
      <w:r>
        <w:t xml:space="preserve">    </w:t>
      </w:r>
      <w:r>
        <w:rPr>
          <w:b/>
        </w:rPr>
        <w:t xml:space="preserve">Pub date: </w:t>
      </w:r>
      <w:r>
        <w:t>2026-05-18 11:59:41+00:00</w:t>
      </w:r>
      <w:r>
        <w:t xml:space="preserve">    </w:t>
      </w:r>
      <w:r>
        <w:rPr>
          <w:b/>
        </w:rPr>
        <w:t xml:space="preserve">DOI: </w:t>
      </w:r>
      <w:hyperlink r:id="rId219">
        <w:r>
          <w:rPr>
            <w:color w:val="1155CC"/>
            <w:u w:val="single"/>
          </w:rPr>
          <w:t>10.1002/anie.9002258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快速固化环氧热固性材料对可扩展复合材料制造极具吸引力，但快速网络形成通常会损害固化均匀性、机械坚固性和报废再利用性。在此，我们报告了一种微支化稳定动态环氧网络，它集快速固化、平衡强度和韧性以及热固性材料升级回收于一体。一种具有精确设计的微支化结构的液态混合胺固化剂（Gm‐12）与商用环氧单体形成均匀的液-液共混物，从而在150°C下10分钟内完成固化。所得环氧网络（DGm‐12）形成了明确的微相分离形态，保持了高有效交联密度，同时引入了耗散域，从而实现了88 MPa的拉伸强度和3.5 MPa m1/2的断裂韧性。动态酯键和二硫键的引入进一步实现了快速网络重排和完全可再加工性。因此，部分固化或过期的预浸料可以重复使用，完全固化的复合材料可以重塑，并且通过水热降解在水中回收清洁碳纤维。总而言之，这些结果为协调环氧热固性材料的快速固化、强韧机械性能和复合材料级升级回收建立了设计原则。</w:t>
      </w:r>
    </w:p>
    <w:p>
      <w:pPr>
        <w:spacing w:before="0" w:after="200" w:lineRule="auto" w:line="276"/>
      </w:pPr>
      <w:r>
        <w:rPr>
          <w:b/>
        </w:rPr>
        <w:t xml:space="preserve">Abstract (EN): </w:t>
      </w:r>
      <w:r>
        <w:t>Rapid‐curing epoxy thermosets are highly attractive for scalable composite manufacturing, yet rapid network formation often compromises cure homogeneity, mechanical robustness, and end‐of‐life reuse. Here, we report a microbranching‐stabilized dynamic epoxy network that integrates rapid curing, balanced strength and toughness, and thermoset upcycling. A liquid mixed amine curing agent (Gm‐12) featuring a precisely designed microbranching architecture forms a homogeneous liquid–liquid blend with a commercial epoxy monomer, allowing complete curing within 10 min at 150° C. The resulting epoxy network (DGm‐12) develops a well‐defined microphase‐separated morphology that preserves a high effective crosslink density while introducing dissipative domains, thereby achieving a tensile strength of 88 MPa and a fracture toughness of 3.5 MPa m</w:t>
      </w:r>
      <w:r>
        <w:t xml:space="preserve"> </w:t>
      </w:r>
      <w:r>
        <w:t>1/2</w:t>
      </w:r>
      <w:r>
        <w:t xml:space="preserve"> </w:t>
      </w:r>
      <w:r>
        <w:t>. The incorporation of dynamic ester and disulfide bonds further enables rapid network rearrangement and full reprocessability. Consequently, partially cured or expired prepregs can be reused, fully cured composites can be reshaped, and clean carbon fibers can be recovered through hydrothermal degradation in water. Together, these results establish a design principle for reconciling rapid curing, strong and tough mechanical performance, and composite‐level upcycling in epoxy thermosets.</w:t>
      </w:r>
    </w:p>
    <w:p>
      <w:pPr>
        <w:spacing w:before="120" w:after="120"/>
      </w:pPr>
      <w:r>
        <w:rPr>
          <w:sz w:val="18"/>
        </w:rPr>
        <w:t>——————————————————————————————————————————————————————————————————————</w:t>
      </w:r>
    </w:p>
    <w:p>
      <w:pPr>
        <w:spacing w:before="160" w:after="40" w:line="240" w:lineRule="auto"/>
      </w:pPr>
      <w:r>
        <w:rPr>
          <w:b/>
        </w:rPr>
        <w:t xml:space="preserve">[3] </w:t>
      </w:r>
      <w:hyperlink r:id="rId220">
        <w:r>
          <w:rPr>
            <w:color w:val="1155CC"/>
            <w:u w:val="single"/>
          </w:rPr>
          <w:t>源自元素硫的动态环状富硫聚合物玻璃</w:t>
        </w:r>
      </w:hyperlink>
    </w:p>
    <w:p>
      <w:pPr>
        <w:spacing w:before="0" w:after="80"/>
      </w:pPr>
      <w:r>
        <w:rPr>
          <w:i/>
          <w:sz w:val="20"/>
        </w:rPr>
        <w:t>EN: Dynamic Circular Sulfur‐Rich Polymer Glasses From Elemental Sulfur</w:t>
      </w:r>
    </w:p>
    <w:p>
      <w:pPr>
        <w:spacing w:before="0" w:after="120"/>
      </w:pPr>
      <w:r>
        <w:rPr>
          <w:b/>
        </w:rPr>
        <w:t xml:space="preserve">Source: </w:t>
      </w:r>
      <w:r>
        <w:t>Wiley: Advanced Materials: Table of Contents</w:t>
      </w:r>
      <w:r>
        <w:t xml:space="preserve">    </w:t>
      </w:r>
      <w:r>
        <w:rPr>
          <w:b/>
        </w:rPr>
        <w:t xml:space="preserve">Pub date: </w:t>
      </w:r>
      <w:r>
        <w:t>2026-05-19 04:45:13+00:00</w:t>
      </w:r>
      <w:r>
        <w:t xml:space="preserve">    </w:t>
      </w:r>
      <w:r>
        <w:rPr>
          <w:b/>
        </w:rPr>
        <w:t xml:space="preserve">DOI: </w:t>
      </w:r>
      <w:hyperlink r:id="rId221">
        <w:r>
          <w:rPr>
            <w:color w:val="1155CC"/>
            <w:u w:val="single"/>
          </w:rPr>
          <w:t>10.1002/adma.73391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单质硫 (S8) 是一种价格低廉的石油副产品，适用于作为纯熔融介质进行可持续聚合物合成的升级再利用。逆硫化是将S8转化为富硫塑料的一种有吸引力的方法，但可扩展制造仍具挑战性。熔融硫的化学性质知之甚少，限制了使用这种非常规介质的进展。在此，熔融硫的均匀性被确定为获得富硫（70–80 wt.%）聚合物玻璃（称为逆硫化玻璃 (IVG)）的关键参数。超高纯硫熔体的应用揭示了控制硫塑料制造的隐藏边界条件，使得能够制造具有高折射率和可见-红外光谱范围内标志性宽带透明度的大尺寸IVG精密光学器件。S–S键的引入提供了共价适应性网络，其流变学由动态键重组主导。IVG作为一种经济实惠的宽带可见-红外光学玻璃，其损坏的部件可以熔融再加工，相比传统无机光学材料具有循环优势。</w:t>
      </w:r>
    </w:p>
    <w:p>
      <w:pPr>
        <w:spacing w:before="0" w:after="200" w:lineRule="auto" w:line="276"/>
      </w:pPr>
      <w:r>
        <w:rPr>
          <w:b/>
        </w:rPr>
        <w:t xml:space="preserve">Abstract (EN): </w:t>
      </w:r>
      <w:r>
        <w:t>Elemental sulfur (S</w:t>
      </w:r>
      <w:r>
        <w:rPr>
          <w:vertAlign w:val="subscript"/>
        </w:rPr>
        <w:t>8</w:t>
      </w:r>
      <w:r>
        <w:t>) is a commodity‐priced petroleum byproduct suitable for upcycling as a neat molten medium for sustainable polymer synthesis. Inverse vulcanization is an attractive approach for converting S</w:t>
      </w:r>
      <w:r>
        <w:rPr>
          <w:vertAlign w:val="subscript"/>
        </w:rPr>
        <w:t>8</w:t>
      </w:r>
      <w:r>
        <w:t>into sulfur‐rich plastics, yet scalable manufacturing remains challenging. The chemistry of molten sulfur is poorly understood, limiting progress using this unconventional medium. Herein, molten sulfur homogeneity is identified as a critical parameter for accessing sulfur‐rich (70–80 wt.%) polymer glasses, termed inverse vulcanized glass (IVG). Application of ultra‐high‐purity sulfur melts uncovers a hidden boundary condition governing sulfur plastic manufacturing, enabling fabrication of large IVG precision optics with high refractive index and landmark broadband transparency across the visible–infrared spectrum. The inclusion of S–S bonds afford covalent adaptable networks with rheology dominated by dynamic bond reorganization. IVG functions as an affordable, broadband Vis–IR optical glass whose damaged components can be melt‐reprocessed, providing a circular advantage over traditional inorganic optical materials.</w:t>
      </w:r>
    </w:p>
    <w:p>
      <w:pPr>
        <w:spacing w:before="120" w:after="120"/>
      </w:pPr>
      <w:r>
        <w:rPr>
          <w:sz w:val="18"/>
        </w:rPr>
        <w:t>——————————————————————————————————————————————————————————————————————</w:t>
      </w:r>
    </w:p>
    <w:p>
      <w:pPr>
        <w:spacing w:before="160" w:after="40" w:line="240" w:lineRule="auto"/>
      </w:pPr>
      <w:r>
        <w:rPr>
          <w:b/>
        </w:rPr>
        <w:t xml:space="preserve">[4] </w:t>
      </w:r>
      <w:hyperlink r:id="rId222">
        <w:r>
          <w:rPr>
            <w:color w:val="1155CC"/>
            <w:u w:val="single"/>
          </w:rPr>
          <w:t>食品和饮料塑料主导全球海岸线：对使用类型进行统一的基于排名的评估以指导干预措施</w:t>
        </w:r>
      </w:hyperlink>
    </w:p>
    <w:p>
      <w:pPr>
        <w:spacing w:before="0" w:after="80"/>
      </w:pPr>
      <w:r>
        <w:rPr>
          <w:i/>
          <w:sz w:val="20"/>
        </w:rPr>
        <w:t>EN: Food and beverage plastics dominate global shorelines: A harmonized rank-based assessment of usage types to guide interventions</w:t>
      </w:r>
    </w:p>
    <w:p>
      <w:pPr>
        <w:spacing w:before="0" w:after="120"/>
      </w:pPr>
      <w:r>
        <w:rPr>
          <w:b/>
        </w:rPr>
        <w:t xml:space="preserve">Source: </w:t>
      </w:r>
      <w:r>
        <w:t>One Earth</w:t>
      </w:r>
      <w:r>
        <w:t xml:space="preserve">    </w:t>
      </w:r>
      <w:r>
        <w:rPr>
          <w:b/>
        </w:rPr>
        <w:t xml:space="preserve">Pub date: </w:t>
      </w:r>
      <w:r>
        <w:t>2026-05-20 00:00:00+00:00</w:t>
      </w:r>
      <w:r>
        <w:t xml:space="preserve">    </w:t>
      </w:r>
      <w:r>
        <w:rPr>
          <w:b/>
        </w:rPr>
        <w:t xml:space="preserve">DOI: </w:t>
      </w:r>
      <w:hyperlink r:id="rId223">
        <w:r>
          <w:rPr>
            <w:color w:val="1155CC"/>
            <w:u w:val="single"/>
          </w:rPr>
          <w:t>10.1016/j.oneear.2026.101712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224">
        <w:r>
          <w:rPr>
            <w:color w:val="1155CC"/>
            <w:u w:val="single"/>
          </w:rPr>
          <w:t>集中式和分布式能源管理策略在集体自用方案中能源共享的技术经济评估</w:t>
        </w:r>
      </w:hyperlink>
    </w:p>
    <w:p>
      <w:pPr>
        <w:spacing w:before="0" w:after="80"/>
      </w:pPr>
      <w:r>
        <w:rPr>
          <w:i/>
          <w:sz w:val="20"/>
        </w:rPr>
        <w:t>EN: Techno-economic assessment of centralized and decentralized energy management strategies for energy sharing in collective self-consumption schemes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25">
        <w:r>
          <w:rPr>
            <w:color w:val="1155CC"/>
            <w:u w:val="single"/>
          </w:rPr>
          <w:t>马来西亚CO2和碳强度的演变与驱动因素</w:t>
        </w:r>
      </w:hyperlink>
    </w:p>
    <w:p>
      <w:pPr>
        <w:spacing w:before="0" w:after="80"/>
      </w:pPr>
      <w:r>
        <w:rPr>
          <w:i/>
          <w:sz w:val="20"/>
        </w:rPr>
        <w:t>EN: Evolution and drivers of CO2 and carbon intensity in Malaysia</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226">
        <w:r>
          <w:rPr>
            <w:color w:val="1155CC"/>
            <w:u w:val="single"/>
          </w:rPr>
          <w:t>定位于生物分子凝聚体界面的肽的从头设计</w:t>
        </w:r>
      </w:hyperlink>
    </w:p>
    <w:p>
      <w:pPr>
        <w:spacing w:before="0" w:after="80"/>
      </w:pPr>
      <w:r>
        <w:rPr>
          <w:i/>
          <w:sz w:val="20"/>
        </w:rPr>
        <w:t>EN: De novo design of peptides localizing at the interface of biomolecular condensates</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27">
        <w:r>
          <w:rPr>
            <w:color w:val="1155CC"/>
            <w:u w:val="single"/>
          </w:rPr>
          <w:t>10.1038/s41467-026-73099-9</w:t>
        </w:r>
      </w:hyperlink>
    </w:p>
    <w:p>
      <w:pPr>
        <w:spacing w:before="0" w:after="120"/>
      </w:pPr>
      <w:r>
        <w:rPr>
          <w:b/>
        </w:rPr>
        <w:t xml:space="preserve">Notes: </w:t>
      </w:r>
      <w:r>
        <w:t>abstract_source=nature_html</w:t>
      </w:r>
    </w:p>
    <w:p>
      <w:pPr>
        <w:spacing w:before="0" w:after="80" w:lineRule="auto" w:line="276"/>
      </w:pPr>
      <w:r>
        <w:rPr>
          <w:b/>
        </w:rPr>
        <w:t xml:space="preserve">摘要（ZH）: </w:t>
      </w:r>
      <w:r>
        <w:t>生物分子凝聚体的界面在蛋白质聚集和生化反应等过程中发挥关键作用，使其成为凝聚体工程的一个有吸引力的目标。然而，驱动优先定位到凝聚体界面的分子语法仍然知之甚少。在这里，我们开发了一个计算流程，它整合了高通量粗粒度模拟、机器学习和混合整数线性规划，以设计在特定凝聚体靶标界面处分配的肽。我们通过设计和合成在由内在无序蛋白区域形成的三种不同凝聚体界面处定位的肽来验证了该工作流程。这些肽表现出表面活性剂样结构。具体来说，一个尾部插入凝聚体并富含芳香族残基，而另一端尾部则被排除在致密相之外，其序列根据支架的净电荷而变化。总之，我们的流程为合理设计界面定位肽和揭示其主导设计原理提供了一种通用策略。</w:t>
      </w:r>
    </w:p>
    <w:p>
      <w:pPr>
        <w:spacing w:before="0" w:after="200" w:lineRule="auto" w:line="276"/>
      </w:pPr>
      <w:r>
        <w:rPr>
          <w:b/>
        </w:rPr>
        <w:t xml:space="preserve">Abstract (EN): </w:t>
      </w:r>
      <w:r>
        <w:t>The interface of biomolecular condensates plays a key role in processes such as protein aggregation and biochemical reactions, making it an attractive target for engineering condensates. However, the molecular grammar that drives preferential localization to condensate interfaces remains poorly understood. Here, we develop a computational pipeline that integrates high-throughput coarse-grained simulations, machine learning, and mixed-integer linear programming to design peptides that partition at the interfaces of defined condensate targets. We validated the workflow by designing and synthesizing peptides that localize at the interface of three distinct condensates formed by intrinsically disordered protein regions. These peptides exhibit surfactant-like architectures. Specifically, one tail inserts into the condensate and is enriched in aromatic residues, while the opposite tail is excluded from the dense phase, with its sequence varying according to the scaffold’s net charge. Overall, our pipeline offers a general strategy for rationally designing interface-localizing peptides and for unraveling the governing design principles.</w:t>
      </w:r>
    </w:p>
    <w:p>
      <w:pPr>
        <w:spacing w:before="120" w:after="120"/>
      </w:pPr>
      <w:r>
        <w:rPr>
          <w:sz w:val="18"/>
        </w:rPr>
        <w:t>——————————————————————————————————————————————————————————————————————</w:t>
      </w:r>
    </w:p>
    <w:p>
      <w:pPr>
        <w:spacing w:before="160" w:after="40" w:line="240" w:lineRule="auto"/>
      </w:pPr>
      <w:r>
        <w:rPr>
          <w:b/>
        </w:rPr>
        <w:t xml:space="preserve">[4] </w:t>
      </w:r>
      <w:hyperlink r:id="rId228">
        <w:r>
          <w:rPr>
            <w:color w:val="1155CC"/>
            <w:u w:val="single"/>
          </w:rPr>
          <w:t>木葡聚糖木糖基转移酶茎区介导异源二聚体形成</w:t>
        </w:r>
      </w:hyperlink>
    </w:p>
    <w:p>
      <w:pPr>
        <w:spacing w:before="0" w:after="80"/>
      </w:pPr>
      <w:r>
        <w:rPr>
          <w:i/>
          <w:sz w:val="20"/>
        </w:rPr>
        <w:t>EN: Xyloglucan xylosyltransferase stem region mediates heterodimer formation</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29">
        <w:r>
          <w:rPr>
            <w:color w:val="1155CC"/>
            <w:u w:val="single"/>
          </w:rPr>
          <w:t>10.1038/s41467-026-73329-0</w:t>
        </w:r>
      </w:hyperlink>
    </w:p>
    <w:p>
      <w:pPr>
        <w:spacing w:before="0" w:after="120"/>
      </w:pPr>
      <w:r>
        <w:rPr>
          <w:b/>
        </w:rPr>
        <w:t xml:space="preserve">Notes: </w:t>
      </w:r>
      <w:r>
        <w:t>abstract_source=nature_html</w:t>
      </w:r>
    </w:p>
    <w:p>
      <w:pPr>
        <w:spacing w:before="0" w:after="80" w:lineRule="auto" w:line="276"/>
      </w:pPr>
      <w:r>
        <w:rPr>
          <w:b/>
        </w:rPr>
        <w:t xml:space="preserve">摘要（ZH）: </w:t>
      </w:r>
      <w:r>
        <w:t>木葡聚糖是植物细胞壁半纤维素，由葡聚糖主链和被木糖基残基取代的、具有不同分支模式的结构组成。木葡聚糖木糖基转移酶 (XXT) 2 和 XXT5 都需要完全木糖基化葡聚糖主链并发生物理相互作用，但这种相互作用的机制仍未明确。在这里，我们展示了 XXT2-XXT5 异二聚体的晶体结构，它以专性异二聚体的形式组织并结合了两种底物。这些结构证实了 XXT5 中存在一个次级结合口袋，可能容纳预木糖基化的葡聚糖链。此外，还揭示了 XXT2 茎区与 XXT5 之间一种先前未表征的相互作用，这种相互作用在 XXT1 同二聚体结构中不存在。截短和嵌合蛋白实验支持该茎多肽控制寡聚化，这是一种可能与其他糖基转移酶复合物共享的机制。总之，这些发现为理解 XXT 如何协调木葡聚糖木糖基化提供了结构基础，并为它们的二聚化机制提供了见解。</w:t>
      </w:r>
    </w:p>
    <w:p>
      <w:pPr>
        <w:spacing w:before="0" w:after="200" w:lineRule="auto" w:line="276"/>
      </w:pPr>
      <w:r>
        <w:rPr>
          <w:b/>
        </w:rPr>
        <w:t xml:space="preserve">Abstract (EN): </w:t>
      </w:r>
      <w:r>
        <w:t>Xyloglucans are plant cell wall hemicelluloses composed of a glucan backbone substituted with xylosyl residues with diverse branching patterns. Xyloglucan xylosyltransferases (XXT) 2 and XXT5 are both required to fully xylosylate the glucan backbone and physically interact, yet the mechanism of this interaction has remained undefined. Here, we present crystal structures of the XXT2-XXT5 heterodimer, organized as an obligatory heterodimer and bound to both substrates. These structures confirm the presence of a secondary binding pocket in XXT5 that likely accommodates a pre-xylosylated glucan chain. A previously uncharacterized interaction is also revealed between XXT2’s stem region and XXT5, which is absent in the XXT1 homodimer structure. Truncated and chimeric protein experiments support that this stem polypeptide controls oligomerization, a mechanism likely shared by other glycosyltransferase complexes. Together, these findings provide the structural basis for understanding how XXTs coordinate xyloglucan xylosylation and offer insight into the mechanism of their dimerization.</w:t>
      </w:r>
    </w:p>
    <w:p>
      <w:pPr>
        <w:spacing w:before="120" w:after="120"/>
      </w:pPr>
      <w:r>
        <w:rPr>
          <w:sz w:val="18"/>
        </w:rPr>
        <w:t>——————————————————————————————————————————————————————————————————————</w:t>
      </w:r>
    </w:p>
    <w:p>
      <w:pPr>
        <w:spacing w:before="160" w:after="40" w:line="240" w:lineRule="auto"/>
      </w:pPr>
      <w:r>
        <w:rPr>
          <w:b/>
        </w:rPr>
        <w:t xml:space="preserve">[5] </w:t>
      </w:r>
      <w:hyperlink r:id="rId230">
        <w:r>
          <w:rPr>
            <w:color w:val="1155CC"/>
            <w:u w:val="single"/>
          </w:rPr>
          <w:t>非洲预估区域极端降水的强劲增强</w:t>
        </w:r>
      </w:hyperlink>
    </w:p>
    <w:p>
      <w:pPr>
        <w:spacing w:before="0" w:after="80"/>
      </w:pPr>
      <w:r>
        <w:rPr>
          <w:i/>
          <w:sz w:val="20"/>
        </w:rPr>
        <w:t>EN: Robust intensification of projected regional precipitation extremes over Africa</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31">
        <w:r>
          <w:rPr>
            <w:color w:val="1155CC"/>
            <w:u w:val="single"/>
          </w:rPr>
          <w:t>10.1038/s41467-026-73246-2</w:t>
        </w:r>
      </w:hyperlink>
    </w:p>
    <w:p>
      <w:pPr>
        <w:spacing w:before="0" w:after="120"/>
      </w:pPr>
      <w:r>
        <w:rPr>
          <w:b/>
        </w:rPr>
        <w:t xml:space="preserve">Notes: </w:t>
      </w:r>
      <w:r>
        <w:t>abstract_source=nature_html</w:t>
      </w:r>
    </w:p>
    <w:p>
      <w:pPr>
        <w:spacing w:before="0" w:after="80" w:lineRule="auto" w:line="276"/>
      </w:pPr>
      <w:r>
        <w:rPr>
          <w:b/>
        </w:rPr>
        <w:t xml:space="preserve">摘要（ZH）: </w:t>
      </w:r>
      <w:r>
        <w:t>在气候变暖背景下，极端降雨正在增加，但其在非洲未来的分布模式仍高度不确定。利用耦合模式比较计划第六阶段 (CMIP6) 模拟，我们评估了在 SSP2-4.5 和 SSP5-8.5 两种情景下，非洲次区域年最大一日降水量 (Rx1day) 和罕见极端降水量的预计变化。我们的结果显示，到二十一世纪末，Rx1day 将显著增强，在 SSP2-4.5 (SSP5-8.5) 情景下，增幅约为 ~5–10 mm day⁻¹ (15–23 mm day⁻¹)，其中在对流主导的赤道地区，如西非、中非和东北非，增幅最大。历史上每 50 (100) 年发生一次的罕见事件预计将每 ~5–10 ( ~ 6–14) 年重现一次，在 SSP5-8.5 情景下的赤道地区，重现间隔最短可达 2–3 年。这种增强主要由辐射引起的变暖相关的热力学增湿驱动，而由非绝热加热驱动的动力学变化则调节区域响应并解释了大部分模型间差异。基于观测到的历史全球平均地表温度趋势的分层涌现约束框架，将平均 Rx1day 增强幅度缓和了约 ~11–35%，但未改变其符号。约束和非约束预测均表明，非洲大陆范围内人口和国内生产总值暴露量将大幅增加。</w:t>
      </w:r>
    </w:p>
    <w:p>
      <w:pPr>
        <w:spacing w:before="0" w:after="200" w:lineRule="auto" w:line="276"/>
      </w:pPr>
      <w:r>
        <w:rPr>
          <w:b/>
        </w:rPr>
        <w:t xml:space="preserve">Abstract (EN): </w:t>
      </w:r>
      <w:r>
        <w:t>Extreme rainfall is increasing under climate warming, but its future patterns across Africa remain highly uncertain. Using Coupled Model Intercomparison Project Phase 6 (CMIP6) simulations, we assess projected changes in annual maximum one-day precipitation (Rx1day) and rare precipitation extremes across African subregions under both SSP2-4.5 and SSP5-8.5 scenarios. Our results show robust intensification of Rx1day by the late twenty-first century, with increases of ~5–10 mm day⁻¹ (15–23 mm day⁻¹) under SSP2-4.5 (SSP5-8.5), largest in convectively dominated equatorial regions such as West, Central, and Northeast Africa. Rare events that historically occurred once every 50 (100) years are projected to recur every ~5–10 ( ~ 6–14) years, with recurrence intervals as short as 2–3 years in equatorial regions under SSP5-8.5. This intensification is driven primarily by thermodynamic moistening associated with radiation-induced warming, while diabatic heating–driven dynamic changes modulate regional responses and account for much of the intermodel spread. A hierarchical emergent-constraint framework based on observed historical global mean surface temperature trends moderates mean Rx1day intensification by ~11–35% without altering its sign. Constrained and unconstrained projections indicate substantial continent-wide increases in population and gross domestic product exposure.</w:t>
      </w:r>
    </w:p>
    <w:p>
      <w:pPr>
        <w:spacing w:before="120" w:after="120"/>
      </w:pPr>
      <w:r>
        <w:rPr>
          <w:sz w:val="18"/>
        </w:rPr>
        <w:t>——————————————————————————————————————————————————————————————————————</w:t>
      </w:r>
    </w:p>
    <w:p>
      <w:pPr>
        <w:spacing w:before="160" w:after="40" w:line="240" w:lineRule="auto"/>
      </w:pPr>
      <w:r>
        <w:rPr>
          <w:b/>
        </w:rPr>
        <w:t xml:space="preserve">[6] </w:t>
      </w:r>
      <w:hyperlink r:id="rId232">
        <w:r>
          <w:rPr>
            <w:color w:val="1155CC"/>
            <w:u w:val="single"/>
          </w:rPr>
          <w:t>完整前引物酶体的可视化揭示了调控DNA复制重启的结构机制</w:t>
        </w:r>
      </w:hyperlink>
    </w:p>
    <w:p>
      <w:pPr>
        <w:spacing w:before="0" w:after="80"/>
      </w:pPr>
      <w:r>
        <w:rPr>
          <w:i/>
          <w:sz w:val="20"/>
        </w:rPr>
        <w:t>EN: Visualization of the complete preprimosome reveals the structural mechanisms governing DNA replication restart</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33">
        <w:r>
          <w:rPr>
            <w:color w:val="1155CC"/>
            <w:u w:val="single"/>
          </w:rPr>
          <w:t>10.1038/s41467-026-73239-1</w:t>
        </w:r>
      </w:hyperlink>
    </w:p>
    <w:p>
      <w:pPr>
        <w:spacing w:before="0" w:after="120"/>
      </w:pPr>
      <w:r>
        <w:rPr>
          <w:b/>
        </w:rPr>
        <w:t xml:space="preserve">Notes: </w:t>
      </w:r>
      <w:r>
        <w:t>abstract_source=nature_html</w:t>
      </w:r>
    </w:p>
    <w:p>
      <w:pPr>
        <w:spacing w:before="0" w:after="80" w:lineRule="auto" w:line="276"/>
      </w:pPr>
      <w:r>
        <w:rPr>
          <w:b/>
        </w:rPr>
        <w:t xml:space="preserve">摘要（ZH）: </w:t>
      </w:r>
      <w:r>
        <w:t>复制重启途径在其过早终止后重新启动DNA复制过程。在大肠杆菌中，这一基本过程始于前引物酶体复合物（由PriA、PriB和DnaT蛋白组成）在废弃复制叉上的调控组装。在此，我们展示了两种不同的前引物酶体结构。一种代表前引物酶体组装的中间阶段，其中单个DnaT C末端结构域 (DnaTCTD) 与PriA/PriB/DNA结合。第二种捕获了成熟的前引物酶体，其中多个DnaTCTD分子的丝状化催化了单链滞后链DNA从PriB到DnaT的转移。DnaT N末端结构域在成熟结构中形成一个独立的寡聚体。综上所述，我们的结果详细阐述了复制重启起始和调控的分子机制，并揭示了DnaT与经典起始蛋白DnaA之间的机制相似性。</w:t>
      </w:r>
    </w:p>
    <w:p>
      <w:pPr>
        <w:spacing w:before="0" w:after="200" w:lineRule="auto" w:line="276"/>
      </w:pPr>
      <w:r>
        <w:rPr>
          <w:b/>
        </w:rPr>
        <w:t xml:space="preserve">Abstract (EN): </w:t>
      </w:r>
      <w:r>
        <w:t>Replication restart pathways reinitiate DNA replication processes following their premature termination. In Escherichia coli, this essential process begins with regulated assembly of the preprimosome complex, comprising the PriA, PriB, and DnaT proteins, onto an abandoned replication fork. Here, we present two distinct preprimosome structures. One represents an intermediate stage in preprimosome assembly with a single DnaT C-terminal domain (DnaTCTD) bound to PriA/PriB/DNA. The second captures the mature preprimosome, in which filamentation of multiple DnaTCTD molecules catalyzes the handoff of the single-stranded lagging-strand DNA from PriB to DnaT. The DnaT N-terminal domain forms a separate, independent oligomer in the mature structure. Taken together, our results detail the molecular mechanisms underlying replication restart initiation and regulation and suggest mechanistic similarities between DnaT and the canonical initiator protein DnaA.</w:t>
      </w:r>
    </w:p>
    <w:p>
      <w:pPr>
        <w:spacing w:before="120" w:after="120"/>
      </w:pPr>
      <w:r>
        <w:rPr>
          <w:sz w:val="18"/>
        </w:rPr>
        <w:t>——————————————————————————————————————————————————————————————————————</w:t>
      </w:r>
    </w:p>
    <w:p>
      <w:pPr>
        <w:spacing w:before="160" w:after="40" w:line="240" w:lineRule="auto"/>
      </w:pPr>
      <w:r>
        <w:rPr>
          <w:b/>
        </w:rPr>
        <w:t xml:space="preserve">[7] </w:t>
      </w:r>
      <w:hyperlink r:id="rId234">
        <w:r>
          <w:rPr>
            <w:color w:val="1155CC"/>
            <w:u w:val="single"/>
          </w:rPr>
          <w:t>通过自由基-极性交叉重排对未活化烯烃进行催化马尔科夫尼科夫氢磷酸化</w:t>
        </w:r>
      </w:hyperlink>
    </w:p>
    <w:p>
      <w:pPr>
        <w:spacing w:before="0" w:after="80"/>
      </w:pPr>
      <w:r>
        <w:rPr>
          <w:i/>
          <w:sz w:val="20"/>
        </w:rPr>
        <w:t>EN: Catalytic Markovnikov hydrophosphorylation of unactivated olefins via a radical-polar crossover rearrangement</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35">
        <w:r>
          <w:rPr>
            <w:color w:val="1155CC"/>
            <w:u w:val="single"/>
          </w:rPr>
          <w:t>10.1038/s41467-026-72870-2</w:t>
        </w:r>
      </w:hyperlink>
    </w:p>
    <w:p>
      <w:pPr>
        <w:spacing w:before="0" w:after="120"/>
      </w:pPr>
      <w:r>
        <w:rPr>
          <w:b/>
        </w:rPr>
        <w:t xml:space="preserve">Notes: </w:t>
      </w:r>
      <w:r>
        <w:t>abstract_source=nature_html</w:t>
      </w:r>
    </w:p>
    <w:p>
      <w:pPr>
        <w:spacing w:before="0" w:after="80" w:lineRule="auto" w:line="276"/>
      </w:pPr>
      <w:r>
        <w:rPr>
          <w:b/>
        </w:rPr>
        <w:t xml:space="preserve">摘要（ZH）: </w:t>
      </w:r>
      <w:r>
        <w:t>烯烃的磷酸化为获得有机磷酰基化合物提供了多种途径，但其区域选择性仍面临挑战，尤其是烯烃的自由基马尔科夫尼科夫氢磷酸化。在此，我们开发了一种未活化烯烃的自由基马尔科夫尼科夫氢磷酸化方法，通过在可见光驱动的三重催化下，(双)高烯丙醇、Ph2PCl和水的顺序反应实现。该方案始于Co-H物种介导的金属氢化物原子转移，随后是水介导的自由基-极性交叉亚磷酸酯重排。该反应具有温和的反应条件、优异的区域/立体选择性以及良好的天然产物兼容性。通过使用D2O替代H2O成功实现烯烃的自由基氘磷酸化，进一步证明了该方案的合成价值。该方案不仅拓宽了亚磷酸酯重排的模式，而且为水的自由基活化及其在有机转化中的三原子裂解和利用提供了一个成功的范例。</w:t>
      </w:r>
    </w:p>
    <w:p>
      <w:pPr>
        <w:spacing w:before="0" w:after="200" w:lineRule="auto" w:line="276"/>
      </w:pPr>
      <w:r>
        <w:rPr>
          <w:b/>
        </w:rPr>
        <w:t xml:space="preserve">Abstract (EN): </w:t>
      </w:r>
      <w:r>
        <w:t>The phosphorylation of alkenes offers a diverse handle for obtaining organophosphoryls, but its regioselectivity still faces challenges, especially the radical Markovnikov hydrophosphorylation of alkenes. Herein, we develop a radical Markovnikov hydrophosphorylation of unactivated alkenes by a sequential reaction of (bis)homoallylic alcohols, Ph2PCl, and water under visible light-driven triple catalysis. The protocol initiates from a Co-H species-mediated metal-hydride atom transfer, followed by a water-mediated radical-polar crossover phosphinite rearrangement. This reaction features mild reaction conditions, excellent regio-/stereoselectivity, and good natural products compatibility. The successful radical deuterophosphonation of olefins by using D2O to replace H2O further demonstrates the synthetic value of the protocol. This protocol not only broadens the mode of phosphinite rearrangement, but also provides a successful example for the radical activation of water and its three-atom splitting and utilization in organic conversion.</w:t>
      </w:r>
    </w:p>
    <w:p>
      <w:pPr>
        <w:spacing w:before="120" w:after="120"/>
      </w:pPr>
      <w:r>
        <w:rPr>
          <w:sz w:val="18"/>
        </w:rPr>
        <w:t>——————————————————————————————————————————————————————————————————————</w:t>
      </w:r>
    </w:p>
    <w:p>
      <w:pPr>
        <w:spacing w:before="160" w:after="40" w:line="240" w:lineRule="auto"/>
      </w:pPr>
      <w:r>
        <w:rPr>
          <w:b/>
        </w:rPr>
        <w:t xml:space="preserve">[8] </w:t>
      </w:r>
      <w:hyperlink r:id="rId236">
        <w:r>
          <w:rPr>
            <w:color w:val="1155CC"/>
            <w:u w:val="single"/>
          </w:rPr>
          <w:t>太阳能光伏对生物多样性的已知和未知影响：生命周期阶段和缓解机会综述</w:t>
        </w:r>
      </w:hyperlink>
    </w:p>
    <w:p>
      <w:pPr>
        <w:spacing w:before="0" w:after="80"/>
      </w:pPr>
      <w:r>
        <w:rPr>
          <w:i/>
          <w:sz w:val="20"/>
        </w:rPr>
        <w:t>EN: Known and unknown biodiversity impacts of solar PV: A review of life cycle stages and mitigation opportunities</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37">
        <w:r>
          <w:rPr>
            <w:color w:val="1155CC"/>
            <w:u w:val="single"/>
          </w:rPr>
          <w:t>像差感知3D定位显微镜：通过自监督神经物理学习</w:t>
        </w:r>
      </w:hyperlink>
    </w:p>
    <w:p>
      <w:pPr>
        <w:spacing w:before="0" w:after="80"/>
      </w:pPr>
      <w:r>
        <w:rPr>
          <w:i/>
          <w:sz w:val="20"/>
        </w:rPr>
        <w:t>EN: Aberration-aware 3D localization microscopy via self-supervised neural-physics learning</w:t>
      </w:r>
    </w:p>
    <w:p>
      <w:pPr>
        <w:spacing w:before="0" w:after="120"/>
      </w:pPr>
      <w:r>
        <w:rPr>
          <w:b/>
        </w:rPr>
        <w:t xml:space="preserve">Source: </w:t>
      </w:r>
      <w:r>
        <w:t>Nature Communications</w:t>
      </w:r>
      <w:r>
        <w:t xml:space="preserve">    </w:t>
      </w:r>
      <w:r>
        <w:rPr>
          <w:b/>
        </w:rPr>
        <w:t xml:space="preserve">Pub date: </w:t>
      </w:r>
      <w:r>
        <w:t>2026-05-16 00:00:00+00:00</w:t>
      </w:r>
      <w:r>
        <w:t xml:space="preserve">    </w:t>
      </w:r>
      <w:r>
        <w:rPr>
          <w:b/>
        </w:rPr>
        <w:t xml:space="preserve">DOI: </w:t>
      </w:r>
      <w:hyperlink r:id="rId238">
        <w:r>
          <w:rPr>
            <w:color w:val="1155CC"/>
            <w:u w:val="single"/>
          </w:rPr>
          <w:t>10.1038/s41467-026-73045-9</w:t>
        </w:r>
      </w:hyperlink>
    </w:p>
    <w:p>
      <w:pPr>
        <w:spacing w:before="0" w:after="120"/>
      </w:pPr>
      <w:r>
        <w:rPr>
          <w:b/>
        </w:rPr>
        <w:t xml:space="preserve">Notes: </w:t>
      </w:r>
      <w:r>
        <w:t>abstract_source=nature_html</w:t>
      </w:r>
    </w:p>
    <w:p>
      <w:pPr>
        <w:spacing w:before="0" w:after="80" w:lineRule="auto" w:line="276"/>
      </w:pPr>
      <w:r>
        <w:rPr>
          <w:b/>
        </w:rPr>
        <w:t xml:space="preserve">摘要（ZH）: </w:t>
      </w:r>
      <w:r>
        <w:t>单分子定位显微镜 (SMLM) 通过从设计的2D荧光模式中提取3D分子位置，实现了体积纳米显微成像。然而，由于光学像差和高密度分子的重叠信号，在复杂样品中实现大轴向范围内的纳米级分辨率仍然具有挑战性。在此，我们介绍LUNAR，一个自监督的神经物理框架，它通过联合优化物理成像模型和深度神经网络来克服这些限制。这种策略使LUNAR能够直接从原始高密度数据中精确推断3D分子位置、光子计数和像差，无需预先校准。通过模拟和实验，我们证明LUNAR在各种成像条件下均表现出卓越的鲁棒性和准确性，始终优于现有方法。我们通过对线粒体、核孔和神经元细胞骨架进行大成像深度的全细胞纳米显微成像，展示了其功能。通过将深度学习与物理建模相结合，LUNAR为抗像差3D SMLM提供了一种免校准解决方案，并为自适应、数据驱动的显微镜建立了一个通用框架。</w:t>
      </w:r>
    </w:p>
    <w:p>
      <w:pPr>
        <w:spacing w:before="0" w:after="200" w:lineRule="auto" w:line="276"/>
      </w:pPr>
      <w:r>
        <w:rPr>
          <w:b/>
        </w:rPr>
        <w:t xml:space="preserve">Abstract (EN): </w:t>
      </w:r>
      <w:r>
        <w:t>Single-molecule localization microscopy (SMLM) enables volumetric nanoscopy by retrieving 3D molecular positions from engineered 2D fluorescence patterns. However, achieving nanoscale resolution over large axial ranges in complex samples remains challenging due to optical aberrations and overlapping signals from high-density molecules. Here, we introduce LUNAR, a self-supervised neural-physics framework that overcomes those limitations by jointly optimizing a physical imaging model and a deep neural network. This strategy allows LUNAR to precisely infer 3D molecular positions, photon counts, and aberrations directly from raw, high-density data without prior calibration. Through simulations and experiments, we demonstrate that LUNAR achieves superior robustness and accuracy across diverse imaging conditions, consistently outperforming existing methods. We showcase its capabilities through whole-cell nanoscopy of mitochondria, nuclear pores, and neuronal cytoskeletons at large imaging depths. By uniting deep learning with physical modeling, LUNAR provides a calibration-free solution for aberration-robust 3D SMLM and establishes a general framework for adaptive, data-driven microscopy.</w:t>
      </w:r>
    </w:p>
    <w:p>
      <w:pPr>
        <w:spacing w:before="120" w:after="120"/>
      </w:pPr>
      <w:r>
        <w:rPr>
          <w:sz w:val="18"/>
        </w:rPr>
        <w:t>——————————————————————————————————————————————————————————————————————</w:t>
      </w:r>
    </w:p>
    <w:p>
      <w:pPr>
        <w:spacing w:before="160" w:after="40" w:line="240" w:lineRule="auto"/>
      </w:pPr>
      <w:r>
        <w:rPr>
          <w:b/>
        </w:rPr>
        <w:t xml:space="preserve">[10] </w:t>
      </w:r>
      <w:hyperlink r:id="rId239">
        <w:r>
          <w:rPr>
            <w:color w:val="1155CC"/>
            <w:u w:val="single"/>
          </w:rPr>
          <w:t>通过微电网形成迈向弹性配电系统：一种安全的层次化混合强化学习方法</w:t>
        </w:r>
      </w:hyperlink>
    </w:p>
    <w:p>
      <w:pPr>
        <w:spacing w:before="0" w:after="80"/>
      </w:pPr>
      <w:r>
        <w:rPr>
          <w:i/>
          <w:sz w:val="20"/>
        </w:rPr>
        <w:t>EN: Toward resilient distribution system via microgrid formation: A safe hierarchical hybrid reinforcement learning approach</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40">
        <w:r>
          <w:rPr>
            <w:color w:val="1155CC"/>
            <w:u w:val="single"/>
          </w:rPr>
          <w:t>不确定性下智能建筑中电动汽车充电的用户偏好聚类优化</w:t>
        </w:r>
      </w:hyperlink>
    </w:p>
    <w:p>
      <w:pPr>
        <w:spacing w:before="0" w:after="80"/>
      </w:pPr>
      <w:r>
        <w:rPr>
          <w:i/>
          <w:sz w:val="20"/>
        </w:rPr>
        <w:t>EN: User preference cluster-based optimization for electric vehicles charging in smart buildings under uncertainty</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41">
        <w:r>
          <w:rPr>
            <w:color w:val="1155CC"/>
            <w:u w:val="single"/>
          </w:rPr>
          <w:t>通过级联多端传输连接的混合电力系统的分层分区容量规划方法：一个案例研究</w:t>
        </w:r>
      </w:hyperlink>
    </w:p>
    <w:p>
      <w:pPr>
        <w:spacing w:before="0" w:after="80"/>
      </w:pPr>
      <w:r>
        <w:rPr>
          <w:i/>
          <w:sz w:val="20"/>
        </w:rPr>
        <w:t>EN: A hierarchical-zoned capacity planning methodology for hybrid power systems connected via cascade multi-terminals transmission: a case study</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42">
        <w:r>
          <w:rPr>
            <w:color w:val="1155CC"/>
            <w:u w:val="single"/>
          </w:rPr>
          <w:t>绿色幻象，持久贫困：地缘政治碎片化如何助长“洗绿”并阻碍全球南方公正能源转型</w:t>
        </w:r>
      </w:hyperlink>
    </w:p>
    <w:p>
      <w:pPr>
        <w:spacing w:before="0" w:after="80"/>
      </w:pPr>
      <w:r>
        <w:rPr>
          <w:i/>
          <w:sz w:val="20"/>
        </w:rPr>
        <w:t>EN: Green illusions, enduring poverty: How geopolitical fragmentation fuels greenwashing and derails the just energy transition in the global South</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43">
        <w:r>
          <w:rPr>
            <w:color w:val="1155CC"/>
            <w:u w:val="single"/>
          </w:rPr>
          <w:t>两部制电价下的储能优化：一种协同博弈论规划与深度强化学习相结合的运行框架</w:t>
        </w:r>
      </w:hyperlink>
    </w:p>
    <w:p>
      <w:pPr>
        <w:spacing w:before="0" w:after="80"/>
      </w:pPr>
      <w:r>
        <w:rPr>
          <w:i/>
          <w:sz w:val="20"/>
        </w:rPr>
        <w:t>EN: Energy storage optimization under two-part tariff: A collaborative game-theoretic planning and deep reinforcement learning-based operation framework</w:t>
      </w:r>
    </w:p>
    <w:p>
      <w:pPr>
        <w:spacing w:before="0" w:after="120"/>
      </w:pPr>
      <w:r>
        <w:rPr>
          <w:b/>
        </w:rPr>
        <w:t xml:space="preserve">Source: </w:t>
      </w:r>
      <w:r>
        <w:t>ScienceDirect Publication: Applied Energy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44">
        <w:r>
          <w:rPr>
            <w:color w:val="1155CC"/>
            <w:u w:val="single"/>
          </w:rPr>
          <w:t>货币社会互惠对中国农村家庭能源贫困减缓的积极影响</w:t>
        </w:r>
      </w:hyperlink>
    </w:p>
    <w:p>
      <w:pPr>
        <w:spacing w:before="0" w:after="80"/>
      </w:pPr>
      <w:r>
        <w:rPr>
          <w:i/>
          <w:sz w:val="20"/>
        </w:rPr>
        <w:t>EN: The positive effect of monetary social reciprocity on energy poverty reduction in rural Chinese households</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45">
        <w:r>
          <w:rPr>
            <w:color w:val="1155CC"/>
            <w:u w:val="single"/>
          </w:rPr>
          <w:t>绿色债券、气候韧性与环境绩效：可持续金融有效性的全球面板分析</w:t>
        </w:r>
      </w:hyperlink>
    </w:p>
    <w:p>
      <w:pPr>
        <w:spacing w:before="0" w:after="80"/>
      </w:pPr>
      <w:r>
        <w:rPr>
          <w:i/>
          <w:sz w:val="20"/>
        </w:rPr>
        <w:t>EN: Green bonds, climate resilience, and environmental performance: A global panel analysis of sustainable finance effectiveness</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46">
        <w:r>
          <w:rPr>
            <w:color w:val="1155CC"/>
            <w:u w:val="single"/>
          </w:rPr>
          <w:t>中美贸易战是否加剧能源贫困？来自中国家庭的证据</w:t>
        </w:r>
      </w:hyperlink>
    </w:p>
    <w:p>
      <w:pPr>
        <w:spacing w:before="0" w:after="80"/>
      </w:pPr>
      <w:r>
        <w:rPr>
          <w:i/>
          <w:sz w:val="20"/>
        </w:rPr>
        <w:t>EN: Does U.S.-China trade war exacerbate energy poverty? Evidence from Chinese households</w:t>
      </w:r>
    </w:p>
    <w:p>
      <w:pPr>
        <w:spacing w:before="0" w:after="120"/>
      </w:pPr>
      <w:r>
        <w:rPr>
          <w:b/>
        </w:rPr>
        <w:t xml:space="preserve">Source: </w:t>
      </w:r>
      <w:r>
        <w:t>ScienceDirect Publication: Energy Policy</w:t>
      </w:r>
      <w:r>
        <w:t xml:space="preserve">    </w:t>
      </w:r>
      <w:r>
        <w:rPr>
          <w:b/>
        </w:rPr>
        <w:t xml:space="preserve">Pub date: </w:t>
      </w:r>
      <w:r>
        <w:t>2026-05-16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47">
        <w:r>
          <w:rPr>
            <w:color w:val="1155CC"/>
            <w:u w:val="single"/>
          </w:rPr>
          <w:t>盐析后聚合富集动态交联用于超长高温磷光水凝胶</w:t>
        </w:r>
      </w:hyperlink>
    </w:p>
    <w:p>
      <w:pPr>
        <w:spacing w:before="0" w:after="80"/>
      </w:pPr>
      <w:r>
        <w:rPr>
          <w:i/>
          <w:sz w:val="20"/>
        </w:rPr>
        <w:t>EN: Post‐Salting‐Out Polymerization Enriching Dynamic Crosslinks for Ultralong High‐Temperature Phosphorescence Hydrogels</w:t>
      </w:r>
    </w:p>
    <w:p>
      <w:pPr>
        <w:spacing w:before="0" w:after="120"/>
      </w:pPr>
      <w:r>
        <w:rPr>
          <w:b/>
        </w:rPr>
        <w:t xml:space="preserve">Source: </w:t>
      </w:r>
      <w:r>
        <w:t>Wiley: Advanced Materials: Table of Contents</w:t>
      </w:r>
      <w:r>
        <w:t xml:space="preserve">    </w:t>
      </w:r>
      <w:r>
        <w:rPr>
          <w:b/>
        </w:rPr>
        <w:t xml:space="preserve">Pub date: </w:t>
      </w:r>
      <w:r>
        <w:t>2026-05-16 06:01:55+00:00</w:t>
      </w:r>
      <w:r>
        <w:t xml:space="preserve">    </w:t>
      </w:r>
      <w:r>
        <w:rPr>
          <w:b/>
        </w:rPr>
        <w:t xml:space="preserve">DOI: </w:t>
      </w:r>
      <w:hyperlink r:id="rId248">
        <w:r>
          <w:rPr>
            <w:color w:val="1155CC"/>
            <w:u w:val="single"/>
          </w:rPr>
          <w:t>10.1002/adma.73400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室温磷光 (RTP) 和高温磷光 (HTP) 聚合物水凝胶在3D打印、生物成像等领域具有巨大的光子应用前景。然而，水凝胶柔软潮湿的特性从根本上与高效磷光所需的严格限制条件相悖，使得具有数十秒余辉的RTP水凝胶仍未充分发展，而HTP水凝胶目前尚无报道。在此，我们提出了一种后盐析聚合策略，以显著丰富动态交联网络，实现HOF保护发光体的紧密限制，从而使水凝胶展现出显著的RTP，特别是超长的HTP。这种动态氢键辅助结晶增强与有序HOF结构协同作用，显著限制了发光体周围的分子振动并隔离了水/氧。因此，水凝胶首次实现了前所未有的RTP寿命 (∼3.3 s) 和余辉 (∼45 s)。由于HOF和结晶结构良好的热稳定性，即使在100°C下，其HTP寿命和余辉仍高于1.3 s和30 s，尽管聚合物和HOF玫瑰花结之间的氢键对高温敏感。通过改变发光体或将商业染料掺杂到水凝胶基质中，进一步展示了多色RTP和HTP性能。这项研究为超长HTP水凝胶拓宽其应用开辟了新途径。</w:t>
      </w:r>
    </w:p>
    <w:p>
      <w:pPr>
        <w:spacing w:before="0" w:after="200" w:lineRule="auto" w:line="276"/>
      </w:pPr>
      <w:r>
        <w:rPr>
          <w:b/>
        </w:rPr>
        <w:t xml:space="preserve">Abstract (EN): </w:t>
      </w:r>
      <w:r>
        <w:t>Room‐temperature phosphorescence (RTP) and high‐temperature phosphorescence (HTP) polymer hydrogels hold great photonic applications in 3D printing, bioimaging, etc. Unfortunately, the soft, wet nature of hydrogels fundamentally contradicts the stringent confinement requirements for efficient phosphorescence, making the RTP hydrogels with tens‐of‐seconds afterglow remain underdeveloped, while there is still no report of HTP hydrogels. Herein, we propose a post‐salting‐out polymerization strategy to significantly enrich the dynamic crosslinking network for the compact confinement of HOF‐protected luminogens, leading to remarkable RTP and especially ultralong HTP of hydrogels. Such dynamic hydrogen bonds‐assisted crystallization enhancement synergizes with the orderly HOF structure to significantly restrict molecular vibrations around luminogens and isolate water/oxygen. Consequently, unprecedented RTP lifetime (∼3.3 s) and afterglow (∼45 s) are achieved in hydrogels for the first time. Owing to the good thermo‐stability of HOF and crystallization structures, their HTP lifetime and afterglow are still found to be above 1.3 s and 30 s, even at 100°C, despite the fact that the hydrogen bonds between polymers and HOF rosettes are sensitive to high temperature. Multicolor RTP and HTP performances are further demonstrated by either varying the luminogens or doping commercial dyes into the hydrogel matrix. This study opens new avenues for ultralong HTP hydrogels to broaden their applications.</w:t>
      </w:r>
    </w:p>
    <w:p>
      <w:pPr>
        <w:spacing w:before="120" w:after="120"/>
      </w:pPr>
      <w:r>
        <w:rPr>
          <w:sz w:val="18"/>
        </w:rPr>
        <w:t>——————————————————————————————————————————————————————————————————————</w:t>
      </w:r>
    </w:p>
    <w:p>
      <w:pPr>
        <w:spacing w:before="160" w:after="40" w:line="240" w:lineRule="auto"/>
      </w:pPr>
      <w:r>
        <w:rPr>
          <w:b/>
        </w:rPr>
        <w:t xml:space="preserve">[19] </w:t>
      </w:r>
      <w:hyperlink r:id="rId249">
        <w:r>
          <w:rPr>
            <w:color w:val="1155CC"/>
            <w:u w:val="single"/>
          </w:rPr>
          <w:t>来自Er基卤化物LED的圆偏振1540 nm短波红外电致发光，效率达3.06%创纪录</w:t>
        </w:r>
      </w:hyperlink>
    </w:p>
    <w:p>
      <w:pPr>
        <w:spacing w:before="0" w:after="80"/>
      </w:pPr>
      <w:r>
        <w:rPr>
          <w:i/>
          <w:sz w:val="20"/>
        </w:rPr>
        <w:t>EN: Circularly Polarized 1540 nm Short‐Wave Infrared Electroluminescence from Er‐Based Halide LEDs with 3.06% Record Efficiency</w:t>
      </w:r>
    </w:p>
    <w:p>
      <w:pPr>
        <w:spacing w:before="0" w:after="120"/>
      </w:pPr>
      <w:r>
        <w:rPr>
          <w:b/>
        </w:rPr>
        <w:t xml:space="preserve">Source: </w:t>
      </w:r>
      <w:r>
        <w:t>Wiley: Advanced Materials: Table of Contents</w:t>
      </w:r>
      <w:r>
        <w:t xml:space="preserve">    </w:t>
      </w:r>
      <w:r>
        <w:rPr>
          <w:b/>
        </w:rPr>
        <w:t xml:space="preserve">Pub date: </w:t>
      </w:r>
      <w:r>
        <w:t>2026-05-16 06:03:17+00:00</w:t>
      </w:r>
      <w:r>
        <w:t xml:space="preserve">    </w:t>
      </w:r>
      <w:r>
        <w:rPr>
          <w:b/>
        </w:rPr>
        <w:t xml:space="preserve">DOI: </w:t>
      </w:r>
      <w:hyperlink r:id="rId250">
        <w:r>
          <w:rPr>
            <w:color w:val="1155CC"/>
            <w:u w:val="single"/>
          </w:rPr>
          <w:t>10.1002/adma.73399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Er</w:t>
      </w:r>
      <w:r>
        <w:t xml:space="preserve"> </w:t>
      </w:r>
      <w:r>
        <w:t>3+</w:t>
      </w:r>
      <w:r>
        <w:t xml:space="preserve"> </w:t>
      </w:r>
      <w:r>
        <w:t>掺杂的1540 nm发光二极管 (LED) 是光通信C波段、非主干通信、生物成像和传感领域的关键组件。然而，在此类LED中将高发光效率与定制的圆偏振发光 (CPL) 相结合仍然是一个严峻的挑战。在此，我们通过Sb</w:t>
      </w:r>
      <w:r>
        <w:t xml:space="preserve"> </w:t>
      </w:r>
      <w:r>
        <w:t>3+</w:t>
      </w:r>
      <w:r>
        <w:t xml:space="preserve"> </w:t>
      </w:r>
      <w:r>
        <w:t>/Y</w:t>
      </w:r>
      <w:r>
        <w:t xml:space="preserve"> </w:t>
      </w:r>
      <w:r>
        <w:t>3+</w:t>
      </w:r>
      <w:r>
        <w:t xml:space="preserve"> </w:t>
      </w:r>
      <w:r>
        <w:t>共掺杂和樟脑配体修饰的协同策略，在基于Cs</w:t>
      </w:r>
      <w:r>
        <w:rPr>
          <w:vertAlign w:val="subscript"/>
        </w:rPr>
        <w:t>3</w:t>
      </w:r>
      <w:r>
        <w:t>ErCl</w:t>
      </w:r>
      <w:r>
        <w:rPr>
          <w:vertAlign w:val="subscript"/>
        </w:rPr>
        <w:t>6</w:t>
      </w:r>
      <w:r>
        <w:t>纳米晶体 (NCs) 的LED中展示了具有独特CPL的高效1540 nm短波红外 (SWIR) 电致发光。Y</w:t>
      </w:r>
      <w:r>
        <w:t xml:space="preserve"> </w:t>
      </w:r>
      <w:r>
        <w:t>3+</w:t>
      </w:r>
      <w:r>
        <w:t xml:space="preserve"> </w:t>
      </w:r>
      <w:r>
        <w:t>掺杂调节晶格对称性，诱导Er</w:t>
      </w:r>
      <w:r>
        <w:t xml:space="preserve"> </w:t>
      </w:r>
      <w:r>
        <w:t>3+</w:t>
      </w:r>
      <w:r>
        <w:t xml:space="preserve"> </w:t>
      </w:r>
      <w:r>
        <w:t>能级的斯塔克分裂并增强发光强度。Sb</w:t>
      </w:r>
      <w:r>
        <w:t xml:space="preserve"> </w:t>
      </w:r>
      <w:r>
        <w:t>3+</w:t>
      </w:r>
      <w:r>
        <w:t xml:space="preserve"> </w:t>
      </w:r>
      <w:r>
        <w:t>的引入触发了530 nm处高效的自陷激子发射，其能级与Er</w:t>
      </w:r>
      <w:r>
        <w:t xml:space="preserve"> </w:t>
      </w:r>
      <w:r>
        <w:t>3+</w:t>
      </w:r>
      <w:r>
        <w:t xml:space="preserve"> </w:t>
      </w:r>
      <w:r>
        <w:t>态匹配以提高能量转移效率。随后，樟脑配体交换钝化了Er</w:t>
      </w:r>
      <w:r>
        <w:t xml:space="preserve"> </w:t>
      </w:r>
      <w:r>
        <w:t>3+</w:t>
      </w:r>
      <w:r>
        <w:t xml:space="preserve"> </w:t>
      </w:r>
      <w:r>
        <w:t>相关的缺陷，将1540 nm光致发光量子产率提高到35.7%，并通过樟脑的手性结构赋予NCs CPL (不对称因子：−3.67 × 10</w:t>
      </w:r>
      <w:r>
        <w:t xml:space="preserve"> </w:t>
      </w:r>
      <w:r>
        <w:t>−2</w:t>
      </w:r>
      <w:r>
        <w:t xml:space="preserve"> </w:t>
      </w:r>
      <w:r>
        <w:t>)。基于樟脑修饰的Cs</w:t>
      </w:r>
      <w:r>
        <w:rPr>
          <w:vertAlign w:val="subscript"/>
        </w:rPr>
        <w:t>3</w:t>
      </w:r>
      <w:r>
        <w:t>的SWIR LED</w:t>
      </w:r>
    </w:p>
    <w:p>
      <w:pPr>
        <w:spacing w:before="0" w:after="200" w:lineRule="auto" w:line="276"/>
      </w:pPr>
      <w:r>
        <w:rPr>
          <w:b/>
        </w:rPr>
        <w:t xml:space="preserve">Abstract (EN): </w:t>
      </w:r>
      <w:r>
        <w:t>Er</w:t>
      </w:r>
      <w:r>
        <w:t xml:space="preserve"> </w:t>
      </w:r>
      <w:r>
        <w:t>3+</w:t>
      </w:r>
      <w:r>
        <w:t xml:space="preserve"> </w:t>
      </w:r>
      <w:r>
        <w:t>‐doped 1540 nm light‐emitting diodes (LEDs) are critical components in optical communications C‐band, non‐trunk communication, bioimaging, and sensing. However, integrating high luminous efficiency with tailored circularly polarized luminescence (CPL) in such LEDs remains a critical challenge. Here, we demonstrate efficient 1540 nm short‐wave infrared (SWIR) electroluminescence with distinct CPL in Cs</w:t>
      </w:r>
      <w:r>
        <w:rPr>
          <w:vertAlign w:val="subscript"/>
        </w:rPr>
        <w:t>3</w:t>
      </w:r>
      <w:r>
        <w:t>ErCl</w:t>
      </w:r>
      <w:r>
        <w:rPr>
          <w:vertAlign w:val="subscript"/>
        </w:rPr>
        <w:t>6</w:t>
      </w:r>
      <w:r>
        <w:t>nanocrystals (NCs)‐based LEDs via a synergistic strategy of Sb</w:t>
      </w:r>
      <w:r>
        <w:t xml:space="preserve"> </w:t>
      </w:r>
      <w:r>
        <w:t>3+</w:t>
      </w:r>
      <w:r>
        <w:t xml:space="preserve"> </w:t>
      </w:r>
      <w:r>
        <w:t>/Y</w:t>
      </w:r>
      <w:r>
        <w:t xml:space="preserve"> </w:t>
      </w:r>
      <w:r>
        <w:t>3+</w:t>
      </w:r>
      <w:r>
        <w:t xml:space="preserve"> </w:t>
      </w:r>
      <w:r>
        <w:t>co‐doping and camphor ligand modification. Y</w:t>
      </w:r>
      <w:r>
        <w:t xml:space="preserve"> </w:t>
      </w:r>
      <w:r>
        <w:t>3+</w:t>
      </w:r>
      <w:r>
        <w:t xml:space="preserve"> </w:t>
      </w:r>
      <w:r>
        <w:t>doping modulates lattice symmetry, inducing Stark splitting of the Er</w:t>
      </w:r>
      <w:r>
        <w:t xml:space="preserve"> </w:t>
      </w:r>
      <w:r>
        <w:t>3+</w:t>
      </w:r>
      <w:r>
        <w:t xml:space="preserve"> </w:t>
      </w:r>
      <w:r>
        <w:t>energy level and enhancing luminescence intensity. Sb</w:t>
      </w:r>
      <w:r>
        <w:t xml:space="preserve"> </w:t>
      </w:r>
      <w:r>
        <w:t>3+</w:t>
      </w:r>
      <w:r>
        <w:t xml:space="preserve"> </w:t>
      </w:r>
      <w:r>
        <w:t>introduction triggers efficient self‐trapped excitons emission at 530 nm, whose energy levels match Er</w:t>
      </w:r>
      <w:r>
        <w:t xml:space="preserve"> </w:t>
      </w:r>
      <w:r>
        <w:t>3+</w:t>
      </w:r>
      <w:r>
        <w:t xml:space="preserve"> </w:t>
      </w:r>
      <w:r>
        <w:t>states to boost energy transfer efficiency. Subsequently, camphor ligand exchange passivates Er</w:t>
      </w:r>
      <w:r>
        <w:t xml:space="preserve"> </w:t>
      </w:r>
      <w:r>
        <w:t>3+</w:t>
      </w:r>
      <w:r>
        <w:t xml:space="preserve"> </w:t>
      </w:r>
      <w:r>
        <w:t>‐related defects, increasing the 1540 nm photoluminescence quantum yield to 35.7% and endowing NCs with CPL (asymmetry factor: −3.67 × 10</w:t>
      </w:r>
      <w:r>
        <w:t xml:space="preserve"> </w:t>
      </w:r>
      <w:r>
        <w:t>−2</w:t>
      </w:r>
      <w:r>
        <w:t xml:space="preserve"> </w:t>
      </w:r>
      <w:r>
        <w:t>) via camphor's chiral structure. SWIR LEDs based on camphor‐modified Cs</w:t>
      </w:r>
      <w:r>
        <w:rPr>
          <w:vertAlign w:val="subscript"/>
        </w:rPr>
        <w:t>3</w:t>
      </w:r>
      <w:r>
        <w:t>Er</w:t>
      </w:r>
      <w:r>
        <w:t xml:space="preserve"> </w:t>
      </w:r>
      <w:r>
        <w:t>0.7</w:t>
      </w:r>
      <w:r>
        <w:t xml:space="preserve"> </w:t>
      </w:r>
      <w:r>
        <w:t>Y</w:t>
      </w:r>
      <w:r>
        <w:t xml:space="preserve"> </w:t>
      </w:r>
      <w:r>
        <w:t>0.3</w:t>
      </w:r>
      <w:r>
        <w:t xml:space="preserve"> </w:t>
      </w:r>
      <w:r>
        <w:t>Cl</w:t>
      </w:r>
      <w:r>
        <w:rPr>
          <w:vertAlign w:val="subscript"/>
        </w:rPr>
        <w:t>6</w:t>
      </w:r>
      <w:r>
        <w:t>: Sb</w:t>
      </w:r>
      <w:r>
        <w:t xml:space="preserve"> </w:t>
      </w:r>
      <w:r>
        <w:t>3+</w:t>
      </w:r>
      <w:r>
        <w:t xml:space="preserve"> </w:t>
      </w:r>
      <w:r>
        <w:t>NCs exhibit a record‐high external quantum efficiency of 3.06% at 1540 nm, and first, demonstrate electrically‐driven circularly polarized 1540 nm emission with asymmetry factor of −3.08 × 10</w:t>
      </w:r>
      <w:r>
        <w:t xml:space="preserve"> </w:t>
      </w:r>
      <w:r>
        <w:t>−2</w:t>
      </w:r>
      <w:r>
        <w:t xml:space="preserve"> </w:t>
      </w:r>
      <w:r>
        <w:t>. This work presents a synergistic doping‐ligand strategy for Er‐based halide optoelectronics, offering a versatile platform to develop high‐performance long‐wavelength devices with integrated efficient emission and tailored polarization, crucial for advancing next‐generation optical communication and bioimaging.</w:t>
      </w:r>
    </w:p>
    <w:p>
      <w:pPr>
        <w:spacing w:before="120" w:after="120"/>
      </w:pPr>
      <w:r>
        <w:rPr>
          <w:sz w:val="18"/>
        </w:rPr>
        <w:t>——————————————————————————————————————————————————————————————————————</w:t>
      </w:r>
    </w:p>
    <w:p>
      <w:pPr>
        <w:spacing w:before="160" w:after="40" w:line="240" w:lineRule="auto"/>
      </w:pPr>
      <w:r>
        <w:rPr>
          <w:b/>
        </w:rPr>
        <w:t xml:space="preserve">[20] </w:t>
      </w:r>
      <w:hyperlink r:id="rId251">
        <w:r>
          <w:rPr>
            <w:color w:val="1155CC"/>
            <w:u w:val="single"/>
          </w:rPr>
          <w:t>具有磁性可重编程手术功能的微型软体机器人</w:t>
        </w:r>
      </w:hyperlink>
    </w:p>
    <w:p>
      <w:pPr>
        <w:spacing w:before="0" w:after="80"/>
      </w:pPr>
      <w:r>
        <w:rPr>
          <w:i/>
          <w:sz w:val="20"/>
        </w:rPr>
        <w:t>EN: Miniature Soft Robot With Magnetically Reprogrammable Surgical Functions</w:t>
      </w:r>
    </w:p>
    <w:p>
      <w:pPr>
        <w:spacing w:before="0" w:after="120"/>
      </w:pPr>
      <w:r>
        <w:rPr>
          <w:b/>
        </w:rPr>
        <w:t xml:space="preserve">Source: </w:t>
      </w:r>
      <w:r>
        <w:t>Wiley: Advanced Materials: Table of Contents</w:t>
      </w:r>
      <w:r>
        <w:t xml:space="preserve">    </w:t>
      </w:r>
      <w:r>
        <w:rPr>
          <w:b/>
        </w:rPr>
        <w:t xml:space="preserve">Pub date: </w:t>
      </w:r>
      <w:r>
        <w:t>2026-05-16 06:05:29+00:00</w:t>
      </w:r>
      <w:r>
        <w:t xml:space="preserve">    </w:t>
      </w:r>
      <w:r>
        <w:rPr>
          <w:b/>
        </w:rPr>
        <w:t xml:space="preserve">DOI: </w:t>
      </w:r>
      <w:hyperlink r:id="rId252">
        <w:r>
          <w:rPr>
            <w:color w:val="1155CC"/>
            <w:u w:val="single"/>
          </w:rPr>
          <w:t>10.1002/adma.202523056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磁性微型机器人是无缆驱动器，有望使现有微创手术显著更安全、更无痛，并实现前所未有的治疗，因为它们比现有手术机器人小得多且更灵巧。然而，此类驱动器最多只能拥有两种板载功能，具有有限的五自由度 (DOF) 运动，或者仅在特殊环境下运行，即来自强外部磁体的驱动必须在非常近的距离 (&lt;4 厘米) 进行。在此，我们介绍具有精心设计的对称性和异质材料特性的智能磁性复合材料。利用这些复合材料，我们构建了一个毫米级软机器人，其磁化曲线可以重新编程，以分配药物、切割生物组织、抓取和储存生物样本以及远程加热。通过拥有完整的六自由度运动，包括围绕其净磁矩的第六自由度旋转，我们的软机器人还可以在其五自由度对应物无法通过的具有挑战性的非结构化环境中滚动和双锚爬行。由于施加的磁场相对均匀且弱（驱动时为 10–30 mT，0.21–0.31 T/m；重新编程时为 60–65 mT），它们理论上可以安全穿透人体组织，并实现超过 5 厘米的驱动。</w:t>
      </w:r>
    </w:p>
    <w:p>
      <w:pPr>
        <w:spacing w:before="0" w:after="200" w:lineRule="auto" w:line="276"/>
      </w:pPr>
      <w:r>
        <w:rPr>
          <w:b/>
        </w:rPr>
        <w:t xml:space="preserve">Abstract (EN): </w:t>
      </w:r>
      <w:r>
        <w:t>Magnetic miniature robots are untethered actuators, which can prospectively make existing minimally invasive surgery considerably safer and painless, and enable unprecedented treatments because they are much smaller and dexterous than existing surgical robots. However, such actuators are restricted to possessing at most two on‐board functionalities, having limited five degrees‐of‐freedom (DOF) locomotion, or are only operational under specialized environments where actuation from strong external magnets must be at very close proximity (&amp;lt;4 cm away). Here we present smart magnetic composites with deliberately engineered symmetry and heterogeneous material properties. Leveraging these composites, we construct a millimeter‐scale soft robot whose magnetization profile can be reprogrammed to dispense drugs, cut through biological tissues, grip and store biological samples, and heat remotely. By possessing full six‐DOF motions, including the sixth‐DOF rotation about its net magnetic moment, our soft robot can also roll and two‐anchor crawl across challenging unstructured environments, which are impassable by its five‐DOF counterparts. Because the applied magnetic fields are relatively uniform and weak (10–30 mT, 0.21–0.31 T/m for actuation; 60–65 mT for reprogramming), they can theoretically penetrate human tissues safely and enable actuation beyond 5 cm.</w:t>
      </w:r>
    </w:p>
    <w:p>
      <w:pPr>
        <w:spacing w:before="120" w:after="120"/>
      </w:pPr>
      <w:r>
        <w:rPr>
          <w:sz w:val="18"/>
        </w:rPr>
        <w:t>——————————————————————————————————————————————————————————————————————</w:t>
      </w:r>
    </w:p>
    <w:p>
      <w:pPr>
        <w:spacing w:before="160" w:after="40" w:line="240" w:lineRule="auto"/>
      </w:pPr>
      <w:r>
        <w:rPr>
          <w:b/>
        </w:rPr>
        <w:t xml:space="preserve">[21] </w:t>
      </w:r>
      <w:hyperlink r:id="rId253">
        <w:r>
          <w:rPr>
            <w:color w:val="1155CC"/>
            <w:u w:val="single"/>
          </w:rPr>
          <w:t>通过MnS界面层在高压Cu2ZnSn(S,Se)4太阳能电池中实现缺陷钝化和电荷传输增强</w:t>
        </w:r>
      </w:hyperlink>
    </w:p>
    <w:p>
      <w:pPr>
        <w:spacing w:before="0" w:after="80"/>
      </w:pPr>
      <w:r>
        <w:rPr>
          <w:i/>
          <w:sz w:val="20"/>
        </w:rPr>
        <w:t>EN: Defect Passivation and Charge Transport Enhancement in High‐Voltage Cu2ZnSn(S,Se)4 Solar Cells via MnS Interfacial Layer</w:t>
      </w:r>
    </w:p>
    <w:p>
      <w:pPr>
        <w:spacing w:before="0" w:after="120"/>
      </w:pPr>
      <w:r>
        <w:rPr>
          <w:b/>
        </w:rPr>
        <w:t xml:space="preserve">Source: </w:t>
      </w:r>
      <w:r>
        <w:t>Wiley: Advanced Materials: Table of Contents</w:t>
      </w:r>
      <w:r>
        <w:t xml:space="preserve">    </w:t>
      </w:r>
      <w:r>
        <w:rPr>
          <w:b/>
        </w:rPr>
        <w:t xml:space="preserve">Pub date: </w:t>
      </w:r>
      <w:r>
        <w:t>2026-05-16 06:09:48+00:00</w:t>
      </w:r>
      <w:r>
        <w:t xml:space="preserve">    </w:t>
      </w:r>
      <w:r>
        <w:rPr>
          <w:b/>
        </w:rPr>
        <w:t xml:space="preserve">DOI: </w:t>
      </w:r>
      <w:hyperlink r:id="rId254">
        <w:r>
          <w:rPr>
            <w:color w:val="1155CC"/>
            <w:u w:val="single"/>
          </w:rPr>
          <w:t>10.1002/adma.73392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大的开路电压 (</w:t>
      </w:r>
      <w:r>
        <w:t xml:space="preserve"> </w:t>
      </w:r>
      <w:r>
        <w:t>V</w:t>
      </w:r>
      <w:r>
        <w:t xml:space="preserve"> </w:t>
      </w:r>
      <w:r>
        <w:t>OC</w:t>
      </w:r>
      <w:r>
        <w:t xml:space="preserve"> </w:t>
      </w:r>
      <w:r>
        <w:t>) 亏损仍然是 Cu</w:t>
      </w:r>
      <w:r>
        <w:rPr>
          <w:vertAlign w:val="subscript"/>
        </w:rPr>
        <w:t>2</w:t>
      </w:r>
      <w:r>
        <w:t>ZnSn(S,Se)</w:t>
      </w:r>
      <w:r>
        <w:rPr>
          <w:vertAlign w:val="subscript"/>
        </w:rPr>
        <w:t>4</w:t>
      </w:r>
      <w:r>
        <w:t>(CZTSSe) 太阳能电池的核心瓶颈，源于背接触处不受控制的 MoSe</w:t>
      </w:r>
      <w:r>
        <w:rPr>
          <w:vertAlign w:val="subscript"/>
        </w:rPr>
        <w:t>2</w:t>
      </w:r>
      <w:r>
        <w:t>生长和吸收体中缺陷介导的非辐射复合的耦合效应。在此，我们报告了一种缺陷选择性背接触工程策略，通过热氧化 MnS 中间层同时调节界面反应动力学和缺陷能学。MnS 中间层抑制了过量的 MoSe</w:t>
      </w:r>
      <w:r>
        <w:rPr>
          <w:vertAlign w:val="subscript"/>
        </w:rPr>
        <w:t>2</w:t>
      </w:r>
      <w:r>
        <w:t>形成，并将价带偏移从 0.32 降低到 0.10 eV，从而促进空穴选择性传输。同时，结质量显著改善，表现为耗尽区宽度增加 (236 至 286 nm)、界面缺陷密度降低 (1.31 × 10</w:t>
      </w:r>
      <w:r>
        <w:rPr>
          <w:vertAlign w:val="subscript"/>
        </w:rPr>
        <w:t>15</w:t>
      </w:r>
      <w:r>
        <w:t>至 4.60 × 10</w:t>
      </w:r>
      <w:r>
        <w:rPr>
          <w:vertAlign w:val="subscript"/>
        </w:rPr>
        <w:t>14</w:t>
      </w:r>
      <w:r>
        <w:t>cm</w:t>
      </w:r>
      <w:r>
        <w:t xml:space="preserve"> </w:t>
      </w:r>
      <w:r>
        <w:t>−3</w:t>
      </w:r>
      <w:r>
        <w:t xml:space="preserve"> </w:t>
      </w:r>
      <w:r>
        <w:t>) 以及载流子寿命延长 (分别为 1.20 至 2.48 和 99 至 208 µs)。第一性原理计算进一步揭示，Mn 掺入重构了缺陷形成能学，通过抑制深层 Sn</w:t>
      </w:r>
      <w:r>
        <w:t xml:space="preserve"> </w:t>
      </w:r>
      <w:r>
        <w:t>Zn</w:t>
      </w:r>
      <w:r>
        <w:t xml:space="preserve"> </w:t>
      </w:r>
      <w:r>
        <w:t>反位缺陷，同时有利于浅层受主型缺陷，从而减轻 Shockley–Read–Hall 复合。</w:t>
      </w:r>
    </w:p>
    <w:p>
      <w:pPr>
        <w:spacing w:before="0" w:after="200" w:lineRule="auto" w:line="276"/>
      </w:pPr>
      <w:r>
        <w:rPr>
          <w:b/>
        </w:rPr>
        <w:t xml:space="preserve">Abstract (EN): </w:t>
      </w:r>
      <w:r>
        <w:t>The large open‐circuit voltage (</w:t>
      </w:r>
      <w:r>
        <w:t xml:space="preserve"> </w:t>
      </w:r>
      <w:r>
        <w:t>V</w:t>
      </w:r>
      <w:r>
        <w:t xml:space="preserve"> </w:t>
      </w:r>
      <w:r>
        <w:t>OC</w:t>
      </w:r>
      <w:r>
        <w:t xml:space="preserve"> </w:t>
      </w:r>
      <w:r>
        <w:t>) deficit remains a central bottleneck in Cu</w:t>
      </w:r>
      <w:r>
        <w:rPr>
          <w:vertAlign w:val="subscript"/>
        </w:rPr>
        <w:t>2</w:t>
      </w:r>
      <w:r>
        <w:t>ZnSn(S,Se)</w:t>
      </w:r>
      <w:r>
        <w:rPr>
          <w:vertAlign w:val="subscript"/>
        </w:rPr>
        <w:t>4</w:t>
      </w:r>
      <w:r>
        <w:t>(CZTSSe) solar cells, originating from the coupled effects of uncontrolled MoSe</w:t>
      </w:r>
      <w:r>
        <w:rPr>
          <w:vertAlign w:val="subscript"/>
        </w:rPr>
        <w:t>2</w:t>
      </w:r>
      <w:r>
        <w:t>growth at the rear contact and defect‐mediated non‐radiative recombination in the absorber. Here, we report a defect‐selective back‐contact engineering strategy via a thermally oxidized MnS interlayer that simultaneously regulates interfacial reaction kinetics and defect energetics. The MnS interlayer suppresses excessive MoSe</w:t>
      </w:r>
      <w:r>
        <w:rPr>
          <w:vertAlign w:val="subscript"/>
        </w:rPr>
        <w:t>2</w:t>
      </w:r>
      <w:r>
        <w:t>formation and reduces the valence‐band offset from 0.32 to 0.10 eV, thereby promoting hole‐selective transport. Meanwhile, the junction quality is substantially improved, as evidenced by an expanded depletion width (236 to 286 nm), a reduced interfacial defect density (1.31 × 10</w:t>
      </w:r>
      <w:r>
        <w:rPr>
          <w:vertAlign w:val="subscript"/>
        </w:rPr>
        <w:t>15</w:t>
      </w:r>
      <w:r>
        <w:t>to 4.60 × 10</w:t>
      </w:r>
      <w:r>
        <w:rPr>
          <w:vertAlign w:val="subscript"/>
        </w:rPr>
        <w:t>14</w:t>
      </w:r>
      <w:r>
        <w:t>cm</w:t>
      </w:r>
      <w:r>
        <w:t xml:space="preserve"> </w:t>
      </w:r>
      <w:r>
        <w:t>−3</w:t>
      </w:r>
      <w:r>
        <w:t xml:space="preserve"> </w:t>
      </w:r>
      <w:r>
        <w:t>), and prolonged carrier lifetimes (1.20 to 2.48 and 99 to 208 µs, respectively). First‐principles calculations further reveal that Mn incorporation reconstructs defect formation energetics by suppressing deep Sn</w:t>
      </w:r>
      <w:r>
        <w:t xml:space="preserve"> </w:t>
      </w:r>
      <w:r>
        <w:t>Zn</w:t>
      </w:r>
      <w:r>
        <w:t xml:space="preserve"> </w:t>
      </w:r>
      <w:r>
        <w:t>antisites while favoring shallow acceptor‐type defects, thus mitigating Shockley–Read–Hall recombination and strengthening p‐type transport. Consequently, a</w:t>
      </w:r>
      <w:r>
        <w:t xml:space="preserve"> </w:t>
      </w:r>
      <w:r>
        <w:t>V</w:t>
      </w:r>
      <w:r>
        <w:t xml:space="preserve"> </w:t>
      </w:r>
      <w:r>
        <w:t>OC</w:t>
      </w:r>
      <w:r>
        <w:t xml:space="preserve"> </w:t>
      </w:r>
      <w:r>
        <w:t>of 550.7 mV and an efficiency of 14.35% are achieved, representing the highest performance reported to date for Mn‐modified CZTSSe solar cells.</w:t>
      </w:r>
    </w:p>
    <w:p>
      <w:pPr>
        <w:spacing w:before="120" w:after="120"/>
      </w:pPr>
      <w:r>
        <w:rPr>
          <w:sz w:val="18"/>
        </w:rPr>
        <w:t>——————————————————————————————————————————————————————————————————————</w:t>
      </w:r>
    </w:p>
    <w:p>
      <w:pPr>
        <w:spacing w:before="160" w:after="40" w:line="240" w:lineRule="auto"/>
      </w:pPr>
      <w:r>
        <w:rPr>
          <w:b/>
        </w:rPr>
        <w:t xml:space="preserve">[22] </w:t>
      </w:r>
      <w:hyperlink r:id="rId255">
        <w:r>
          <w:rPr>
            <w:color w:val="1155CC"/>
            <w:u w:val="single"/>
          </w:rPr>
          <w:t>4H-SiC中氧相关改性双空位的高产率工程和识别</w:t>
        </w:r>
      </w:hyperlink>
    </w:p>
    <w:p>
      <w:pPr>
        <w:spacing w:before="0" w:after="80"/>
      </w:pPr>
      <w:r>
        <w:rPr>
          <w:i/>
          <w:sz w:val="20"/>
        </w:rPr>
        <w:t>EN: High‐Yield Engineering and Identification of Oxygen‐Related Modified Divacancies in 4H‐SiC</w:t>
      </w:r>
    </w:p>
    <w:p>
      <w:pPr>
        <w:spacing w:before="0" w:after="120"/>
      </w:pPr>
      <w:r>
        <w:rPr>
          <w:b/>
        </w:rPr>
        <w:t xml:space="preserve">Source: </w:t>
      </w:r>
      <w:r>
        <w:t>Wiley: Advanced Materials: Table of Contents</w:t>
      </w:r>
      <w:r>
        <w:t xml:space="preserve">    </w:t>
      </w:r>
      <w:r>
        <w:rPr>
          <w:b/>
        </w:rPr>
        <w:t xml:space="preserve">Pub date: </w:t>
      </w:r>
      <w:r>
        <w:t>2026-05-16 13:11:43+00:00</w:t>
      </w:r>
      <w:r>
        <w:t xml:space="preserve">    </w:t>
      </w:r>
      <w:r>
        <w:rPr>
          <w:b/>
        </w:rPr>
        <w:t xml:space="preserve">DOI: </w:t>
      </w:r>
      <w:hyperlink r:id="rId256">
        <w:r>
          <w:rPr>
            <w:color w:val="1155CC"/>
            <w:u w:val="single"/>
          </w:rPr>
          <w:t>10.1002/adma.73419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碳化硅 (SiC) 4H 多型中的改性双空位在室温下表现出增强的电荷稳定性和自旋可寻址性，使其在量子应用中具有吸引力。然而，它们的低形成产率和缺乏直接结构识别阻碍了进展。在此，我们展示了一种通过氧离子注入在 4H-SiC 中高产率工程和识别氧相关改性双空位色心的可控方法。基于其独特的光学和自旋共振特性，我们实验性地解析了四种改性双空位。此外，通过测量同位素分辨的超精细相互作用，我们将其识别为氧空位 (OV) 复合体的四种晶体学构型。值得注意的是，单个 OV 中心占总缺陷数量的 90% 以上，并且与传统碳或氮注入产生的缺陷相比，表现出优异的光学特性和自旋相干性。我们表征了这些 OV 中心的零声子线，并揭示了自旋读出对比度中独特的温度依赖行为。通过优化注入剂量和退火温度，我们实现了高密度集合体，并观察到与基底型缺陷不同取向相关的拉比振荡拍频模式。这些结果为 4H-SiC 中这四种氧相关改性双空位的可扩展工程建立了一条高产率途径，阐明了它们的原子结构，为固态量子技术开辟了新机遇。</w:t>
      </w:r>
    </w:p>
    <w:p>
      <w:pPr>
        <w:spacing w:before="0" w:after="200" w:lineRule="auto" w:line="276"/>
      </w:pPr>
      <w:r>
        <w:rPr>
          <w:b/>
        </w:rPr>
        <w:t xml:space="preserve">Abstract (EN): </w:t>
      </w:r>
      <w:r>
        <w:t>Modified divacancies in the 4H polytype of silicon carbide (SiC) exhibit enhanced charge stability and spin addressability at room temperature, making them attractive for quantum applications. However, their low formation yield and lack of direct structural identification have hindered progress. Here, we demonstrate a controllable method for high‐yield engineering and identification of oxygen‐related modified divacancy color centers in 4H‐SiC via oxygen‐ion implantation. Based on their distinct optical and spin‐resonance characteristics, we experimentally resolve four types of modified divacancies. Furthermore, by measuring isotope‐resolved  hyperfine interactions, we identify them as the four crystallographic configurations of oxygen‐vacancy (OV) complexes. Remarkably, single OV centers account for over 90% of the total defect population and exhibit superior optical properties and spin coherence compared with defects created by conventional carbon or nitrogen implantation. We characterize the zero‐phonon lines of these OV centers and reveal distinct temperature‐dependent behavior in spin‐readout contrast. By optimizing implantation dose and annealing temperature, we achieve high‐density ensembles and observe Rabi‐oscillation beating patterns associated with different orientations of basal‐type defects. These results establish a high‐yield route for scalable engineering of these four oxygen‐related modified divacancies in 4H‐SiC and clarify their atomic structure, opening new opportunities for solid‐state quantum technologies.</w:t>
      </w:r>
    </w:p>
    <w:p>
      <w:pPr>
        <w:spacing w:before="120" w:after="120"/>
      </w:pPr>
      <w:r>
        <w:rPr>
          <w:sz w:val="18"/>
        </w:rPr>
        <w:t>——————————————————————————————————————————————————————————————————————</w:t>
      </w:r>
    </w:p>
    <w:p>
      <w:pPr>
        <w:spacing w:before="160" w:after="40" w:line="240" w:lineRule="auto"/>
      </w:pPr>
      <w:r>
        <w:rPr>
          <w:b/>
        </w:rPr>
        <w:t xml:space="preserve">[23] </w:t>
      </w:r>
      <w:hyperlink r:id="rId257">
        <w:r>
          <w:rPr>
            <w:color w:val="1155CC"/>
            <w:u w:val="single"/>
          </w:rPr>
          <w:t>用于触觉具身智能的三维服装结构</w:t>
        </w:r>
      </w:hyperlink>
    </w:p>
    <w:p>
      <w:pPr>
        <w:spacing w:before="0" w:after="80"/>
      </w:pPr>
      <w:r>
        <w:rPr>
          <w:i/>
          <w:sz w:val="20"/>
        </w:rPr>
        <w:t>EN: Three‐Dimensional Garment Architectures for Tactile Embodied Intelligence</w:t>
      </w:r>
    </w:p>
    <w:p>
      <w:pPr>
        <w:spacing w:before="0" w:after="120"/>
      </w:pPr>
      <w:r>
        <w:rPr>
          <w:b/>
        </w:rPr>
        <w:t xml:space="preserve">Source: </w:t>
      </w:r>
      <w:r>
        <w:t>Wiley: Advanced Materials: Table of Contents</w:t>
      </w:r>
      <w:r>
        <w:t xml:space="preserve">    </w:t>
      </w:r>
      <w:r>
        <w:rPr>
          <w:b/>
        </w:rPr>
        <w:t xml:space="preserve">Pub date: </w:t>
      </w:r>
      <w:r>
        <w:t>2026-05-16 13:11:47+00:00</w:t>
      </w:r>
      <w:r>
        <w:t xml:space="preserve">    </w:t>
      </w:r>
      <w:r>
        <w:rPr>
          <w:b/>
        </w:rPr>
        <w:t xml:space="preserve">DOI: </w:t>
      </w:r>
      <w:hyperlink r:id="rId258">
        <w:r>
          <w:rPr>
            <w:color w:val="1155CC"/>
            <w:u w:val="single"/>
          </w:rPr>
          <w:t>10.1002/adma.73410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感觉神经形态计算赋予可穿戴设备环境感知和主动服务的能力，成为人机交互革命的关键驱动力。然而，其在纺织电子产品中的实现受到传统电子器件结构与织物编织制造方法不兼容性的阻碍。在此，我们展示了一种触觉神经形态界面，集成了纺织型电阻式随机存取存储器 (RRAM) 阵列，用于构建人机传感计算交互系统。该3D堆叠式TiO2/Ti3C2Tx纺织RRAM与现有同类产品相比，开关电压降低了一个数量级 (85 mV)，在10^3次操作循环中表现出超稳定的电阻开关特性，且LRS变异系数超低 (1.15%)，非常适合实现可编织的神经形态计算。一个全纺织集成近传感器计算系统，具有单片共集成的压力传感器和RRAM阵列，在压力刺激下实现了准线性电导调制，使得编织到服装纺织品中的嵌入式计算存储节点能够实现原位触觉处理，用于非接触式车辆操纵。这项工作展示了集成嵌入式传感-逻辑-存储电子器件的潜力</w:t>
      </w:r>
    </w:p>
    <w:p>
      <w:pPr>
        <w:spacing w:before="0" w:after="200" w:lineRule="auto" w:line="276"/>
      </w:pPr>
      <w:r>
        <w:rPr>
          <w:b/>
        </w:rPr>
        <w:t xml:space="preserve">Abstract (EN): </w:t>
      </w:r>
      <w:r>
        <w:t>Sensory‐neuromorphic computing endows wearable devices with capabilities of environmental perception and active service, acting as a pivotal driver for the revolution in human–computer interaction. However, its implementation in textile electronics is hampered by incompatibility between conventional electronic device structures and the fabric‐woven manufacturing methodology. Here, we demonstrate a tactile‐neuromorphic interface integrating a textile‐type resistive random‐access memory (RRAM) array for constructing human–machine sensing‐computing interactive systems. The 3D stacked TiO</w:t>
      </w:r>
      <w:r>
        <w:rPr>
          <w:vertAlign w:val="subscript"/>
        </w:rPr>
        <w:t>2</w:t>
      </w:r>
      <w:r>
        <w:t>/Ti</w:t>
      </w:r>
      <w:r>
        <w:rPr>
          <w:vertAlign w:val="subscript"/>
        </w:rPr>
        <w:t>3</w:t>
      </w:r>
      <w:r>
        <w:t>C</w:t>
      </w:r>
      <w:r>
        <w:rPr>
          <w:vertAlign w:val="subscript"/>
        </w:rPr>
        <w:t>2</w:t>
      </w:r>
      <w:r>
        <w:t>T</w:t>
      </w:r>
      <w:r>
        <w:t xml:space="preserve"> </w:t>
      </w:r>
      <w:r>
        <w:t>x</w:t>
      </w:r>
      <w:r>
        <w:t xml:space="preserve"> </w:t>
      </w:r>
      <w:r>
        <w:t>textile RRAM exhibits an order‐of‐magnitude reduction in switching voltage (85 mV) compared to prevailing counterparts, ultra‐stable resistive switching over 10</w:t>
      </w:r>
      <w:r>
        <w:rPr>
          <w:vertAlign w:val="subscript"/>
        </w:rPr>
        <w:t>3</w:t>
      </w:r>
      <w:r>
        <w:t>operation cycles with ultralow 1.15% LRS coefficient of variation, ideal for actualizing weavable neuromorphic computing. An all‐textile integrated near‐sensor computing system, featuring monolithically co‐integrated pressure sensor and RRAM arrays, demonstrates quasi‐linear conductance modulation under pressure stimuli, allowing for the embedded computation‐memory nodes knitted into garment textiles to achieve in situ tactile processing for contactless vehicular maneuvering. This work demonstrates the potential to integrate an embedded sensing‐logic‐memory electronic device into smart textiles, propelling a transformative paradigm shift in human–machine interaction.</w:t>
      </w:r>
    </w:p>
    <w:p>
      <w:pPr>
        <w:spacing w:before="120" w:after="120"/>
      </w:pPr>
      <w:r>
        <w:rPr>
          <w:sz w:val="18"/>
        </w:rPr>
        <w:t>——————————————————————————————————————————————————————————————————————</w:t>
      </w:r>
    </w:p>
    <w:p>
      <w:pPr>
        <w:spacing w:before="160" w:after="40" w:line="240" w:lineRule="auto"/>
      </w:pPr>
      <w:r>
        <w:rPr>
          <w:b/>
        </w:rPr>
        <w:t xml:space="preserve">[24] </w:t>
      </w:r>
      <w:hyperlink r:id="rId259">
        <w:r>
          <w:rPr>
            <w:color w:val="1155CC"/>
            <w:u w:val="single"/>
          </w:rPr>
          <w:t>通过3D侧链拓扑驱动的双纤维互穿网络实现的20.31%效率逐层有机太阳能电池</w:t>
        </w:r>
      </w:hyperlink>
    </w:p>
    <w:p>
      <w:pPr>
        <w:spacing w:before="0" w:after="80"/>
      </w:pPr>
      <w:r>
        <w:rPr>
          <w:i/>
          <w:sz w:val="20"/>
        </w:rPr>
        <w:t>EN: 20.31% Efficiency Layer‐by‐Layer Organic Solar Cells Enabled by 3D Side‐Chain Topology‐Driven Dual‐Fiber Interpenetrating Networks</w:t>
      </w:r>
    </w:p>
    <w:p>
      <w:pPr>
        <w:spacing w:before="0" w:after="120"/>
      </w:pPr>
      <w:r>
        <w:rPr>
          <w:b/>
        </w:rPr>
        <w:t xml:space="preserve">Source: </w:t>
      </w:r>
      <w:r>
        <w:t>Wiley: Advanced Materials: Table of Contents</w:t>
      </w:r>
      <w:r>
        <w:t xml:space="preserve">    </w:t>
      </w:r>
      <w:r>
        <w:rPr>
          <w:b/>
        </w:rPr>
        <w:t xml:space="preserve">Pub date: </w:t>
      </w:r>
      <w:r>
        <w:t>2026-05-16 13:12:36+00:00</w:t>
      </w:r>
      <w:r>
        <w:t xml:space="preserve">    </w:t>
      </w:r>
      <w:r>
        <w:rPr>
          <w:b/>
        </w:rPr>
        <w:t xml:space="preserve">DOI: </w:t>
      </w:r>
      <w:hyperlink r:id="rId260">
        <w:r>
          <w:rPr>
            <w:color w:val="1155CC"/>
            <w:u w:val="single"/>
          </w:rPr>
          <w:t>10.1002/adma.73422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在逐层 (LbL) 有机太阳能电池 (OSC) 中构建坚固的纳米纤维网络具有挑战性，因为小分子受体缺乏聚合物般的互锁能力。在此，我们提出了一种拓扑驱动策略，利用大体积硅氧烷封端侧链来诱导原纤维化。我们通过分别用二苯甲基硅烷基和三苯基硅烷基取代L8-BO的一个烷基链，合成了不对称受体BTP-2Ph和BTP-3Ph。我们揭示了空间位阻和分子间互锁之间存在尺寸依赖性竞争。BTP-3Ph中体积更大的三苯基硅烷基提供了强大的互锁能力，克服了空间诱导的结晶度损失，驱动形成了互连的受体纳米纤维网络。这与D18给体形成了理想的双纤维形貌。因此，D18/BTP-3Ph器件实现了令人印象深刻的20.31%效率，显著优于L8-BO (19.28%)。关键的是，这种物理互锁框架动力学冻结了最佳相分离，实现了出色的操作稳定性，在650小时连续单太阳光照后仍保持85%的初始效率。</w:t>
      </w:r>
    </w:p>
    <w:p>
      <w:pPr>
        <w:spacing w:before="0" w:after="200" w:lineRule="auto" w:line="276"/>
      </w:pPr>
      <w:r>
        <w:rPr>
          <w:b/>
        </w:rPr>
        <w:t xml:space="preserve">Abstract (EN): </w:t>
      </w:r>
      <w:r>
        <w:t>Constructing robust nanofibrillar networks in layer‐by‐layer (LbL) organic solar cells (OSCs) is challenging since small‐molecule acceptors lack polymer‐like interlocking capabilities. Herein, we propose a topology‐driven strategy using bulky siloxane‐terminated side chains to induce fibrillation. We synthesized asymmetric acceptors BTP‐2Ph and BTP‐3Ph by substituting one alkyl chain of L8‐BO with diphenylmethylsilyl and triphenylsilyl groups, respectively. We reveal a size‐dependent competition between steric hindrance and intermolecular interlocking. The bulkier triphenylsilyl group in BTP‐3Ph provides strong interlocking that overrides steric‐induced crystallinity loss, driving the formation of an interconnected acceptor nanofibrillar network. This creates an ideal dual‐fiber morphology with the D18 donor. Consequently, the D18/BTP‐3Ph device achieves an impressive 20.31% efficiency, significantly outperforming L8‐BO (19.28%). Crucially, this physically interlocked framework kinetically freezes the optimal phase separation, enabling excellent operational stability with 85% initial efficiency retention after 650 h of continuous one‐sun illumination.</w:t>
      </w:r>
    </w:p>
    <w:p>
      <w:pPr>
        <w:spacing w:before="120" w:after="120"/>
      </w:pPr>
      <w:r>
        <w:rPr>
          <w:sz w:val="18"/>
        </w:rPr>
        <w:t>——————————————————————————————————————————————————————————————————————</w:t>
      </w:r>
    </w:p>
    <w:p>
      <w:pPr>
        <w:spacing w:before="160" w:after="40" w:line="240" w:lineRule="auto"/>
      </w:pPr>
      <w:r>
        <w:rPr>
          <w:b/>
        </w:rPr>
        <w:t xml:space="preserve">[25] </w:t>
      </w:r>
      <w:hyperlink r:id="rId261">
        <w:r>
          <w:rPr>
            <w:color w:val="1155CC"/>
            <w:u w:val="single"/>
          </w:rPr>
          <w:t>协调二维电子学中高κ宽带隙电介质(TbOCl)与本征稳定性</w:t>
        </w:r>
      </w:hyperlink>
    </w:p>
    <w:p>
      <w:pPr>
        <w:spacing w:before="0" w:after="80"/>
      </w:pPr>
      <w:r>
        <w:rPr>
          <w:i/>
          <w:sz w:val="20"/>
        </w:rPr>
        <w:t>EN: Reconciling High‐κ and Wide‐Bandgap Dielectrics (TbOCl) with Intrinsic Stability in 2D Electronics</w:t>
      </w:r>
    </w:p>
    <w:p>
      <w:pPr>
        <w:spacing w:before="0" w:after="120"/>
      </w:pPr>
      <w:r>
        <w:rPr>
          <w:b/>
        </w:rPr>
        <w:t xml:space="preserve">Source: </w:t>
      </w:r>
      <w:r>
        <w:t>Wiley: Advanced Materials: Table of Contents</w:t>
      </w:r>
      <w:r>
        <w:t xml:space="preserve">    </w:t>
      </w:r>
      <w:r>
        <w:rPr>
          <w:b/>
        </w:rPr>
        <w:t xml:space="preserve">Pub date: </w:t>
      </w:r>
      <w:r>
        <w:t>2026-05-16 13:15:05+00:00</w:t>
      </w:r>
      <w:r>
        <w:t xml:space="preserve">    </w:t>
      </w:r>
      <w:r>
        <w:rPr>
          <w:b/>
        </w:rPr>
        <w:t xml:space="preserve">DOI: </w:t>
      </w:r>
      <w:hyperlink r:id="rId262">
        <w:r>
          <w:rPr>
            <w:color w:val="1155CC"/>
            <w:u w:val="single"/>
          </w:rPr>
          <w:t>10.1002/adma.73420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 (2D) 晶体管的实际应用根本上受限于缺乏能够同时提供高介电常数、宽带隙、高击穿强度和长期环境稳定性（一个经常被忽视但对可靠器件集成至关重要的要求）的栅介电材料。在此，我们报道了二维单晶TbOCl纳米片作为栅介电材料，独特地协调了这些相互竞争的需求。TbOCl表现出高介电常数 (12.5)、超宽带隙 (∼6.6 eV) 和高击穿场强 (11.9 MV cm−1)。由TbOCl栅控的MoS2场效应晶体管 (FET) 表现出出色的静电控制，实现了接近理想的72 mV dec−1亚阈值摆幅、仅8 mV的小迟滞和超低栅漏电流 (∼10−13 A)。值得注意的是，基于TbOCl的器件在环境储存9个月后仍保持超稳定的电学性能，性能退化可忽略不计。卓越的稳定性源于固有的双重抗氧化机制，有效抑制了介电材料的氧化降解。此外，用TbOCl栅介电材料制造的逻辑反相器表现出快速开关行为，上升时间为80 µs，下降时间为16 µs。总而言之，这些结果确立了TbOCl作为一种稳定、高性能的二维介电平台，为</w:t>
      </w:r>
    </w:p>
    <w:p>
      <w:pPr>
        <w:spacing w:before="0" w:after="200" w:lineRule="auto" w:line="276"/>
      </w:pPr>
      <w:r>
        <w:rPr>
          <w:b/>
        </w:rPr>
        <w:t xml:space="preserve">Abstract (EN): </w:t>
      </w:r>
      <w:r>
        <w:t>The practical implementation of two‐dimensional (2D) transistors is fundamentally limited by the lack of gate dielectrics that can simultaneously deliver a high dielectric constant, a wide bandgap, strong breakdown strength, and long‐term environmental stability‐an often‐overlooked yet critical requirement for reliable device integration. Here, we report 2D single‐crystalline TbOCl nanosheets as gate dielectrics that uniquely reconcile these competing demands. TbOCl exhibits a high dielectric constant (12.5), an ultrawide bandgap (∼6.6 eV), and a high breakdown field (11.9 MV cm</w:t>
      </w:r>
      <w:r>
        <w:t xml:space="preserve"> </w:t>
      </w:r>
      <w:r>
        <w:t>−1</w:t>
      </w:r>
      <w:r>
        <w:t xml:space="preserve"> </w:t>
      </w:r>
      <w:r>
        <w:t>). MoS</w:t>
      </w:r>
      <w:r>
        <w:rPr>
          <w:vertAlign w:val="subscript"/>
        </w:rPr>
        <w:t>2</w:t>
      </w:r>
      <w:r>
        <w:t>field‐effect transistors (FETs) gated by TbOCl exhibit excellent electrostatic control, yielding a near‐ideal subthreshold swing of 72 mV dec</w:t>
      </w:r>
      <w:r>
        <w:t xml:space="preserve"> </w:t>
      </w:r>
      <w:r>
        <w:t>−1</w:t>
      </w:r>
      <w:r>
        <w:t xml:space="preserve"> </w:t>
      </w:r>
      <w:r>
        <w:t>, a small hysteresis of only 8 mV, and an ultra‐low gate leakage current of ∼10</w:t>
      </w:r>
      <w:r>
        <w:t xml:space="preserve"> </w:t>
      </w:r>
      <w:r>
        <w:t>−13</w:t>
      </w:r>
      <w:r>
        <w:t xml:space="preserve"> </w:t>
      </w:r>
      <w:r>
        <w:t>A. Notably, TbOCl‐based devices maintain ultrastable electrical performance after more than 9 months of ambient storage with negligible performance degradation. The superior stability originates from an intrinsic dual‐antioxidation mechanism that effectively suppresses oxidative degradation of the dielectric. Furthermore, logic inverters fabricated with TbOCl gate dielectrics exhibit fast switching behavior, with rise and fall times of 80 and 16 µs, respectively. Together, these results establish TbOCl as a stable, high‐performance 2D dielectric platform, offering a viable pathway toward reliable 2D electronic devices.</w:t>
      </w:r>
    </w:p>
    <w:p>
      <w:pPr>
        <w:spacing w:before="120" w:after="120"/>
      </w:pPr>
      <w:r>
        <w:rPr>
          <w:sz w:val="18"/>
        </w:rPr>
        <w:t>——————————————————————————————————————————————————————————————————————</w:t>
      </w:r>
    </w:p>
    <w:p>
      <w:pPr>
        <w:spacing w:before="160" w:after="40" w:line="240" w:lineRule="auto"/>
      </w:pPr>
      <w:r>
        <w:rPr>
          <w:b/>
        </w:rPr>
        <w:t xml:space="preserve">[26] </w:t>
      </w:r>
      <w:hyperlink r:id="rId263">
        <w:r>
          <w:rPr>
            <w:color w:val="1155CC"/>
            <w:u w:val="single"/>
          </w:rPr>
          <w:t>[ASAP] 利用油水微界面实现有毒有机污染物的无催化剂氧化降解</w:t>
        </w:r>
      </w:hyperlink>
    </w:p>
    <w:p>
      <w:pPr>
        <w:spacing w:before="0" w:after="80"/>
      </w:pPr>
      <w:r>
        <w:rPr>
          <w:i/>
          <w:sz w:val="20"/>
        </w:rPr>
        <w:t>EN: [ASAP] Harnessing Oil–Water Microinterfaces for the Catalyst-Free Oxidative Degradation of Toxic Organic Pollutants</w:t>
      </w:r>
    </w:p>
    <w:p>
      <w:pPr>
        <w:spacing w:before="0" w:after="120"/>
      </w:pPr>
      <w:r>
        <w:rPr>
          <w:b/>
        </w:rPr>
        <w:t xml:space="preserve">Source: </w:t>
      </w:r>
      <w:r>
        <w:t>Journal of the American Chemical Society: Latest Articles (ACS Publications)</w:t>
      </w:r>
      <w:r>
        <w:t xml:space="preserve">    </w:t>
      </w:r>
      <w:r>
        <w:rPr>
          <w:b/>
        </w:rPr>
        <w:t xml:space="preserve">Pub date: </w:t>
      </w:r>
      <w:r>
        <w:t>2026-05-16 14:26:25+00:00</w:t>
      </w:r>
      <w:r>
        <w:t xml:space="preserve">    </w:t>
      </w:r>
      <w:r>
        <w:rPr>
          <w:b/>
        </w:rPr>
        <w:t xml:space="preserve">DOI: </w:t>
      </w:r>
      <w:hyperlink r:id="rId264">
        <w:r>
          <w:rPr>
            <w:color w:val="1155CC"/>
            <w:u w:val="single"/>
          </w:rPr>
          <w:t>10.1021/jacs.6c05344</w:t>
        </w:r>
      </w:hyperlink>
    </w:p>
    <w:p>
      <w:pPr>
        <w:spacing w:before="0" w:after="120"/>
      </w:pPr>
      <w:r>
        <w:rPr>
          <w:b/>
        </w:rPr>
        <w:t xml:space="preserve">Notes: </w:t>
      </w:r>
      <w:r>
        <w:t>abstract_source=openalex</w:t>
      </w:r>
    </w:p>
    <w:p>
      <w:pPr>
        <w:spacing w:before="0" w:after="80" w:lineRule="auto" w:line="276"/>
      </w:pPr>
      <w:r>
        <w:rPr>
          <w:b/>
        </w:rPr>
        <w:t xml:space="preserve">摘要（ZH）: </w:t>
      </w:r>
      <w:r>
        <w:t>有毒有机污染物对环境有害，并对生态系统和公众健康构成严重威胁。从工业废水中去除它们通常依赖于能源密集型或昂贵的催化过程，使得处理既具有挑战性又成本高昂。当前工作通过在水中生成油微滴，展示了在油水界面 (OWIs) 处有毒有机污染物的氧化和降解。油微滴 (约3 μm) 是通过将油相通过多孔膜引入水中而生成的。该方法简单、无需催化剂，并在环境条件下运行，无需外部电场或辐射。油水界面处的固有电场被认为是驱动有机污染物转化的关键因素。苯、苯酚、草甘膦、2,4-D 和萘等多种化合物被有效氧化/降解，证明了该方法的普适性。采用高分辨率质谱法识别和量化反应产物，并阐明氧化/降解途径。总之，这项工作强调了油水界面化学作为一种有前景的污染物修复策略。</w:t>
      </w:r>
    </w:p>
    <w:p>
      <w:pPr>
        <w:spacing w:before="0" w:after="200" w:lineRule="auto" w:line="276"/>
      </w:pPr>
      <w:r>
        <w:rPr>
          <w:b/>
        </w:rPr>
        <w:t xml:space="preserve">Abstract (EN): </w:t>
      </w:r>
      <w:r>
        <w:t>Toxic organic pollutants are environmentally harmful and pose serious risks to ecosystems and public health. Their removal from industrial wastewater often relies on energy-intensive or expensive catalytic processes, making treatment both challenging and costly. The current work demonstrates the oxidation and degradation of toxic organic pollutants at oil–water interfaces (OWIs) by generating microdroplets of oil in water. Oil microdroplets (∼3 μm) are generated by passing the oil phase into water through a porous membrane. This method is simple, is catalyst-free, and operates under ambient conditions, without requiring an external electric field or radiation. The intrinsic electric field at the oil–water interface is proposed as a key factor driving the transformation of organic pollutants. A wide range of compounds, including benzene, phenol, glyphosate, 2,4-D, and naphthalene, are efficiently oxidized/degraded, demonstrating the universality of the approach. High-resolution mass spectrometry is employed to identify and quantify reaction products and to elucidate the oxidation/degradation pathways. Overall, this work highlights oil–water interfacial chemistry as a promising strategy for pollutant remediation.</w:t>
      </w:r>
    </w:p>
    <w:p>
      <w:pPr>
        <w:spacing w:before="120" w:after="120"/>
      </w:pPr>
      <w:r>
        <w:rPr>
          <w:sz w:val="18"/>
        </w:rPr>
        <w:t>——————————————————————————————————————————————————————————————————————</w:t>
      </w:r>
    </w:p>
    <w:p>
      <w:pPr>
        <w:spacing w:before="160" w:after="40" w:line="240" w:lineRule="auto"/>
      </w:pPr>
      <w:r>
        <w:rPr>
          <w:b/>
        </w:rPr>
        <w:t xml:space="preserve">[27] </w:t>
      </w:r>
      <w:hyperlink r:id="rId265">
        <w:r>
          <w:rPr>
            <w:color w:val="1155CC"/>
            <w:u w:val="single"/>
          </w:rPr>
          <w:t>[ASAP] 具有片段精确短程电荷转移的四配位硼刚性化杂螺烯用于窄近红外发射</w:t>
        </w:r>
      </w:hyperlink>
    </w:p>
    <w:p>
      <w:pPr>
        <w:spacing w:before="0" w:after="80"/>
      </w:pPr>
      <w:r>
        <w:rPr>
          <w:i/>
          <w:sz w:val="20"/>
        </w:rPr>
        <w:t>EN: [ASAP] Tetracoordinate-Boron-Rigidified Heterohelicenes with Fragment-Precise Short-Range Charge Transfer for Narrow Near-Infrared Emission</w:t>
      </w:r>
    </w:p>
    <w:p>
      <w:pPr>
        <w:spacing w:before="0" w:after="120"/>
      </w:pPr>
      <w:r>
        <w:rPr>
          <w:b/>
        </w:rPr>
        <w:t xml:space="preserve">Source: </w:t>
      </w:r>
      <w:r>
        <w:t>Journal of the American Chemical Society: Latest Articles (ACS Publications)</w:t>
      </w:r>
      <w:r>
        <w:t xml:space="preserve">    </w:t>
      </w:r>
      <w:r>
        <w:rPr>
          <w:b/>
        </w:rPr>
        <w:t xml:space="preserve">Pub date: </w:t>
      </w:r>
      <w:r>
        <w:t>2026-05-16 14:51:56+00:00</w:t>
      </w:r>
      <w:r>
        <w:t xml:space="preserve">    </w:t>
      </w:r>
      <w:r>
        <w:rPr>
          <w:b/>
        </w:rPr>
        <w:t xml:space="preserve">DOI: </w:t>
      </w:r>
      <w:hyperlink r:id="rId266">
        <w:r>
          <w:rPr>
            <w:color w:val="1155CC"/>
            <w:u w:val="single"/>
          </w:rPr>
          <w:t>10.1021/jacs.6c06955</w:t>
        </w:r>
      </w:hyperlink>
    </w:p>
    <w:p>
      <w:pPr>
        <w:spacing w:before="0" w:after="120"/>
      </w:pPr>
      <w:r>
        <w:rPr>
          <w:b/>
        </w:rPr>
        <w:t xml:space="preserve">Notes: </w:t>
      </w:r>
      <w:r>
        <w:t>abstract_source=openalex</w:t>
      </w:r>
    </w:p>
    <w:p>
      <w:pPr>
        <w:spacing w:before="0" w:after="80" w:lineRule="auto" w:line="276"/>
      </w:pPr>
      <w:r>
        <w:rPr>
          <w:b/>
        </w:rPr>
        <w:t xml:space="preserve">摘要（ZH）: </w:t>
      </w:r>
      <w:r>
        <w:t>具有窄半峰宽 (fwhm) 的有机近红外 (NIR) 发射体对于高分辨率应用至关重要；然而，它们的开发受到能隙定律的根本阻碍，该定律规定在较小带隙下非辐射衰变加速。在此，我们引入了一种设计范式来克服这一限制：具有交替供体-受体骨架的四配位硼刚性化杂螺烯。这种独特的结构实现了高达 730 nm 的超窄 NIR 发射，fwhm 低至 0.09 eV。四配位硼的引入不仅减小了光学带隙，而且进一步赋予螺烯骨架刚性。结合刚性骨架，交替的供体-受体排列实现了片段精确的短程电荷转移，并显著抑制了非辐射衰变。至关重要的是，螺烯骨架的内部空间排斥有效地消除了硼上取代基的顺/反异构现象，打破了主要的合成瓶颈，并成功分离出具有六个四配位硼中心的分子 B6N15。这项工作建立了一种构建窄带 NIR 发射体的通用策略，同时解决了多四配位硼异构的持续挑战。</w:t>
      </w:r>
    </w:p>
    <w:p>
      <w:pPr>
        <w:spacing w:before="0" w:after="200" w:lineRule="auto" w:line="276"/>
      </w:pPr>
      <w:r>
        <w:rPr>
          <w:b/>
        </w:rPr>
        <w:t xml:space="preserve">Abstract (EN): </w:t>
      </w:r>
      <w:r>
        <w:t>Organic near-infrared (NIR) emitters with narrow full widths at half-maximum (fwhm) are critically required for high-resolution applications; however, their development is fundamentally hindered by the energy-gap law, which dictates accelerated nonradiative decay at smaller band gaps. Herein, we introduce a design paradigm to overcome this limitation: tetracoordinate-boron-rigidified heterohelicenes featuring alternant donor–acceptor frameworks. This unique architecture achieves ultranarrow NIR emission up to 730 nm with fwhm’s as low as 0.09 eV. The incorporation of tetracoordinate boron not only diminishes the optical band gap but also further imparts rigidity to the helicene backbone. Coupled with the rigidified skeleton, the alternating donor–acceptor arrangement enables fragment-precise short-range charge transfer with drastically suppressed nonradiative decay. Crucially, the internal steric repulsion of the helicene framework effectively eliminates the cis/trans isomerism of substituents on boron, breaking a major synthetic bottleneck and enabling the successful isolation of the molecule B6N15 featuring six tetracoordinate boron centers. This work establishes a generalizable strategy for constructing narrowband NIR emitters while simultaneously solving the persistent challenge of multiple-tetracoordinate-boron isomerism.</w:t>
      </w:r>
    </w:p>
    <w:p>
      <w:pPr>
        <w:spacing w:before="120" w:after="120"/>
      </w:pPr>
      <w:r>
        <w:rPr>
          <w:sz w:val="18"/>
        </w:rPr>
        <w:t>——————————————————————————————————————————————————————————————————————</w:t>
      </w:r>
    </w:p>
    <w:p>
      <w:pPr>
        <w:spacing w:before="160" w:after="40" w:line="240" w:lineRule="auto"/>
      </w:pPr>
      <w:r>
        <w:rPr>
          <w:b/>
        </w:rPr>
        <w:t xml:space="preserve">[28] </w:t>
      </w:r>
      <w:hyperlink r:id="rId267">
        <w:r>
          <w:rPr>
            <w:color w:val="1155CC"/>
            <w:u w:val="single"/>
          </w:rPr>
          <w:t>[ASAP] 光驱动质子耦合双电子配体还原导致Cu(I) 4H-咪唑络合物中配位球的重排</w:t>
        </w:r>
      </w:hyperlink>
    </w:p>
    <w:p>
      <w:pPr>
        <w:spacing w:before="0" w:after="80"/>
      </w:pPr>
      <w:r>
        <w:rPr>
          <w:i/>
          <w:sz w:val="20"/>
        </w:rPr>
        <w:t>EN: [ASAP] Light-Driven Proton-Coupled Two-Electron Ligand Reduction Causes the Rearrangement of the Coordination Sphere in Cu(I) 4H-Imidazolato Complexes</w:t>
      </w:r>
    </w:p>
    <w:p>
      <w:pPr>
        <w:spacing w:before="0" w:after="120"/>
      </w:pPr>
      <w:r>
        <w:rPr>
          <w:b/>
        </w:rPr>
        <w:t xml:space="preserve">Source: </w:t>
      </w:r>
      <w:r>
        <w:t>Journal of the American Chemical Society: Latest Articles (ACS Publications)</w:t>
      </w:r>
      <w:r>
        <w:t xml:space="preserve">    </w:t>
      </w:r>
      <w:r>
        <w:rPr>
          <w:b/>
        </w:rPr>
        <w:t xml:space="preserve">Pub date: </w:t>
      </w:r>
      <w:r>
        <w:t>2026-05-16 19:00:00+00:00</w:t>
      </w:r>
      <w:r>
        <w:t xml:space="preserve">    </w:t>
      </w:r>
      <w:r>
        <w:rPr>
          <w:b/>
        </w:rPr>
        <w:t xml:space="preserve">DOI: </w:t>
      </w:r>
      <w:hyperlink r:id="rId268">
        <w:r>
          <w:rPr>
            <w:color w:val="1155CC"/>
            <w:u w:val="single"/>
          </w:rPr>
          <w:t>10.1021/jacs.6c00920</w:t>
        </w:r>
      </w:hyperlink>
    </w:p>
    <w:p>
      <w:pPr>
        <w:spacing w:before="0" w:after="120"/>
      </w:pPr>
      <w:r>
        <w:rPr>
          <w:b/>
        </w:rPr>
        <w:t xml:space="preserve">Notes: </w:t>
      </w:r>
      <w:r>
        <w:t>abstract_source=pubmed</w:t>
      </w:r>
    </w:p>
    <w:p>
      <w:pPr>
        <w:spacing w:before="0" w:after="80" w:lineRule="auto" w:line="276"/>
      </w:pPr>
      <w:r>
        <w:rPr>
          <w:b/>
        </w:rPr>
        <w:t xml:space="preserve">摘要（ZH）: </w:t>
      </w:r>
      <w:r>
        <w:t>受自然光合作用启发，将太阳光直接转化为化学能，为能量储存和化学转化提供了一种有前景的策略。我们利用具有功能性4H-咪唑配体的光活性Cu(I)配合物来储存多个光氧化还原当量，从而研究这种方法。本研究表明，这些配合物在涉及不同辐照波长、溶剂以及电子/质子供体的多种反应条件下，会发生光驱动还原。我们结合单晶X射线分析和NMR光谱对分离出的光还原产物进行了表征。该分析支持质子耦合双电子转移机制，并揭示了配合物的显著结构转变。通过结合使用UV-vis光谱和DFT计算，我们阐明了光还原过程的潜在机制，包括双电子还原导致螯合结合位点上两个环外氮原子的质子化，从而使Cu(I)双膦片段从咪唑配体的螯合结合位点迁移，形成三角平面Cu(I) 1H-咪唑配合物。这种重排显著改变了分子的形状，暴露出Cu(I)中心上的一个额外结合位点，并使N,N-结合位点可用于后续反应。</w:t>
      </w:r>
    </w:p>
    <w:p>
      <w:pPr>
        <w:spacing w:before="0" w:after="200" w:lineRule="auto" w:line="276"/>
      </w:pPr>
      <w:r>
        <w:rPr>
          <w:b/>
        </w:rPr>
        <w:t xml:space="preserve">Abstract (EN): </w:t>
      </w:r>
      <w:r>
        <w:t>The direct conversion of solar light into chemical energy, inspired by natural photosynthesis, presents a promising strategy for energy storage and chemical transformation. We investigate this approach using photoactive Cu(I) complexes with the functional 4H-imidazolato ligand for storage of multiple photoredox equivalents. This study demonstrates that these complexes undergo light-driven reduction under a variety of reaction conditions involving different irradiation wavelengths, solvents, and electron/proton donors. We used single-crystal X-ray analysis together with NMR spectroscopy to characterize the isolated photoreduction product. This analysis supports a proton-coupled two-electron-transfer mechanism and reveals a significant structural transformation of the complex. By employing UV-vis spectroscopy alongside DFT calculations, we elucidated the mechanisms underlying the photoreduction process, including protonation of both exocyclic nitrogen atoms at the chelating binding site as a consequence of the two-electron reduction, resulting in the migration of the Cu(I) bisphosphine fragment from the chelating binding site of the imidazolato ligand to form a trigonal-planar Cu(I) 1H-imidazolato complex. This rearrangement drastically changes the shape of the molecule, exposing an additional binding site on the Cu(I) center and making the N,N-binding site available for subsequent reactions.</w:t>
      </w:r>
    </w:p>
    <w:p>
      <w:pPr>
        <w:spacing w:before="120" w:after="120"/>
      </w:pPr>
      <w:r>
        <w:rPr>
          <w:sz w:val="18"/>
        </w:rPr>
        <w:t>——————————————————————————————————————————————————————————————————————</w:t>
      </w:r>
    </w:p>
    <w:p>
      <w:pPr>
        <w:spacing w:before="160" w:after="40" w:line="240" w:lineRule="auto"/>
      </w:pPr>
      <w:r>
        <w:rPr>
          <w:b/>
        </w:rPr>
        <w:t xml:space="preserve">[29] </w:t>
      </w:r>
      <w:hyperlink r:id="rId269">
        <w:r>
          <w:rPr>
            <w:color w:val="1155CC"/>
            <w:u w:val="single"/>
          </w:rPr>
          <w:t>用于电力系统灵活性的源-网-荷-储协同规划：中国案例研究</w:t>
        </w:r>
      </w:hyperlink>
    </w:p>
    <w:p>
      <w:pPr>
        <w:spacing w:before="0" w:after="80"/>
      </w:pPr>
      <w:r>
        <w:rPr>
          <w:i/>
          <w:sz w:val="20"/>
        </w:rPr>
        <w:t>EN: Coordinated source–grid–load–storage planning for power system flexibility: A case study in China</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270">
        <w:r>
          <w:rPr>
            <w:color w:val="1155CC"/>
            <w:u w:val="single"/>
          </w:rPr>
          <w:t>药用益生菌Phocaeicola dorei通过减轻巨噬细胞对中性粒细胞的胞葬作用改善胆汁淤积性肝纤维化</w:t>
        </w:r>
      </w:hyperlink>
    </w:p>
    <w:p>
      <w:pPr>
        <w:spacing w:before="0" w:after="80"/>
      </w:pPr>
      <w:r>
        <w:rPr>
          <w:i/>
          <w:sz w:val="20"/>
        </w:rPr>
        <w:t>EN: Pharmabiotics, Phocaeicola dorei, ameliorates cholestatic liver fibrosis by alleviating macrophage efferocytosis of neutrophils</w:t>
      </w:r>
    </w:p>
    <w:p>
      <w:pPr>
        <w:spacing w:before="0" w:after="120"/>
      </w:pPr>
      <w:r>
        <w:rPr>
          <w:b/>
        </w:rPr>
        <w:t xml:space="preserve">Source: </w:t>
      </w:r>
      <w:r>
        <w:t>Nature Communications</w:t>
      </w:r>
      <w:r>
        <w:t xml:space="preserve">    </w:t>
      </w:r>
      <w:r>
        <w:rPr>
          <w:b/>
        </w:rPr>
        <w:t xml:space="preserve">Pub date: </w:t>
      </w:r>
      <w:r>
        <w:t>2026-05-17 00:00:00+00:00</w:t>
      </w:r>
      <w:r>
        <w:t xml:space="preserve">    </w:t>
      </w:r>
      <w:r>
        <w:rPr>
          <w:b/>
        </w:rPr>
        <w:t xml:space="preserve">DOI: </w:t>
      </w:r>
      <w:hyperlink r:id="rId271">
        <w:r>
          <w:rPr>
            <w:color w:val="1155CC"/>
            <w:u w:val="single"/>
          </w:rPr>
          <w:t>10.1038/s41467-026-73166-1</w:t>
        </w:r>
      </w:hyperlink>
    </w:p>
    <w:p>
      <w:pPr>
        <w:spacing w:before="0" w:after="120"/>
      </w:pPr>
      <w:r>
        <w:rPr>
          <w:b/>
        </w:rPr>
        <w:t xml:space="preserve">Notes: </w:t>
      </w:r>
      <w:r>
        <w:t>abstract_source=nature_html</w:t>
      </w:r>
    </w:p>
    <w:p>
      <w:pPr>
        <w:spacing w:before="0" w:after="80" w:lineRule="auto" w:line="276"/>
      </w:pPr>
      <w:r>
        <w:rPr>
          <w:b/>
        </w:rPr>
        <w:t xml:space="preserve">摘要（ZH）: </w:t>
      </w:r>
      <w:r>
        <w:t>据报道，Phocaeicola dorei（P. dorei）可改善代谢疾病。其在肝纤维化中的作用尚不清楚。我们评估了P. dorei在肝纤维化中的保肝作用。从健康对照组和患者（n = 285）中收集粪便样本，以评估P. dorei的临床相关性。在雄性小鼠模型（3,5-二乙氧羰基-1,4-二氢可力丁 [DDC] 饮食）中，口服给予P. dorei（109 CFU/g，每周两次）。原代HSC、LX-2、THP-1和HL-60细胞系用于机制验证。在人类中，P. dorei的相对丰度随肝病恶化而增加。施用P. dorei显著减少了中性粒细胞脱颗粒和胞葬作用通路（Ly6g和F4/80）。P. dorei恢复了中性粒细胞相关趋化因子（Cx3cl1和Cx3cr1）的失调表达。P. dorei培养上清液抑制了巨噬细胞介导的胞葬作用。P. dorei通过抑制中性粒细胞和巨噬细胞浸润并破坏胞葬作用来减轻肝纤维化。我们的结果表明P. dorei是治疗胆汁淤积性肝纤维化的潜在基于微生物组的治疗候选药物。</w:t>
      </w:r>
    </w:p>
    <w:p>
      <w:pPr>
        <w:spacing w:before="0" w:after="200" w:lineRule="auto" w:line="276"/>
      </w:pPr>
      <w:r>
        <w:rPr>
          <w:b/>
        </w:rPr>
        <w:t xml:space="preserve">Abstract (EN): </w:t>
      </w:r>
      <w:r>
        <w:t>Phocaeicola dorei has been reported to ameliorate metabolic diseases. Its role in liver fibrosis remains unclear. We evaluated the hepatoprotective effect of P. dorei in liver fibrosis. Fecal samples were collected from healthy controls and patients (n = 285) to assess the clinical relevance of P. dorei. In male mice models (3,5-diethoxycarbonyl-1.4-dihydrocollidine [DDC] diet), P. dorei (109 CFU/g twice/week) was orally administered. Primary HSCs, LX-2, THP-1, and HL-60 cell lines were used for mechanical validation. The relative abundance of P. dorei increased with worsing liver disease in human. P. dorei administration significantly reduced neutrophil degranulation and efferocytosis pathways (Ly6g and F4/80). The dysregulated expression of neutrophil-associated chemokines (Cx3cl1 and Cx3cr1) was restored by P. dorei. P. dorei culture supernatant inhibited macrophage-mediated efferocytosis. P. dorei attenuates liver fibrosis by suppressing neutrophil and macrophage infiltration and disrupting efferocytosis. Our results identify P. dorei as a potential microbiome-based therapeutic candidate for cholestatic liver fibrosis.</w:t>
      </w:r>
    </w:p>
    <w:p>
      <w:pPr>
        <w:spacing w:before="120" w:after="120"/>
      </w:pPr>
      <w:r>
        <w:rPr>
          <w:sz w:val="18"/>
        </w:rPr>
        <w:t>——————————————————————————————————————————————————————————————————————</w:t>
      </w:r>
    </w:p>
    <w:p>
      <w:pPr>
        <w:spacing w:before="160" w:after="40" w:line="240" w:lineRule="auto"/>
      </w:pPr>
      <w:r>
        <w:rPr>
          <w:b/>
        </w:rPr>
        <w:t xml:space="preserve">[31] </w:t>
      </w:r>
      <w:hyperlink r:id="rId272">
        <w:r>
          <w:rPr>
            <w:color w:val="1155CC"/>
            <w:u w:val="single"/>
          </w:rPr>
          <w:t>基于生成式预训练Transformer的决策导向框架用于分布式网络中的风光联合学习</w:t>
        </w:r>
      </w:hyperlink>
    </w:p>
    <w:p>
      <w:pPr>
        <w:spacing w:before="0" w:after="80"/>
      </w:pPr>
      <w:r>
        <w:rPr>
          <w:i/>
          <w:sz w:val="20"/>
        </w:rPr>
        <w:t>EN: A generative pre-trained transformer-based decision focused framework for wind-solar joint learning on distributed network</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273">
        <w:r>
          <w:rPr>
            <w:color w:val="1155CC"/>
            <w:u w:val="single"/>
          </w:rPr>
          <w:t>地点在实现净零电力供应中的可再生能源重塑能力和成本竞争力</w:t>
        </w:r>
      </w:hyperlink>
    </w:p>
    <w:p>
      <w:pPr>
        <w:spacing w:before="0" w:after="80"/>
      </w:pPr>
      <w:r>
        <w:rPr>
          <w:i/>
          <w:sz w:val="20"/>
        </w:rPr>
        <w:t>EN: Renewable reshapeability and cost competitiveness of locations in achieving net-zero electricity supply</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274">
        <w:r>
          <w:rPr>
            <w:color w:val="1155CC"/>
            <w:u w:val="single"/>
          </w:rPr>
          <w:t>基于量子条件生成对抗网络的负荷和天气预测以提高产消者微电网的可持续性和成本效率</w:t>
        </w:r>
      </w:hyperlink>
    </w:p>
    <w:p>
      <w:pPr>
        <w:spacing w:before="0" w:after="80"/>
      </w:pPr>
      <w:r>
        <w:rPr>
          <w:i/>
          <w:sz w:val="20"/>
        </w:rPr>
        <w:t>EN: Enhancing prosumer microgrid sustainability and cost efficiency through quantum conditional generative adversarial network based load and weather forecasting</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275">
        <w:r>
          <w:rPr>
            <w:color w:val="1155CC"/>
            <w:u w:val="single"/>
          </w:rPr>
          <w:t>推进混合量子神经网络用于交流最优潮流</w:t>
        </w:r>
      </w:hyperlink>
    </w:p>
    <w:p>
      <w:pPr>
        <w:spacing w:before="0" w:after="80"/>
      </w:pPr>
      <w:r>
        <w:rPr>
          <w:i/>
          <w:sz w:val="20"/>
        </w:rPr>
        <w:t>EN: Advancing hybrid quantum neural network for alternating current optimal power flow</w:t>
      </w:r>
    </w:p>
    <w:p>
      <w:pPr>
        <w:spacing w:before="0" w:after="120"/>
      </w:pPr>
      <w:r>
        <w:rPr>
          <w:b/>
        </w:rPr>
        <w:t xml:space="preserve">Source: </w:t>
      </w:r>
      <w:r>
        <w:t>ScienceDirect Publication: Applied Energy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276">
        <w:r>
          <w:rPr>
            <w:color w:val="1155CC"/>
            <w:u w:val="single"/>
          </w:rPr>
          <w:t>碎片化世界中的能源贫困趋同：来自非OECD国家的多维度证据</w:t>
        </w:r>
      </w:hyperlink>
    </w:p>
    <w:p>
      <w:pPr>
        <w:spacing w:before="0" w:after="80"/>
      </w:pPr>
      <w:r>
        <w:rPr>
          <w:i/>
          <w:sz w:val="20"/>
        </w:rPr>
        <w:t>EN: Energy poverty convergence in a fragmented world: Multidimensional evidence from non-OECD countries</w:t>
      </w:r>
    </w:p>
    <w:p>
      <w:pPr>
        <w:spacing w:before="0" w:after="120"/>
      </w:pPr>
      <w:r>
        <w:rPr>
          <w:b/>
        </w:rPr>
        <w:t xml:space="preserve">Source: </w:t>
      </w:r>
      <w:r>
        <w:t>ScienceDirect Publication: Energy Policy</w:t>
      </w:r>
      <w:r>
        <w:t xml:space="preserve">    </w:t>
      </w:r>
      <w:r>
        <w:rPr>
          <w:b/>
        </w:rPr>
        <w:t xml:space="preserve">Pub date: </w:t>
      </w:r>
      <w:r>
        <w:t>2026-05-17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277">
        <w:r>
          <w:rPr>
            <w:color w:val="1155CC"/>
            <w:u w:val="single"/>
          </w:rPr>
          <w:t>Tau T205 磷酸化调节小鼠印迹细胞募集和远程记忆</w:t>
        </w:r>
      </w:hyperlink>
    </w:p>
    <w:p>
      <w:pPr>
        <w:spacing w:before="0" w:after="80"/>
      </w:pPr>
      <w:r>
        <w:rPr>
          <w:i/>
          <w:sz w:val="20"/>
        </w:rPr>
        <w:t>EN: Tau T205 phosphorylation modulates engram cell recruitment and remote memory in mice</w:t>
      </w:r>
    </w:p>
    <w:p>
      <w:pPr>
        <w:spacing w:before="0" w:after="120"/>
      </w:pPr>
      <w:r>
        <w:rPr>
          <w:b/>
        </w:rPr>
        <w:t xml:space="preserve">Source: </w:t>
      </w:r>
      <w:r>
        <w:t>Nature Communications</w:t>
      </w:r>
      <w:r>
        <w:t xml:space="preserve">    </w:t>
      </w:r>
      <w:r>
        <w:rPr>
          <w:b/>
        </w:rPr>
        <w:t xml:space="preserve">Pub date: </w:t>
      </w:r>
      <w:r>
        <w:t>2026-05-17 00:00:00+00:00</w:t>
      </w:r>
      <w:r>
        <w:t xml:space="preserve">    </w:t>
      </w:r>
      <w:r>
        <w:rPr>
          <w:b/>
        </w:rPr>
        <w:t xml:space="preserve">DOI: </w:t>
      </w:r>
      <w:hyperlink r:id="rId278">
        <w:r>
          <w:rPr>
            <w:color w:val="1155CC"/>
            <w:u w:val="single"/>
          </w:rPr>
          <w:t>10.1038/s41467-026-73207-9</w:t>
        </w:r>
      </w:hyperlink>
    </w:p>
    <w:p>
      <w:pPr>
        <w:spacing w:before="0" w:after="120"/>
      </w:pPr>
      <w:r>
        <w:rPr>
          <w:b/>
        </w:rPr>
        <w:t xml:space="preserve">Notes: </w:t>
      </w:r>
      <w:r>
        <w:t>abstract_source=nature_html</w:t>
      </w:r>
    </w:p>
    <w:p>
      <w:pPr>
        <w:spacing w:before="0" w:after="80" w:lineRule="auto" w:line="276"/>
      </w:pPr>
      <w:r>
        <w:rPr>
          <w:b/>
        </w:rPr>
        <w:t xml:space="preserve">摘要（ZH）: </w:t>
      </w:r>
      <w:r>
        <w:t>记忆丧失与记忆痕迹（engram，与特定记忆相关的物理基质）的失效有关。Tau是一种微管相关蛋白，以其在神经退行性痴呆中的核心作用而闻名，但其在记忆形成中的生理功能仍知之甚少。在这项工作中，我们表明tau对于小鼠形成持久记忆至关重要。记忆编码诱导苏氨酸-205 (T205) 位点特异性tau磷酸化，并且是远程记忆形成所必需的。Tau T205磷酸化调节记忆痕迹细胞（记忆存储的物理单位）的招募，并限制无关的局部细胞激活，从而促进高效的记忆回忆。Tau选择性地将感觉线索呈现与编码集合联系起来，因为远程记忆的光遗传学检索是tau非依赖性的。活跃细胞集合中的致病性tau会诱导异常的局部激活，并在编码或回忆时间窗口内存在时，分别导致顺行性或逆行性遗忘。综上所述，这些发现确定了tau在记忆痕迹集合调节中的直接生理作用，并建立了tau功能障碍与记忆丧失之间的机制联系。</w:t>
      </w:r>
    </w:p>
    <w:p>
      <w:pPr>
        <w:spacing w:before="0" w:after="200" w:lineRule="auto" w:line="276"/>
      </w:pPr>
      <w:r>
        <w:rPr>
          <w:b/>
        </w:rPr>
        <w:t xml:space="preserve">Abstract (EN): </w:t>
      </w:r>
      <w:r>
        <w:t>Memory loss is linked to failure of the engram, the physical substrate associated with a specific memory. Tau is a microtubule associated protein best known for its central role in neurodegenerative dementias, yet its physiological function in memory formation remains poorly understood. In this work, we show that tau is crucial for forming long lasting memories in mice. Site-specific tau phosphorylation at threonine-205 (T205) is induced by memory encoding and is required for remote memory formation. Tau T205 phosphorylation regulates engram cell, physical unit of memory storage, recruitment and constrains extraneous local cell activation, thereby promoting efficient memory recall. Tau selectively links sensory cue presentations to the encoding ensemble, as optogenetic retrieval of remote memory is tau-independent. Pathogenic tau within active cell ensembles induces aberrant local activation and causes anterograde or retrograde amnesia when present during an encoding or recall time window, respectively. Together, these findings identify a direct physiological role for tau in engram ensemble regulation and establish a mechanistic link between tau dysfunction and memory loss.</w:t>
      </w:r>
    </w:p>
    <w:p>
      <w:pPr>
        <w:spacing w:before="120" w:after="120"/>
      </w:pPr>
      <w:r>
        <w:rPr>
          <w:sz w:val="18"/>
        </w:rPr>
        <w:t>——————————————————————————————————————————————————————————————————————</w:t>
      </w:r>
    </w:p>
    <w:p>
      <w:pPr>
        <w:spacing w:before="160" w:after="40" w:line="240" w:lineRule="auto"/>
      </w:pPr>
      <w:r>
        <w:rPr>
          <w:b/>
        </w:rPr>
        <w:t xml:space="preserve">[37] </w:t>
      </w:r>
      <w:hyperlink r:id="rId279">
        <w:r>
          <w:rPr>
            <w:color w:val="1155CC"/>
            <w:u w:val="single"/>
          </w:rPr>
          <w:t>[ASAP] 刺激调节的金属有机框架 (MOF) 对三组分偶联反应的反应性</w:t>
        </w:r>
      </w:hyperlink>
    </w:p>
    <w:p>
      <w:pPr>
        <w:spacing w:before="0" w:after="80"/>
      </w:pPr>
      <w:r>
        <w:rPr>
          <w:i/>
          <w:sz w:val="20"/>
        </w:rPr>
        <w:t>EN: [ASAP] Stimuli-Modulated Metal–Organic Framework (MOF) Reactivity toward a Three-Component Coupling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2026-05-17 16:33:54+00:00</w:t>
      </w:r>
      <w:r>
        <w:t xml:space="preserve">    </w:t>
      </w:r>
      <w:r>
        <w:rPr>
          <w:b/>
        </w:rPr>
        <w:t xml:space="preserve">DOI: </w:t>
      </w:r>
      <w:hyperlink r:id="rId280">
        <w:r>
          <w:rPr>
            <w:color w:val="1155CC"/>
            <w:u w:val="single"/>
          </w:rPr>
          <w:t>10.1021/jacs.6c05401</w:t>
        </w:r>
      </w:hyperlink>
    </w:p>
    <w:p>
      <w:pPr>
        <w:spacing w:before="0" w:after="120"/>
      </w:pPr>
      <w:r>
        <w:rPr>
          <w:b/>
        </w:rPr>
        <w:t xml:space="preserve">Notes: </w:t>
      </w:r>
      <w:r>
        <w:t>abstract_source=pubmed</w:t>
      </w:r>
    </w:p>
    <w:p>
      <w:pPr>
        <w:spacing w:before="0" w:after="80" w:lineRule="auto" w:line="276"/>
      </w:pPr>
      <w:r>
        <w:rPr>
          <w:b/>
        </w:rPr>
        <w:t xml:space="preserve">摘要（ZH）: </w:t>
      </w:r>
      <w:r>
        <w:t>响应性多相催化是一个强大的概念，它将反应参数空间的现场调节可能性与固态平台的增强可回收性结合起来。本工作报道了第一个光响应性多相催化剂用于三组分偶联反应的例子，该催化剂依赖于通过共价整合在主体骨架中的响应性螺吡喃衍生物，实现光致变色分子导向的金属有机框架 (MOFs) 中铜氧化态的调节。综合光谱分析，并辅以理论建模，首次建立了光致变色部分异构化、MOF金属节点中金属氧化态的调节以及材料在三组分偶联反应中的整体化学反应性之间的关联。此外，这项工作首次证实了集成螺吡喃衍生物的光物理性能在暴露于选定反应条件后仍能保持，从而实现材料的可回收性，同时保持其催化活性。所开发的光致变色MOF基催化剂促进了12种不同化合物的合成，包括大宗化学品和药物，在温和反应条件下以接近定量的产率，并在多个反应循环中保持结晶度和催化性能。总而言之，这些发现为通过按需调节金属氧化态实现化学反应性的非侵入性控制开辟了一条新途径，建立了一种新的自适应设计原则。</w:t>
      </w:r>
    </w:p>
    <w:p>
      <w:pPr>
        <w:spacing w:before="0" w:after="200" w:lineRule="auto" w:line="276"/>
      </w:pPr>
      <w:r>
        <w:rPr>
          <w:b/>
        </w:rPr>
        <w:t xml:space="preserve">Abstract (EN): </w:t>
      </w:r>
      <w:r>
        <w:t>Stimuli-responsive heterogeneous catalysis is a powerful concept that unites the possibility for in situ regulation of the reaction parameter space with the enhanced recyclability of solid-state platforms. The presented work reports the first example of a light-responsive heterogeneous catalyst for a three-component coupling reaction that relies on photochromic-molecule-directed modulation of the copper oxidation states in metal-organic frameworks (MOFs) via a stimuli-responsive spiropyran derivative covalently integrated within a host scaffold. Comprehensive spectroscopic analysis, supported by theoretical modeling, establishes the first correlations among isomerization of a photochromic moiety, modulation of metal oxidation states in MOF metal nodes, and the material's overall chemical reactivity in a three-component coupling reaction. Moreover, this work provides the first confirmation that the photophysical performance of integrated spiropyran derivatives is maintained after exposure to selected reaction conditions, leading to material recyclability while preserving its catalytic activity. The developed photochromic MOF-based catalyst promoted the synthesis of 12 different compounds, including commodity chemicals and pharmaceuticals, with near-quantitative yields under mild reaction conditions while maintaining crystallinity and catalytic performance over multiple reaction cycles. Overall, these findings unlock a novel avenue toward noninvasive control of chemical reactivity via on-demand metal oxidation state modulation, establishing a new design principle for adaptive catalytic systems and offering a transformative pathway toward controllable chemical synthesis.</w:t>
      </w:r>
    </w:p>
    <w:p>
      <w:pPr>
        <w:spacing w:before="120" w:after="120"/>
      </w:pPr>
      <w:r>
        <w:rPr>
          <w:sz w:val="18"/>
        </w:rPr>
        <w:t>——————————————————————————————————————————————————————————————————————</w:t>
      </w:r>
    </w:p>
    <w:p>
      <w:pPr>
        <w:spacing w:before="160" w:after="40" w:line="240" w:lineRule="auto"/>
      </w:pPr>
      <w:r>
        <w:rPr>
          <w:b/>
        </w:rPr>
        <w:t xml:space="preserve">[38] </w:t>
      </w:r>
      <w:hyperlink r:id="rId281">
        <w:r>
          <w:rPr>
            <w:color w:val="1155CC"/>
            <w:u w:val="single"/>
          </w:rPr>
          <w:t>[ASAP] 工程化硫胺素依赖性酶介导的电酶氧化去对称化用于轴手性联芳基的对映选择性合成</w:t>
        </w:r>
      </w:hyperlink>
    </w:p>
    <w:p>
      <w:pPr>
        <w:spacing w:before="0" w:after="80"/>
      </w:pPr>
      <w:r>
        <w:rPr>
          <w:i/>
          <w:sz w:val="20"/>
        </w:rPr>
        <w:t>EN: [ASAP] Electroenzymatic Oxidative Desymmetrization by Engineered Thiamine-Dependent Enzymes for the Enantioselective Synthesis of Axially Chiral Biaryls</w:t>
      </w:r>
    </w:p>
    <w:p>
      <w:pPr>
        <w:spacing w:before="0" w:after="120"/>
      </w:pPr>
      <w:r>
        <w:rPr>
          <w:b/>
        </w:rPr>
        <w:t xml:space="preserve">Source: </w:t>
      </w:r>
      <w:r>
        <w:t>Journal of the American Chemical Society: Latest Articles (ACS Publications)</w:t>
      </w:r>
      <w:r>
        <w:t xml:space="preserve">    </w:t>
      </w:r>
      <w:r>
        <w:rPr>
          <w:b/>
        </w:rPr>
        <w:t xml:space="preserve">Pub date: </w:t>
      </w:r>
      <w:r>
        <w:t>2026-05-17 18:20:26+00:00</w:t>
      </w:r>
      <w:r>
        <w:t xml:space="preserve">    </w:t>
      </w:r>
      <w:r>
        <w:rPr>
          <w:b/>
        </w:rPr>
        <w:t xml:space="preserve">DOI: </w:t>
      </w:r>
      <w:hyperlink r:id="rId282">
        <w:r>
          <w:rPr>
            <w:color w:val="1155CC"/>
            <w:u w:val="single"/>
          </w:rPr>
          <w:t>10.1021/jacs.6c01275</w:t>
        </w:r>
      </w:hyperlink>
    </w:p>
    <w:p>
      <w:pPr>
        <w:spacing w:before="0" w:after="120"/>
      </w:pPr>
      <w:r>
        <w:rPr>
          <w:b/>
        </w:rPr>
        <w:t xml:space="preserve">Notes: </w:t>
      </w:r>
      <w:r>
        <w:t>abstract_source=pubmed</w:t>
      </w:r>
    </w:p>
    <w:p>
      <w:pPr>
        <w:spacing w:before="0" w:after="80" w:lineRule="auto" w:line="276"/>
      </w:pPr>
      <w:r>
        <w:rPr>
          <w:b/>
        </w:rPr>
        <w:t xml:space="preserve">摘要（ZH）: </w:t>
      </w:r>
      <w:r>
        <w:t>尽管生物催化和电化学各自具有独特的优势，例如酶的选择性和无痕电子利用，但它们在解锁新酶功能方面的整合仍然有限。在此，我们报道了一种新颖的电酶脱对称策略，能够实现具有轴手性的联芳基化合物的对映异构发散合成。通过协同结合蛋白质工程和介导电解，我们将硫胺素依赖性酶重新用于联芳基二醛的高效生物催化脱对称，实现了高对映选择性 (高达 &gt;99% e.e.，在某些情况下可实现对映异构发散)、优异的产率 (高达99%) 和低酶负载量 (低至0.1 mol %，高达930 TON)。机制研究证实，电化学产生的酶结合自由基是这种非天然反应性的关键，并且工程化的蛋白质骨架提供了精确的对映异构识别，同时防止了有害的过氧化。这项工作展示了协同电酶合成作为解锁新酶反应性的强大平台的潜力，为光生物催化和人工酶等现有方法提供了一个引人注目的替代方案。</w:t>
      </w:r>
    </w:p>
    <w:p>
      <w:pPr>
        <w:spacing w:before="0" w:after="200" w:lineRule="auto" w:line="276"/>
      </w:pPr>
      <w:r>
        <w:rPr>
          <w:b/>
        </w:rPr>
        <w:t xml:space="preserve">Abstract (EN): </w:t>
      </w:r>
      <w:r>
        <w:t>While biocatalysis and electrochemistry each offer unique advantages, such as enzyme selectivity and traceless electron use, their integration for unlocking new enzyme function remains limited. Here, we report a new-to-nature electroenzymatic desymmetrization strategy that enables the enantiodivergent synthesis of biaryls bearing axial chirality. By synergistically combining protein engineering and mediated electrolysis, we repurpose thiamine-dependent enzymes for the highly efficient biocatalytic desymmetrization of biaryl dialdehydes, achieving high enantioselectivity (up to &gt;99% e.e., with enantiodivergence accessible in some cases), excellent yield (up to 99%), and low enzyme loading (down to 0.1 mol %, up to 930 TON). Mechanistic investigations confirm that electrochemically generated enzyme-bound radicals are key to this unnatural reactivity, and the engineered protein scaffolds provide precise enantiodiscrimination while preventing detrimental overoxidation. This work showcases the potential of synergistic electroenzymatic synthesis as a powerful platform for unlocking new enzyme reactivity, offering a compelling alternative to established methods such as photobiocatalysis and artificial enzymes.</w:t>
      </w:r>
    </w:p>
    <w:p>
      <w:pPr>
        <w:spacing w:before="120" w:after="120"/>
      </w:pPr>
      <w:r>
        <w:rPr>
          <w:sz w:val="18"/>
        </w:rPr>
        <w:t>——————————————————————————————————————————————————————————————————————</w:t>
      </w:r>
    </w:p>
    <w:p>
      <w:pPr>
        <w:spacing w:before="160" w:after="40" w:line="240" w:lineRule="auto"/>
      </w:pPr>
      <w:r>
        <w:rPr>
          <w:b/>
        </w:rPr>
        <w:t xml:space="preserve">[39] </w:t>
      </w:r>
      <w:hyperlink r:id="rId283">
        <w:r>
          <w:rPr>
            <w:color w:val="1155CC"/>
            <w:u w:val="single"/>
          </w:rPr>
          <w:t>埃博拉疫情是全球健康紧急事件：接下来会发生什么</w:t>
        </w:r>
      </w:hyperlink>
    </w:p>
    <w:p>
      <w:pPr>
        <w:spacing w:before="0" w:after="80"/>
      </w:pPr>
      <w:r>
        <w:rPr>
          <w:i/>
          <w:sz w:val="20"/>
        </w:rPr>
        <w:t>EN: Ebola outbreak is a global health emergency: what happens next</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284">
        <w:r>
          <w:rPr>
            <w:color w:val="1155CC"/>
            <w:u w:val="single"/>
          </w:rPr>
          <w:t>10.1038/d41586-026-01597-3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285">
        <w:r>
          <w:rPr>
            <w:color w:val="1155CC"/>
            <w:u w:val="single"/>
          </w:rPr>
          <w:t>沿海农业加剧的海平面驱动的土地转化</w:t>
        </w:r>
      </w:hyperlink>
    </w:p>
    <w:p>
      <w:pPr>
        <w:spacing w:before="0" w:after="80"/>
      </w:pPr>
      <w:r>
        <w:rPr>
          <w:i/>
          <w:sz w:val="20"/>
        </w:rPr>
        <w:t>EN: Sea-level-driven land conversion amplified by coastal agriculture</w:t>
      </w:r>
    </w:p>
    <w:p>
      <w:pPr>
        <w:spacing w:before="0" w:after="120"/>
      </w:pPr>
      <w:r>
        <w:rPr>
          <w:b/>
        </w:rPr>
        <w:t xml:space="preserve">Source: </w:t>
      </w:r>
      <w:r>
        <w:t>Nature Sustainability</w:t>
      </w:r>
      <w:r>
        <w:t xml:space="preserve">    </w:t>
      </w:r>
      <w:r>
        <w:rPr>
          <w:b/>
        </w:rPr>
        <w:t xml:space="preserve">Pub date: </w:t>
      </w:r>
      <w:r>
        <w:t>2026-05-18 00:00:00+00:00</w:t>
      </w:r>
      <w:r>
        <w:t xml:space="preserve">    </w:t>
      </w:r>
      <w:r>
        <w:rPr>
          <w:b/>
        </w:rPr>
        <w:t xml:space="preserve">DOI: </w:t>
      </w:r>
      <w:hyperlink r:id="rId286">
        <w:r>
          <w:rPr>
            <w:color w:val="1155CC"/>
            <w:u w:val="single"/>
          </w:rPr>
          <w:t>10.1038/s41893-026-01835-6</w:t>
        </w:r>
      </w:hyperlink>
    </w:p>
    <w:p>
      <w:pPr>
        <w:spacing w:before="0" w:after="120"/>
      </w:pPr>
      <w:r>
        <w:rPr>
          <w:b/>
        </w:rPr>
        <w:t xml:space="preserve">Notes: </w:t>
      </w:r>
      <w:r>
        <w:t>abstract_source=nature_html</w:t>
      </w:r>
    </w:p>
    <w:p>
      <w:pPr>
        <w:spacing w:before="0" w:after="80" w:lineRule="auto" w:line="276"/>
      </w:pPr>
      <w:r>
        <w:rPr>
          <w:b/>
        </w:rPr>
        <w:t xml:space="preserve">摘要（ZH）: </w:t>
      </w:r>
      <w:r>
        <w:t>海平面上升 (SLR) 和海水入侵正在推动经济价值高的沿海地区发生大规模生态系统退缩。然而，人类干预如何影响气候驱动的过程，尤其是在农村地区，仍不清楚。海平面驱动的土地利用变化通常被建模为二元响应，即人类主导的高地要么立即转化为湿地，要么无限期地受到保护。在这里，我们利用跨大西洋中部SLR热点地区38年的卫星观测数据表明，在农田上，沼泽入侵的速度几乎是林地的两倍，频率是林地的1.4–6.8倍。现场测量表明，地方干预措施已将私人土地上农田的流失速度减缓到远低于SLR的速度；然而，我们的结果表明，在区域尺度上，农业加速了海水入侵的影响。这些结果暗示了人类对海岸管理具有独特的尺度依赖性影响，并扩展了我们对人类作为主要变革推动者（即使在农村景观中）的理解。</w:t>
      </w:r>
    </w:p>
    <w:p>
      <w:pPr>
        <w:spacing w:before="0" w:after="200" w:lineRule="auto" w:line="276"/>
      </w:pPr>
      <w:r>
        <w:rPr>
          <w:b/>
        </w:rPr>
        <w:t xml:space="preserve">Abstract (EN): </w:t>
      </w:r>
      <w:r>
        <w:t>Sea-level rise (SLR) and saltwater intrusion are driving large-scale ecosystem retreat along economically valuable coasts. However, it remains unclear how human interventions influence climate-driven processes, especially in rural areas. Sea-level-driven land use change is typically modelled as a binary response, where human-dominated uplands convert to wetlands instantaneously or else are protected indefinitely. Here we use 38 years of satellite observations across the mid-Atlantic SLR hotspot to show that marsh encroachment is nearly twice as fast, and 1.4–6.8 times more frequent, on agricultural land than forestland. Field measurements indicate that local interventions have slowed the loss of agricultural land on private property to rates far lower than SLR; however, our results suggest that, at the regional scale, agriculture accelerates the impacts of saltwater intrusion. These results imply a unique scale-dependent impact of humans on coastal management and extend our understanding of humans as principal agents of change, even in rural landscapes.</w:t>
      </w:r>
    </w:p>
    <w:p>
      <w:pPr>
        <w:spacing w:before="120" w:after="120"/>
      </w:pPr>
      <w:r>
        <w:rPr>
          <w:sz w:val="18"/>
        </w:rPr>
        <w:t>——————————————————————————————————————————————————————————————————————</w:t>
      </w:r>
    </w:p>
    <w:p>
      <w:pPr>
        <w:spacing w:before="160" w:after="40" w:line="240" w:lineRule="auto"/>
      </w:pPr>
      <w:r>
        <w:rPr>
          <w:b/>
        </w:rPr>
        <w:t xml:space="preserve">[41] </w:t>
      </w:r>
      <w:hyperlink r:id="rId287">
        <w:r>
          <w:rPr>
            <w:color w:val="1155CC"/>
            <w:u w:val="single"/>
          </w:rPr>
          <w:t>通过贫困解决方案促进生物多样性</w:t>
        </w:r>
      </w:hyperlink>
    </w:p>
    <w:p>
      <w:pPr>
        <w:spacing w:before="0" w:after="80"/>
      </w:pPr>
      <w:r>
        <w:rPr>
          <w:i/>
          <w:sz w:val="20"/>
        </w:rPr>
        <w:t>EN: Advancing biodiversity through poverty solutions</w:t>
      </w:r>
    </w:p>
    <w:p>
      <w:pPr>
        <w:spacing w:before="0" w:after="120"/>
      </w:pPr>
      <w:r>
        <w:rPr>
          <w:b/>
        </w:rPr>
        <w:t xml:space="preserve">Source: </w:t>
      </w:r>
      <w:r>
        <w:t>Nature Sustainability</w:t>
      </w:r>
      <w:r>
        <w:t xml:space="preserve">    </w:t>
      </w:r>
      <w:r>
        <w:rPr>
          <w:b/>
        </w:rPr>
        <w:t xml:space="preserve">Pub date: </w:t>
      </w:r>
      <w:r>
        <w:t>2026-05-18 00:00:00+00:00</w:t>
      </w:r>
      <w:r>
        <w:t xml:space="preserve">    </w:t>
      </w:r>
      <w:r>
        <w:rPr>
          <w:b/>
        </w:rPr>
        <w:t xml:space="preserve">DOI: </w:t>
      </w:r>
      <w:hyperlink r:id="rId288">
        <w:r>
          <w:rPr>
            <w:color w:val="1155CC"/>
            <w:u w:val="single"/>
          </w:rPr>
          <w:t>10.1038/s41893-026-01816-9</w:t>
        </w:r>
      </w:hyperlink>
    </w:p>
    <w:p>
      <w:pPr>
        <w:spacing w:before="0" w:after="120"/>
      </w:pPr>
      <w:r>
        <w:rPr>
          <w:b/>
        </w:rPr>
        <w:t xml:space="preserve">Notes: </w:t>
      </w:r>
      <w:r>
        <w:t>abstract_source=nature_html</w:t>
      </w:r>
    </w:p>
    <w:p>
      <w:pPr>
        <w:spacing w:before="0" w:after="80" w:lineRule="auto" w:line="276"/>
      </w:pPr>
      <w:r>
        <w:rPr>
          <w:b/>
        </w:rPr>
        <w:t xml:space="preserve">摘要（ZH）: </w:t>
      </w:r>
      <w:r>
        <w:t>森林提供多种生态系统服务，支持着低收入和中等收入国家数百万依赖森林的人们的生计。生态系统服务的提供与森林生物多样性的维持直接相关，而森林生物多样性又受到人类活动的影响。我们利用来自322个热带社区森林的独特样地级树种数据，分析了人口、社会经济和制度因素对森林生物多样性的综合影响，因为此类影响很少被同时评估。我们发现，贫困家庭的比例和社区对薪柴的依赖与较低的物种丰富度相关。随着时间的推移，人口密度较高和贫困家庭数量增加地区的森林经历了当地物种丰富度的下降，其中优势物种受影响最大。相比之下，家庭对自给作物依赖增加地区的森林与物种丰富度的积极变化相关，这些变化发生在稀有、常见和优势物种中。社会和制度因素（牲畜存在和治理安排）与物种丰富度随时间的损失或增加没有关联。我们的分析表明，旨在减贫的干预措施可能对社区森林多样性以及这些森林提供的生态系统服务产生积极影响。</w:t>
      </w:r>
    </w:p>
    <w:p>
      <w:pPr>
        <w:spacing w:before="0" w:after="200" w:lineRule="auto" w:line="276"/>
      </w:pPr>
      <w:r>
        <w:rPr>
          <w:b/>
        </w:rPr>
        <w:t xml:space="preserve">Abstract (EN): </w:t>
      </w:r>
      <w:r>
        <w:t>Forests provide several ecosystem services that support the livelihoods of millions of forest-dependent people in lower- and middle-income countries. Provisioning of ecosystem services is directly linked to the maintenance of forest biodiversity, which in turn is influenced by human activities. We leveraged a unique dataset of plot-level tree species data from 322 tropical community forests to analyse the joint effects of demographic, socioeconomic and institutional factors on forest biodiversity, as such impacts have been rarely assessed simultaneously. We find that percentage of poor households and community reliance on fuelwood are associated with lower richness. Over time, forests in areas with higher population density and increasing numbers of poor households experienced declines in local species richness, with dominant species being the most affected. In contrast, forests in areas where households have increased their reliance on subsistence crops are associated with positive changes in species richness and these changes took place across rare, common and dominant species. Social and institutional factors (livestock presence and governance arrangements) showed no association with species richness losses or gains over time. Our analyses suggest that interventions aimed at reducing poverty may create positive effects on community forest diversity and thus on the ecosystem services these forests provide.</w:t>
      </w:r>
    </w:p>
    <w:p>
      <w:pPr>
        <w:spacing w:before="120" w:after="120"/>
      </w:pPr>
      <w:r>
        <w:rPr>
          <w:sz w:val="18"/>
        </w:rPr>
        <w:t>——————————————————————————————————————————————————————————————————————</w:t>
      </w:r>
    </w:p>
    <w:p>
      <w:pPr>
        <w:spacing w:before="160" w:after="40" w:line="240" w:lineRule="auto"/>
      </w:pPr>
      <w:r>
        <w:rPr>
          <w:b/>
        </w:rPr>
        <w:t xml:space="preserve">[42] </w:t>
      </w:r>
      <w:hyperlink r:id="rId289">
        <w:r>
          <w:rPr>
            <w:color w:val="1155CC"/>
            <w:u w:val="single"/>
          </w:rPr>
          <w:t>真空紫外非线性光学晶体氟化调制理论 (I)：基础与框架</w:t>
        </w:r>
      </w:hyperlink>
    </w:p>
    <w:p>
      <w:pPr>
        <w:spacing w:before="0" w:after="80"/>
      </w:pPr>
      <w:r>
        <w:rPr>
          <w:i/>
          <w:sz w:val="20"/>
        </w:rPr>
        <w:t>EN: Fluorination modulation theory for vacuum-ultraviolet nonlinear optical crystals (I): foundation and framework</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290">
        <w:r>
          <w:rPr>
            <w:color w:val="1155CC"/>
            <w:u w:val="single"/>
          </w:rPr>
          <w:t>10.1093/nsr/nwag259</w:t>
        </w:r>
      </w:hyperlink>
    </w:p>
    <w:p>
      <w:pPr>
        <w:spacing w:before="0" w:after="120"/>
      </w:pPr>
      <w:r>
        <w:rPr>
          <w:b/>
        </w:rPr>
        <w:t xml:space="preserve">Notes: </w:t>
      </w:r>
      <w:r>
        <w:t>abstract_source=crossref</w:t>
      </w:r>
    </w:p>
    <w:p>
      <w:pPr>
        <w:spacing w:before="0" w:after="80" w:lineRule="auto" w:line="276"/>
      </w:pPr>
      <w:r>
        <w:rPr>
          <w:b/>
        </w:rPr>
        <w:t xml:space="preserve">摘要（ZH）: </w:t>
      </w:r>
      <w:r>
        <w:t>氟化调制理论将非金属-氟共价键嵌入四面体单元中，打破局部对称性并稳定电子结构，从而实现高性能真空紫外非线性光学晶体的合理设计。</w:t>
      </w:r>
    </w:p>
    <w:p>
      <w:pPr>
        <w:spacing w:before="0" w:after="200" w:lineRule="auto" w:line="276"/>
      </w:pPr>
      <w:r>
        <w:rPr>
          <w:b/>
        </w:rPr>
        <w:t xml:space="preserve">Abstract (EN): </w:t>
      </w:r>
      <w:r>
        <w:t>A fluorination modulation theory embeds nonmetalâ€“fluorine covalent bonds into tetrahedral units, breaking local symmetry and stabilizing electronic structures to enable rational design of high-performance vacuum ultraviolet nonlinear optical crystals.</w:t>
      </w:r>
    </w:p>
    <w:p>
      <w:pPr>
        <w:spacing w:before="120" w:after="120"/>
      </w:pPr>
      <w:r>
        <w:rPr>
          <w:sz w:val="18"/>
        </w:rPr>
        <w:t>——————————————————————————————————————————————————————————————————————</w:t>
      </w:r>
    </w:p>
    <w:p>
      <w:pPr>
        <w:spacing w:before="160" w:after="40" w:line="240" w:lineRule="auto"/>
      </w:pPr>
      <w:r>
        <w:rPr>
          <w:b/>
        </w:rPr>
        <w:t xml:space="preserve">[43] </w:t>
      </w:r>
      <w:hyperlink r:id="rId291">
        <w:r>
          <w:rPr>
            <w:color w:val="1155CC"/>
            <w:u w:val="single"/>
          </w:rPr>
          <w:t>电化学生物传感计算</w:t>
        </w:r>
      </w:hyperlink>
    </w:p>
    <w:p>
      <w:pPr>
        <w:spacing w:before="0" w:after="80"/>
      </w:pPr>
      <w:r>
        <w:rPr>
          <w:i/>
          <w:sz w:val="20"/>
        </w:rPr>
        <w:t>EN: Electrochemical in-biosensing computing</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292">
        <w:r>
          <w:rPr>
            <w:color w:val="1155CC"/>
            <w:u w:val="single"/>
          </w:rPr>
          <w:t>10.1093/nsr/nwag290</w:t>
        </w:r>
      </w:hyperlink>
    </w:p>
    <w:p>
      <w:pPr>
        <w:spacing w:before="0" w:after="120"/>
      </w:pPr>
      <w:r>
        <w:rPr>
          <w:b/>
        </w:rPr>
        <w:t xml:space="preserve">Notes: </w:t>
      </w:r>
      <w:r>
        <w:t>abstract_source=rss_oup</w:t>
      </w:r>
    </w:p>
    <w:p>
      <w:pPr>
        <w:spacing w:before="0" w:after="80" w:lineRule="auto" w:line="276"/>
      </w:pPr>
      <w:r>
        <w:rPr>
          <w:b/>
        </w:rPr>
        <w:t xml:space="preserve">摘要（ZH）: </w:t>
      </w:r>
      <w:r>
        <w:t>人工智能（AI）辅助的电化学生物传感正在成为众多应用场景中不可或缺的一部分。然而，现有系统通常在外部信号处理单元中执行算法。模数转换和数据传输的必要性导致了高复杂性、低工作效率和隐私问题。传感器内计算在感知和处理物理信号方面取得了巨大进展，然而，由于缺乏水相兼容性和阵列的必要性，它在生化场景中面临固有的限制。在此，我们仅使用单个光电化学晶体管实现了神经形态电化学生物传感内计算，该晶体管本身不仅可以执行多目标生物传感，还可以构成单层算法分类器。它基于合理设计的多栅光电化学晶体管，其架构和突触记忆允许内置向量-矩阵乘法和光可调响应性。通过在真实生物样本中同时传感和分类生物标志物微RNA指纹，证明了这一概念验证，这为具有边缘计算能力的下一代AI驱动电化学生物传感开辟了可能性。</w:t>
      </w:r>
    </w:p>
    <w:p>
      <w:pPr>
        <w:spacing w:before="0" w:after="200" w:lineRule="auto" w:line="276"/>
      </w:pPr>
      <w:r>
        <w:rPr>
          <w:b/>
        </w:rPr>
        <w:t xml:space="preserve">Abstract (EN): </w:t>
      </w:r>
      <w:r>
        <w:t>Artificial intelligence (AI)-aided electrochemical biosensing is becoming integral parts in numerous scenarios. However, existing systems generally perform algorithms in external signal processing units. The necessity of analog-to-digital conversion and data transfer results in high complexity, low working efficiency and concern of privacy. In-sensor computing has made great progress in perceiving and processing physical signals, which, nevertheless, faces inherent restriction in biochemical scenarios due to the lack of aqueous compatibility and the necessity of an array. Here, we realized neuromorphic electrochemical in-biosensing computing using just a single photoelectrochemical transistor, which can itself not only perform multi-target biosensing but also constitute a single-layer algorithmic classifier. It is based on a rational designed multi-gate photoelectrochemical transistor, whose architecture and synaptic memory permits built-in vector-matrix multiplication and light-tunable responsivity. The proof-of-concept is demonstrated by simultaneous sensing and classification of biomarker microRNA fingerprints in real biological samples, which opens the possibilities for next-generation AI-driven electrochemical biosensing with edge computing ability.</w:t>
      </w:r>
    </w:p>
    <w:p>
      <w:pPr>
        <w:spacing w:before="120" w:after="120"/>
      </w:pPr>
      <w:r>
        <w:rPr>
          <w:sz w:val="18"/>
        </w:rPr>
        <w:t>——————————————————————————————————————————————————————————————————————</w:t>
      </w:r>
    </w:p>
    <w:p>
      <w:pPr>
        <w:spacing w:before="160" w:after="40" w:line="240" w:lineRule="auto"/>
      </w:pPr>
      <w:r>
        <w:rPr>
          <w:b/>
        </w:rPr>
        <w:t xml:space="preserve">[44] </w:t>
      </w:r>
      <w:hyperlink r:id="rId293">
        <w:r>
          <w:rPr>
            <w:color w:val="1155CC"/>
            <w:u w:val="single"/>
          </w:rPr>
          <w:t>增强运动会抓不住重点：科学能让体育更纯净</w:t>
        </w:r>
      </w:hyperlink>
    </w:p>
    <w:p>
      <w:pPr>
        <w:spacing w:before="0" w:after="80"/>
      </w:pPr>
      <w:r>
        <w:rPr>
          <w:i/>
          <w:sz w:val="20"/>
        </w:rPr>
        <w:t>EN: The Enhanced Games miss the point: science can clean up sport</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294">
        <w:r>
          <w:rPr>
            <w:color w:val="1155CC"/>
            <w:u w:val="single"/>
          </w:rPr>
          <w:t>10.1038/d41586-026-01574-w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295">
        <w:r>
          <w:rPr>
            <w:color w:val="1155CC"/>
            <w:u w:val="single"/>
          </w:rPr>
          <w:t>独家：埃博拉药物试验竞赛在当前疫情中启动</w:t>
        </w:r>
      </w:hyperlink>
    </w:p>
    <w:p>
      <w:pPr>
        <w:spacing w:before="0" w:after="80"/>
      </w:pPr>
      <w:r>
        <w:rPr>
          <w:i/>
          <w:sz w:val="20"/>
        </w:rPr>
        <w:t>EN: Exclusive: Race begins to trial Ebola drugs amid current outbreak</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296">
        <w:r>
          <w:rPr>
            <w:color w:val="1155CC"/>
            <w:u w:val="single"/>
          </w:rPr>
          <w:t>10.1038/d41586-026-01607-4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297">
        <w:r>
          <w:rPr>
            <w:color w:val="1155CC"/>
            <w:u w:val="single"/>
          </w:rPr>
          <w:t>“类固醇奥运会”能否向体育界展示如何更好地支持运动员？</w:t>
        </w:r>
      </w:hyperlink>
    </w:p>
    <w:p>
      <w:pPr>
        <w:spacing w:before="0" w:after="80"/>
      </w:pPr>
      <w:r>
        <w:rPr>
          <w:i/>
          <w:sz w:val="20"/>
        </w:rPr>
        <w:t>EN: Can the ‘steroid Olympics’ show the sporting community how to support athletes better?</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298">
        <w:r>
          <w:rPr>
            <w:color w:val="1155CC"/>
            <w:u w:val="single"/>
          </w:rPr>
          <w:t>10.1038/d41586-026-01552-2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299">
        <w:r>
          <w:rPr>
            <w:color w:val="1155CC"/>
            <w:u w:val="single"/>
          </w:rPr>
          <w:t>减贫与生物多样性保护之间的协同作用</w:t>
        </w:r>
      </w:hyperlink>
    </w:p>
    <w:p>
      <w:pPr>
        <w:spacing w:before="0" w:after="80"/>
      </w:pPr>
      <w:r>
        <w:rPr>
          <w:i/>
          <w:sz w:val="20"/>
        </w:rPr>
        <w:t>EN: Synergies between poverty reduction and biodiversity conservation</w:t>
      </w:r>
    </w:p>
    <w:p>
      <w:pPr>
        <w:spacing w:before="0" w:after="120"/>
      </w:pPr>
      <w:r>
        <w:rPr>
          <w:b/>
        </w:rPr>
        <w:t xml:space="preserve">Source: </w:t>
      </w:r>
      <w:r>
        <w:t>Nature Sustainability</w:t>
      </w:r>
      <w:r>
        <w:t xml:space="preserve">    </w:t>
      </w:r>
      <w:r>
        <w:rPr>
          <w:b/>
        </w:rPr>
        <w:t xml:space="preserve">Pub date: </w:t>
      </w:r>
      <w:r>
        <w:t>2026-05-18 00:00:00+00:00</w:t>
      </w:r>
      <w:r>
        <w:t xml:space="preserve">    </w:t>
      </w:r>
      <w:r>
        <w:rPr>
          <w:b/>
        </w:rPr>
        <w:t xml:space="preserve">DOI: </w:t>
      </w:r>
      <w:hyperlink r:id="rId300">
        <w:r>
          <w:rPr>
            <w:color w:val="1155CC"/>
            <w:u w:val="single"/>
          </w:rPr>
          <w:t>10.1038/s41893-026-01830-x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301">
        <w:r>
          <w:rPr>
            <w:color w:val="1155CC"/>
            <w:u w:val="single"/>
          </w:rPr>
          <w:t>澳大利亚政府的一项计划有望支持公正的能源转型</w:t>
        </w:r>
      </w:hyperlink>
    </w:p>
    <w:p>
      <w:pPr>
        <w:spacing w:before="0" w:after="80"/>
      </w:pPr>
      <w:r>
        <w:rPr>
          <w:i/>
          <w:sz w:val="20"/>
        </w:rPr>
        <w:t>EN: An Australian government scheme holds potential for supporting a just energy transition</w:t>
      </w:r>
    </w:p>
    <w:p>
      <w:pPr>
        <w:spacing w:before="0" w:after="120"/>
      </w:pPr>
      <w:r>
        <w:rPr>
          <w:b/>
        </w:rPr>
        <w:t xml:space="preserve">Source: </w:t>
      </w:r>
      <w:r>
        <w:t>Nature Energy</w:t>
      </w:r>
      <w:r>
        <w:t xml:space="preserve">    </w:t>
      </w:r>
      <w:r>
        <w:rPr>
          <w:b/>
        </w:rPr>
        <w:t xml:space="preserve">Pub date: </w:t>
      </w:r>
      <w:r>
        <w:t>2026-05-18 00:00:00+00:00</w:t>
      </w:r>
      <w:r>
        <w:t xml:space="preserve">    </w:t>
      </w:r>
      <w:r>
        <w:rPr>
          <w:b/>
        </w:rPr>
        <w:t xml:space="preserve">DOI: </w:t>
      </w:r>
      <w:hyperlink r:id="rId302">
        <w:r>
          <w:rPr>
            <w:color w:val="1155CC"/>
            <w:u w:val="single"/>
          </w:rPr>
          <w:t>10.1038/s41560-026-02075-w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303">
        <w:r>
          <w:rPr>
            <w:color w:val="1155CC"/>
            <w:u w:val="single"/>
          </w:rPr>
          <w:t>老挝巨型古老陶罐的秘密终于揭开</w:t>
        </w:r>
      </w:hyperlink>
    </w:p>
    <w:p>
      <w:pPr>
        <w:spacing w:before="0" w:after="80"/>
      </w:pPr>
      <w:r>
        <w:rPr>
          <w:i/>
          <w:sz w:val="20"/>
        </w:rPr>
        <w:t>EN: Secrets of giant ancient jar in Laos unpacked at last</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04">
        <w:r>
          <w:rPr>
            <w:color w:val="1155CC"/>
            <w:u w:val="single"/>
          </w:rPr>
          <w:t>10.1038/d41586-026-01592-8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 </w:t>
      </w:r>
      <w:hyperlink r:id="rId305">
        <w:r>
          <w:rPr>
            <w:color w:val="1155CC"/>
            <w:u w:val="single"/>
          </w:rPr>
          <w:t>鸟类被误解了：为什么我们应该敬仰我们的带羽毛的朋友</w:t>
        </w:r>
      </w:hyperlink>
    </w:p>
    <w:p>
      <w:pPr>
        <w:spacing w:before="0" w:after="80"/>
      </w:pPr>
      <w:r>
        <w:rPr>
          <w:i/>
          <w:sz w:val="20"/>
        </w:rPr>
        <w:t>EN: Birds get a bad rap: why we should look up to our feathered friends</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06">
        <w:r>
          <w:rPr>
            <w:color w:val="1155CC"/>
            <w:u w:val="single"/>
          </w:rPr>
          <w:t>10.1038/d41586-026-01555-z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 </w:t>
      </w:r>
      <w:hyperlink r:id="rId307">
        <w:r>
          <w:rPr>
            <w:color w:val="1155CC"/>
            <w:u w:val="single"/>
          </w:rPr>
          <w:t>出版商更正：微生物群诱导的T细胞可塑性促成免疫介导的肿瘤控制</w:t>
        </w:r>
      </w:hyperlink>
    </w:p>
    <w:p>
      <w:pPr>
        <w:spacing w:before="0" w:after="80"/>
      </w:pPr>
      <w:r>
        <w:rPr>
          <w:i/>
          <w:sz w:val="20"/>
        </w:rPr>
        <w:t>EN: Publisher Correction: Microbiota-induced T cell plasticity enables immune-mediated tumour control</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08">
        <w:r>
          <w:rPr>
            <w:color w:val="1155CC"/>
            <w:u w:val="single"/>
          </w:rPr>
          <w:t>10.1038/s41586-026-10649-7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 </w:t>
      </w:r>
      <w:hyperlink r:id="rId309">
        <w:r>
          <w:rPr>
            <w:color w:val="1155CC"/>
            <w:u w:val="single"/>
          </w:rPr>
          <w:t>你讨厌还是喜欢AI？参与《自然》杂志的投票</w:t>
        </w:r>
      </w:hyperlink>
    </w:p>
    <w:p>
      <w:pPr>
        <w:spacing w:before="0" w:after="80"/>
      </w:pPr>
      <w:r>
        <w:rPr>
          <w:i/>
          <w:sz w:val="20"/>
        </w:rPr>
        <w:t>EN: Do you hate or love AI? Take Nature's poll</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10">
        <w:r>
          <w:rPr>
            <w:color w:val="1155CC"/>
            <w:u w:val="single"/>
          </w:rPr>
          <w:t>10.1038/d41586-026-01563-z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311">
        <w:r>
          <w:rPr>
            <w:color w:val="1155CC"/>
            <w:u w:val="single"/>
          </w:rPr>
          <w:t>具有超宽动态范围的高性能钙钛矿忆阻器的形成与开关机制</w:t>
        </w:r>
      </w:hyperlink>
    </w:p>
    <w:p>
      <w:pPr>
        <w:spacing w:before="0" w:after="80"/>
      </w:pPr>
      <w:r>
        <w:rPr>
          <w:i/>
          <w:sz w:val="20"/>
        </w:rPr>
        <w:t>EN: Formation and switching mechanism in high-performance perovskite memristors with ultra-wide dynamic range</w:t>
      </w:r>
    </w:p>
    <w:p>
      <w:pPr>
        <w:spacing w:before="0" w:after="120"/>
      </w:pPr>
      <w:r>
        <w:rPr>
          <w:b/>
        </w:rPr>
        <w:t xml:space="preserve">Source: </w:t>
      </w:r>
      <w:r>
        <w:t>Joule</w:t>
      </w:r>
      <w:r>
        <w:t xml:space="preserve">    </w:t>
      </w:r>
      <w:r>
        <w:rPr>
          <w:b/>
        </w:rPr>
        <w:t xml:space="preserve">Pub date: </w:t>
      </w:r>
      <w:r>
        <w:t>2026-05-18 00:00:00+00:00</w:t>
      </w:r>
      <w:r>
        <w:t xml:space="preserve">    </w:t>
      </w:r>
      <w:r>
        <w:rPr>
          <w:b/>
        </w:rPr>
        <w:t xml:space="preserve">DOI: </w:t>
      </w:r>
      <w:hyperlink r:id="rId312">
        <w:r>
          <w:rPr>
            <w:color w:val="1155CC"/>
            <w:u w:val="single"/>
          </w:rPr>
          <w:t>10.1016/j.joule.2026.102473</w:t>
        </w:r>
      </w:hyperlink>
    </w:p>
    <w:p>
      <w:pPr>
        <w:spacing w:before="0" w:after="120"/>
      </w:pPr>
      <w:r>
        <w:rPr>
          <w:b/>
        </w:rPr>
        <w:t xml:space="preserve">Notes: </w:t>
      </w:r>
      <w:r>
        <w:t>abstract_source=rss_cell</w:t>
      </w:r>
    </w:p>
    <w:p>
      <w:pPr>
        <w:spacing w:before="0" w:after="80" w:lineRule="auto" w:line="276"/>
      </w:pPr>
      <w:r>
        <w:rPr>
          <w:b/>
        </w:rPr>
        <w:t xml:space="preserve">摘要（ZH）: </w:t>
      </w:r>
      <w:r>
        <w:t>所开发的钙钛矿忆阻器实现了出色的性能，使其适用于损耗最低的电开关。关键在于开关发生在初始操作过程中由结构变化形成的位点。一种新开发的光学图案化策略能够精确控制这些位点。</w:t>
      </w:r>
    </w:p>
    <w:p>
      <w:pPr>
        <w:spacing w:before="0" w:after="200" w:lineRule="auto" w:line="276"/>
      </w:pPr>
      <w:r>
        <w:rPr>
          <w:b/>
        </w:rPr>
        <w:t xml:space="preserve">Abstract (EN): </w:t>
      </w:r>
      <w:r>
        <w:t>The developed perovskite memristors achieve outstanding performance, making them suitable for electrical switches with lowest losses. The key is that the switching occurs at sites formed by structural changes during initial operation. A newly developed optical patterning strategy allows precise control of these sites.</w:t>
      </w:r>
    </w:p>
    <w:p>
      <w:pPr>
        <w:spacing w:before="120" w:after="120"/>
      </w:pPr>
      <w:r>
        <w:rPr>
          <w:sz w:val="18"/>
        </w:rPr>
        <w:t>——————————————————————————————————————————————————————————————————————</w:t>
      </w:r>
    </w:p>
    <w:p>
      <w:pPr>
        <w:spacing w:before="160" w:after="40" w:line="240" w:lineRule="auto"/>
      </w:pPr>
      <w:r>
        <w:rPr>
          <w:b/>
        </w:rPr>
        <w:t xml:space="preserve">[54] </w:t>
      </w:r>
      <w:hyperlink r:id="rId313">
        <w:r>
          <w:rPr>
            <w:color w:val="1155CC"/>
            <w:u w:val="single"/>
          </w:rPr>
          <w:t>迈向地球“护盾”的全球视野：SMILE任务与国际合作新范式</w:t>
        </w:r>
      </w:hyperlink>
    </w:p>
    <w:p>
      <w:pPr>
        <w:spacing w:before="0" w:after="80"/>
      </w:pPr>
      <w:r>
        <w:rPr>
          <w:i/>
          <w:sz w:val="20"/>
        </w:rPr>
        <w:t>EN: Towards a global vision of earth’s shield: the SMILE mission and a new paradigm of international collaboration</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314">
        <w:r>
          <w:rPr>
            <w:color w:val="1155CC"/>
            <w:u w:val="single"/>
          </w:rPr>
          <w:t>10.1093/nsr/nwag280</w:t>
        </w:r>
      </w:hyperlink>
    </w:p>
    <w:p>
      <w:pPr>
        <w:spacing w:before="0" w:after="120"/>
      </w:pPr>
      <w:r>
        <w:rPr>
          <w:b/>
        </w:rPr>
        <w:t xml:space="preserve">Notes: </w:t>
      </w:r>
      <w:r>
        <w:t>abstract_source=crossref</w:t>
      </w:r>
    </w:p>
    <w:p>
      <w:pPr>
        <w:spacing w:before="0" w:after="80" w:lineRule="auto" w:line="276"/>
      </w:pPr>
      <w:r>
        <w:rPr>
          <w:b/>
        </w:rPr>
        <w:t xml:space="preserve">摘要（ZH）: </w:t>
      </w:r>
      <w:r>
        <w:t>太阳风-磁层-电离层连接探测器（SMILE）任务，由中国科学院（CAS）与欧洲空间局（ESA）合作开展，计划于2026年5月19日发射。</w:t>
      </w:r>
    </w:p>
    <w:p>
      <w:pPr>
        <w:spacing w:before="0" w:after="200" w:lineRule="auto" w:line="276"/>
      </w:pPr>
      <w:r>
        <w:rPr>
          <w:b/>
        </w:rPr>
        <w:t xml:space="preserve">Abstract (EN): </w:t>
      </w:r>
      <w:r>
        <w:t>The Solar Wind Magnetosphere Ionosphere Link Explorer (SMILE) mission, a collaboration between the Chinese Academy of Sciences (CAS) and the European Space Agency (ESA), is scheduled for launch on 19 May 2026.</w:t>
      </w:r>
    </w:p>
    <w:p>
      <w:pPr>
        <w:spacing w:before="120" w:after="120"/>
      </w:pPr>
      <w:r>
        <w:rPr>
          <w:sz w:val="18"/>
        </w:rPr>
        <w:t>——————————————————————————————————————————————————————————————————————</w:t>
      </w:r>
    </w:p>
    <w:p>
      <w:pPr>
        <w:spacing w:before="160" w:after="40" w:line="240" w:lineRule="auto"/>
      </w:pPr>
      <w:r>
        <w:rPr>
          <w:b/>
        </w:rPr>
        <w:t xml:space="preserve">[55] </w:t>
      </w:r>
      <w:hyperlink r:id="rId315">
        <w:r>
          <w:rPr>
            <w:color w:val="1155CC"/>
            <w:u w:val="single"/>
          </w:rPr>
          <w:t>用于能源管理的数字孪生：连接虚拟智能与物理系统</w:t>
        </w:r>
      </w:hyperlink>
    </w:p>
    <w:p>
      <w:pPr>
        <w:spacing w:before="0" w:after="80"/>
      </w:pPr>
      <w:r>
        <w:rPr>
          <w:i/>
          <w:sz w:val="20"/>
        </w:rPr>
        <w:t>EN: Digital twins for energy management: bridging virtual intelligence and physical systems</w:t>
      </w:r>
    </w:p>
    <w:p>
      <w:pPr>
        <w:spacing w:before="0" w:after="120"/>
      </w:pPr>
      <w:r>
        <w:rPr>
          <w:b/>
        </w:rPr>
        <w:t xml:space="preserve">Source: </w:t>
      </w:r>
      <w:r>
        <w:t>ScienceDirect Publication: Applied Energy</w:t>
      </w:r>
      <w:r>
        <w:t xml:space="preserve">    </w:t>
      </w:r>
      <w:r>
        <w:rPr>
          <w:b/>
        </w:rPr>
        <w:t xml:space="preserve">Pub date: </w:t>
      </w:r>
      <w:r>
        <w:t>2026-05-18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316">
        <w:r>
          <w:rPr>
            <w:color w:val="1155CC"/>
            <w:u w:val="single"/>
          </w:rPr>
          <w:t>迈向高效安全电网-交通利用的储能：现状与未来方向</w:t>
        </w:r>
      </w:hyperlink>
    </w:p>
    <w:p>
      <w:pPr>
        <w:spacing w:before="0" w:after="80"/>
      </w:pPr>
      <w:r>
        <w:rPr>
          <w:i/>
          <w:sz w:val="20"/>
        </w:rPr>
        <w:t>EN: Energy storage toward high-efficient and safe grid-transportation utilization: State of the art and future directions</w:t>
      </w:r>
    </w:p>
    <w:p>
      <w:pPr>
        <w:spacing w:before="0" w:after="120"/>
      </w:pPr>
      <w:r>
        <w:rPr>
          <w:b/>
        </w:rPr>
        <w:t xml:space="preserve">Source: </w:t>
      </w:r>
      <w:r>
        <w:t>ScienceDirect Publication: Applied Energy</w:t>
      </w:r>
      <w:r>
        <w:t xml:space="preserve">    </w:t>
      </w:r>
      <w:r>
        <w:rPr>
          <w:b/>
        </w:rPr>
        <w:t xml:space="preserve">Pub date: </w:t>
      </w:r>
      <w:r>
        <w:t>2026-05-18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317">
        <w:r>
          <w:rPr>
            <w:color w:val="1155CC"/>
            <w:u w:val="single"/>
          </w:rPr>
          <w:t>用于聚集诱导光催化的超分子染料聚合物</w:t>
        </w:r>
      </w:hyperlink>
    </w:p>
    <w:p>
      <w:pPr>
        <w:spacing w:before="0" w:after="80"/>
      </w:pPr>
      <w:r>
        <w:rPr>
          <w:i/>
          <w:sz w:val="20"/>
        </w:rPr>
        <w:t>EN: Supramolecular dye polymers for aggregation-induced photocatalysis</w:t>
      </w:r>
    </w:p>
    <w:p>
      <w:pPr>
        <w:spacing w:before="0" w:after="120"/>
      </w:pPr>
      <w:r>
        <w:rPr>
          <w:b/>
        </w:rPr>
        <w:t xml:space="preserve">Source: </w:t>
      </w:r>
      <w:r>
        <w:t>Nature Chemistry</w:t>
      </w:r>
      <w:r>
        <w:t xml:space="preserve">    </w:t>
      </w:r>
      <w:r>
        <w:rPr>
          <w:b/>
        </w:rPr>
        <w:t xml:space="preserve">Pub date: </w:t>
      </w:r>
      <w:r>
        <w:t>2026-05-18 00:00:00+00:00</w:t>
      </w:r>
      <w:r>
        <w:t xml:space="preserve">    </w:t>
      </w:r>
      <w:r>
        <w:rPr>
          <w:b/>
        </w:rPr>
        <w:t xml:space="preserve">DOI: </w:t>
      </w:r>
      <w:hyperlink r:id="rId318">
        <w:r>
          <w:rPr>
            <w:color w:val="1155CC"/>
            <w:u w:val="single"/>
          </w:rPr>
          <w:t>10.1038/s41557-026-02151-4</w:t>
        </w:r>
      </w:hyperlink>
    </w:p>
    <w:p>
      <w:pPr>
        <w:spacing w:before="0" w:after="120"/>
      </w:pPr>
      <w:r>
        <w:rPr>
          <w:b/>
        </w:rPr>
        <w:t xml:space="preserve">Notes: </w:t>
      </w:r>
      <w:r>
        <w:t>abstract_source=nature_html</w:t>
      </w:r>
    </w:p>
    <w:p>
      <w:pPr>
        <w:spacing w:before="0" w:after="80" w:lineRule="auto" w:line="276"/>
      </w:pPr>
      <w:r>
        <w:rPr>
          <w:b/>
        </w:rPr>
        <w:t xml:space="preserve">摘要（ZH）: </w:t>
      </w:r>
      <w:r>
        <w:t>聚集可以深刻改变有机发色团的激发态性质；然而，晶态超分子聚合物常因其有利的电荷离域或激子传输而被用于光催化转化太阳能。在此，我们利用聚集作为有机发色团刚性化的一种策略，通过稳定局域激发态来激活光催化。使用两亲性二苯乙烯基蒽衍生物，我们表明在水中聚集增强了激发态的可用性，从而实现了太阳能向可储存燃料的光驱动转化。我们发现增强的反应性与局部激发态布居数的增加相关，这强调了自组装在限制分子内运动和抑制无效非辐射衰变中的作用。我们观察到光催化在动力学捕获的聚集体中达到最大化，其性能优于热力学对应物，这挑战了有利活性需要扩展组装体的传统范式。通过实现激发态限制和反应性而非电荷离域，这项工作报道了聚集诱导光催化作为一种在水中制备光稳定、发光和功能性有机光催化剂的策略。此图像的替代文本可能由AI生成。</w:t>
      </w:r>
    </w:p>
    <w:p>
      <w:pPr>
        <w:spacing w:before="0" w:after="200" w:lineRule="auto" w:line="276"/>
      </w:pPr>
      <w:r>
        <w:rPr>
          <w:b/>
        </w:rPr>
        <w:t xml:space="preserve">Abstract (EN): </w:t>
      </w:r>
      <w:r>
        <w:t>Aggregation can profoundly alter the excited-state properties of organic chromophores; however, crystalline supramolecular polymers are often targeted for photocatalytic conversion of solar energy due to favourable charge delocalization or exciton transport. Here we exploit aggregation as a strategy for organic chromophore rigidification to activate photocatalysis by stabilizing localized excited states. Using amphiphilic distyrylanthracene derivatives, we show that aggregation in water enhances the availability of excited states, enabling light-driven transformations of solar energy into storable fuels. We found enhanced reactivity to correlate with increased local excited-state population, underlining the role of self-assembly in restricting intramolecular motion and suppressing unproductive non-radiative decay. We observed photocatalysis to be maximized in kinetically trapped aggregates, outperforming their thermodynamic counterparts, to challenge conventional paradigm that favourable activities require extended assemblies. By achieving excited-state confinement and reactivity instead of charge delocalization, this work reports aggregation-induced photocatalysis as a strategy for preparing photostable, emissive and functional organic photocatalysts in water.The alternative text for this image may have been generated using AI.</w:t>
      </w:r>
    </w:p>
    <w:p>
      <w:pPr>
        <w:spacing w:before="120" w:after="120"/>
      </w:pPr>
      <w:r>
        <w:rPr>
          <w:sz w:val="18"/>
        </w:rPr>
        <w:t>——————————————————————————————————————————————————————————————————————</w:t>
      </w:r>
    </w:p>
    <w:p>
      <w:pPr>
        <w:spacing w:before="160" w:after="40" w:line="240" w:lineRule="auto"/>
      </w:pPr>
      <w:r>
        <w:rPr>
          <w:b/>
        </w:rPr>
        <w:t xml:space="preserve">[58] </w:t>
      </w:r>
      <w:hyperlink r:id="rId319">
        <w:r>
          <w:rPr>
            <w:color w:val="1155CC"/>
            <w:u w:val="single"/>
          </w:rPr>
          <w:t>设计育种：整合大数据以保障未来粮食安全</w:t>
        </w:r>
      </w:hyperlink>
    </w:p>
    <w:p>
      <w:pPr>
        <w:spacing w:before="0" w:after="80"/>
      </w:pPr>
      <w:r>
        <w:rPr>
          <w:i/>
          <w:sz w:val="20"/>
        </w:rPr>
        <w:t>EN: Crop breeding by design: integrating big data for future food security</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320">
        <w:r>
          <w:rPr>
            <w:color w:val="1155CC"/>
            <w:u w:val="single"/>
          </w:rPr>
          <w:t>10.1093/nsr/nwag288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321">
        <w:r>
          <w:rPr>
            <w:color w:val="1155CC"/>
            <w:u w:val="single"/>
          </w:rPr>
          <w:t>从电容性到电感性突触行为转变的观察</w:t>
        </w:r>
      </w:hyperlink>
    </w:p>
    <w:p>
      <w:pPr>
        <w:spacing w:before="0" w:after="80"/>
      </w:pPr>
      <w:r>
        <w:rPr>
          <w:i/>
          <w:sz w:val="20"/>
        </w:rPr>
        <w:t>EN: Observation of the transition from capacitive to inductive synapsis behaviour</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322">
        <w:r>
          <w:rPr>
            <w:color w:val="1155CC"/>
            <w:u w:val="single"/>
          </w:rPr>
          <w:t>10.1093/nsr/nwag278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323">
        <w:r>
          <w:rPr>
            <w:color w:val="1155CC"/>
            <w:u w:val="single"/>
          </w:rPr>
          <w:t>通过激光诱导自旋极化开关的非易失性相位可编程自旋电子太赫兹发射器</w:t>
        </w:r>
      </w:hyperlink>
    </w:p>
    <w:p>
      <w:pPr>
        <w:spacing w:before="0" w:after="80"/>
      </w:pPr>
      <w:r>
        <w:rPr>
          <w:i/>
          <w:sz w:val="20"/>
        </w:rPr>
        <w:t>EN: Nonvolatile phase-programmable spintronic terahertz emitter via laser-induced spin polarization switching</w:t>
      </w:r>
    </w:p>
    <w:p>
      <w:pPr>
        <w:spacing w:before="0" w:after="120"/>
      </w:pPr>
      <w:r>
        <w:rPr>
          <w:b/>
        </w:rPr>
        <w:t xml:space="preserve">Source: </w:t>
      </w:r>
      <w:r>
        <w:t>National Science Review Advance Access</w:t>
      </w:r>
      <w:r>
        <w:t xml:space="preserve">    </w:t>
      </w:r>
      <w:r>
        <w:rPr>
          <w:b/>
        </w:rPr>
        <w:t xml:space="preserve">Pub date: </w:t>
      </w:r>
      <w:r>
        <w:t>2026-05-18 00:00:00+00:00</w:t>
      </w:r>
      <w:r>
        <w:t xml:space="preserve">    </w:t>
      </w:r>
      <w:r>
        <w:rPr>
          <w:b/>
        </w:rPr>
        <w:t xml:space="preserve">DOI: </w:t>
      </w:r>
      <w:hyperlink r:id="rId324">
        <w:r>
          <w:rPr>
            <w:color w:val="1155CC"/>
            <w:u w:val="single"/>
          </w:rPr>
          <w:t>10.1093/nsr/nwag289</w:t>
        </w:r>
      </w:hyperlink>
    </w:p>
    <w:p>
      <w:pPr>
        <w:spacing w:before="0" w:after="120"/>
      </w:pPr>
      <w:r>
        <w:rPr>
          <w:b/>
        </w:rPr>
        <w:t xml:space="preserve">Notes: </w:t>
      </w:r>
      <w:r>
        <w:t>abstract_source=rss_oup</w:t>
      </w:r>
    </w:p>
    <w:p>
      <w:pPr>
        <w:spacing w:before="0" w:after="80" w:lineRule="auto" w:line="276"/>
      </w:pPr>
      <w:r>
        <w:rPr>
          <w:b/>
        </w:rPr>
        <w:t xml:space="preserve">摘要（ZH）: </w:t>
      </w:r>
      <w:r>
        <w:t>超快激光驱动的自旋电子太赫兹 (THz) 发射器是未来太赫兹技术有前景的构建模块，因为它们能够从纳米级厚度的金属异质结构中产生高效的超宽带太赫兹辐射，并支持各种功能性太赫兹器件。在此，我们通过在 IrMn₃/Co₂₀Fe₆₀B₂₀/W 异质结构中实现非易失性相位编码，进一步扩展了它们的功能。通过实施注量控制的飞秒激光激发，我们展示了由明确的 0.78 mJ/cm² 阈值控制的鲁棒太赫兹相位反转，这归因于交换偏置和磁各向异性操纵介导的自旋极化反转。时间分辨双泵浦实验表明，太赫兹相位切换是由超快激光诱导加热驱动的，并揭示了约 15 ps 的热门控窗口。我们进一步实现了两个非易失性太赫兹相位状态之间的可逆光学写入和磁复位，在 30 个循环中保持了超过 140% 的相位对比度。最后，我们展示了光学-太赫兹空间相位图案化，其信噪比为 53 dB，相位对比度为 160%。这项工作为写入-读取-复位太赫兹图案和信息编码铺平了道路，并推动了 STEs 与片上光子架构的集成。</w:t>
      </w:r>
    </w:p>
    <w:p>
      <w:pPr>
        <w:spacing w:before="0" w:after="200" w:lineRule="auto" w:line="276"/>
      </w:pPr>
      <w:r>
        <w:rPr>
          <w:b/>
        </w:rPr>
        <w:t xml:space="preserve">Abstract (EN): </w:t>
      </w:r>
      <w:r>
        <w:t>Ultrafast-laser-driven spintronic terahertz (THz) emitters are promising building blocks for future THz technologies, owing to their ability to generate efficient ultrabroadband THz radiation from nanometer-thick metallic heterostructures and to support a variety of functional THz devices. Here, we further extend their functionality by realizing nonvolatile phase encoding in an IrMn₃/Co₂₀Fe₆₀B₂₀/W heterostructure. By implementing fluence-controlled femtosecond laser excitation, we demonstrate robust THz phase reversal governed by a well-defined threshold of 0.78 mJ/cm², attributed to spin-polarization reversal mediated by exchange bias and magnetic anisotropy manipulation. Time-resolved double-pump experiments show that the THz phase switching is driven by ultrafast laser-induced heating and reveal a thermal gating window of about 15 ps. We further achieve reversible optical writing and magnetic reset between two nonvolatile THz phase states, maintaining a phase contrast above 140% over 30 cycles. Finally, we demonstrate optical-THz spatial phase patterning with a signal-to-noise ratio of 53 dB and a phase contrast of 160%. This work paves the way for write–read–reset THz pattern and information encoding, and advances the integration of STEs with on-chip photonic architectures.</w:t>
      </w:r>
    </w:p>
    <w:p>
      <w:pPr>
        <w:spacing w:before="120" w:after="120"/>
      </w:pPr>
      <w:r>
        <w:rPr>
          <w:sz w:val="18"/>
        </w:rPr>
        <w:t>——————————————————————————————————————————————————————————————————————</w:t>
      </w:r>
    </w:p>
    <w:p>
      <w:pPr>
        <w:spacing w:before="160" w:after="40" w:line="240" w:lineRule="auto"/>
      </w:pPr>
      <w:r>
        <w:rPr>
          <w:b/>
        </w:rPr>
        <w:t xml:space="preserve">[61] </w:t>
      </w:r>
      <w:hyperlink r:id="rId325">
        <w:r>
          <w:rPr>
            <w:color w:val="1155CC"/>
            <w:u w:val="single"/>
          </w:rPr>
          <w:t>献给讨厌会议社交的科学家的一步一步指南</w:t>
        </w:r>
      </w:hyperlink>
    </w:p>
    <w:p>
      <w:pPr>
        <w:spacing w:before="0" w:after="80"/>
      </w:pPr>
      <w:r>
        <w:rPr>
          <w:i/>
          <w:sz w:val="20"/>
        </w:rPr>
        <w:t>EN: A step-by-step guide for scientists who hate conference networking</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26">
        <w:r>
          <w:rPr>
            <w:color w:val="1155CC"/>
            <w:u w:val="single"/>
          </w:rPr>
          <w:t>10.1038/d41586-026-00525-9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327">
        <w:r>
          <w:rPr>
            <w:color w:val="1155CC"/>
            <w:u w:val="single"/>
          </w:rPr>
          <w:t>出版商更正：GLP-1R–GIPR–PPARα/γ/δ五重激动作用纠正小鼠肥胖和糖尿病</w:t>
        </w:r>
      </w:hyperlink>
    </w:p>
    <w:p>
      <w:pPr>
        <w:spacing w:before="0" w:after="80"/>
      </w:pPr>
      <w:r>
        <w:rPr>
          <w:i/>
          <w:sz w:val="20"/>
        </w:rPr>
        <w:t>EN: Publisher Correction: GLP-1R–GIPR–PPARα/γ/δ quintuple agonism corrects obesity and diabetes in mice</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28">
        <w:r>
          <w:rPr>
            <w:color w:val="1155CC"/>
            <w:u w:val="single"/>
          </w:rPr>
          <w:t>10.1038/s41586-026-10619-z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329">
        <w:r>
          <w:rPr>
            <w:color w:val="1155CC"/>
            <w:u w:val="single"/>
          </w:rPr>
          <w:t>印刷器件转向神经形态</w:t>
        </w:r>
      </w:hyperlink>
    </w:p>
    <w:p>
      <w:pPr>
        <w:spacing w:before="0" w:after="80"/>
      </w:pPr>
      <w:r>
        <w:rPr>
          <w:i/>
          <w:sz w:val="20"/>
        </w:rPr>
        <w:t>EN: Printed devices turn neuromorphic</w:t>
      </w:r>
    </w:p>
    <w:p>
      <w:pPr>
        <w:spacing w:before="0" w:after="120"/>
      </w:pPr>
      <w:r>
        <w:rPr>
          <w:b/>
        </w:rPr>
        <w:t xml:space="preserve">Source: </w:t>
      </w:r>
      <w:r>
        <w:t>Nature Nanotechnology</w:t>
      </w:r>
      <w:r>
        <w:t xml:space="preserve">    </w:t>
      </w:r>
      <w:r>
        <w:rPr>
          <w:b/>
        </w:rPr>
        <w:t xml:space="preserve">Pub date: </w:t>
      </w:r>
      <w:r>
        <w:t>2026-05-18 00:00:00+00:00</w:t>
      </w:r>
      <w:r>
        <w:t xml:space="preserve">    </w:t>
      </w:r>
      <w:r>
        <w:rPr>
          <w:b/>
        </w:rPr>
        <w:t xml:space="preserve">DOI: </w:t>
      </w:r>
      <w:hyperlink r:id="rId330">
        <w:r>
          <w:rPr>
            <w:color w:val="1155CC"/>
            <w:u w:val="single"/>
          </w:rPr>
          <w:t>10.1038/s41565-026-02186-1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331">
        <w:r>
          <w:rPr>
            <w:color w:val="1155CC"/>
            <w:u w:val="single"/>
          </w:rPr>
          <w:t>罪犯是后天形成的，而非天生的：你的生活方式如何塑造你是否会触犯法律</w:t>
        </w:r>
      </w:hyperlink>
    </w:p>
    <w:p>
      <w:pPr>
        <w:spacing w:before="0" w:after="80"/>
      </w:pPr>
      <w:r>
        <w:rPr>
          <w:i/>
          <w:sz w:val="20"/>
        </w:rPr>
        <w:t>EN: Criminals are made, not born: how when you live shapes whether you will break the law</w:t>
      </w:r>
    </w:p>
    <w:p>
      <w:pPr>
        <w:spacing w:before="0" w:after="120"/>
      </w:pPr>
      <w:r>
        <w:rPr>
          <w:b/>
        </w:rPr>
        <w:t xml:space="preserve">Source: </w:t>
      </w:r>
      <w:r>
        <w:t>Nature</w:t>
      </w:r>
      <w:r>
        <w:t xml:space="preserve">    </w:t>
      </w:r>
      <w:r>
        <w:rPr>
          <w:b/>
        </w:rPr>
        <w:t xml:space="preserve">Pub date: </w:t>
      </w:r>
      <w:r>
        <w:t>2026-05-18 00:00:00+00:00</w:t>
      </w:r>
      <w:r>
        <w:t xml:space="preserve">    </w:t>
      </w:r>
      <w:r>
        <w:rPr>
          <w:b/>
        </w:rPr>
        <w:t xml:space="preserve">DOI: </w:t>
      </w:r>
      <w:hyperlink r:id="rId332">
        <w:r>
          <w:rPr>
            <w:color w:val="1155CC"/>
            <w:u w:val="single"/>
          </w:rPr>
          <w:t>10.1038/d41586-026-01556-y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 </w:t>
      </w:r>
      <w:hyperlink r:id="rId333">
        <w:r>
          <w:rPr>
            <w:color w:val="1155CC"/>
            <w:u w:val="single"/>
          </w:rPr>
          <w:t>一种结晶的(氨基)(氯代)卡宾：卡宾中心亲核取代的平台</w:t>
        </w:r>
      </w:hyperlink>
    </w:p>
    <w:p>
      <w:pPr>
        <w:spacing w:before="0" w:after="80"/>
      </w:pPr>
      <w:r>
        <w:rPr>
          <w:i/>
          <w:sz w:val="20"/>
        </w:rPr>
        <w:t>EN: A Crystalline (Amino)(chloro)Carbene: A Platform for Nucleophilic Substitution at a Carbene Center</w:t>
      </w:r>
    </w:p>
    <w:p>
      <w:pPr>
        <w:spacing w:before="0" w:after="120"/>
      </w:pPr>
      <w:r>
        <w:rPr>
          <w:b/>
        </w:rPr>
        <w:t xml:space="preserve">Source: </w:t>
      </w:r>
      <w:r>
        <w:t>Wiley: Angewandte Chemie International Edition: Table of Contents</w:t>
      </w:r>
      <w:r>
        <w:t xml:space="preserve">    </w:t>
      </w:r>
      <w:r>
        <w:rPr>
          <w:b/>
        </w:rPr>
        <w:t xml:space="preserve">Pub date: </w:t>
      </w:r>
      <w:r>
        <w:t>2026-05-18 03:10:54+00:00</w:t>
      </w:r>
      <w:r>
        <w:t xml:space="preserve">    </w:t>
      </w:r>
      <w:r>
        <w:rPr>
          <w:b/>
        </w:rPr>
        <w:t xml:space="preserve">DOI: </w:t>
      </w:r>
      <w:hyperlink r:id="rId334">
        <w:r>
          <w:rPr>
            <w:color w:val="1155CC"/>
            <w:u w:val="single"/>
          </w:rPr>
          <w:t>10.1002/anie.5601060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代卡宾因其结合了经典的单线态卡宾反应性和易于取代的卤素基团，在近一个世纪以来引起了广泛关注。在此工作之前，尚未有卤代卡宾被分离出来，驯服其不稳定性仍然是一个合成挑战。本报告描述了室温稳定的(氨基)(氯代)卡宾的制备及其在卡宾中心取代化学的实例，从而开辟了合成多种非环状卡宾的途径。</w:t>
      </w:r>
    </w:p>
    <w:p>
      <w:pPr>
        <w:spacing w:before="0" w:after="200" w:lineRule="auto" w:line="276"/>
      </w:pPr>
      <w:r>
        <w:rPr>
          <w:b/>
        </w:rPr>
        <w:t xml:space="preserve">Abstract (EN): </w:t>
      </w:r>
      <w:r>
        <w:t>Halogenocarbenes have attracted significant interest for almost a century because they combine classical singlet carbene reactivity with the presence of a readily substituted halogen group. Before this work, no halogenocarbenes had been isolated and taming their instability remained a synthetic challenge. This report describes the preparation of room temperature stable (amino)(chloro)carbenes and examples of their substitution chemistry at the carbene center, unlocking access to a wide range of acyclic carbenes.</w:t>
      </w:r>
    </w:p>
    <w:p>
      <w:pPr>
        <w:spacing w:before="120" w:after="120"/>
      </w:pPr>
      <w:r>
        <w:rPr>
          <w:sz w:val="18"/>
        </w:rPr>
        <w:t>——————————————————————————————————————————————————————————————————————</w:t>
      </w:r>
    </w:p>
    <w:p>
      <w:pPr>
        <w:spacing w:before="160" w:after="40" w:line="240" w:lineRule="auto"/>
      </w:pPr>
      <w:r>
        <w:rPr>
          <w:b/>
        </w:rPr>
        <w:t xml:space="preserve">[66] </w:t>
      </w:r>
      <w:hyperlink r:id="rId335">
        <w:r>
          <w:rPr>
            <w:color w:val="1155CC"/>
            <w:u w:val="single"/>
          </w:rPr>
          <w:t>动态共价Se─Se键实现机械自适应硒晶体</w:t>
        </w:r>
      </w:hyperlink>
    </w:p>
    <w:p>
      <w:pPr>
        <w:spacing w:before="0" w:after="80"/>
      </w:pPr>
      <w:r>
        <w:rPr>
          <w:i/>
          <w:sz w:val="20"/>
        </w:rPr>
        <w:t>EN: Dynamic Covalent Se─Se Bonds Enable Mechanically Adaptive Selenium Crystals</w:t>
      </w:r>
    </w:p>
    <w:p>
      <w:pPr>
        <w:spacing w:before="0" w:after="120"/>
      </w:pPr>
      <w:r>
        <w:rPr>
          <w:b/>
        </w:rPr>
        <w:t xml:space="preserve">Source: </w:t>
      </w:r>
      <w:r>
        <w:t>Wiley: Angewandte Chemie International Edition: Table of Contents</w:t>
      </w:r>
      <w:r>
        <w:t xml:space="preserve">    </w:t>
      </w:r>
      <w:r>
        <w:rPr>
          <w:b/>
        </w:rPr>
        <w:t xml:space="preserve">Pub date: </w:t>
      </w:r>
      <w:r>
        <w:t>2026-05-18 03:11:23+00:00</w:t>
      </w:r>
      <w:r>
        <w:t xml:space="preserve">    </w:t>
      </w:r>
      <w:r>
        <w:rPr>
          <w:b/>
        </w:rPr>
        <w:t xml:space="preserve">DOI: </w:t>
      </w:r>
      <w:hyperlink r:id="rId336">
        <w:r>
          <w:rPr>
            <w:color w:val="1155CC"/>
            <w:u w:val="single"/>
          </w:rPr>
          <w:t>10.1002/anie.7355159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动态共价化学已使有机聚合物网络和分子晶体展现出适应性行为，然而，在无机晶体固体中实现类似的控制仍未得到充分探索。在此，我们展示了元素硒可以作为一种动态共价无机晶体，其结构和功能适应性源于三角硒骨架内的动态共价Se─Se键。外部机械（或光学）刺激驱动Se─Se键的断裂和重组，介导晶体骨架的结构重构。将硒嵌入交联聚合物基质中，创造了一个机械可编程环境，可在原位施加实时且持久的机械信号。在这种化学-机械耦合下，晶体分支频率和三维结构响应基质刚度和外部光照，这些直接转化为聚合物-硒复合材料中可调谐的介电行为。这项工作将动态共价化学从有机晶体材料扩展到无机晶体材料，并揭示了动态共价无机晶体作为一类新型适应性材料。</w:t>
      </w:r>
    </w:p>
    <w:p>
      <w:pPr>
        <w:spacing w:before="0" w:after="200" w:lineRule="auto" w:line="276"/>
      </w:pPr>
      <w:r>
        <w:rPr>
          <w:b/>
        </w:rPr>
        <w:t xml:space="preserve">Abstract (EN): </w:t>
      </w:r>
      <w:r>
        <w:t>Dynamic covalent chemistry has enabled adaptive behavior in organic polymer networks and molecular crystals, yet analogous control in inorganic crystalline solids remains largely unexplored. Here we show that elemental selenium can operate as a dynamic covalent inorganic crystal, whose architectural and functional adaptability arises from dynamic covalent Se─Se bonds within the trigonal selenium backbone. External mechanical (or optical) stimuli drive Se─Se bond cleavage and reformation, mediating structural reconfiguration of the crystalline framework. Embedding selenium in a crosslinked polymer matrix creates a mechanically programmable environment that exerts real‐time and persistent mechanical signals in situ. Under this chemo‑mechanical coupling, crystal branching frequency and three‐dimensional architecture respond to matrix stiffness and external light, and these translate directly into tunable dielectric behavior in polymer‐selenium composites. This work expands dynamic covalent chemistry from organic to inorganic crystalline materials, and reveals dynamic covalent inorganic crystals as a new class of adaptive materials.</w:t>
      </w:r>
    </w:p>
    <w:p>
      <w:pPr>
        <w:spacing w:before="120" w:after="120"/>
      </w:pPr>
      <w:r>
        <w:rPr>
          <w:sz w:val="18"/>
        </w:rPr>
        <w:t>——————————————————————————————————————————————————————————————————————</w:t>
      </w:r>
    </w:p>
    <w:p>
      <w:pPr>
        <w:spacing w:before="160" w:after="40" w:line="240" w:lineRule="auto"/>
      </w:pPr>
      <w:r>
        <w:rPr>
          <w:b/>
        </w:rPr>
        <w:t xml:space="preserve">[67] </w:t>
      </w:r>
      <w:hyperlink r:id="rId337">
        <w:r>
          <w:rPr>
            <w:color w:val="1155CC"/>
            <w:u w:val="single"/>
          </w:rPr>
          <w:t>磺酰亚胺叶立德的催化对映选择性多组分反应由形式重排实现——对映富集α‐硫烷基羰基化合物的通用途径</w:t>
        </w:r>
      </w:hyperlink>
    </w:p>
    <w:p>
      <w:pPr>
        <w:spacing w:before="0" w:after="80"/>
      </w:pPr>
      <w:r>
        <w:rPr>
          <w:i/>
          <w:sz w:val="20"/>
        </w:rPr>
        <w:t>EN: Catalytic Enantioselective Multicomponent Reactions of Sulfoxonium Ylides Enabled by a Formal Rearrangement—A Versatile Entry to Enantioenriched α‐Sulfanyl Carbonyl Compounds</w:t>
      </w:r>
    </w:p>
    <w:p>
      <w:pPr>
        <w:spacing w:before="0" w:after="120"/>
      </w:pPr>
      <w:r>
        <w:rPr>
          <w:b/>
        </w:rPr>
        <w:t xml:space="preserve">Source: </w:t>
      </w:r>
      <w:r>
        <w:t>Wiley: Angewandte Chemie International Edition: Table of Contents</w:t>
      </w:r>
      <w:r>
        <w:t xml:space="preserve">    </w:t>
      </w:r>
      <w:r>
        <w:rPr>
          <w:b/>
        </w:rPr>
        <w:t xml:space="preserve">Pub date: </w:t>
      </w:r>
      <w:r>
        <w:t>2026-05-18 03:14:03+00:00</w:t>
      </w:r>
      <w:r>
        <w:t xml:space="preserve">    </w:t>
      </w:r>
      <w:r>
        <w:rPr>
          <w:b/>
        </w:rPr>
        <w:t xml:space="preserve">DOI: </w:t>
      </w:r>
      <w:hyperlink r:id="rId338">
        <w:r>
          <w:rPr>
            <w:color w:val="1155CC"/>
            <w:u w:val="single"/>
          </w:rPr>
          <w:t>10.1002/anie.2074669</w:t>
        </w:r>
      </w:hyperlink>
    </w:p>
    <w:p>
      <w:pPr>
        <w:spacing w:before="0" w:after="120"/>
      </w:pPr>
      <w:r>
        <w:rPr>
          <w:b/>
        </w:rPr>
        <w:t xml:space="preserve">Notes: </w:t>
      </w:r>
      <w:r>
        <w:t>abstract_source=crossref</w:t>
      </w:r>
    </w:p>
    <w:p>
      <w:pPr>
        <w:spacing w:before="0" w:after="80" w:lineRule="auto" w:line="276"/>
      </w:pPr>
      <w:r>
        <w:rPr>
          <w:b/>
        </w:rPr>
        <w:t xml:space="preserve">摘要（ZH）: </w:t>
      </w:r>
      <w:r>
        <w:t>硫叶立德已成为多功能的类卡宾试剂，用于催化对映选择性 X–H 插入反应 (X = C, N, O, and S)，同时与传统的基于重氮的金属卡宾前体相比，具有更好的安全性。然而，迄今为止，利用硫叶立德实现有价值的多组分反应 (MCRs) 仍遥不可及。在此，我们报道了由手性磷酸催化的亚砜叶立德、醛和硫醇的对映选择性 MCR。与类卡宾反应性不同，该反应途径包含两个顺序但不重叠的催化循环，其中组分的组装之后是分子中心 C─C 键上的延迟立体决定重排。有机催化 MCR 产生 β‐羟基‐α‐硫烷基羰基产物，为单一的 anti‐非对映异构体，通常具有高产率和高对映选择性。这些产物无法通过其他催化方法轻易获得，并且是通过其羟基的立体特异性取代获得各种 α‐硫烷基羰基化合物的合成关键。</w:t>
      </w:r>
    </w:p>
    <w:p>
      <w:pPr>
        <w:spacing w:before="0" w:after="200" w:lineRule="auto" w:line="276"/>
      </w:pPr>
      <w:r>
        <w:rPr>
          <w:b/>
        </w:rPr>
        <w:t xml:space="preserve">Abstract (EN): </w:t>
      </w:r>
      <w:r>
        <w:t>Sulfur ylides have emerged as versatile carbenoids for catalytic enantioselective X–H insertion reactions (X = C, N, O, and S), while offering a better safety profile compared to traditional diazo‐based metal carbene precursors. However, the realization of valuable multicomponent reactions (MCRs) with sulfur ylides has been so far out of reach. Here, we report the enantioselective MCR of sulfoxonium ylides, aldehydes, and thiols catalyzed by a chiral phosphoric acid. Departing from carbenoid reactivity, the reaction pathway entails two sequential but nonoverlapping catalytic cycles, where the assembly of the components is followed by a delayed stereodetermining rearrangement across the central C─C bond of the molecule. The organocatalytic MCR delivers β‐hydroxy‐α‐sulfanyl carbonyl products as single anti‐diastereoisomers and generally in high yields and enantioselectivities. These products cannot be readily accessed by other catalytic means and are synthetic linchpins to a variety of α‐sulfanyl carbonyl compounds via stereospecific substitutions of their hydroxy group.</w:t>
      </w:r>
    </w:p>
    <w:p>
      <w:pPr>
        <w:spacing w:before="120" w:after="120"/>
      </w:pPr>
      <w:r>
        <w:rPr>
          <w:sz w:val="18"/>
        </w:rPr>
        <w:t>——————————————————————————————————————————————————————————————————————</w:t>
      </w:r>
    </w:p>
    <w:p>
      <w:pPr>
        <w:spacing w:before="160" w:after="40" w:line="240" w:lineRule="auto"/>
      </w:pPr>
      <w:r>
        <w:rPr>
          <w:b/>
        </w:rPr>
        <w:t xml:space="preserve">[68] </w:t>
      </w:r>
      <w:hyperlink r:id="rId339">
        <w:r>
          <w:rPr>
            <w:color w:val="1155CC"/>
            <w:u w:val="single"/>
          </w:rPr>
          <w:t>Herbert Walter Roesky (1935年11月6日–2025年12月5日)：一位立志学习化学的人</w:t>
        </w:r>
      </w:hyperlink>
    </w:p>
    <w:p>
      <w:pPr>
        <w:spacing w:before="0" w:after="80"/>
      </w:pPr>
      <w:r>
        <w:rPr>
          <w:i/>
          <w:sz w:val="20"/>
        </w:rPr>
        <w:t>EN: Herbert Walter Roesky (6.11.1935–5.12.2025): One Who Set Out to Learn Chemistry</w:t>
      </w:r>
    </w:p>
    <w:p>
      <w:pPr>
        <w:spacing w:before="0" w:after="120"/>
      </w:pPr>
      <w:r>
        <w:rPr>
          <w:b/>
        </w:rPr>
        <w:t xml:space="preserve">Source: </w:t>
      </w:r>
      <w:r>
        <w:t>Wiley: Angewandte Chemie International Edition: Table of Contents</w:t>
      </w:r>
      <w:r>
        <w:t xml:space="preserve">    </w:t>
      </w:r>
      <w:r>
        <w:rPr>
          <w:b/>
        </w:rPr>
        <w:t xml:space="preserve">Pub date: </w:t>
      </w:r>
      <w:r>
        <w:t>2026-05-18 03:16:07+00:00</w:t>
      </w:r>
      <w:r>
        <w:t xml:space="preserve">    </w:t>
      </w:r>
      <w:r>
        <w:rPr>
          <w:b/>
        </w:rPr>
        <w:t xml:space="preserve">DOI: </w:t>
      </w:r>
      <w:hyperlink r:id="rId340">
        <w:r>
          <w:rPr>
            <w:color w:val="1155CC"/>
            <w:u w:val="single"/>
          </w:rPr>
          <w:t>10.1002/anie.9062479</w:t>
        </w:r>
      </w:hyperlink>
    </w:p>
    <w:p>
      <w:pPr>
        <w:spacing w:before="0" w:after="120"/>
      </w:pPr>
      <w:r>
        <w:rPr>
          <w:b/>
        </w:rPr>
        <w:t xml:space="preserve">Notes: </w:t>
      </w:r>
      <w:r>
        <w:t>abstract_source=openalex</w:t>
      </w:r>
    </w:p>
    <w:p>
      <w:pPr>
        <w:spacing w:before="0" w:after="80" w:lineRule="auto" w:line="276"/>
      </w:pPr>
      <w:r>
        <w:rPr>
          <w:b/>
        </w:rPr>
        <w:t xml:space="preserve">摘要（ZH）: </w:t>
      </w:r>
      <w:r>
        <w:t>在初春阳光的温暖和深入的交谈中，我们很快发现自己身处一条通往一家美丽郊游餐厅的丘陵徒步小径上——这是一个享受狂欢式休憩的理想场所。阳光洒在我们面前桌上的两杯勃艮第白葡萄酒中，闪闪发光。我们愉快地放慢了脚步。“以前，我们爬山会更快。”我笑着补充道，“好吧，至少我们成功了。”当我们凝视着孚日山脉的壮丽景色时，我们的思绪也回到了过去；对于两个六十多岁的男人来说，这并不罕见。“我一直在想念赫伯特·罗斯基（Herbert Roesky）。他是我出色的老师和导师，一个不知疲倦、充满好奇心的人。他直到老年都保持着令人难以置信的健康，每天骑自行车或步行去哥廷根研究所。”我补充道，“是的，我们很想念他。而且我们再也读不到他的任何作品了。”然后，我大声笑着说，“没错，人们不禁想用他的风格问：罗斯基，你藏在哪里？(Wo stecken Sie?)”短暂的沉默后，“这正是他有一次在实验室日常巡视时，用他那 unmistakable、笔锋锐利的字迹写在我实验笔记本上的。我们称他为‘老人’，他总是渴望了解实验室里的新事物，喜欢进行早晨的巡视。他充满了无限的好奇心。”“让我们为他干杯，纪念他。”“既然我们不知道他现在在哪里，告诉我，你知道他来自哪里吗？”关于他的青年时代知之甚少。他于1935年11月6日出生在东普鲁士的劳基什肯（Laukischken）（今萨兰斯科耶，K以东的Saranskoje）。</w:t>
      </w:r>
    </w:p>
    <w:p>
      <w:pPr>
        <w:spacing w:before="0" w:after="200" w:lineRule="auto" w:line="276"/>
      </w:pPr>
      <w:r>
        <w:rPr>
          <w:b/>
        </w:rPr>
        <w:t xml:space="preserve">Abstract (EN): </w:t>
      </w:r>
      <w:r>
        <w:t>Warmed by the first spring sunshine and deep in conversation, we soon found ourselves on a hilly hiking trail that led to a beautiful excursion restaurant—an ideal spot to treat ourselves to a bacchanalian break. The sun's rays sparkled in two glasses of white burgundy wine standing before us on the table. We were delightfully slowed down. ‘In the old days, we would have got up the mountain faster.’ I added with a laugh, ‘Well, come on, at least we made it.’ As we gazed at the spectacular view of the Vosges, our eyes also drifted back in time; nothing unusual for two men in their mid-sixties. “I keep thinking of Herbert Roesky. He was my wonderful teacher and mentor, a tirelessly curious man. He remained incredibly fit well into old age and came to the Göttingen institute every day, either by bicycle or on foot”. I added, ‘Yes, he is missed. And that we no longer read anything by him.’ Then, laughing out loud, ‘True, one is tempted to ask in his style: Roesky, where are you hiding? (Wo stecken Sie?)’ And after a brief silence, ‘That's exactly what he once wrote to me in his unmistakable, razor-sharp handwriting during one of his daily rounds through the lab, in my laboratory notebook. The “Old Man”, as we called him, was always eager to learn what was new in the laboratory and loved doing his morning rounds. He was boundlessly curious.’ ‘Let's drink to his memory.’ ‘Since we don't really know where he is now, tell me, do you know where he came from?’ Not much is known about his youth. He was born on 6 November 1935 in Laukischken in East Prussia (today Saranskoje, east of Kaliningrad in Russia). One can only vaguely imagine the hardships and deprivations the Roesky family endured as they fled more than 1000 kilometres west to Seesen amid the turmoil of the second world war. It was certainly a formative time for Herbert Roesky. His father, Otto Roesky, and his wife Lina ran a dairy in Laukischken and, after fleeing, worked in a dairy in the Harz region. There Herbert attended school and passed his high school exam in 1956. He then began an apprenticeship as a dairy specialist, which probably quickly exhausted his curiosity. He subsequently enrolled at the Georg-August University in Göttingen, where he completed his doctorate in 1963 in the group of Oskar Glemser with a thesis on the attempted synthesis of CrF6. The results were published in Angewandte Chemie in 1963—by the way, the first of nearly 200 papers he published in this journal during his more than 60 year publishing career. He was extraordinarily creative and productive, publishing over 1250 papers that have been cited more than 41 000 times. His curiosity, manual dexterity and determination quickly put him on the fast track to discovering new chemical territories. As a postdoctoral researcher in the group of Earl Muetterties at DuPont Central Research Department, his own scientific journey rapidly gained momentum. There he began to work intensively on the molecular chemistry of sulphur–phosphorus compounds—two of his favourite elements, as he liked to emphasise. The syntheses had to be carried out on a larger scale, because Herbert Roesky liked to say with a smile that a compound on the milligram scale does not really exist. He then returned to Göttingen and completed his habilitation in 1967 with a thesis on substituted phosphates. Amusing stories circulated about the Herbert Roesky of that time. Legendary, for example, were the battles fought at night in the institute with fire extinguishers in his small research group. Hard to imagine when one later met the gentlemanly Roesky. ‘You know, he did celebrate, but he was thoroughly disciplined. The days started early, especially when he was meticulously preparing his large experimental lecture, which often attracted up to 1 000 listeners’. From this, a special passion developed, and Herbert Roesky toured Europe with specially made equipment to present chemical experiments and witty quotations related to them. The lectures became legendary and enthralled both expert audiences and laypeople alike. Many of the experiments found their way into the fascinating book ‘Chemische Kabinettstücke’ (‘Chemical Showpieces’), which he published together with Klaus Möckel. Not least because of their popularity, his didactically brilliant books were honoured with a literature prize from the Fonds der Chemischen Industrie. But back to what happened in the laboratory: ‘I can tell you, we experimented like there was no tomorrow. From Frankfurt, where he taught and researched from 1971 alongside Hans Bock at the Institute of Inorganic Chemistry, he brought with him in 1980—when he returned as full professor to his beloved alma mater, the Georg August University of Göttingen—the chemistry of cyclic sulphur–nitrogen compounds. Not entirely harmless—because S4N4 became one of his household reagents.’ By chance, one of his doctoral students discovered the first conjugated metal–nitrogen–sulfur compound (in milligram quantities) while subliming an otherwise completely useless black-brown residue (a ‘Schlunz,’ as Herbert Roesky liked to call it). ‘Sublime it’ was a piece of advice often heard from him when a substance stubbornly refused to dissolve. A cornucopia of results emerged, unusual classes of substances were discovered, and the research group quickly grew. Every Friday afternoon the laboratory was tidied, reaction vessels cleaned, and new experiments set up. In this way, completely unexpected results were often achieved, which caused new research topics to spring up like mushrooms. This was also the birthplace of sensational substance classes such as the metallaphosphazenes or crystalline coordination polymers. The taming of aluminium and titanium fluorides, which had previously stubbornly resisted crystallisation, was also achieved. Among them were compounds that are now used as additives to increase the efficiency of catalysts in polymerisation chemistry. The congenial collaboration between the Roesky group and the grand master of crystallography in Göttingen, George Sheldrick, revealed many structural details of the inorganic compounds from Roesky's kitchen. Herbert Roesky was a wonderful and very popular host; he promoted and enjoyed a wide-ranging exchange with visiting professors and international students. His tireless activities and conceptual curiosity, which encompassed almost the entire periodic table, stopped at practically no chemical element. He was also happy to be inspired by published work from other groups and expanded the chemical space through more elegant synthetic procedures with higher yields. Reproducibility of results and resource conservation were important to him: if the yield was too meagre, he had the experimental protocols checked by his doctoral students, which led to new synthetic procedures and made substances available in much larger quantities. His work was admired worldwide and honoured with numerous prizes and honorary doctorates, including the Gottfried Wilhelm Leibniz Prize, the Alfred Stock Memorial Prize and the Wilkinson Prize. He was especially fond of his honorary memberships in France and India. Also noteworthy are the Wacker Silicone Award (2018) and the Frederic Stanley Kipping Award of the American Chemical Society (2024), awarded 14 and 20 years, respectively, after his retirement. Even long after he became emeritus, the molecular chemistry of Herbert Roesky continued to produce textbook knowledge. Low-valent aluminium and silicon compounds were particularly close to his heart. With chemical breakthroughs such as the synthesis of isolable chlorosilylenes—for example, an N-heterocyclic carbene complex of dichlorosilylene and chloroamidinatosilylenes—he threw the door wide open to new functional groups in main-group chemistry. With the synthesis of the first isolable aluminylene, which contains a two-coordinate Al(I) atom in the coordination sphere of a β-diketiminato ligand, he also provided the scientific community with a versatile new synthetic building block whose reactivity continues to cause a sensation to this day. In addition to his research, he also found time for his alma mater; from 2002 to 2008 he was President of the Academy of Sciences in Göttingen. Whatever else, Herbert Roesky remained a down-to-earth, modest man. He loved simple food. Nothing beat warm, fresh yeast pastry and a good white wine. “He would certainly have liked to sit here with us, and over wine and pastries we would have given birth to a new research idea.” For Herbert Roesky, actions spoke louder than words. He was not a man of grand speeches. Wherever he could, he supported young talents in an unselfish way. Everyone who came to him was given a chance. When, towards the end of his career—which lasted almost until his last day—public funding dried up, he did not hesitate to finance his research from his own pocket. This achievement of Herbert Roesky cannot be praised enough, for it sprang from the deeply felt conviction that science is a passionate vocation, far more than just a profession. “Speaking of passion and empathy: did you know that he initiated a fundraising campaign for a military hospital in Lviv in Ukraine at the Berlin-Brandenburg Academy of Sciences and donated generously himself? A real doer. And he endowed a prize in honour of his wife Christel—the ‘Christel and Herbert Roesky Prize’, which is awarded every two years by the German Chemical Society for outstanding achievements in molecular main-group chemistry.” Herbert Roesky has left a lasting mark on a large scientific community. We look out over the spring landscape and remain silent for a while. ‘Gratitude helps,’ I say, ‘to overcome melancholy. Even if we don't know exactly where he is now, a piece of his creative power lives on in every member of his large scientific family.’ We refill our glasses and raise them to his memory in deep gratitude and connection: ‘Cheers, Herbert!’ Hansjörg Grützmacher (ETH Zürich and Sun Yat Sen University) and Matthias Driess (Technical University of Berlin) The English translations have been performed with the help of GROK.</w:t>
      </w:r>
    </w:p>
    <w:p>
      <w:pPr>
        <w:spacing w:before="120" w:after="120"/>
      </w:pPr>
      <w:r>
        <w:rPr>
          <w:sz w:val="18"/>
        </w:rPr>
        <w:t>——————————————————————————————————————————————————————————————————————</w:t>
      </w:r>
    </w:p>
    <w:p>
      <w:pPr>
        <w:spacing w:before="160" w:after="40" w:line="240" w:lineRule="auto"/>
      </w:pPr>
      <w:r>
        <w:rPr>
          <w:b/>
        </w:rPr>
        <w:t xml:space="preserve">[69] </w:t>
      </w:r>
      <w:hyperlink r:id="rId341">
        <w:r>
          <w:rPr>
            <w:color w:val="1155CC"/>
            <w:u w:val="single"/>
          </w:rPr>
          <w:t>通过多染料级联敏化实现NIR‐II镧系纳米粒子的多波段激发</w:t>
        </w:r>
      </w:hyperlink>
    </w:p>
    <w:p>
      <w:pPr>
        <w:spacing w:before="0" w:after="80"/>
      </w:pPr>
      <w:r>
        <w:rPr>
          <w:i/>
          <w:sz w:val="20"/>
        </w:rPr>
        <w:t>EN: Multi‐Band Excitation of NIR‐II Lanthanide Nanoparticles via Multiple‐Dye Cascade Sensitization</w:t>
      </w:r>
    </w:p>
    <w:p>
      <w:pPr>
        <w:spacing w:before="0" w:after="120"/>
      </w:pPr>
      <w:r>
        <w:rPr>
          <w:b/>
        </w:rPr>
        <w:t xml:space="preserve">Source: </w:t>
      </w:r>
      <w:r>
        <w:t>Wiley: Angewandte Chemie International Edition: Table of Contents</w:t>
      </w:r>
      <w:r>
        <w:t xml:space="preserve">    </w:t>
      </w:r>
      <w:r>
        <w:rPr>
          <w:b/>
        </w:rPr>
        <w:t xml:space="preserve">Pub date: </w:t>
      </w:r>
      <w:r>
        <w:t>2026-05-18 03:17:05+00:00</w:t>
      </w:r>
      <w:r>
        <w:t xml:space="preserve">    </w:t>
      </w:r>
      <w:r>
        <w:rPr>
          <w:b/>
        </w:rPr>
        <w:t xml:space="preserve">DOI: </w:t>
      </w:r>
      <w:hyperlink r:id="rId342">
        <w:r>
          <w:rPr>
            <w:color w:val="1155CC"/>
            <w:u w:val="single"/>
          </w:rPr>
          <w:t>10.1002/anie.2349085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近红外二区（NIR‐II）窗口发光的镧系掺杂下转换纳米粒子（DSNPs）为深层组织光学应用提供了独特的优势，但其实用性受限于少数离散波长的激发。在此，我们报告了一种通过多染料敏化策略实现的多波段驱动镧系纳米粒子平台。通过整合三种互补的有机染料——托酚酮（Trop）、花青3（Cy3）和IR806——DSNPs的激发窗口扩大了六倍，覆盖了从270 nm到1030 nm的紫外-可见-近红外（UV–Vis–NIR）区域。虽然Trop和IR806表现出高效敏化，但IR806进一步充当能量转移桥，实现了高效的级联能量转移，并显著增强了Cy3敏化的NIR‐II发射（效率从约6%提高到70%）。这种模块化策略提供了从1060 nm到1525 nm可调谐的NIR‐II发射，为先进光学应用的激发和发射波长选择提供了前所未有的灵活性。</w:t>
      </w:r>
    </w:p>
    <w:p>
      <w:pPr>
        <w:spacing w:before="0" w:after="200" w:lineRule="auto" w:line="276"/>
      </w:pPr>
      <w:r>
        <w:rPr>
          <w:b/>
        </w:rPr>
        <w:t xml:space="preserve">Abstract (EN): </w:t>
      </w:r>
      <w:r>
        <w:t>Lanthanide‐doped downshifting nanoparticles (DSNPs) emitting in the near‐infrared‐II (NIR‐II) window offer distinct advantages for deep‐tissue optical applications, yet their practical utility is fundamentally constrained by excitation limited to a few discrete wavelengths. Here, we report a multi‐band‐driven lanthanide nanoparticle platform enabled by a multiple‐dye sensitization strategy. By integrating three complementary organic dyes—tropolone (Trop), cyanine 3 (Cy3), and IR806—the excitation window of DSNPs is expanded sixfold, across the ultraviolet–visible–near‐infrared (UV–Vis–NIR) region from 270 nm to 1030 nm. While Trop and IR806 exhibit efficient sensitization, IR806 further acts as an energy‐transfer bridge, enabling efficient cascaded energy transfer and markedly enhanced NIR‐II emission for the Cy3 sensitization (efficiency increased from ∼6% to 70%). This modular strategy affords tunable NIR‐II emission from 1060 nm to 1525 nm, providing unprecedented flexibility in excitation and emission wavelength selection for advanced optical applications.</w:t>
      </w:r>
    </w:p>
    <w:p>
      <w:pPr>
        <w:spacing w:before="120" w:after="120"/>
      </w:pPr>
      <w:r>
        <w:rPr>
          <w:sz w:val="18"/>
        </w:rPr>
        <w:t>——————————————————————————————————————————————————————————————————————</w:t>
      </w:r>
    </w:p>
    <w:p>
      <w:pPr>
        <w:spacing w:before="160" w:after="40" w:line="240" w:lineRule="auto"/>
      </w:pPr>
      <w:r>
        <w:rPr>
          <w:b/>
        </w:rPr>
        <w:t xml:space="preserve">[70] </w:t>
      </w:r>
      <w:hyperlink r:id="rId343">
        <w:r>
          <w:rPr>
            <w:color w:val="1155CC"/>
            <w:u w:val="single"/>
          </w:rPr>
          <w:t>调控晶格应变实现共价有机框架的不可逆单晶到单晶转变</w:t>
        </w:r>
      </w:hyperlink>
    </w:p>
    <w:p>
      <w:pPr>
        <w:spacing w:before="0" w:after="80"/>
      </w:pPr>
      <w:r>
        <w:rPr>
          <w:i/>
          <w:sz w:val="20"/>
        </w:rPr>
        <w:t>EN: Managing Lattice Strain Enables Irreversible Single‐Crystal‐to‐Single‐Crystal Transformation of Covalent Organic Frameworks</w:t>
      </w:r>
    </w:p>
    <w:p>
      <w:pPr>
        <w:spacing w:before="0" w:after="120"/>
      </w:pPr>
      <w:r>
        <w:rPr>
          <w:b/>
        </w:rPr>
        <w:t xml:space="preserve">Source: </w:t>
      </w:r>
      <w:r>
        <w:t>Wiley: Angewandte Chemie International Edition: Table of Contents</w:t>
      </w:r>
      <w:r>
        <w:t xml:space="preserve">    </w:t>
      </w:r>
      <w:r>
        <w:rPr>
          <w:b/>
        </w:rPr>
        <w:t xml:space="preserve">Pub date: </w:t>
      </w:r>
      <w:r>
        <w:t>2026-05-18 03:18:00+00:00</w:t>
      </w:r>
      <w:r>
        <w:t xml:space="preserve">    </w:t>
      </w:r>
      <w:r>
        <w:rPr>
          <w:b/>
        </w:rPr>
        <w:t xml:space="preserve">DOI: </w:t>
      </w:r>
      <w:hyperlink r:id="rId344">
        <w:r>
          <w:rPr>
            <w:color w:val="1155CC"/>
            <w:u w:val="single"/>
          </w:rPr>
          <w:t>10.1002/anie.5240216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s）通常依赖可逆共价化学来实现结晶性，而不可逆和刚性连接通常是实现增强的坚固性和扩展的π共轭所必需的。单晶到单晶（SCSC）转变提供了一种有前景的途径来获得此类框架；然而，不可逆的键重构会施加永久性机械应变，这通常会破坏晶格有序性。在此，我们展示了硫辅助的亚胺连接COFs的SCSC转变，将其转化为具有实验解析原子结构的刚性苯并噻唑连接框架。时间分辨结构分析揭示了两种独特的应力适应途径——协同晶格适应和应力驱动的瞬态畴重构，它们在实现不可逆键融合的同时保留了长程晶体学有序性。所得的单晶噻唑连接COFs表现出增强的化学稳定性、刚性化的孔结构和改进的光电性能。这项研究建立了一个在不可逆共价转变过程中管理晶格应变的机制框架，并为构建结构坚固的结晶聚合物提供了通用设计原则。</w:t>
      </w:r>
    </w:p>
    <w:p>
      <w:pPr>
        <w:spacing w:before="0" w:after="200" w:lineRule="auto" w:line="276"/>
      </w:pPr>
      <w:r>
        <w:rPr>
          <w:b/>
        </w:rPr>
        <w:t xml:space="preserve">Abstract (EN): </w:t>
      </w:r>
      <w:r>
        <w:t>Covalent organic frameworks (COFs) typically rely on reversible covalent chemistry to achieve crystallinity, whereas irreversible and rigid linkages are generally required to achieve enhanced robustness and extended π‐conjugation. Single‐crystal‐to‐single‐crystal (SCSC) transformation offers a promising route to access such frameworks; however, irreversible bond reconfiguration imposes permanent mechanical strain that often disrupts lattice order. Here, we demonstrate sulfur‐assisted SCSC transformation of imine‐linked COFs into rigid benzothiazole‐linked frameworks with experimentally resolved atomic structures. Time‐resolved structural analyses uncover two distinct stress‐accommodation pathways‐cooperative lattice adaptation and stress‐driven transient domain reconstruction that enable irreversible bond fusion while preserving long‐range crystallographic order. The resulting single‐crystalline thiazole‐linked COFs exhibit enhanced chemical stability, rigidified pore architectures, and improved optoelectronic performance. This study establishes a mechanistic framework for managing lattice strain during irreversible covalent transformation and provides a general design principle for constructing structurally robust crystalline polymers.</w:t>
      </w:r>
    </w:p>
    <w:p>
      <w:pPr>
        <w:spacing w:before="120" w:after="120"/>
      </w:pPr>
      <w:r>
        <w:rPr>
          <w:sz w:val="18"/>
        </w:rPr>
        <w:t>——————————————————————————————————————————————————————————————————————</w:t>
      </w:r>
    </w:p>
    <w:p>
      <w:pPr>
        <w:spacing w:before="160" w:after="40" w:line="240" w:lineRule="auto"/>
      </w:pPr>
      <w:r>
        <w:rPr>
          <w:b/>
        </w:rPr>
        <w:t xml:space="preserve">[71] </w:t>
      </w:r>
      <w:hyperlink r:id="rId345">
        <w:r>
          <w:rPr>
            <w:color w:val="1155CC"/>
            <w:u w:val="single"/>
          </w:rPr>
          <w:t>具有声学活化催化活性的压电纳米酶重塑脂质代谢用于双管齐下的铁死亡疗法</w:t>
        </w:r>
      </w:hyperlink>
    </w:p>
    <w:p>
      <w:pPr>
        <w:spacing w:before="0" w:after="80"/>
      </w:pPr>
      <w:r>
        <w:rPr>
          <w:i/>
          <w:sz w:val="20"/>
        </w:rPr>
        <w:t>EN: Piezoelectric Nanozymes With Acoustically Rejuvenated Catalytic Activities Rewire Lipid Metabolism for Two‐Pronged Ferroptotic Therapy</w:t>
      </w:r>
    </w:p>
    <w:p>
      <w:pPr>
        <w:spacing w:before="0" w:after="120"/>
      </w:pPr>
      <w:r>
        <w:rPr>
          <w:b/>
        </w:rPr>
        <w:t xml:space="preserve">Source: </w:t>
      </w:r>
      <w:r>
        <w:t>Wiley: Angewandte Chemie International Edition: Table of Contents</w:t>
      </w:r>
      <w:r>
        <w:t xml:space="preserve">    </w:t>
      </w:r>
      <w:r>
        <w:rPr>
          <w:b/>
        </w:rPr>
        <w:t xml:space="preserve">Pub date: </w:t>
      </w:r>
      <w:r>
        <w:t>2026-05-18 03:19:46+00:00</w:t>
      </w:r>
      <w:r>
        <w:t xml:space="preserve">    </w:t>
      </w:r>
      <w:r>
        <w:rPr>
          <w:b/>
        </w:rPr>
        <w:t xml:space="preserve">DOI: </w:t>
      </w:r>
      <w:hyperlink r:id="rId346">
        <w:r>
          <w:rPr>
            <w:color w:val="1155CC"/>
            <w:u w:val="single"/>
          </w:rPr>
          <w:t>10.1002/anie.6613248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酶活性的时空激活仍然是纳米催化疗法中最大限度减少脱靶效应的主要障碍。同时，脂质代谢驱动的铁死亡抵抗损害了基于活性氧的癌症治疗的疗效。在此，我们设计了一种超薄、有缺陷的CuFe基压电纳米酶（SPzyme），它集成了声学激活的酶催化效应和脂质代谢重编程能力，用于精确诱导铁死亡。值得注意的是，所产生的氧/金属空位赋予SPzyme纳米片（厚度约3.6 nm）增强的压电性和独特的静止基础酶催化活性，这与其无缺陷的对应物相比。在超声（US）刺激下，SPzyme表现出显著恢复的过氧化物酶和谷胱甘肽过氧化物酶样活性。理论计算表明，平面缺陷和应变诱导的极化通过声子-电子耦合效应降低了催化ROS生产的能垒。此外，在负载磷脂酶抑制剂后，所得的SPzyme-D通过富集多不饱和磷脂和抑制磷脂解毒，有效重塑细胞脂质代谢，从而使肝细胞癌细胞对铁死亡敏感。体内评估证实，SPzyme-D在US照射下实现了86.2%的肿瘤抑制率，且全身毒性可忽略不计。我们的研究为设计具有时空控制压电催化活性的生物相容性压电纳米酶建立了范例。</w:t>
      </w:r>
    </w:p>
    <w:p>
      <w:pPr>
        <w:spacing w:before="0" w:after="200" w:lineRule="auto" w:line="276"/>
      </w:pPr>
      <w:r>
        <w:rPr>
          <w:b/>
        </w:rPr>
        <w:t xml:space="preserve">Abstract (EN): </w:t>
      </w:r>
      <w:r>
        <w:t>Spatiotemporal activation of nanozyme activity remains a major hurdle for minimizing off‐target effects in nanocatalytic therapy. Concurrently, lipid metabolism‐driven ferroptosis resistance impairs the efficacy of reactive oxygen species‐based cancer treatments. Herein, we design an ultrathin, defective CuFe‐based piezoelectric nanozyme (SPzyme) that integrates acoustically activated enzymocatalytic effects and lipid metabolic rewiring ability for the precise induction of ferroptotic induction. Notably, the generated oxygen/metal vacancies endow SPzyme nanosheets (∼3.6 nm thick) with enhanced piezoelectricity and distinctively quiescent basal enzymocatalytic activity compared to their defect‐free counterparts. Upon ultrasound (US) stimulation, SPzymes exhibit markedly rejuvenated peroxidase‐ and glutathione peroxidase‐like activities. Theoretical calculations demonstrate that planar defects and strain‐induced polarization lower the energy barriers for catalytic ROS production via phonon‐electron coupling effects. Furthermore, after the loading of a phospholipase inhibitor, the obtained SPzyme‐D effectively remodels cellular lipid metabolism by enriching polyunsaturated phospholipids and inhibiting phospholipid detoxification, thereby sensitizing hepatocellular carcinoma cells to ferroptosis. In vivo evaluations corroborate that SPzyme‐D upon US irradiation achieves 86.2% tumor inhibition with negligible systemic toxicity. Our study establishes a paradigm for designing biocompatible piezoelectric nanozymes with spatiotemporally controlled piezocatalytic/enzymocatalytic activities for precise and two‐pronged ferroptotic therapy.</w:t>
      </w:r>
    </w:p>
    <w:p>
      <w:pPr>
        <w:spacing w:before="120" w:after="120"/>
      </w:pPr>
      <w:r>
        <w:rPr>
          <w:sz w:val="18"/>
        </w:rPr>
        <w:t>——————————————————————————————————————————————————————————————————————</w:t>
      </w:r>
    </w:p>
    <w:p>
      <w:pPr>
        <w:spacing w:before="160" w:after="40" w:line="240" w:lineRule="auto"/>
      </w:pPr>
      <w:r>
        <w:rPr>
          <w:b/>
        </w:rPr>
        <w:t xml:space="preserve">[72] </w:t>
      </w:r>
      <w:hyperlink r:id="rId347">
        <w:r>
          <w:rPr>
            <w:color w:val="1155CC"/>
            <w:u w:val="single"/>
          </w:rPr>
          <w:t>利用DNA折纸对配体进行纳米空间工程以精确调控膜受体信号传导</w:t>
        </w:r>
      </w:hyperlink>
    </w:p>
    <w:p>
      <w:pPr>
        <w:spacing w:before="0" w:after="80"/>
      </w:pPr>
      <w:r>
        <w:rPr>
          <w:i/>
          <w:sz w:val="20"/>
        </w:rPr>
        <w:t>EN: Nanoscale Spatial Engineering of Ligands Using DNA Origami for Precise Modulation of Membrane Receptor Signaling</w:t>
      </w:r>
    </w:p>
    <w:p>
      <w:pPr>
        <w:spacing w:before="0" w:after="120"/>
      </w:pPr>
      <w:r>
        <w:rPr>
          <w:b/>
        </w:rPr>
        <w:t xml:space="preserve">Source: </w:t>
      </w:r>
      <w:r>
        <w:t>Wiley: Angewandte Chemie International Edition: Table of Contents</w:t>
      </w:r>
      <w:r>
        <w:t xml:space="preserve">    </w:t>
      </w:r>
      <w:r>
        <w:rPr>
          <w:b/>
        </w:rPr>
        <w:t xml:space="preserve">Pub date: </w:t>
      </w:r>
      <w:r>
        <w:t>2026-05-18 03:20:21+00:00</w:t>
      </w:r>
      <w:r>
        <w:t xml:space="preserve">    </w:t>
      </w:r>
      <w:r>
        <w:rPr>
          <w:b/>
        </w:rPr>
        <w:t xml:space="preserve">DOI: </w:t>
      </w:r>
      <w:hyperlink r:id="rId348">
        <w:r>
          <w:rPr>
            <w:color w:val="1155CC"/>
            <w:u w:val="single"/>
          </w:rPr>
          <w:t>10.1002/anie.2621334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表面膜受体的二聚化或多聚化对于跨质膜传递细胞外识别事件、触发细胞内信号级联以及调节广泛的细胞功能至关重要。配体通常通过与受体结合，促进其聚集以及随后的二聚化或多聚化，从而作为这些过程的诱导剂。配体的精确空间排列对于最大限度地减少细胞膜上受体的随机碰撞和非定向迁移至关重要，从而增强信号保真度。DNA折纸术，一种高度通用的自组装技术，已成为生成各种DNA纳米结构的强大工具。其卓越的可编程性和空间寻址能力使得在纳米尺度上对配体空间排列进行精细调控成为可能，从而促进了表面膜受体信号的精确调节，并实现了用户定义的生物学研究。在这篇综述中，我们探讨了通过DNA折纸术设计配体空间排列的方法，强调了其在控制配体距离、价态、空间构型和化学计量方面的独特优势。我们还介绍了DNA折纸术在调节膜受体信号方面的当前应用，同时讨论了在实现用于生物学和治疗目的的配体精确纳米尺度空间排列方面的关键挑战和未来方向。</w:t>
      </w:r>
    </w:p>
    <w:p>
      <w:pPr>
        <w:spacing w:before="0" w:after="200" w:lineRule="auto" w:line="276"/>
      </w:pPr>
      <w:r>
        <w:rPr>
          <w:b/>
        </w:rPr>
        <w:t xml:space="preserve">Abstract (EN): </w:t>
      </w:r>
      <w:r>
        <w:t>Dimerization or multimerization of surface membrane receptors is essential for transmitting extracellular recognition events across the plasma membrane, triggering intracellular signaling cascades, and regulating a wide range of cellular functions. Ligands typically act as inducers for these processes by binding to receptors, promoting their aggregation and subsequent dimerization or multimerization. The precise spatial arrangement of ligands is crucial for minimizing random collisions and non‐directed migration of receptors on the cell membrane, thereby enhancing signaling fidelity. DNA origami, a highly versatile self‐assembly technique, has emerged as a powerful tool for generating a wide variety of DNA nanostructures. Its exceptional programmability and spatial addressability enable fine‐tuned control over ligand spatial arrangement at the nanoscale, facilitating the precise modulation of surface membrane receptor signaling and enabling user‐defined biological investigations. In this review, we explore the methods used to engineer the spatial arrangement of ligands through DNA origami, highlighting its unique advantages in controlling ligand distance, valence, spatial configuration, and stoichiometry. We also present current applications of DNA origami for modulating membrane receptor signaling, while addressing the key challenges and future directions in achieving precise nanoscale spatial arrangements of ligands for biological and therapeutic purposes.</w:t>
      </w:r>
    </w:p>
    <w:p>
      <w:pPr>
        <w:spacing w:before="120" w:after="120"/>
      </w:pPr>
      <w:r>
        <w:rPr>
          <w:sz w:val="18"/>
        </w:rPr>
        <w:t>——————————————————————————————————————————————————————————————————————</w:t>
      </w:r>
    </w:p>
    <w:p>
      <w:pPr>
        <w:spacing w:before="160" w:after="40" w:line="240" w:lineRule="auto"/>
      </w:pPr>
      <w:r>
        <w:rPr>
          <w:b/>
        </w:rPr>
        <w:t xml:space="preserve">[73] </w:t>
      </w:r>
      <w:hyperlink r:id="rId349">
        <w:r>
          <w:rPr>
            <w:color w:val="1155CC"/>
            <w:u w:val="single"/>
          </w:rPr>
          <w:t>具有不对称π裂缝的手性笼通过协同阳离子-π和阴离子-π相互作用实现催化对映收敛SN1转化</w:t>
        </w:r>
      </w:hyperlink>
    </w:p>
    <w:p>
      <w:pPr>
        <w:spacing w:before="0" w:after="80"/>
      </w:pPr>
      <w:r>
        <w:rPr>
          <w:i/>
          <w:sz w:val="20"/>
        </w:rPr>
        <w:t>EN: Chiral Cages With Asymmetric π‐Clefts Enable Catalytic Enantioconvergent SN1 Transformation via Synergistic Cation–π and Anion–π Interactions</w:t>
      </w:r>
    </w:p>
    <w:p>
      <w:pPr>
        <w:spacing w:before="0" w:after="120"/>
      </w:pPr>
      <w:r>
        <w:rPr>
          <w:b/>
        </w:rPr>
        <w:t xml:space="preserve">Source: </w:t>
      </w:r>
      <w:r>
        <w:t>Wiley: Angewandte Chemie International Edition: Table of Contents</w:t>
      </w:r>
      <w:r>
        <w:t xml:space="preserve">    </w:t>
      </w:r>
      <w:r>
        <w:rPr>
          <w:b/>
        </w:rPr>
        <w:t xml:space="preserve">Pub date: </w:t>
      </w:r>
      <w:r>
        <w:t>2026-05-18 03:22:26+00:00</w:t>
      </w:r>
      <w:r>
        <w:t xml:space="preserve">    </w:t>
      </w:r>
      <w:r>
        <w:rPr>
          <w:b/>
        </w:rPr>
        <w:t xml:space="preserve">DOI: </w:t>
      </w:r>
      <w:hyperlink r:id="rId350">
        <w:r>
          <w:rPr>
            <w:color w:val="1155CC"/>
            <w:u w:val="single"/>
          </w:rPr>
          <w:t>10.1002/anie.9631464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理解和利用非共价相互作用对于推进化学转化和催化至关重要。尽管阳离子-π和阴离子-π相互作用都引起了越来越多的关注，但将其作为主导设计元素的有意利用仍然难以实现。在此，我们提出了一种离子-π催化策略，该策略利用两种π相互作用作为关键驱动力来引导具有挑战性的立体选择性碳正离子转化，从而实现催化对映汇聚S</w:t>
      </w:r>
      <w:r>
        <w:t xml:space="preserve"> </w:t>
      </w:r>
      <w:r>
        <w:t>N</w:t>
      </w:r>
      <w:r>
        <w:t xml:space="preserve"> </w:t>
      </w:r>
      <w:r>
        <w:t>1反应。通过直接的一锅法合成，我们高效构建了一系列仅由芳香族单元组成的手性笼，其特征是富电子不对称π裂缝和缺电子π外表面。这种全π系统利用强阳离子-π相互作用在其手性V形裂缝内捕获并稳定碳正离子中间体，同时通过其外表面的阴离子-π相互作用与反阴离子结合。这种协同π网络驱动了高度对映汇聚的S</w:t>
      </w:r>
      <w:r>
        <w:t xml:space="preserve"> </w:t>
      </w:r>
      <w:r>
        <w:t>N</w:t>
      </w:r>
      <w:r>
        <w:t xml:space="preserve"> </w:t>
      </w:r>
      <w:r>
        <w:t>1过程，实现了炔丙基乙酸酯的不对称烯丙基化，形成拥挤的季立体中心。该系统对细微的电子和空间变化表现出显著敏感性，类似于酶的行为。这项工作提供了一种利用非共价π相互作用来解决具有挑战性转化的战略性方法。</w:t>
      </w:r>
    </w:p>
    <w:p>
      <w:pPr>
        <w:spacing w:before="0" w:after="200" w:lineRule="auto" w:line="276"/>
      </w:pPr>
      <w:r>
        <w:rPr>
          <w:b/>
        </w:rPr>
        <w:t xml:space="preserve">Abstract (EN): </w:t>
      </w:r>
      <w:r>
        <w:t>Understanding and exploiting noncovalent interactions are essential for advancing chemical transformations and catalysis. While both cation–π and anion–π interactions have attracted growing attention, their deliberate use as a dominant design element remains elusive. Here, we present an ion–π catalysis strategy employing both π interactions as the key driving force to steer challenging stereoselective carbocation transformation, enabling catalytic enantioconvergent S</w:t>
      </w:r>
      <w:r>
        <w:t xml:space="preserve"> </w:t>
      </w:r>
      <w:r>
        <w:t>N</w:t>
      </w:r>
      <w:r>
        <w:t xml:space="preserve"> </w:t>
      </w:r>
      <w:r>
        <w:t>1 reactions. Through straightforward one‐pot synthesis, we efficiently constructed a series of chiral cages composed solely of aromatic units, featuring electron‐rich asymmetric π clefts and electron‐deficient π exterior surfaces. This all‐π system leverages strong cation–π interactions to trap and stabilize carbocation intermediates within its chiral V‐cleft, while simultaneously engaging the counteranion via anion–π interactions on its exterior surface. This synergistic π network drives a highly enantioconvergent S</w:t>
      </w:r>
      <w:r>
        <w:t xml:space="preserve"> </w:t>
      </w:r>
      <w:r>
        <w:t>N</w:t>
      </w:r>
      <w:r>
        <w:t xml:space="preserve"> </w:t>
      </w:r>
      <w:r>
        <w:t>1 process, enabling asymmetric allylation of propargyl acetates to form congested quaternary stereocenters. This system shows considerable sensitivity to subtle electronic and steric changes, resembling enzymatic behavior. This work provides a strategic approach for harnessing noncovalent π interactions to address challenging transformations.</w:t>
      </w:r>
    </w:p>
    <w:p>
      <w:pPr>
        <w:spacing w:before="120" w:after="120"/>
      </w:pPr>
      <w:r>
        <w:rPr>
          <w:sz w:val="18"/>
        </w:rPr>
        <w:t>——————————————————————————————————————————————————————————————————————</w:t>
      </w:r>
    </w:p>
    <w:p>
      <w:pPr>
        <w:spacing w:before="160" w:after="40" w:line="240" w:lineRule="auto"/>
      </w:pPr>
      <w:r>
        <w:rPr>
          <w:b/>
        </w:rPr>
        <w:t xml:space="preserve">[74] </w:t>
      </w:r>
      <w:hyperlink r:id="rId351">
        <w:r>
          <w:rPr>
            <w:color w:val="1155CC"/>
            <w:u w:val="single"/>
          </w:rPr>
          <w:t>有机电化学晶体管的生物相容性界面实现生物粘附和过度膨胀抑制</w:t>
        </w:r>
      </w:hyperlink>
    </w:p>
    <w:p>
      <w:pPr>
        <w:spacing w:before="0" w:after="80"/>
      </w:pPr>
      <w:r>
        <w:rPr>
          <w:i/>
          <w:sz w:val="20"/>
        </w:rPr>
        <w:t>EN: Biocompatible Interface for Organic Electrochemical Transistors Enables Bioadhesion and Over‐Swelling Suppression</w:t>
      </w:r>
    </w:p>
    <w:p>
      <w:pPr>
        <w:spacing w:before="0" w:after="120"/>
      </w:pPr>
      <w:r>
        <w:rPr>
          <w:b/>
        </w:rPr>
        <w:t xml:space="preserve">Source: </w:t>
      </w:r>
      <w:r>
        <w:t>Wiley: Angewandte Chemie International Edition: Table of Contents</w:t>
      </w:r>
      <w:r>
        <w:t xml:space="preserve">    </w:t>
      </w:r>
      <w:r>
        <w:rPr>
          <w:b/>
        </w:rPr>
        <w:t xml:space="preserve">Pub date: </w:t>
      </w:r>
      <w:r>
        <w:t>2026-05-18 03:23:46+00:00</w:t>
      </w:r>
      <w:r>
        <w:t xml:space="preserve">    </w:t>
      </w:r>
      <w:r>
        <w:rPr>
          <w:b/>
        </w:rPr>
        <w:t xml:space="preserve">DOI: </w:t>
      </w:r>
      <w:hyperlink r:id="rId352">
        <w:r>
          <w:rPr>
            <w:color w:val="1155CC"/>
            <w:u w:val="single"/>
          </w:rPr>
          <w:t>10.1002/anie.9977686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生物电子界面需要器件不仅在机械上与生物组织对齐，而且能有效粘附于湿表面并长时间保持电化学稳定性。然而，有机电化学晶体管 (OECTs) 中的糖基化共轭聚合物 (g‐CP) 通道面临机械不兼容和溶胀引起的降解等挑战。我们提出了一种多功能界面设计，采用保形水凝胶涂层，将各种p型和n型g‐CPs转化为能够与组织协调并保持粘附的生物电子界面。这种创新涂层确保了器件与生物组织之间的无缝交互，同时减轻了通道溶胀。因此，涂覆的OECTs的品质因数</w:t>
      </w:r>
      <w:r>
        <w:t xml:space="preserve"> </w:t>
      </w:r>
      <w:r>
        <w:t>µ</w:t>
      </w:r>
      <w:r>
        <w:t xml:space="preserve"> </w:t>
      </w:r>
      <w:r>
        <w:t>C*大约是未涂覆OECTs的两倍，并在1800次操作循环中表现出增强的稳定性。当用于柔性互补电路时，这些涂覆的OECTs提供了210 V V</w:t>
      </w:r>
      <w:r>
        <w:t xml:space="preserve"> </w:t>
      </w:r>
      <w:r>
        <w:t>−1</w:t>
      </w:r>
      <w:r>
        <w:t xml:space="preserve"> </w:t>
      </w:r>
      <w:r>
        <w:t>的显著电压增益，并消耗了20 nW的极低功耗。通过体内皮层电图记录验证，该平台实现了28 dB的信噪比——显著超越传统电极——突显了其在高保真神经接口方面的潜力。这项研究通过精心设计的界面工程，巧妙地将软水凝胶的力学特性与有机电子的卓越性能相结合。</w:t>
      </w:r>
    </w:p>
    <w:p>
      <w:pPr>
        <w:spacing w:before="0" w:after="200" w:lineRule="auto" w:line="276"/>
      </w:pPr>
      <w:r>
        <w:rPr>
          <w:b/>
        </w:rPr>
        <w:t xml:space="preserve">Abstract (EN): </w:t>
      </w:r>
      <w:r>
        <w:t>Bioelectronic interfaces necessitate devices that not only align mechanically with biological tissues but also adhere effectively to wet surfaces and maintain electrochemical stability over extended periods. However, glycolated conjugated polymer (g‐CP) channels in organic electrochemical transistors (OECTs) face challenges due to mechanical incompatibility and swelling‐induced degradation. We propose a versatile interfacial design employing a conformal hydrogel coating that transforms various p‐type and n‐type g‐CPs into bioelectronic interfaces that can harmonize with tissue and maintain adhesion. This innovative coating ensures seamless interaction between the device and biological tissues, while concurrently mitigating channel swelling. As a result, the coated OECTs exhibit a figure‐of‐merit</w:t>
      </w:r>
      <w:r>
        <w:t xml:space="preserve"> </w:t>
      </w:r>
      <w:r>
        <w:t>µ</w:t>
      </w:r>
      <w:r>
        <w:t xml:space="preserve"> </w:t>
      </w:r>
      <w:r>
        <w:t>C* roughly double that of uncoated OECTs and show enhanced stability over 1800 operational cycles. When utilized within a flexible, complementary circuit, these coated OECTs deliver a substantial voltage gain of 210 V V</w:t>
      </w:r>
      <w:r>
        <w:t xml:space="preserve"> </w:t>
      </w:r>
      <w:r>
        <w:t>−1</w:t>
      </w:r>
      <w:r>
        <w:t xml:space="preserve"> </w:t>
      </w:r>
      <w:r>
        <w:t>and consume an exceptionally low power of 20 nW. Validated through in vivo electrocorticographic recordings, the platform achieves a signal‐to‐noise ratio of 28 dB—significantly surpassing that of conventional electrodes—highlighting its potential for high‐fidelity neural interfacing. This study elegantly combines the mechanics of soft hydrogels with the superior performance of organic electronics through deliberate interface engineering, providing a comprehensive strategy for cutting‐edge biointegration.</w:t>
      </w:r>
    </w:p>
    <w:p>
      <w:pPr>
        <w:spacing w:before="120" w:after="120"/>
      </w:pPr>
      <w:r>
        <w:rPr>
          <w:sz w:val="18"/>
        </w:rPr>
        <w:t>——————————————————————————————————————————————————————————————————————</w:t>
      </w:r>
    </w:p>
    <w:p>
      <w:pPr>
        <w:spacing w:before="160" w:after="40" w:line="240" w:lineRule="auto"/>
      </w:pPr>
      <w:r>
        <w:rPr>
          <w:b/>
        </w:rPr>
        <w:t xml:space="preserve">[75] </w:t>
      </w:r>
      <w:hyperlink r:id="rId353">
        <w:r>
          <w:rPr>
            <w:color w:val="1155CC"/>
            <w:u w:val="single"/>
          </w:rPr>
          <w:t>N掺杂碳上协同Ni-Fe对和Ni簇实现炔醇的节能电催化半加氢</w:t>
        </w:r>
      </w:hyperlink>
    </w:p>
    <w:p>
      <w:pPr>
        <w:spacing w:before="0" w:after="80"/>
      </w:pPr>
      <w:r>
        <w:rPr>
          <w:i/>
          <w:sz w:val="20"/>
        </w:rPr>
        <w:t>EN: Energy‐Efficient Electrocatalytic Semi‐Hydrogenation of Alkynols by Synergistic Ni‐Fe Pairs and Ni Clusters on N‐Doped Carbon</w:t>
      </w:r>
    </w:p>
    <w:p>
      <w:pPr>
        <w:spacing w:before="0" w:after="120"/>
      </w:pPr>
      <w:r>
        <w:rPr>
          <w:b/>
        </w:rPr>
        <w:t xml:space="preserve">Source: </w:t>
      </w:r>
      <w:r>
        <w:t>Wiley: Angewandte Chemie International Edition: Table of Contents</w:t>
      </w:r>
      <w:r>
        <w:t xml:space="preserve">    </w:t>
      </w:r>
      <w:r>
        <w:rPr>
          <w:b/>
        </w:rPr>
        <w:t xml:space="preserve">Pub date: </w:t>
      </w:r>
      <w:r>
        <w:t>2026-05-18 03:26:45+00:00</w:t>
      </w:r>
      <w:r>
        <w:t xml:space="preserve">    </w:t>
      </w:r>
      <w:r>
        <w:rPr>
          <w:b/>
        </w:rPr>
        <w:t xml:space="preserve">DOI: </w:t>
      </w:r>
      <w:hyperlink r:id="rId354">
        <w:r>
          <w:rPr>
            <w:color w:val="1155CC"/>
            <w:u w:val="single"/>
          </w:rPr>
          <w:t>10.1002/anie.2624816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以水为氢源的炔烃电催化半加氢 (ECSH) 有望为升级传统加氢工艺提供革命性解决方案。需要巧妙设计电催化剂以打破活性、选择性和法拉第效率 (FE) 之间的权衡。在此，通过两步退火法构建了一种非贵金属催化体系，该体系包含N掺杂碳上明确定义的Ni-Fe原子对和Ni簇，用于炔醇的高效能ECSH。具有协同Ni-Fe对和Ni簇的优化催化剂有效抑制了析氢反应 (HER) 竞争和C═C过加氢，并同时在超低外加电位 (−0.125 V vs. RHE) 下实现了三个关键目标：接近100%的转化率、100%的选择性和高达98%的FE (持续2小时)。联合实验和理论计算表明，相邻的Ni-Fe对对邻近的Ni簇进行电子调控，由此产生的协同作用使两个位点具有互补功能：Ni-Fe对加速H</w:t>
      </w:r>
      <w:r>
        <w:rPr>
          <w:vertAlign w:val="subscript"/>
        </w:rPr>
        <w:t>2</w:t>
      </w:r>
      <w:r>
        <w:t>O解离，而Ni簇调节炔醇/烯醇吸附以实现选择性半加氢。这种低成本催化剂优异的稳定性、广泛的底物普适性、超高TOF和低能耗使其区别于FE较差的贵金属基体系，为设计高效多晶型组分催化剂提供了有前景的策略。</w:t>
      </w:r>
    </w:p>
    <w:p>
      <w:pPr>
        <w:spacing w:before="0" w:after="200" w:lineRule="auto" w:line="276"/>
      </w:pPr>
      <w:r>
        <w:rPr>
          <w:b/>
        </w:rPr>
        <w:t xml:space="preserve">Abstract (EN): </w:t>
      </w:r>
      <w:r>
        <w:t>Electrocatalytic semi‐hydrogenation (ECSH) of alkynes using water as a hydrogen source is expected to provide a revolutionary solution for upgrading the traditional hydrogenation process. An ingenious design of the electrocatalyst is required to break the tradeoff between activity, selectivity, and Faradaic efficiency (FE). Herein, a non‐noble metal catalytic system, containing well‐defined Ni‐Fe atom pairs and Ni clusters on N‐doped carbon, is constructed by a two‐step annealing method for energy‐efficient ECSH of alkynols. The optimized catalyst with collaborative Ni‐Fe pairs and Ni clusters effectively suppresses hydrogen evolution reaction (HER) competition and C═C over‐hydrogenation, and simultaneously accomplishes three critical objectives at ultra‐low applied potential (−0.125 V vs. RHE): nearly 100% conversion, 100% selectivity, and high FE of up to 98% (for 2 h). Joint experiments and theoretical calculations demonstrate that adjacent Ni‐Fe pairs electronically tune the neighboring Ni clusters, and the resulting synergy enables complementary functions of the two sites: Ni‐Fe pairs accelerate H</w:t>
      </w:r>
      <w:r>
        <w:rPr>
          <w:vertAlign w:val="subscript"/>
        </w:rPr>
        <w:t>2</w:t>
      </w:r>
      <w:r>
        <w:t>O dissociation, whereas Ni clusters regulate alkynol/alkenol adsorption for selective semi‐hydrogenation. The excellent stability, wide substrate universality, ultrahigh TOF, and low energy consumption of this low‐cost catalyst distinguish it from noble‐metal‐based systems with poor FE, offering a promising strategy for designing efficient polymorphic component catalysts.</w:t>
      </w:r>
    </w:p>
    <w:p>
      <w:pPr>
        <w:spacing w:before="120" w:after="120"/>
      </w:pPr>
      <w:r>
        <w:rPr>
          <w:sz w:val="18"/>
        </w:rPr>
        <w:t>——————————————————————————————————————————————————————————————————————</w:t>
      </w:r>
    </w:p>
    <w:p>
      <w:pPr>
        <w:spacing w:before="160" w:after="40" w:line="240" w:lineRule="auto"/>
      </w:pPr>
      <w:r>
        <w:rPr>
          <w:b/>
        </w:rPr>
        <w:t xml:space="preserve">[76] </w:t>
      </w:r>
      <w:hyperlink r:id="rId355">
        <w:r>
          <w:rPr>
            <w:color w:val="1155CC"/>
            <w:u w:val="single"/>
          </w:rPr>
          <w:t>有机插层实现可控单原子配位用于高效H2O2电合成</w:t>
        </w:r>
      </w:hyperlink>
    </w:p>
    <w:p>
      <w:pPr>
        <w:spacing w:before="0" w:after="80"/>
      </w:pPr>
      <w:r>
        <w:rPr>
          <w:i/>
          <w:sz w:val="20"/>
        </w:rPr>
        <w:t>EN: Organic Intercalation Enables Controllable Single‐Atom Coordination for Efficient H2O2 Electrosynthesis</w:t>
      </w:r>
    </w:p>
    <w:p>
      <w:pPr>
        <w:spacing w:before="0" w:after="120"/>
      </w:pPr>
      <w:r>
        <w:rPr>
          <w:b/>
        </w:rPr>
        <w:t xml:space="preserve">Source: </w:t>
      </w:r>
      <w:r>
        <w:t>Wiley: Angewandte Chemie International Edition: Table of Contents</w:t>
      </w:r>
      <w:r>
        <w:t xml:space="preserve">    </w:t>
      </w:r>
      <w:r>
        <w:rPr>
          <w:b/>
        </w:rPr>
        <w:t xml:space="preserve">Pub date: </w:t>
      </w:r>
      <w:r>
        <w:t>2026-05-18 03:31:14+00:00</w:t>
      </w:r>
      <w:r>
        <w:t xml:space="preserve">    </w:t>
      </w:r>
      <w:r>
        <w:rPr>
          <w:b/>
        </w:rPr>
        <w:t xml:space="preserve">DOI: </w:t>
      </w:r>
      <w:hyperlink r:id="rId356">
        <w:r>
          <w:rPr>
            <w:color w:val="1155CC"/>
            <w:u w:val="single"/>
          </w:rPr>
          <w:t>10.1002/anie.9067210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单原子催化剂介导的电化学双电子氧还原反应为现场H</w:t>
      </w:r>
      <w:r>
        <w:rPr>
          <w:vertAlign w:val="subscript"/>
        </w:rPr>
        <w:t>2</w:t>
      </w:r>
      <w:r>
        <w:t>O</w:t>
      </w:r>
      <w:r>
        <w:rPr>
          <w:vertAlign w:val="subscript"/>
        </w:rPr>
        <w:t>2</w:t>
      </w:r>
      <w:r>
        <w:t>生产提供可持续且高效的途径。尽管第一配位层杂原子工程已被证明能有效调节催化性能，但现有策略通常通过多步过程引入杂原子，使得在热解前难以控制目标配位环境的形成。在此，我们提出一种有机插层驱动的前驱体调控策略，该策略预先组织配位原子源，以改变热解过程中第一配位层形成的热力学偏好，从而实现Co-N</w:t>
      </w:r>
      <w:r>
        <w:rPr>
          <w:vertAlign w:val="subscript"/>
        </w:rPr>
        <w:t>3</w:t>
      </w:r>
      <w:r>
        <w:t>O/C配位环境的优先形成。这种潜在可推广的策略通过实现原位配位工程，为传统的多步后合成修饰提供了一种可控的替代方案。所得Co-N</w:t>
      </w:r>
      <w:r>
        <w:rPr>
          <w:vertAlign w:val="subscript"/>
        </w:rPr>
        <w:t>3</w:t>
      </w:r>
      <w:r>
        <w:t>O/C催化剂实现了97.5%的H</w:t>
      </w:r>
      <w:r>
        <w:rPr>
          <w:vertAlign w:val="subscript"/>
        </w:rPr>
        <w:t>2</w:t>
      </w:r>
      <w:r>
        <w:t>O</w:t>
      </w:r>
      <w:r>
        <w:rPr>
          <w:vertAlign w:val="subscript"/>
        </w:rPr>
        <w:t>2</w:t>
      </w:r>
      <w:r>
        <w:t>选择性，并在环境空气供给条件下，以100 mA cm</w:t>
      </w:r>
      <w:r>
        <w:t xml:space="preserve"> </w:t>
      </w:r>
      <w:r>
        <w:t>−2</w:t>
      </w:r>
      <w:r>
        <w:t xml:space="preserve"> </w:t>
      </w:r>
      <w:r>
        <w:t>的电流密度稳定运行120小时，积累了3.2 wt%的H</w:t>
      </w:r>
      <w:r>
        <w:rPr>
          <w:vertAlign w:val="subscript"/>
        </w:rPr>
        <w:t>2</w:t>
      </w:r>
      <w:r>
        <w:t>O</w:t>
      </w:r>
      <w:r>
        <w:rPr>
          <w:vertAlign w:val="subscript"/>
        </w:rPr>
        <w:t>2</w:t>
      </w:r>
      <w:r>
        <w:t>溶液。关键的是，</w:t>
      </w:r>
    </w:p>
    <w:p>
      <w:pPr>
        <w:spacing w:before="0" w:after="200" w:lineRule="auto" w:line="276"/>
      </w:pPr>
      <w:r>
        <w:rPr>
          <w:b/>
        </w:rPr>
        <w:t xml:space="preserve">Abstract (EN): </w:t>
      </w:r>
      <w:r>
        <w:t>The electrochemical two‐electron oxygen reduction reaction mediated by single‐atom catalysts provides a sustainable and efficient route for on‐site H</w:t>
      </w:r>
      <w:r>
        <w:rPr>
          <w:vertAlign w:val="subscript"/>
        </w:rPr>
        <w:t>2</w:t>
      </w:r>
      <w:r>
        <w:t>O</w:t>
      </w:r>
      <w:r>
        <w:rPr>
          <w:vertAlign w:val="subscript"/>
        </w:rPr>
        <w:t>2</w:t>
      </w:r>
      <w:r>
        <w:t>production. Although heteroatom engineering of the first coordination sphere has been shown to effectively tune catalytic performance, existing strategies typically introduce heteroatoms through multistep processes, making it difficult to control the formation of the target coordination environment prior to pyrolysis. Herein, we propose an organic intercalation‐driven precursor modulation strategy that pre‐organizes coordinating atom sources to alter the thermodynamic preference for first‐coordination‐sphere formation during pyrolysis, enabling the preferential formation of the Co‐N</w:t>
      </w:r>
      <w:r>
        <w:rPr>
          <w:vertAlign w:val="subscript"/>
        </w:rPr>
        <w:t>3</w:t>
      </w:r>
      <w:r>
        <w:t>O/C coordination environment. This potentially generalizable strategy offers a controllable alternative to conventional multi‐step post‐synthetic modification by enabling in situ coordination engineering. The resulting Co‐N</w:t>
      </w:r>
      <w:r>
        <w:rPr>
          <w:vertAlign w:val="subscript"/>
        </w:rPr>
        <w:t>3</w:t>
      </w:r>
      <w:r>
        <w:t>O/C catalyst achieves an H</w:t>
      </w:r>
      <w:r>
        <w:rPr>
          <w:vertAlign w:val="subscript"/>
        </w:rPr>
        <w:t>2</w:t>
      </w:r>
      <w:r>
        <w:t>O</w:t>
      </w:r>
      <w:r>
        <w:rPr>
          <w:vertAlign w:val="subscript"/>
        </w:rPr>
        <w:t>2</w:t>
      </w:r>
      <w:r>
        <w:t>selectivity of 97.5% and maintains stable operation for 120 h under ambient‐air‐fed conditions at a current density of 100 mA cm</w:t>
      </w:r>
      <w:r>
        <w:t xml:space="preserve"> </w:t>
      </w:r>
      <w:r>
        <w:t>−2</w:t>
      </w:r>
      <w:r>
        <w:t xml:space="preserve"> </w:t>
      </w:r>
      <w:r>
        <w:t>, accumulating a 3.2 wt% H</w:t>
      </w:r>
      <w:r>
        <w:rPr>
          <w:vertAlign w:val="subscript"/>
        </w:rPr>
        <w:t>2</w:t>
      </w:r>
      <w:r>
        <w:t>O</w:t>
      </w:r>
      <w:r>
        <w:rPr>
          <w:vertAlign w:val="subscript"/>
        </w:rPr>
        <w:t>2</w:t>
      </w:r>
      <w:r>
        <w:t>solution. Crucially, the local coordination structure indicates that O incorporation tunes the electronic structure and modulates *OOH adsorption, thereby kinetically favoring *OOH protonation over O─O bond cleavage. This work provides a potentially generalizable strategy for controlling first‐coordination‐sphere formation in single‐atom catalysts and offers deep insights into coordination‐mediated enhancement for industrial‐scale H</w:t>
      </w:r>
      <w:r>
        <w:rPr>
          <w:vertAlign w:val="subscript"/>
        </w:rPr>
        <w:t>2</w:t>
      </w:r>
      <w:r>
        <w:t>O</w:t>
      </w:r>
      <w:r>
        <w:rPr>
          <w:vertAlign w:val="subscript"/>
        </w:rPr>
        <w:t>2</w:t>
      </w:r>
      <w:r>
        <w:t>electrosynthesis.</w:t>
      </w:r>
    </w:p>
    <w:p>
      <w:pPr>
        <w:spacing w:before="120" w:after="120"/>
      </w:pPr>
      <w:r>
        <w:rPr>
          <w:sz w:val="18"/>
        </w:rPr>
        <w:t>——————————————————————————————————————————————————————————————————————</w:t>
      </w:r>
    </w:p>
    <w:p>
      <w:pPr>
        <w:spacing w:before="160" w:after="40" w:line="240" w:lineRule="auto"/>
      </w:pPr>
      <w:r>
        <w:rPr>
          <w:b/>
        </w:rPr>
        <w:t xml:space="preserve">[77] </w:t>
      </w:r>
      <w:hyperlink r:id="rId357">
        <w:r>
          <w:rPr>
            <w:color w:val="1155CC"/>
            <w:u w:val="single"/>
          </w:rPr>
          <w:t>防冻材料的发展与应用：从自然到设计</w:t>
        </w:r>
      </w:hyperlink>
    </w:p>
    <w:p>
      <w:pPr>
        <w:spacing w:before="0" w:after="80"/>
      </w:pPr>
      <w:r>
        <w:rPr>
          <w:i/>
          <w:sz w:val="20"/>
        </w:rPr>
        <w:t>EN: Development and Applications of Antifreeze Materials: From Nature to Design</w:t>
      </w:r>
    </w:p>
    <w:p>
      <w:pPr>
        <w:spacing w:before="0" w:after="120"/>
      </w:pPr>
      <w:r>
        <w:rPr>
          <w:b/>
        </w:rPr>
        <w:t xml:space="preserve">Source: </w:t>
      </w:r>
      <w:r>
        <w:t>Wiley: Advanced Materials: Table of Contents</w:t>
      </w:r>
      <w:r>
        <w:t xml:space="preserve">    </w:t>
      </w:r>
      <w:r>
        <w:rPr>
          <w:b/>
        </w:rPr>
        <w:t xml:space="preserve">Pub date: </w:t>
      </w:r>
      <w:r>
        <w:t>2026-05-18 06:10:32+00:00</w:t>
      </w:r>
      <w:r>
        <w:t xml:space="preserve">    </w:t>
      </w:r>
      <w:r>
        <w:rPr>
          <w:b/>
        </w:rPr>
        <w:t xml:space="preserve">DOI: </w:t>
      </w:r>
      <w:hyperlink r:id="rId358">
        <w:r>
          <w:rPr>
            <w:color w:val="1155CC"/>
            <w:u w:val="single"/>
          </w:rPr>
          <w:t>10.1002/adma.73293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冰的形成在生物医学、食品工业、基础设施和智能传感器等多个领域带来了重大挑战，其中冰冻环境可能导致严重的性能和安全问题。开发有效的防冻材料已成为当务之急。大自然在这方面提供了宝贵的见解，它进化出了从微生物到植物和鱼类的各种耐冷生物。在这些生物体内，负责耐寒的关键小分子和大分子已被逐步鉴定。受其启发，近年来通过生物制造或化学合成设计并合成了一系列高性能防冻材料。本综述重点介绍了防冻材料的重大进展，追溯了它们从自然模型到合理设计系统的演变：(1) 天然防冻材料及其机理见解，重点关注冰抑制的分子经验；(2) 基于新兴构效关系的防冻蛋白的生物制造和合理设计；(3) 受自然启发的合成防冻材料，如聚合物、水凝胶和弹性体；以及 (4) 在冷冻保存、食品保鲜、防冰涂层和耐冻柔性传感器中的关键应用。尽管取得了可喜的进展，本综述也探讨了将这些实验室创新转化为可扩展应用中存在的持续挑战。</w:t>
      </w:r>
    </w:p>
    <w:p>
      <w:pPr>
        <w:spacing w:before="0" w:after="200" w:lineRule="auto" w:line="276"/>
      </w:pPr>
      <w:r>
        <w:rPr>
          <w:b/>
        </w:rPr>
        <w:t xml:space="preserve">Abstract (EN): </w:t>
      </w:r>
      <w:r>
        <w:t>Ice formation poses significant challenges across multiple domains, including biomedicine, food industry, infrastructure, and intelligent sensors, where freezing environments can cause serious functional and safety issues. The development of effective antifreeze materials has become an urgent priority. Nature offers valuable insights in this regard, having evolved diverse psychrotolerant organisms from microorganisms to plants and fish. Within these organisms, key small molecules and macromolecules responsible for cold tolerance have been progressively identified. Inspired by them, recent years have witnessed the design and synthesis of a series of high‐performance antifreeze materials through biomanufacturing or chemical synthesis. This review highlights the significant progress in antifreeze materials, tracing their evolution from natural models to rational design systems: (1) natural antifreeze materials and their mechanistic insights, with emphasis on molecular lessons for ice inhibition; (2) biomanufacturing and rational design of antifreeze proteins based on emerging structure‐activity relationships; (3) nature‐inspired synthetic antifreeze materials, such as polymers, hydrogels, and elastomers; and (4) key applications in cryopreservation, food preservation, anti‐icing coatings, and freezing‐tolerant flexible sensors. While promising advances have been made, this review also addresses persistent challenges in translating these laboratory innovations into scalable applications.</w:t>
      </w:r>
    </w:p>
    <w:p>
      <w:pPr>
        <w:spacing w:before="120" w:after="120"/>
      </w:pPr>
      <w:r>
        <w:rPr>
          <w:sz w:val="18"/>
        </w:rPr>
        <w:t>——————————————————————————————————————————————————————————————————————</w:t>
      </w:r>
    </w:p>
    <w:p>
      <w:pPr>
        <w:spacing w:before="160" w:after="40" w:line="240" w:lineRule="auto"/>
      </w:pPr>
      <w:r>
        <w:rPr>
          <w:b/>
        </w:rPr>
        <w:t xml:space="preserve">[78] </w:t>
      </w:r>
      <w:hyperlink r:id="rId359">
        <w:r>
          <w:rPr>
            <w:color w:val="1155CC"/>
            <w:u w:val="single"/>
          </w:rPr>
          <w:t>选举政治影响非正式城市住区的扩张和产权化</w:t>
        </w:r>
      </w:hyperlink>
    </w:p>
    <w:p>
      <w:pPr>
        <w:spacing w:before="0" w:after="80"/>
      </w:pPr>
      <w:r>
        <w:rPr>
          <w:i/>
          <w:sz w:val="20"/>
        </w:rPr>
        <w:t>EN: Electoral politics influence expansion and titling of informal urban settlements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60">
        <w:r>
          <w:rPr>
            <w:color w:val="1155CC"/>
            <w:u w:val="single"/>
          </w:rPr>
          <w:t>10.1073/pnas.2421303123</w:t>
        </w:r>
      </w:hyperlink>
    </w:p>
    <w:p>
      <w:pPr>
        <w:spacing w:before="0" w:after="120"/>
      </w:pPr>
      <w:r>
        <w:rPr>
          <w:b/>
        </w:rPr>
        <w:t xml:space="preserve">Notes: </w:t>
      </w:r>
      <w:r>
        <w:t>abstract_source=crossref</w:t>
      </w:r>
    </w:p>
    <w:p>
      <w:pPr>
        <w:spacing w:before="0" w:after="80" w:lineRule="auto" w:line="276"/>
      </w:pPr>
      <w:r>
        <w:rPr>
          <w:b/>
        </w:rPr>
        <w:t xml:space="preserve">摘要（ZH）: </w:t>
      </w:r>
      <w:r>
        <w:t>了解是什么以及谁塑造了城市增长，以及它在全球南方如何展开，对于确保城市扩张以及随之而来的全球环境变化的理论和预测模型与当代背景相关至关重要。全球南方的大部分城市扩张发生在非正式住区，那里的城市化未经官方许可，居民往往缺乏基本服务和基础设施。因此，住区正规化成为政治交易的筹码，政客们通过提供所有权和改善条件来换取居民的选票。然而，这些政治交易对土地变化的累积效应仍然未知，使得选举动态在城市化的土地系统科学模型中缺失。在此，我们使用面板回归来检验1997-2015年墨西哥城的选举周期和投票模式对城市扩张和产权正规化的影响。我们发现，在地方选举前的几个月里，向居民分配的土地所有权数量增加，并且历史上占主导地位的政党的核心投票社区获得了更多的所有权。此外，在选举竞争激烈的地区，城市建成区面积增加。这些结果表明，选举政治影响着城市法定边界何时何地扩张，谁可以获得稳定的土地使用权，以及哪些住区可能增长。这些结果暗示社会政治动态塑造了城市可持续性。将政治动态与城市扩张之间的量化联系纳入模型可以改善m</w:t>
      </w:r>
    </w:p>
    <w:p>
      <w:pPr>
        <w:spacing w:before="0" w:after="200" w:lineRule="auto" w:line="276"/>
      </w:pPr>
      <w:r>
        <w:rPr>
          <w:b/>
        </w:rPr>
        <w:t xml:space="preserve">Abstract (EN): </w:t>
      </w:r>
      <w:r>
        <w:t>Understanding what and who shapes urban growth and how it unfolds in the Global South is critical to ensure theories and predictive models of urban expansion and, consequently, global environmental change, are salient to contemporary contexts. Much of the urban expansion in the Global South occurs in informal settlements where urbanization is not officially permitted and residents often lack access to basic services and infrastructure. As a result, formalizing settlements becomes an asset for political transactions where politicians provide titles and improve conditions in exchange for residents’ votes. Yet the cumulative effect of these political transactions on land change remains unknown, rendering electoral dynamics absent from land system science models of urbanization. Here we use panel regression to examine the influence of electoral cycles and voting patterns on urban expansion and formalization of property titles from 1997–2015 in Mexico City. We find the distribution of land titles to residents increases in the months leading up to local elections, and more titles are given to core voting neighborhoods of the historically dominant party. Furthermore, urban built-up area increases in districts with higher electoral competition. These results demonstrate that electoral politics influence when and where the legal city boundary expands, who can access secure tenure, and potentially which settlements grow. These results imply sociopolitical dynamics shape urban sustainability. Incorporating quantified links between political dynamics and urban expansion could improve models of future urban growth and identify relevant levers to improve urban sustainability.</w:t>
      </w:r>
    </w:p>
    <w:p>
      <w:pPr>
        <w:spacing w:before="120" w:after="120"/>
      </w:pPr>
      <w:r>
        <w:rPr>
          <w:sz w:val="18"/>
        </w:rPr>
        <w:t>——————————————————————————————————————————————————————————————————————</w:t>
      </w:r>
    </w:p>
    <w:p>
      <w:pPr>
        <w:spacing w:before="160" w:after="40" w:line="240" w:lineRule="auto"/>
      </w:pPr>
      <w:r>
        <w:rPr>
          <w:b/>
        </w:rPr>
        <w:t xml:space="preserve">[79] </w:t>
      </w:r>
      <w:hyperlink r:id="rId361">
        <w:r>
          <w:rPr>
            <w:color w:val="1155CC"/>
            <w:u w:val="single"/>
          </w:rPr>
          <w:t>决策参考点病理学：人类重度抑郁症的认知机制和相关性</w:t>
        </w:r>
      </w:hyperlink>
    </w:p>
    <w:p>
      <w:pPr>
        <w:spacing w:before="0" w:after="80"/>
      </w:pPr>
      <w:r>
        <w:rPr>
          <w:i/>
          <w:sz w:val="20"/>
        </w:rPr>
        <w:t>EN: Decisional reference point pathology: A cognitive mechanism for and a correlate of major depressive disorder in humans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62">
        <w:r>
          <w:rPr>
            <w:color w:val="1155CC"/>
            <w:u w:val="single"/>
          </w:rPr>
          <w:t>10.1073/pnas.2518826123</w:t>
        </w:r>
      </w:hyperlink>
    </w:p>
    <w:p>
      <w:pPr>
        <w:spacing w:before="0" w:after="120"/>
      </w:pPr>
      <w:r>
        <w:rPr>
          <w:b/>
        </w:rPr>
        <w:t xml:space="preserve">Notes: </w:t>
      </w:r>
      <w:r>
        <w:t>abstract_source=crossref</w:t>
      </w:r>
    </w:p>
    <w:p>
      <w:pPr>
        <w:spacing w:before="0" w:after="80" w:lineRule="auto" w:line="276"/>
      </w:pPr>
      <w:r>
        <w:rPr>
          <w:b/>
        </w:rPr>
        <w:t xml:space="preserve">摘要（ZH）: </w:t>
      </w:r>
      <w:r>
        <w:t>决策参考点是行为经济学背后的核心机制，它决定了我们对所有强化物的评价。一个给定事件被体验为积极还是消极，取决于这个参考点。参考点的病理性升高会导致一个人将曾经愉快的活动体验为负性强化物。因此，有假说认为参考点病理可能在重度抑郁症 (MDD) 的症状学中发挥关键作用。在此，我们检验了与健康对照组相比，MDD 患者的参考点是否病理性升高且动态不灵活的假说。我们发现抑郁症与参考点的显著升高相关，并且这种升高的幅度与疾病严重程度相关。MDD 患者动态调整其参考点以适应环境的能力也存在功能障碍。我们的研究结果将先前证实的脑深部电刺激治疗抑郁症与前扣带皮层中参考点的调节联系起来，并确定了参考点设定动态中的病理是该疾病潜在的认知机制。最后，这些结果表明，一个测量参考点的三分钟视频游戏式任务与抑郁症严重程度密切相关。在进一步的临床有效性测试后，这种快速检测方法可能成为评估和监测抑郁症的潜在工具。</w:t>
      </w:r>
    </w:p>
    <w:p>
      <w:pPr>
        <w:spacing w:before="0" w:after="200" w:lineRule="auto" w:line="276"/>
      </w:pPr>
      <w:r>
        <w:rPr>
          <w:b/>
        </w:rPr>
        <w:t xml:space="preserve">Abstract (EN): </w:t>
      </w:r>
      <w:r>
        <w:t>The decisional reference point, the central mechanism underlying behavioral economics, conditions our evaluations of all reinforcers. Whether a given event is experienced as positive or negative depends on this reference point. A pathological elevation of the reference point would lead a person to experience once pleasurable activities as negative reinforcers. Thus, it has been hypothesized that a reference point pathology may play a critical role in the symptomology of major depressive disorder (MDD). Here, we test the hypothesis that the reference point is pathologically elevated and dynamically inflexible in patients suffering with MDD compared to healthy controls. We find that depression is associated with a significant elevation of the reference point, and the magnitude of this elevation correlates with disease severity. The ability of patients with MDD to dynamically adjust their reference point to the environment is also dysfunctional. Our findings link the previously demonstrated treatment of depression by deep brain stimulation to modulation of the reference point in the anterior cingulate cortex and identify pathology in the dynamics of reference point setting as a potential cognitive mechanism in the disorder. Finally, these results reveal that a three-minute video game-like task measuring the reference point strongly correlates with depression severity. After further testing for clinical validity, this rapid assay may serve as a potential tool for assessing and monitoring depression.</w:t>
      </w:r>
    </w:p>
    <w:p>
      <w:pPr>
        <w:spacing w:before="120" w:after="120"/>
      </w:pPr>
      <w:r>
        <w:rPr>
          <w:sz w:val="18"/>
        </w:rPr>
        <w:t>——————————————————————————————————————————————————————————————————————</w:t>
      </w:r>
    </w:p>
    <w:p>
      <w:pPr>
        <w:spacing w:before="160" w:after="40" w:line="240" w:lineRule="auto"/>
      </w:pPr>
      <w:r>
        <w:rPr>
          <w:b/>
        </w:rPr>
        <w:t xml:space="preserve">[80] </w:t>
      </w:r>
      <w:hyperlink r:id="rId363">
        <w:r>
          <w:rPr>
            <w:color w:val="1155CC"/>
            <w:u w:val="single"/>
          </w:rPr>
          <w:t>利用医疗保健环境增强对轻触式福利推广的信任</w:t>
        </w:r>
      </w:hyperlink>
    </w:p>
    <w:p>
      <w:pPr>
        <w:spacing w:before="0" w:after="80"/>
      </w:pPr>
      <w:r>
        <w:rPr>
          <w:i/>
          <w:sz w:val="20"/>
        </w:rPr>
        <w:t>EN: Leveraging health care settings to strengthen trust in light-touch benefit outreach</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64">
        <w:r>
          <w:rPr>
            <w:color w:val="1155CC"/>
            <w:u w:val="single"/>
          </w:rPr>
          <w:t>10.1073/pnas.2537008123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 </w:t>
      </w:r>
      <w:hyperlink r:id="rId365">
        <w:r>
          <w:rPr>
            <w:color w:val="1155CC"/>
            <w:u w:val="single"/>
          </w:rPr>
          <w:t>东非首批牧民饮食多样性的同位素证据</w:t>
        </w:r>
      </w:hyperlink>
    </w:p>
    <w:p>
      <w:pPr>
        <w:spacing w:before="0" w:after="80"/>
      </w:pPr>
      <w:r>
        <w:rPr>
          <w:i/>
          <w:sz w:val="20"/>
        </w:rPr>
        <w:t>EN: Isotopic evidence for dietary variability among eastern Africa’s first pastoralists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66">
        <w:r>
          <w:rPr>
            <w:color w:val="1155CC"/>
            <w:u w:val="single"/>
          </w:rPr>
          <w:t>10.1073/pnas.2532741123</w:t>
        </w:r>
      </w:hyperlink>
    </w:p>
    <w:p>
      <w:pPr>
        <w:spacing w:before="0" w:after="120"/>
      </w:pPr>
      <w:r>
        <w:rPr>
          <w:b/>
        </w:rPr>
        <w:t xml:space="preserve">Notes: </w:t>
      </w:r>
      <w:r>
        <w:t>abstract_source=crossref</w:t>
      </w:r>
    </w:p>
    <w:p>
      <w:pPr>
        <w:spacing w:before="0" w:after="80" w:lineRule="auto" w:line="276"/>
      </w:pPr>
      <w:r>
        <w:rPr>
          <w:b/>
        </w:rPr>
        <w:t xml:space="preserve">摘要（ZH）: </w:t>
      </w:r>
      <w:r>
        <w:t>在晚更新世至全新世期间，饮食多样性的变化预示着全球许多地区人类与食物资源关系方式的根本性转变。为了了解肯尼亚和坦桑尼亚从食物生产过渡期间的当地和区域饮食差异，我们比较了来自111位约9,500-230年前的古代采集者和牧民的生物组织（牙釉质和骨胶原）的同位素值，同时结合了当代东非人的同位素数据，并用古代叶蜡和陶瓷脂质残留物对这些发现进行情境化。渔猎采集者在生计方面采取了显著多样化的方法，而肯尼亚图尔卡纳盆地约5,000年前的最早牧民在重大环境和文化变化中仍保持了饮食多样性。向更专业化的牧民饮食的转变直到牲畜最初引入后一千年才发生。</w:t>
      </w:r>
    </w:p>
    <w:p>
      <w:pPr>
        <w:spacing w:before="0" w:after="200" w:lineRule="auto" w:line="276"/>
      </w:pPr>
      <w:r>
        <w:rPr>
          <w:b/>
        </w:rPr>
        <w:t xml:space="preserve">Abstract (EN): </w:t>
      </w:r>
      <w:r>
        <w:t>During the terminal Pleistocene through Holocene, changes in dietary diversity signaled fundamental shifts in the way humans related to food resources in many parts of the globe. To understand local and regional dietary variation across the transition to food production in Kenya and Tanzania, we compare isotopic values of biological tissues (tooth enamel and bone collagen) from 111 ancient foragers and herders dated ~9,500–230 B.P., alongside isotopic data from contemporary eastern Africans, and contextualize these findings with ancient leaf wax and ceramic lipid residues. Fisher-foragers had remarkably diverse approaches to subsistence, and the earliest pastoralists in Kenya’s Turkana Basin ~5,000 years ago retained dietary diversity amid major environmental and cultural changes. The shift to more specialized pastoralist diets did not occur until a millennium after the initial introduction of livestock.</w:t>
      </w:r>
    </w:p>
    <w:p>
      <w:pPr>
        <w:spacing w:before="120" w:after="120"/>
      </w:pPr>
      <w:r>
        <w:rPr>
          <w:sz w:val="18"/>
        </w:rPr>
        <w:t>——————————————————————————————————————————————————————————————————————</w:t>
      </w:r>
    </w:p>
    <w:p>
      <w:pPr>
        <w:spacing w:before="160" w:after="40" w:line="240" w:lineRule="auto"/>
      </w:pPr>
      <w:r>
        <w:rPr>
          <w:b/>
        </w:rPr>
        <w:t xml:space="preserve">[82] </w:t>
      </w:r>
      <w:hyperlink r:id="rId367">
        <w:r>
          <w:rPr>
            <w:color w:val="1155CC"/>
            <w:u w:val="single"/>
          </w:rPr>
          <w:t>秀丽隐杆线虫中小RNA起源位点的自然变异产生介导温度适应的回路多样性</w:t>
        </w:r>
      </w:hyperlink>
    </w:p>
    <w:p>
      <w:pPr>
        <w:spacing w:before="0" w:after="80"/>
      </w:pPr>
      <w:r>
        <w:rPr>
          <w:i/>
          <w:sz w:val="20"/>
        </w:rPr>
        <w:t>EN: Natural variations in small RNA origin loci generate circuit diversity underlying temperature acclimation in Caenorhabditis elegans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68">
        <w:r>
          <w:rPr>
            <w:color w:val="1155CC"/>
            <w:u w:val="single"/>
          </w:rPr>
          <w:t>10.1073/pnas.2538076123</w:t>
        </w:r>
      </w:hyperlink>
    </w:p>
    <w:p>
      <w:pPr>
        <w:spacing w:before="0" w:after="120"/>
      </w:pPr>
      <w:r>
        <w:rPr>
          <w:b/>
        </w:rPr>
        <w:t xml:space="preserve">Notes: </w:t>
      </w:r>
      <w:r>
        <w:t>abstract_source=crossref</w:t>
      </w:r>
    </w:p>
    <w:p>
      <w:pPr>
        <w:spacing w:before="0" w:after="80" w:lineRule="auto" w:line="276"/>
      </w:pPr>
      <w:r>
        <w:rPr>
          <w:b/>
        </w:rPr>
        <w:t xml:space="preserve">摘要（ZH）: </w:t>
      </w:r>
      <w:r>
        <w:t>个体对环境线索的反应不同，这是由于基因组序列的内在变异。本研究表明，胚胎中小RNA (sRNA) 的自然变异通过表观遗传学方式塑造了适应性神经回路，这些回路是多种动物温度适应的基础。我们对具有不同温度适应能力的秀丽隐杆线虫 (Caenorhabditis elegans) 变种进行了比较基因组分析，并鉴定了 smrn-1，它是一个新型基因家族的成员，预计在线虫基因组中是保守的。出乎意料的是，通过长读长测序确定 smrn-1 的全长序列，揭示了人类基因组中存在 1791 个直系同源物。 smrn-1 是胚胎中发挥作用的解旋酶 ERI-6/7 下游最丰富的 sRNA 积累基因之一。 smrn-1 衍生的 sRNA 被加载到 Argonaute 蛋白 HRDE-1 上，从而通过上调一种轴突发生调节蛋白来调节 O2 传感 BAG 神经元的轴突发生。来自 BAG 的 O2 信息影响温度传感神经元的热响应性，导致个体在温度适应方面的多样性。因此，胚胎 sRNA 的自然变异通过表观遗传学方式形成了与多种温度适应相关的适应性神经回路。我们提出积累 o</w:t>
      </w:r>
    </w:p>
    <w:p>
      <w:pPr>
        <w:spacing w:before="0" w:after="200" w:lineRule="auto" w:line="276"/>
      </w:pPr>
      <w:r>
        <w:rPr>
          <w:b/>
        </w:rPr>
        <w:t xml:space="preserve">Abstract (EN): </w:t>
      </w:r>
      <w:r>
        <w:t>Individuals respond differently to environmental cues because of inherent variations in genome sequences. This study demonstrates that natural variation in small RNA (sRNA) within embryos epigenetically shapes adaptive neural circuits underlying diverse animal temperature acclimation. We performed comparative genome profiling of</w:t>
      </w:r>
      <w:r>
        <w:t xml:space="preserve"> </w:t>
      </w:r>
      <w:r>
        <w:t>Caenorhabditis elegans</w:t>
      </w:r>
      <w:r>
        <w:t xml:space="preserve"> </w:t>
      </w:r>
      <w:r>
        <w:t>variants with differential temperature acclimation and identified</w:t>
      </w:r>
      <w:r>
        <w:t xml:space="preserve"> </w:t>
      </w:r>
      <w:r>
        <w:t>smrn-1</w:t>
      </w:r>
      <w:r>
        <w:t xml:space="preserve"> </w:t>
      </w:r>
      <w:r>
        <w:t>, a member of a novel gene family predicted to be conserved within nematode genomes. Unexpectedly, determination of full-length</w:t>
      </w:r>
      <w:r>
        <w:t xml:space="preserve"> </w:t>
      </w:r>
      <w:r>
        <w:t>smrn-1</w:t>
      </w:r>
      <w:r>
        <w:t xml:space="preserve"> </w:t>
      </w:r>
      <w:r>
        <w:t>sequence by long-read sequencing revealed 1791 orthologues present in human genome.</w:t>
      </w:r>
      <w:r>
        <w:t xml:space="preserve"> </w:t>
      </w:r>
      <w:r>
        <w:t>smrn-1</w:t>
      </w:r>
      <w:r>
        <w:t xml:space="preserve"> </w:t>
      </w:r>
      <w:r>
        <w:t>was among the most abundant sRNA-accumulating genes downstream of the helicase ERI-6/7 functioning in embryos.</w:t>
      </w:r>
      <w:r>
        <w:t xml:space="preserve"> </w:t>
      </w:r>
      <w:r>
        <w:t>smrn-1</w:t>
      </w:r>
      <w:r>
        <w:t xml:space="preserve"> </w:t>
      </w:r>
      <w:r>
        <w:t>-derived sRNAs were loaded onto the Argonaute protein HRDE-1, thereby regulating axonogenesis of O</w:t>
      </w:r>
      <w:r>
        <w:rPr>
          <w:vertAlign w:val="subscript"/>
        </w:rPr>
        <w:t>2</w:t>
      </w:r>
      <w:r>
        <w:t>-sensing BAG neurons through upregulation of an axonogenesis regulator protein. O</w:t>
      </w:r>
      <w:r>
        <w:rPr>
          <w:vertAlign w:val="subscript"/>
        </w:rPr>
        <w:t>2</w:t>
      </w:r>
      <w:r>
        <w:t>information from BAG influences the thermal responsiveness of temperature-sensing neurons, resulting in individual diversity in temperature acclimation. Thus, natural variation in embryonic sRNA epigenetically forms adaptive neural circuits associated with diverse temperature acclimation. We propose that accumulation of gene polymorphisms producing epigenetic regulators during nematode evolution generates adaptive neural circuits for temperature acclimation.</w:t>
      </w:r>
    </w:p>
    <w:p>
      <w:pPr>
        <w:spacing w:before="120" w:after="120"/>
      </w:pPr>
      <w:r>
        <w:rPr>
          <w:sz w:val="18"/>
        </w:rPr>
        <w:t>——————————————————————————————————————————————————————————————————————</w:t>
      </w:r>
    </w:p>
    <w:p>
      <w:pPr>
        <w:spacing w:before="160" w:after="40" w:line="240" w:lineRule="auto"/>
      </w:pPr>
      <w:r>
        <w:rPr>
          <w:b/>
        </w:rPr>
        <w:t xml:space="preserve">[83] </w:t>
      </w:r>
      <w:hyperlink r:id="rId369">
        <w:r>
          <w:rPr>
            <w:color w:val="1155CC"/>
            <w:u w:val="single"/>
          </w:rPr>
          <w:t>睡眠大脑中电生理、血管和流体动力学之间的定向相互作用</w:t>
        </w:r>
      </w:hyperlink>
    </w:p>
    <w:p>
      <w:pPr>
        <w:spacing w:before="0" w:after="80"/>
      </w:pPr>
      <w:r>
        <w:rPr>
          <w:i/>
          <w:sz w:val="20"/>
        </w:rPr>
        <w:t>EN: Directed interactions between electrophysiological, vascular, and fluid dynamics in the sleeping brain</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70">
        <w:r>
          <w:rPr>
            <w:color w:val="1155CC"/>
            <w:u w:val="single"/>
          </w:rPr>
          <w:t>10.1073/pnas.2608470123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[84] </w:t>
      </w:r>
      <w:hyperlink r:id="rId371">
        <w:r>
          <w:rPr>
            <w:color w:val="1155CC"/>
            <w:u w:val="single"/>
          </w:rPr>
          <w:t>棉花 (陆地棉) 的基因组多样性与驯化历史</w:t>
        </w:r>
      </w:hyperlink>
    </w:p>
    <w:p>
      <w:pPr>
        <w:spacing w:before="0" w:after="80"/>
      </w:pPr>
      <w:r>
        <w:rPr>
          <w:i/>
          <w:sz w:val="20"/>
        </w:rPr>
        <w:t>EN: Genomic diversity and the domestication history of cotton (Gossypium hirsutum)</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72">
        <w:r>
          <w:rPr>
            <w:color w:val="1155CC"/>
            <w:u w:val="single"/>
          </w:rPr>
          <w:t>10.1073/pnas.2607107123</w:t>
        </w:r>
      </w:hyperlink>
    </w:p>
    <w:p>
      <w:pPr>
        <w:spacing w:before="0" w:after="120"/>
      </w:pPr>
      <w:r>
        <w:rPr>
          <w:b/>
        </w:rPr>
        <w:t xml:space="preserve">Notes: </w:t>
      </w:r>
      <w:r>
        <w:t>abstract_source=crossref</w:t>
      </w:r>
    </w:p>
    <w:p>
      <w:pPr>
        <w:spacing w:before="0" w:after="80" w:lineRule="auto" w:line="276"/>
      </w:pPr>
      <w:r>
        <w:rPr>
          <w:b/>
        </w:rPr>
        <w:t xml:space="preserve">摘要（ZH）: </w:t>
      </w:r>
      <w:r>
        <w:t>陆地棉 (Gossypium hirsutum) 是全球主要的纤维作物，但其作为驯化植物的起源以及野生种群的多样性模式仍有待阐明。在此，我们利用对野生种群的广泛采样和比较基因组序列数据，阐明了野生棉花在其原生范围内的多样性范围和模式。分析证实了尤卡坦半岛 (墨西哥) 是驯化中心的假设，原始的多年生形式和后来的现代一年生栽培品种均源于此。种群结构和系统基因组学分析表明，尤卡坦西北部比尤卡坦东北部和加勒比海盆地中较小、地理上分散的种群拥有更大的遗传多样性。尤卡坦西北部的遗传负荷和转座元件负担也低于其他地区，这与其更大的多样性相符，并反映了其他种群中历史遗传瓶颈效应。佛罗里达州和加勒比海盆地其他地区的种群保持着独特的遗传多样性。选择分析表明，棉花驯化涉及具有相对较小表型效应的突变的长期积累，而不是涉及主要驯化基因的更具间断性的过程。我们的研究量化了野生棉花基因组多样性的范围和规模、栽培基因库的起源以及可能塑造了现存多样性和现代地理模式的生态和人为过程。</w:t>
      </w:r>
    </w:p>
    <w:p>
      <w:pPr>
        <w:spacing w:before="0" w:after="200" w:lineRule="auto" w:line="276"/>
      </w:pPr>
      <w:r>
        <w:rPr>
          <w:b/>
        </w:rPr>
        <w:t xml:space="preserve">Abstract (EN): </w:t>
      </w:r>
      <w:r>
        <w:t>Gossypium hirsutum</w:t>
      </w:r>
      <w:r>
        <w:t xml:space="preserve"> </w:t>
      </w:r>
      <w:r>
        <w:t>is the leading fiber crop globally, but its origin as a domesticated plant and patterns of diversity in the wild remain to be elucidated. Here, we use extensive sampling of wild populations and comparative genome sequence data to illuminate the scope and patterning of wild cotton diversity across its native range. Analyses confirm the hypothesis that the Yucatán Peninsula (México) is the center of domestication, from which the original perennial forms and later modern annualized cultivars were derived. Population structure and phylogenomic analyses indicate that northwestern Yucatán harbors greater genetic diversity relative to smaller, geographically dispersed populations in northeastern Yucatán and the Caribbean basin. Genetic load and transposable element burden also are the lowest in northwestern Yucatán relative to other regions, consistent with its greater diversity and reflecting the effects of historical genetic bottlenecks in other populations. Populations from Florida and elsewhere in the Caribbean basin maintain unique pockets of diversity. Analyses of selection suggest that cotton domestication entailed long-term accumulation of mutations with relatively minor phenotypic effects, as opposed to a more punctuated process involving major domestication genes. Our study quantifies the scope and scale of genomic diversity in wild cotton, the origin of the cultivated gene pool, and the likely ecological and anthropogenic processes that shaped extant diversity and modern geographic patterning.</w:t>
      </w:r>
    </w:p>
    <w:p>
      <w:pPr>
        <w:spacing w:before="120" w:after="120"/>
      </w:pPr>
      <w:r>
        <w:rPr>
          <w:sz w:val="18"/>
        </w:rPr>
        <w:t>——————————————————————————————————————————————————————————————————————</w:t>
      </w:r>
    </w:p>
    <w:p>
      <w:pPr>
        <w:spacing w:before="160" w:after="40" w:line="240" w:lineRule="auto"/>
      </w:pPr>
      <w:r>
        <w:rPr>
          <w:b/>
        </w:rPr>
        <w:t xml:space="preserve">[85] </w:t>
      </w:r>
      <w:hyperlink r:id="rId373">
        <w:r>
          <w:rPr>
            <w:color w:val="1155CC"/>
            <w:u w:val="single"/>
          </w:rPr>
          <w:t>大型青少年纵向样本中的注意力问题与皮层成熟：考虑性别差异的重要性</w:t>
        </w:r>
      </w:hyperlink>
    </w:p>
    <w:p>
      <w:pPr>
        <w:spacing w:before="0" w:after="80"/>
      </w:pPr>
      <w:r>
        <w:rPr>
          <w:i/>
          <w:sz w:val="20"/>
        </w:rPr>
        <w:t>EN: Attention problems and cortical maturation in a large longitudinal sample of youths: The importance of accounting for sex differences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74">
        <w:r>
          <w:rPr>
            <w:color w:val="1155CC"/>
            <w:u w:val="single"/>
          </w:rPr>
          <w:t>10.1073/pnas.2605729123</w:t>
        </w:r>
      </w:hyperlink>
    </w:p>
    <w:p>
      <w:pPr>
        <w:spacing w:before="0" w:after="120"/>
      </w:pPr>
      <w:r>
        <w:rPr>
          <w:b/>
        </w:rPr>
        <w:t xml:space="preserve">Notes: </w:t>
      </w:r>
      <w:r>
        <w:t>abstract_source=crossref</w:t>
      </w:r>
    </w:p>
    <w:p>
      <w:pPr>
        <w:spacing w:before="0" w:after="80" w:lineRule="auto" w:line="276"/>
      </w:pPr>
      <w:r>
        <w:rPr>
          <w:b/>
        </w:rPr>
        <w:t xml:space="preserve">摘要（ZH）: </w:t>
      </w:r>
      <w:r>
        <w:t>延迟的年龄相关皮层变薄已被提出作为注意力相关精神病理学和注意缺陷多动障碍 (ADHD) 的生物标志物，但这些发现在具有足够效力的大型纵向样本中尚未得到充分复制，以解释潜在的混杂因素，例如共病精神病理学和神经发育中的性别差异。在此，我们检查了先前报道的注意力问题与延迟皮层厚度发展之间的关联是否可以在一个大型青少年纵向队列中得到复制。利用青少年大脑认知发展研究的数据，我们使用线性混合效应模型评估了家长报告的儿童行为核查表上的注意力问题 (AP) 与年龄相关皮层厚度变化之间的关联 (N = 26,496 次 MRI 扫描，来自 11,025 名独立参与者)。次要分析检查了 ADHD 的多基因风险评分与皮层厚度发展之间的关联。在最初的性别合并分析中，我们观察到 AP 与皮层变薄速率降低之间存在关联 (β = 0.00594 至 0.0145，FDR 校正 P &lt; 0.05)。然而，当模型中包含年龄 × 性别交互项时，这些关联不再明显 (所有 ROI 的 FDR 校正 P &gt; 0.05)。后续的按性别分层分析显示，在男性或女性中，年龄 × AP 对皮层厚度没有显著的交互作用。此外，没有证据表明 ADHD 的遗传易感性与</w:t>
      </w:r>
    </w:p>
    <w:p>
      <w:pPr>
        <w:spacing w:before="0" w:after="200" w:lineRule="auto" w:line="276"/>
      </w:pPr>
      <w:r>
        <w:rPr>
          <w:b/>
        </w:rPr>
        <w:t xml:space="preserve">Abstract (EN): </w:t>
      </w:r>
      <w:r>
        <w:t>Delayed age-related cortical thinning has been proposed as a biomarker of attention-related psychopathology and attention-deficit/hyperactivity disorder (ADHD), but these findings have not been adequately replicated in large, longitudinal samples with sufficient power to account for potential confounds such as co-occurring psychopathology and sex differences in neurodevelopment. Here, we examined whether previously reported associations between attention problems and delayed cortical thickness development could be replicated in a large, longitudinal cohort of youths. Leveraging data from the Adolescent Brain Cognitive Development Study, linear mixed-effects models were used to assess the association between parent-reported attention problems (AP) on the Child Behavior Checklist and age-related cortical thickness change (N = 26,496 MRI scans from 11,025 unique participants). Secondary analyses examined the association between a polygenic risk score for ADHD and cortical thickness development. In initial sex-pooled analyses, we observed associations between AP and reduced rates of cortical thinning (β = 00594 to 0.0145, FDR-adjusted</w:t>
      </w:r>
      <w:r>
        <w:t xml:space="preserve"> </w:t>
      </w:r>
      <w:r>
        <w:t>P</w:t>
      </w:r>
      <w:r>
        <w:t xml:space="preserve"> </w:t>
      </w:r>
      <w:r>
        <w:t>&amp;lt; 0.05). However, when an age × sex interaction term was included in the model, these associations were no longer evident (all FDR-adjusted</w:t>
      </w:r>
      <w:r>
        <w:t xml:space="preserve"> </w:t>
      </w:r>
      <w:r>
        <w:t>P</w:t>
      </w:r>
      <w:r>
        <w:t xml:space="preserve"> </w:t>
      </w:r>
      <w:r>
        <w:t>&amp;gt; 0.05 across ROIs). Follow-up sex-stratified analyses revealed no significant age × AP interactions on cortical thickness in males or females. Further, there was no evidence of genetic liability for ADHD being associated with reduced age-related cortical thinning. Taken together, these findings suggest that previously reported associations between AP and delayed cortical thinning likely reflect unaccounted-for sex differences in neurodevelopment rather than AP-specific maturational delays, questioning the utility of cortical maturation patterns as diagnostic biomarkers for ADHD-related behavior.</w:t>
      </w:r>
    </w:p>
    <w:p>
      <w:pPr>
        <w:spacing w:before="120" w:after="120"/>
      </w:pPr>
      <w:r>
        <w:rPr>
          <w:sz w:val="18"/>
        </w:rPr>
        <w:t>——————————————————————————————————————————————————————————————————————</w:t>
      </w:r>
    </w:p>
    <w:p>
      <w:pPr>
        <w:spacing w:before="160" w:after="40" w:line="240" w:lineRule="auto"/>
      </w:pPr>
      <w:r>
        <w:rPr>
          <w:b/>
        </w:rPr>
        <w:t xml:space="preserve">[86] </w:t>
      </w:r>
      <w:hyperlink r:id="rId375">
        <w:r>
          <w:rPr>
            <w:color w:val="1155CC"/>
            <w:u w:val="single"/>
          </w:rPr>
          <w:t>福音派讲坛的系统性助选活动：来自计算分析的证据</w:t>
        </w:r>
      </w:hyperlink>
    </w:p>
    <w:p>
      <w:pPr>
        <w:spacing w:before="0" w:after="80"/>
      </w:pPr>
      <w:r>
        <w:rPr>
          <w:i/>
          <w:sz w:val="20"/>
        </w:rPr>
        <w:t>EN: Systemic electioneering from the evangelical pulpit: Evidence from a computational analysis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76">
        <w:r>
          <w:rPr>
            <w:color w:val="1155CC"/>
            <w:u w:val="single"/>
          </w:rPr>
          <w:t>10.1073/pnas.2603911123</w:t>
        </w:r>
      </w:hyperlink>
    </w:p>
    <w:p>
      <w:pPr>
        <w:spacing w:before="0" w:after="120"/>
      </w:pPr>
      <w:r>
        <w:rPr>
          <w:b/>
        </w:rPr>
        <w:t xml:space="preserve">Notes: </w:t>
      </w:r>
      <w:r>
        <w:t>abstract_source=crossref</w:t>
      </w:r>
    </w:p>
    <w:p>
      <w:pPr>
        <w:spacing w:before="0" w:after="80" w:lineRule="auto" w:line="276"/>
      </w:pPr>
      <w:r>
        <w:rPr>
          <w:b/>
        </w:rPr>
        <w:t xml:space="preserve">摘要（ZH）: </w:t>
      </w:r>
      <w:r>
        <w:t>宗教机构参与被禁止的选举宣传日益成为民主治理的担忧。在美国，这种动员在福音派运动中尤为明显。我们使用一个包含88,546篇布道的语料库来研究这一现象，这些布道转录自63,683小时的周日礼拜，涵盖2020年、2022年和2024年选举周期以及一个非选举对照期。对该语料库的分析表明，直接的政治宣传和背书普遍存在：在2024年大选前后三个月内，14.7%的教会参与了此类言论。这种行为遵循着清晰的选举节奏，在选举日前的周日达到高峰，当时有3.5%的教会进行了动员。地理分析表明，宣传与县级党派构成相关，但缺乏战略性目标定位；摇摆州的比例与安全州的比例没有区别。我们的结果对美国讲坛上的政治言论进行了大规模量化，这些言论根据美国国税局 (IRS) 当前的指导方针构成被禁止的助选活动，揭示了一种由地方党派背景而非国家选举策略驱动的基层动员模式。</w:t>
      </w:r>
    </w:p>
    <w:p>
      <w:pPr>
        <w:spacing w:before="0" w:after="200" w:lineRule="auto" w:line="276"/>
      </w:pPr>
      <w:r>
        <w:rPr>
          <w:b/>
        </w:rPr>
        <w:t xml:space="preserve">Abstract (EN): </w:t>
      </w:r>
      <w:r>
        <w:t>Religious institutions’ engagement in prohibited electoral advocacy is a growing concern for democratic governance. In the United States, such mobilization has been especially visible within the evangelical movement. We examine this phenomenon using a corpus of 88,546 sermons from predominantly evangelical churches, transcribed from 63,683 h of Sunday services spanning the 2020, 2022, and 2024 election cycles and a nonelection control period. Analysis of this corpus reveals that direct political advocacy and endorsements are widespread: 14.7% of churches engaged in this speech during the three months surrounding the 2024 election. This behavior follows a clear electoral rhythm, peaking on the Sunday before Election Day, when 3.5% of churches mobilized. Geographic analysis indicates that advocacy correlates with county partisan composition but lacks strategic targeting; rates in swing states are indistinguishable from those in safe states. Our results provide large-scale quantification of political speech from American pulpits that constitutes prohibited electioneering under current Internal Revenue Service (IRS) guidelines, revealing a pattern of base mobilization driven by local partisan context rather than national electoral strategy.</w:t>
      </w:r>
    </w:p>
    <w:p>
      <w:pPr>
        <w:spacing w:before="120" w:after="120"/>
      </w:pPr>
      <w:r>
        <w:rPr>
          <w:sz w:val="18"/>
        </w:rPr>
        <w:t>——————————————————————————————————————————————————————————————————————</w:t>
      </w:r>
    </w:p>
    <w:p>
      <w:pPr>
        <w:spacing w:before="160" w:after="40" w:line="240" w:lineRule="auto"/>
      </w:pPr>
      <w:r>
        <w:rPr>
          <w:b/>
        </w:rPr>
        <w:t xml:space="preserve">[87] </w:t>
      </w:r>
      <w:hyperlink r:id="rId377">
        <w:r>
          <w:rPr>
            <w:color w:val="1155CC"/>
            <w:u w:val="single"/>
          </w:rPr>
          <w:t>北极生态系统在白垩纪-古近纪大灭绝前塑造了哺乳动物的扩散和多样化</w:t>
        </w:r>
      </w:hyperlink>
    </w:p>
    <w:p>
      <w:pPr>
        <w:spacing w:before="0" w:after="80"/>
      </w:pPr>
      <w:r>
        <w:rPr>
          <w:i/>
          <w:sz w:val="20"/>
        </w:rPr>
        <w:t>EN: Arctic ecosystems shaped mammalian dispersal and diversification before the Cretaceous–Paleogene mass extinction</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78">
        <w:r>
          <w:rPr>
            <w:color w:val="1155CC"/>
            <w:u w:val="single"/>
          </w:rPr>
          <w:t>10.1073/pnas.2601794123</w:t>
        </w:r>
      </w:hyperlink>
    </w:p>
    <w:p>
      <w:pPr>
        <w:spacing w:before="0" w:after="120"/>
      </w:pPr>
      <w:r>
        <w:rPr>
          <w:b/>
        </w:rPr>
        <w:t xml:space="preserve">Notes: </w:t>
      </w:r>
      <w:r>
        <w:t>abstract_source=crossref</w:t>
      </w:r>
    </w:p>
    <w:p>
      <w:pPr>
        <w:spacing w:before="0" w:after="80" w:lineRule="auto" w:line="276"/>
      </w:pPr>
      <w:r>
        <w:rPr>
          <w:b/>
        </w:rPr>
        <w:t xml:space="preserve">摘要（ZH）: </w:t>
      </w:r>
      <w:r>
        <w:t>高纬度陆地生态系统通常被视为深时演化创新的边缘环境，然而，它们在塑造生物扩散、多样化和存活方面的作用仍知之甚少。阿拉斯加北部上白垩统普林斯溪组 (古纬度约80–85°N) 产出了已知最北部的中生代哺乳动物，为研究极地陆地生态系统的生态和生物地理作用提供了难得的机会。在此，我们描述了三种多瘤齿兽物种：Camurodon borealis、Qayaqgruk peregrinus和Kaniqsiqcosmodon polaris，并将比较形态学与系统发育和生物地理分析相结合，以评估在高纬度亚洲-美洲陆地走廊上的扩散和多样化模式及时间。Qayaqgruk peregrinus被归入蒙古的Djadochtatherioidea，代表了多瘤齿兽从亚洲扩散到北美洲的最早直接证据。Kaniqsiqcosmodon polaris构成了Microcosmodontidae已知最古老的成员，表明一个衍生的北美谱系起源于高纬度地区，并在白垩纪-古近纪大灭绝后于古新世时期进一步多样化。Camurodon borealis代表了Cimolomyidae最北部的出现记录。牙齿形态的显著变异</w:t>
      </w:r>
    </w:p>
    <w:p>
      <w:pPr>
        <w:spacing w:before="0" w:after="200" w:lineRule="auto" w:line="276"/>
      </w:pPr>
      <w:r>
        <w:rPr>
          <w:b/>
        </w:rPr>
        <w:t xml:space="preserve">Abstract (EN): </w:t>
      </w:r>
      <w:r>
        <w:t>High-latitude terrestrial ecosystems are commonly viewed as marginal environments to deep-time evolutionary innovation, yet their role in shaping biotic dispersal, diversification, and survivorship remains poorly understood. The Upper Cretaceous Prince Creek Formation of northern Alaska (paleolatitude ~80–85°N) yields the most northerly known Mesozoic mammals and provides a rare opportunity to examine the ecological and biogeographic roles of polar terrestrial ecosystems. Here, we describe three multituberculate species,</w:t>
      </w:r>
      <w:r>
        <w:t xml:space="preserve"> </w:t>
      </w:r>
      <w:r>
        <w:t>Camurodon borealis</w:t>
      </w:r>
      <w:r>
        <w:t xml:space="preserve"> </w:t>
      </w:r>
      <w:r>
        <w:t>,</w:t>
      </w:r>
      <w:r>
        <w:t xml:space="preserve"> </w:t>
      </w:r>
      <w:r>
        <w:t>Qayaqgruk peregrinus</w:t>
      </w:r>
      <w:r>
        <w:t xml:space="preserve"> </w:t>
      </w:r>
      <w:r>
        <w:t>, and</w:t>
      </w:r>
      <w:r>
        <w:t xml:space="preserve"> </w:t>
      </w:r>
      <w:r>
        <w:t>Kaniqsiqcosmodon polaris</w:t>
      </w:r>
      <w:r>
        <w:t xml:space="preserve"> </w:t>
      </w:r>
      <w:r>
        <w:t>, and integrate comparative morphology with phylogenetic and biogeographic analyses to evaluate patterns and timing of dispersal and diversification across a high-latitude Asian–American terrestrial corridor.</w:t>
      </w:r>
      <w:r>
        <w:t xml:space="preserve"> </w:t>
      </w:r>
      <w:r>
        <w:t>Qayaqgruk peregrinus</w:t>
      </w:r>
      <w:r>
        <w:t xml:space="preserve"> </w:t>
      </w:r>
      <w:r>
        <w:t>is recovered within the Mongolian Djadochtatherioidea, representing the earliest direct evidence for multituberculate dispersal from Asia into North America.</w:t>
      </w:r>
      <w:r>
        <w:t xml:space="preserve"> </w:t>
      </w:r>
      <w:r>
        <w:t>Kaniqsiqcosmodon polaris</w:t>
      </w:r>
      <w:r>
        <w:t xml:space="preserve"> </w:t>
      </w:r>
      <w:r>
        <w:t>constitutes the oldest known member of the Microcosmodontidae, suggesting a high-latitude origin for a derived North American lineage that later diversified during the Paleocene following the Cretaceous–Paleogene mass extinction.</w:t>
      </w:r>
      <w:r>
        <w:t xml:space="preserve"> </w:t>
      </w:r>
      <w:r>
        <w:t>Camurodon borealis</w:t>
      </w:r>
      <w:r>
        <w:t xml:space="preserve"> </w:t>
      </w:r>
      <w:r>
        <w:t>represents the northernmost occurrence of the Cimolomyidae. Pronounced variation in dental morphology among the Prince Creek multituberculates indicates ecological differentiation and niche partitioning within an extreme, highly seasonal polar environment. Our findings indicate that Late Cretaceous Arctic ecosystems supported both sustained intercontinental exchanges as early as 91.82 Ma and endemism. Our results challenge interpretations of polar regions as evolutionary peripheries and instead identify them as important contributors to mammalian evolutionary dynamics prior to the Cretaceous–Paleogene mass extinction.</w:t>
      </w:r>
    </w:p>
    <w:p>
      <w:pPr>
        <w:spacing w:before="120" w:after="120"/>
      </w:pPr>
      <w:r>
        <w:rPr>
          <w:sz w:val="18"/>
        </w:rPr>
        <w:t>——————————————————————————————————————————————————————————————————————</w:t>
      </w:r>
    </w:p>
    <w:p>
      <w:pPr>
        <w:spacing w:before="160" w:after="40" w:line="240" w:lineRule="auto"/>
      </w:pPr>
      <w:r>
        <w:rPr>
          <w:b/>
        </w:rPr>
        <w:t xml:space="preserve">[88] </w:t>
      </w:r>
      <w:hyperlink r:id="rId379">
        <w:r>
          <w:rPr>
            <w:color w:val="1155CC"/>
            <w:u w:val="single"/>
          </w:rPr>
          <w:t>核酸相互作用和线粒体SSB对Pfh1解旋酶活性的调控</w:t>
        </w:r>
      </w:hyperlink>
    </w:p>
    <w:p>
      <w:pPr>
        <w:spacing w:before="0" w:after="80"/>
      </w:pPr>
      <w:r>
        <w:rPr>
          <w:i/>
          <w:sz w:val="20"/>
        </w:rPr>
        <w:t>EN: Regulation of Pfh1 helicase activity by nucleic acid interactions and mitochondrial SSB</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80">
        <w:r>
          <w:rPr>
            <w:color w:val="1155CC"/>
            <w:u w:val="single"/>
          </w:rPr>
          <w:t>10.1073/pnas.2602528123</w:t>
        </w:r>
      </w:hyperlink>
    </w:p>
    <w:p>
      <w:pPr>
        <w:spacing w:before="0" w:after="120"/>
      </w:pPr>
      <w:r>
        <w:rPr>
          <w:b/>
        </w:rPr>
        <w:t xml:space="preserve">Notes: </w:t>
      </w:r>
      <w:r>
        <w:t>abstract_source=crossref</w:t>
      </w:r>
    </w:p>
    <w:p>
      <w:pPr>
        <w:spacing w:before="0" w:after="80" w:lineRule="auto" w:line="276"/>
      </w:pPr>
      <w:r>
        <w:rPr>
          <w:b/>
        </w:rPr>
        <w:t xml:space="preserve">摘要（ZH）: </w:t>
      </w:r>
      <w:r>
        <w:t>Pif1家族解旋酶对于核基因组和线粒体基因组的正常维持至关重要，然而，对其活性调控机制的理解仍不完全。在此，我们利用单分子操纵和可视化技术，剖析了裂殖酵母（Schizosaccharomyces pombe）中唯一的Pif1家族解旋酶Pfh1的实时机械化学行为。我们系统地改变了力、ATP浓度、复制叉组成以及单链DNA结合蛋白spRim1，以量化Pfh1的解旋和单链DNA易位特性。我们发现Pfh1通过解旋-复性循环运作，在此过程中，与复制叉处两条DNA链的协同相互作用优化了ATP利用。与易位链的接触调节ATP亲和力，而与置换链的相互作用控制最大解旋速度。spRim1与置换链的结合破坏了后者的相互作用，从而提高了解旋速度。解旋酶与复制叉处两条链的稳定相互作用可能将解旋持续性限制在约20 bp，最终触发向复性的转变。复性通过一个ATP依赖的过程进行，该过程与链转换不兼容，其中ATP周转调节DNA接触和复性速率。spRim1与置换链的结合进一步加速复性，可能是通过与解旋酶-DNA相互作用竞争，并在复制叉复性后促进活性解旋构象的恢复。综上所述，这些发现表明Pfh1平衡了</w:t>
      </w:r>
    </w:p>
    <w:p>
      <w:pPr>
        <w:spacing w:before="0" w:after="200" w:lineRule="auto" w:line="276"/>
      </w:pPr>
      <w:r>
        <w:rPr>
          <w:b/>
        </w:rPr>
        <w:t xml:space="preserve">Abstract (EN): </w:t>
      </w:r>
      <w:r>
        <w:t>Pif1-family helicases are essential for proper nuclear and mitochondrial genome maintenance, yet the regulation of their activities remains incompletely understood. Here, we use single-molecule manipulation and visualization techniques to dissect the real-time mechanochemical behavior of Pfh1, the sole Pif1-family helicase in</w:t>
      </w:r>
      <w:r>
        <w:t xml:space="preserve"> </w:t>
      </w:r>
      <w:r>
        <w:t>Schizosaccharomyces pombe.</w:t>
      </w:r>
      <w:r>
        <w:t xml:space="preserve"> </w:t>
      </w:r>
      <w:r>
        <w:t>We systematically varied force, ATP concentration, fork composition, and the single-stranded DNA–binding protein spRim1, to quantify the unwinding and single-stranded DNA translocation properties of Pfh1. We find that Pfh1 operates through unwinding-rewinding cycles during which coordinated interactions with both DNA strands at the fork optimize ATP utilization. Contacts with the translocating strand modulate ATP affinity, while interactions with the displaced strand control maximum unwinding velocity. Binding of spRim1 to the displaced strand disrupts the latter interactions, increasing the unwinding velocity. Stable interactions of the helicase with both strands at the fork may limit unwinding processivity to ~20 bp, eventually triggering transition to rewinding. Rewinding proceeds through an ATP-dependent process that is incompatible with strand switching, in which ATP turnover modulates DNA contacts and rewinding rate. Binding of spRim1 to the displaced strand further accelerates rewinding, possibly by competing with helicase–DNA interactions, and facilitates recovery of the active unwinding conformation once the fork has rewound. Together, these findings suggest that Pfh1 balances unwinding and rewinding through coordinated ATP-dependent strand interactions, providing insight into how Pif1-family helicases are controlled at replication forks.</w:t>
      </w:r>
    </w:p>
    <w:p>
      <w:pPr>
        <w:spacing w:before="120" w:after="120"/>
      </w:pPr>
      <w:r>
        <w:rPr>
          <w:sz w:val="18"/>
        </w:rPr>
        <w:t>——————————————————————————————————————————————————————————————————————</w:t>
      </w:r>
    </w:p>
    <w:p>
      <w:pPr>
        <w:spacing w:before="160" w:after="40" w:line="240" w:lineRule="auto"/>
      </w:pPr>
      <w:r>
        <w:rPr>
          <w:b/>
        </w:rPr>
        <w:t xml:space="preserve">[89] </w:t>
      </w:r>
      <w:hyperlink r:id="rId381">
        <w:r>
          <w:rPr>
            <w:color w:val="1155CC"/>
            <w:u w:val="single"/>
          </w:rPr>
          <w:t>ICE活动增加如何影响托儿服务劳动力</w:t>
        </w:r>
      </w:hyperlink>
    </w:p>
    <w:p>
      <w:pPr>
        <w:spacing w:before="0" w:after="80"/>
      </w:pPr>
      <w:r>
        <w:rPr>
          <w:i/>
          <w:sz w:val="20"/>
        </w:rPr>
        <w:t>EN: How rising ICE activity influences the childcare workforce</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82">
        <w:r>
          <w:rPr>
            <w:color w:val="1155CC"/>
            <w:u w:val="single"/>
          </w:rPr>
          <w:t>10.1073/pnas.2602686123</w:t>
        </w:r>
      </w:hyperlink>
    </w:p>
    <w:p>
      <w:pPr>
        <w:spacing w:before="0" w:after="120"/>
      </w:pPr>
      <w:r>
        <w:rPr>
          <w:b/>
        </w:rPr>
        <w:t xml:space="preserve">Notes: </w:t>
      </w:r>
      <w:r>
        <w:t>abstract_source=crossref</w:t>
      </w:r>
    </w:p>
    <w:p>
      <w:pPr>
        <w:spacing w:before="0" w:after="80" w:lineRule="auto" w:line="276"/>
      </w:pPr>
      <w:r>
        <w:rPr>
          <w:b/>
        </w:rPr>
        <w:t xml:space="preserve">摘要（ZH）: </w:t>
      </w:r>
      <w:r>
        <w:t>移民在美国托儿服务劳动力中扮演着关键角色，然而，关于移民执法如何影响这一关键部门就业的了解甚少。我们研究了在特朗普总统于2025年初就职后，社区移民和海关执法局（ICE）活动急剧升级如何影响了美国的托儿服务就业。我们将《当前人口调查》的月度数据与2023年9月至2025年9月汇编的州级ICE逮捕记录联系起来，以探究执法强度变化如何影响不同监管和可见度托儿服务环境中的就业。我们发现，ICE活动的增加导致外国出生女性就业显著下降，影响主要集中在受到严格监管且公众可见的中心式托儿机构。与此同时，私人家庭托儿服务就业增加，这与向可见度较低、非正式安排的重新分配而非完全退出该部门的趋势一致。这些影响在2025年初之后显著增强，该时期特点是监狱外ICE逮捕数量急剧上升以及公众对移民执法的关注度提高。在本土出生女性中，就业反应幅度有限，且仅限于少数特定护理环境，几乎没有证据表明她们广泛替代了外国出生工人。总体而言，结果表明移民执法不仅重塑了托儿服务劳动力的规模，也重塑了其结构，并具有重要的潜在影响</w:t>
      </w:r>
    </w:p>
    <w:p>
      <w:pPr>
        <w:spacing w:before="0" w:after="200" w:lineRule="auto" w:line="276"/>
      </w:pPr>
      <w:r>
        <w:rPr>
          <w:b/>
        </w:rPr>
        <w:t xml:space="preserve">Abstract (EN): </w:t>
      </w:r>
      <w:r>
        <w:t>Immigrants play a critical role in the US childcare workforce, yet little is known about how immigration enforcement shapes employment in this essential sector. We study how the sharp escalation in community-based Immigration and Customs Enforcement (ICE) activity following President Trump’s inauguration in early 2025 affected childcare employment in the United States. Monthly data from the Current Population Survey are linked to compiled state-level ICE arrest records from September 2023 through September 2025, to ask how changes in enforcement intensity influence employment across childcare settings that differ in regulation and visibility. We find that increased ICE activity led to significant declines in employment among foreign-born women, with effects concentrated in center-based settings that are highly regulated and publicly visible. At the same time, employment in private household childcare increased, consistent with a reallocation toward less visible and less formal arrangements rather than a complete exit from the sector. These effects strengthened markedly after early 2025, a period characterized both by a sharp rise in nonprison ICE arrests and heightened public attention to immigration enforcement. Among native-born women, employment responses are limited in magnitude and confined to a limited number of specific care settings, providing little evidence of broad substitution for foreign-born workers. Overall, the results show that immigration enforcement reshapes not only the size but also the structure of the childcare workforce, with important potential implications for childcare access, labor markets, and families.</w:t>
      </w:r>
    </w:p>
    <w:p>
      <w:pPr>
        <w:spacing w:before="120" w:after="120"/>
      </w:pPr>
      <w:r>
        <w:rPr>
          <w:sz w:val="18"/>
        </w:rPr>
        <w:t>——————————————————————————————————————————————————————————————————————</w:t>
      </w:r>
    </w:p>
    <w:p>
      <w:pPr>
        <w:spacing w:before="160" w:after="40" w:line="240" w:lineRule="auto"/>
      </w:pPr>
      <w:r>
        <w:rPr>
          <w:b/>
        </w:rPr>
        <w:t xml:space="preserve">[90] </w:t>
      </w:r>
      <w:hyperlink r:id="rId383">
        <w:r>
          <w:rPr>
            <w:color w:val="1155CC"/>
            <w:u w:val="single"/>
          </w:rPr>
          <w:t>人类心肌细胞筛选识别出用于体内心脏基因编辑的优化脂质纳米颗粒</w:t>
        </w:r>
      </w:hyperlink>
    </w:p>
    <w:p>
      <w:pPr>
        <w:spacing w:before="0" w:after="80"/>
      </w:pPr>
      <w:r>
        <w:rPr>
          <w:i/>
          <w:sz w:val="20"/>
        </w:rPr>
        <w:t>EN: A human cardiomyocyte screen identifies optimized lipid nanoparticles for in vivo cardiac gene editing</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84">
        <w:r>
          <w:rPr>
            <w:color w:val="1155CC"/>
            <w:u w:val="single"/>
          </w:rPr>
          <w:t>10.1073/pnas.2528477123</w:t>
        </w:r>
      </w:hyperlink>
    </w:p>
    <w:p>
      <w:pPr>
        <w:spacing w:before="0" w:after="120"/>
      </w:pPr>
      <w:r>
        <w:rPr>
          <w:b/>
        </w:rPr>
        <w:t xml:space="preserve">Notes: </w:t>
      </w:r>
      <w:r>
        <w:t>abstract_source=crossref</w:t>
      </w:r>
    </w:p>
    <w:p>
      <w:pPr>
        <w:spacing w:before="0" w:after="80" w:lineRule="auto" w:line="276"/>
      </w:pPr>
      <w:r>
        <w:rPr>
          <w:b/>
        </w:rPr>
        <w:t xml:space="preserve">摘要（ZH）: </w:t>
      </w:r>
      <w:r>
        <w:t>RNA疗法在治疗心脏病方面展现出广阔前景；然而，其临床应用一直受限于心脏递送不足。在此，我们开发了一个利用人诱导多能干细胞源性心肌细胞 (hiPSC-CMs) 的筛选平台，以识别具有心脏趋向性的人类脂质纳米颗粒 (LNPs)。通过筛选一个化学多样性的LNP文库，我们识别出一种领先的LNP，18:1 TAP10，其具有强大的人心脏转染能力。利用Ai14 LoxP-Stop-LoxP-tdTomato报告小鼠模型，我们通过四种给药途径（静脉内、胸腔内、冠状动脉内和心肌内 (IM)）评估了18:1 TAP10 LNP在体内递送Cre mRNA的情况，发现每种给药途径都能在不同程度上实现心脏内的空间分布和细胞趋向性。虽然所有途径都能在非CM细胞群中实现强大的转染（内皮细胞中高达40%），但IM注射显著实现了大量的CM转染（注射部位36%，远端13%）。为了证明治疗潜力，18:1 TAP10 LNPs被用于向杜氏肌营养不良症 (DMD) 患者来源的hiPSC-CMs递送腺嘌呤碱基编辑器 (ABE) 组分，从而实现了80%的靶向基因校正和抗肌萎缩蛋白表达的恢复。在人源化DMD小鼠模型中，我们观察到LNP-ABE经IM给药后，注射的左心室中出现了抗肌萎缩蛋白阳性心肌细胞。这项工作建立了一个基于人类细胞的平台，用于发现靶器官递送载体，并强调LNPs作为治疗性mRNA递送的潜在方式。</w:t>
      </w:r>
    </w:p>
    <w:p>
      <w:pPr>
        <w:spacing w:before="0" w:after="200" w:lineRule="auto" w:line="276"/>
      </w:pPr>
      <w:r>
        <w:rPr>
          <w:b/>
        </w:rPr>
        <w:t xml:space="preserve">Abstract (EN): </w:t>
      </w:r>
      <w:r>
        <w:t>RNA therapeutics offer promising potential for treating heart disease; however, their clinical application has been limited by insufficient cardiac delivery. Here, we developed a screening platform using human induced pluripotent stem cell–derived cardiomyocytes (hiPSC-CMs) to identify human cardiotropic lipid nanoparticles (LNPs). By screening a chemically diverse LNP library, we identified a lead LNP, 18:1 TAP10, with potent human cardiac transfection capability. Using the Ai14 LoxP-Stop-LoxP-tdTomato reporter mouse model, we assessed 18:1 TAP10 LNP delivery of Cre mRNA in vivo via four administration routes (intravenous, intrathoracic, intracoronary, and intramyocardial (IM)) and found that each administration path enabled both the spatial distribution and cellular tropism in the heart to varying degrees. While all routes achieved robust transfection across non-CM populations (up to 40% in endothelial cells), IM injection notably enabled substantial CM transfection (36% at injection site, 13% distally). To demonstrate therapeutic potential, 18:1 TAP10 LNPs were used to deliver adenine base editor (ABE) components to Duchenne muscular dystrophy (DMD) patient-derived hiPSC-CMs, resulting in 80% on-target gene correction and restoration of dystrophin expression. In a humanized DMD mouse model, we observed dystrophin-positive cardiomyocytes in the injected left ventricle following IM administration of LNP-ABE. This work establishes a human cell-based platform for discovering organ-tropic delivery vehicles and highlights LNPs as a potential modality for therapeutic mRNA delivery and gene editing in the heart.</w:t>
      </w:r>
    </w:p>
    <w:p>
      <w:pPr>
        <w:spacing w:before="120" w:after="120"/>
      </w:pPr>
      <w:r>
        <w:rPr>
          <w:sz w:val="18"/>
        </w:rPr>
        <w:t>——————————————————————————————————————————————————————————————————————</w:t>
      </w:r>
    </w:p>
    <w:p>
      <w:pPr>
        <w:spacing w:before="160" w:after="40" w:line="240" w:lineRule="auto"/>
      </w:pPr>
      <w:r>
        <w:rPr>
          <w:b/>
        </w:rPr>
        <w:t xml:space="preserve">[91] </w:t>
      </w:r>
      <w:hyperlink r:id="rId385">
        <w:r>
          <w:rPr>
            <w:color w:val="1155CC"/>
            <w:u w:val="single"/>
          </w:rPr>
          <w:t>人类内在无序蛋白质组的功能图谱</w:t>
        </w:r>
      </w:hyperlink>
    </w:p>
    <w:p>
      <w:pPr>
        <w:spacing w:before="0" w:after="80"/>
      </w:pPr>
      <w:r>
        <w:rPr>
          <w:i/>
          <w:sz w:val="20"/>
        </w:rPr>
        <w:t>EN: A functional map of the human intrinsically disordered proteome</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86">
        <w:r>
          <w:rPr>
            <w:color w:val="1155CC"/>
            <w:u w:val="single"/>
          </w:rPr>
          <w:t>10.1073/pnas.2604562123</w:t>
        </w:r>
      </w:hyperlink>
    </w:p>
    <w:p>
      <w:pPr>
        <w:spacing w:before="0" w:after="120"/>
      </w:pPr>
      <w:r>
        <w:rPr>
          <w:b/>
        </w:rPr>
        <w:t xml:space="preserve">Notes: </w:t>
      </w:r>
      <w:r>
        <w:t>abstract_source=crossref</w:t>
      </w:r>
    </w:p>
    <w:p>
      <w:pPr>
        <w:spacing w:before="0" w:after="80" w:lineRule="auto" w:line="276"/>
      </w:pPr>
      <w:r>
        <w:rPr>
          <w:b/>
        </w:rPr>
        <w:t xml:space="preserve">摘要（ZH）: </w:t>
      </w:r>
      <w:r>
        <w:t>内在无序区 (IDRs) 至少占人类蛋白质组的三分之一，并挑战了既定的结构-功能范式。由于IDRs通常具有有限的位点序列保守性，因此使用标准生物信息学对IDRs进行功能分类通常是不可能的。在此，我们展示了IDRs进化保守的分子特征能够将人类无序蛋白质组 (IDRome) 聚类成一个具有强大功能富集性的图谱。我们量化了保守IDR特征与功能术语的相关性，并针对部分术语，提供了IDRs注释的全蛋白质组预测。此外，我们还表明，IDRs的保守特征可以预测蛋白质在不同生物分子凝聚体中的定位，并构成凝聚体相关IDRs中簇内连接性升高的基础，以及富集相互作用伙伴中的短线性基序结合域。我们重点介绍了功能未知无序蛋白中的保守模式，以及富集由疾病风险基因编码的蛋白质的簇。我们的人类IDR组图谱应成为一个宝贵的资源，有助于发现新的IDR生物学。</w:t>
      </w:r>
    </w:p>
    <w:p>
      <w:pPr>
        <w:spacing w:before="0" w:after="200" w:lineRule="auto" w:line="276"/>
      </w:pPr>
      <w:r>
        <w:rPr>
          <w:b/>
        </w:rPr>
        <w:t xml:space="preserve">Abstract (EN): </w:t>
      </w:r>
      <w:r>
        <w:t>Intrinsically disordered regions (IDRs) represent at least one-third of the human proteome and defy the established structure–function paradigm. Because IDRs often have limited positional sequence conservation, the functional classification of IDRs using standard bioinformatics is generally not possible. Here, we show that evolutionarily conserved molecular features of IDRs enable clustering of the human disordered proteome (IDRome) into a map with strong functional enrichments. We quantify how conserved IDR features correlate with functional terms and, for a subset of terms, provide proteome-wide predictions of annotations for IDRs. Further, we show that conserved features of IDRs can predict protein localization to different biomolecular condensates and underlie elevated intracluster connectivity in condensate-associated IDRs, as well as enrich for short-linear motif-binding domains among interaction partners. We highlight patterns of conservation in disordered proteins with unknown function and in clusters enriched for proteins encoded by disease-risk genes. Our map of the human IDR-ome should be a valuable resource that aids in the discovery of new IDR biology.</w:t>
      </w:r>
    </w:p>
    <w:p>
      <w:pPr>
        <w:spacing w:before="120" w:after="120"/>
      </w:pPr>
      <w:r>
        <w:rPr>
          <w:sz w:val="18"/>
        </w:rPr>
        <w:t>——————————————————————————————————————————————————————————————————————</w:t>
      </w:r>
    </w:p>
    <w:p>
      <w:pPr>
        <w:spacing w:before="160" w:after="40" w:line="240" w:lineRule="auto"/>
      </w:pPr>
      <w:r>
        <w:rPr>
          <w:b/>
        </w:rPr>
        <w:t xml:space="preserve">[92] </w:t>
      </w:r>
      <w:hyperlink r:id="rId387">
        <w:r>
          <w:rPr>
            <w:color w:val="1155CC"/>
            <w:u w:val="single"/>
          </w:rPr>
          <w:t>LGI1自身抗体对人CA3锥体神经元的功能影响</w:t>
        </w:r>
      </w:hyperlink>
    </w:p>
    <w:p>
      <w:pPr>
        <w:spacing w:before="0" w:after="80"/>
      </w:pPr>
      <w:r>
        <w:rPr>
          <w:i/>
          <w:sz w:val="20"/>
        </w:rPr>
        <w:t>EN: The functional impact of LGI1 autoantibodies on human CA3 pyramidal neurons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88">
        <w:r>
          <w:rPr>
            <w:color w:val="1155CC"/>
            <w:u w:val="single"/>
          </w:rPr>
          <w:t>10.1073/pnas.2510121123</w:t>
        </w:r>
      </w:hyperlink>
    </w:p>
    <w:p>
      <w:pPr>
        <w:spacing w:before="0" w:after="120"/>
      </w:pPr>
      <w:r>
        <w:rPr>
          <w:b/>
        </w:rPr>
        <w:t xml:space="preserve">Notes: </w:t>
      </w:r>
      <w:r>
        <w:t>abstract_source=crossref</w:t>
      </w:r>
    </w:p>
    <w:p>
      <w:pPr>
        <w:spacing w:before="0" w:after="80" w:lineRule="auto" w:line="276"/>
      </w:pPr>
      <w:r>
        <w:rPr>
          <w:b/>
        </w:rPr>
        <w:t xml:space="preserve">摘要（ZH）: </w:t>
      </w:r>
      <w:r>
        <w:t>抗富亮氨酸胶质瘤失活蛋白1 (LGI1) 自身抗体导致边缘脑炎，这是一种罕见的神经系统自身免疫性疾病，其特征是面臂肌张力障碍性癫痫发作和记忆障碍。虽然动物模型为LGI1自身抗体作用机制提供了宝贵的见解，但缺乏物种特异性证实。在本研究中，我们利用培养的离体人海马切片，研究了患者来源的LGI1单克隆抗体 (LGI1 mAb) 对CA3锥体神经元的影响，为在同源、临床相关的背景下研究疾病机制提供了一个独特的平台。在孵育条件下，人CA3神经元保持了其形态，具有内在兴奋性，并接收到幅度大、频率高的自发兴奋性电流，提示为“巨型”AMPA受体介导的电流。在暴露于LGI1 mAb的切片中，人CA3锥体神经元显示出动作电位 (AP) 触发频率增加，这与K</w:t>
      </w:r>
      <w:r>
        <w:t xml:space="preserve"> </w:t>
      </w:r>
      <w:r>
        <w:t>v</w:t>
      </w:r>
      <w:r>
        <w:t xml:space="preserve"> </w:t>
      </w:r>
      <w:r>
        <w:t>1.1通道阻滞剂树突毒素-K (DTX-K) 观察到的效果相似。这种增加可能源于轴突起始段K</w:t>
      </w:r>
      <w:r>
        <w:t xml:space="preserve"> </w:t>
      </w:r>
      <w:r>
        <w:t>v</w:t>
      </w:r>
      <w:r>
        <w:t xml:space="preserve"> </w:t>
      </w:r>
      <w:r>
        <w:t>1.1通道活性的降低，如AP特性改变所表明，包括阈值电流下的尖峰潜伏期和去极化斜坡斜率。LGI1 mAb和DTX-K对某些AP特性的影响差异表明了不同的作用机制，并强调了进一步探索下游通路的必要性。我们的发现强调了物种特异性的重要性</w:t>
      </w:r>
    </w:p>
    <w:p>
      <w:pPr>
        <w:spacing w:before="0" w:after="200" w:lineRule="auto" w:line="276"/>
      </w:pPr>
      <w:r>
        <w:rPr>
          <w:b/>
        </w:rPr>
        <w:t xml:space="preserve">Abstract (EN): </w:t>
      </w:r>
      <w:r>
        <w:t>Autoantibodies against leucine-rich glioma inactivated 1 protein (LGI1) lead to limbic encephalitis, a rare neurological autoimmune disorder characterized by faciobrachial dystonic seizures and memory deficits. While animal models provide precious insights into the mechanisms of LGI1 autoantibody action, species-specific confirmation is lacking. In this study, we investigated the effects of patient-derived LGI1 monoclonal antibodies (LGI1 mAb) on CA3 pyramidal neurons using cultured ex vivo human hippocampal slices, providing a unique platform to study disease mechanisms in a homologous, clinically relevant context. Under incubation conditions, human CA3 neurons preserved their morphology, were intrinsically excitable and received spontaneous excitatory currents with large amplitudes and frequencies suggestive of “giant” AMPA receptor-mediated currents. In slices exposed to LGI1 mAb, human CA3 pyramidal neurons displayed increased action potential (AP) firing frequency, mirroring the effects observed with the K</w:t>
      </w:r>
      <w:r>
        <w:t xml:space="preserve"> </w:t>
      </w:r>
      <w:r>
        <w:t>v</w:t>
      </w:r>
      <w:r>
        <w:t xml:space="preserve"> </w:t>
      </w:r>
      <w:r>
        <w:t>1.1 channel blocker dendrotoxin-K (DTX-K). This increase likely resulted from a decreased K</w:t>
      </w:r>
      <w:r>
        <w:t xml:space="preserve"> </w:t>
      </w:r>
      <w:r>
        <w:t>v</w:t>
      </w:r>
      <w:r>
        <w:t xml:space="preserve"> </w:t>
      </w:r>
      <w:r>
        <w:t>1.1 channel activity at the axonal initial segment, as indicated by alterations in AP properties, including spike latency at rheobase and depolarizing ramp slope. Differences between LGI1 mAb and DTX-K effects on some AP properties suggested distinct mechanisms of action and emphasized the need for further exploration of downstream pathways. Our findings underscore the importance of species-specific confirmatory studies of disease mechanisms and give insight into possibilities and limitations of human hippocampal slice cultures as a translational model for the investigation of disease mechanisms beyond epilepsy, including the effects of pharmacological compounds and autoantibodies.</w:t>
      </w:r>
    </w:p>
    <w:p>
      <w:pPr>
        <w:spacing w:before="120" w:after="120"/>
      </w:pPr>
      <w:r>
        <w:rPr>
          <w:sz w:val="18"/>
        </w:rPr>
        <w:t>——————————————————————————————————————————————————————————————————————</w:t>
      </w:r>
    </w:p>
    <w:p>
      <w:pPr>
        <w:spacing w:before="160" w:after="40" w:line="240" w:lineRule="auto"/>
      </w:pPr>
      <w:r>
        <w:rPr>
          <w:b/>
        </w:rPr>
        <w:t xml:space="preserve">[93] </w:t>
      </w:r>
      <w:hyperlink r:id="rId389">
        <w:r>
          <w:rPr>
            <w:color w:val="1155CC"/>
            <w:u w:val="single"/>
          </w:rPr>
          <w:t>对Corell-Escuin等人文章的勘误：皮肤杀菌素具有抗病毒活性并能抵抗流感</w:t>
        </w:r>
      </w:hyperlink>
    </w:p>
    <w:p>
      <w:pPr>
        <w:spacing w:before="0" w:after="80"/>
      </w:pPr>
      <w:r>
        <w:rPr>
          <w:i/>
          <w:sz w:val="20"/>
        </w:rPr>
        <w:t>EN: Correction for Corell-Escuin et al., Dermcidin has antiviral activity and protects against influenza</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90">
        <w:r>
          <w:rPr>
            <w:color w:val="1155CC"/>
            <w:u w:val="single"/>
          </w:rPr>
          <w:t>10.1073/pnas.2613956123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 </w:t>
      </w:r>
      <w:hyperlink r:id="rId391">
        <w:r>
          <w:rPr>
            <w:color w:val="1155CC"/>
            <w:u w:val="single"/>
          </w:rPr>
          <w:t>ECgo：全光诱导大脑中单个内皮细胞损伤和毛细血管闭塞</w:t>
        </w:r>
      </w:hyperlink>
    </w:p>
    <w:p>
      <w:pPr>
        <w:spacing w:before="0" w:after="80"/>
      </w:pPr>
      <w:r>
        <w:rPr>
          <w:i/>
          <w:sz w:val="20"/>
        </w:rPr>
        <w:t>EN: ECgo: All-optical induction of single endothelial cell injury and capillary occlusion in the brain</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92">
        <w:r>
          <w:rPr>
            <w:color w:val="1155CC"/>
            <w:u w:val="single"/>
          </w:rPr>
          <w:t>10.1073/pnas.2513515123</w:t>
        </w:r>
      </w:hyperlink>
    </w:p>
    <w:p>
      <w:pPr>
        <w:spacing w:before="0" w:after="120"/>
      </w:pPr>
      <w:r>
        <w:rPr>
          <w:b/>
        </w:rPr>
        <w:t xml:space="preserve">Notes: </w:t>
      </w:r>
      <w:r>
        <w:t>abstract_source=crossref</w:t>
      </w:r>
    </w:p>
    <w:p>
      <w:pPr>
        <w:spacing w:before="0" w:after="80" w:lineRule="auto" w:line="276"/>
      </w:pPr>
      <w:r>
        <w:rPr>
          <w:b/>
        </w:rPr>
        <w:t xml:space="preserve">摘要（ZH）: </w:t>
      </w:r>
      <w:r>
        <w:t>在小鼠大脑中高空间精度诱导内皮细胞 (EC) 损伤的能力，对于脑毛细血管损伤和修复的机制研究具有无价的价值。在此，我们介绍了一种光学方法，称为内皮细胞引导消融 (ECgo)，该方法利用双光子可激发卟啉基光敏剂 (</w:t>
      </w:r>
      <w:r>
        <w:t xml:space="preserve"> </w:t>
      </w:r>
      <w:r>
        <w:t>Ps2P</w:t>
      </w:r>
      <w:r>
        <w:t xml:space="preserve"> </w:t>
      </w:r>
      <w:r>
        <w:t>) 选择性地消融脑微血管网络中的单个EC。利用所开发的方法，我们能够以高时空控制诱导单个毛细血管闭塞，同时保留周围组织。结合纵向双光子成像，ECgo使得在健康和疾病条件下，体内靶向单个毛细血管EC损伤的形态学和功能后果研究成为可能。</w:t>
      </w:r>
    </w:p>
    <w:p>
      <w:pPr>
        <w:spacing w:before="0" w:after="200" w:lineRule="auto" w:line="276"/>
      </w:pPr>
      <w:r>
        <w:rPr>
          <w:b/>
        </w:rPr>
        <w:t xml:space="preserve">Abstract (EN): </w:t>
      </w:r>
      <w:r>
        <w:t>The ability to induce endothelial cell (EC) damage in the mouse brain with high spatial precision is invaluable for mechanistic studies of brain capillary injury and repair. Here, we introduce an optical method, termed Endothelial Cell guided obliteration (ECgo), that utilizes a two-photon-excitable porphyrin-based photosensitizer (</w:t>
      </w:r>
      <w:r>
        <w:t xml:space="preserve"> </w:t>
      </w:r>
      <w:r>
        <w:t>Ps2P</w:t>
      </w:r>
      <w:r>
        <w:t xml:space="preserve"> </w:t>
      </w:r>
      <w:r>
        <w:t>) to selectively obliterate single ECs within the brain microvascular network. Using the developed approach, we were able to induce occlusions of single capillaries with high spatiotemporal control, while preserving the surrounding tissue. Combined with longitudinal two-photon imaging, ECgo enables studies of morphological and functional consequences of targeted single capillary EC injury in vivo under healthy and diseased conditions.</w:t>
      </w:r>
    </w:p>
    <w:p>
      <w:pPr>
        <w:spacing w:before="120" w:after="120"/>
      </w:pPr>
      <w:r>
        <w:rPr>
          <w:sz w:val="18"/>
        </w:rPr>
        <w:t>——————————————————————————————————————————————————————————————————————</w:t>
      </w:r>
    </w:p>
    <w:p>
      <w:pPr>
        <w:spacing w:before="160" w:after="40" w:line="240" w:lineRule="auto"/>
      </w:pPr>
      <w:r>
        <w:rPr>
          <w:b/>
        </w:rPr>
        <w:t xml:space="preserve">[95] </w:t>
      </w:r>
      <w:hyperlink r:id="rId393">
        <w:r>
          <w:rPr>
            <w:color w:val="1155CC"/>
            <w:u w:val="single"/>
          </w:rPr>
          <w:t>对Zhang等人文章的勘误：跨多个属的弹状病毒保守使用四次跨膜蛋白CD9作为进入受体</w:t>
        </w:r>
      </w:hyperlink>
    </w:p>
    <w:p>
      <w:pPr>
        <w:spacing w:before="0" w:after="80"/>
      </w:pPr>
      <w:r>
        <w:rPr>
          <w:i/>
          <w:sz w:val="20"/>
        </w:rPr>
        <w:t>EN: Correction for Zhang et al., Conserved use of tetraspanin CD9 as an entry receptor by rhabdoviruses spanning multiple genera</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94">
        <w:r>
          <w:rPr>
            <w:color w:val="1155CC"/>
            <w:u w:val="single"/>
          </w:rPr>
          <w:t>10.1073/pnas.2614621123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 </w:t>
      </w:r>
      <w:hyperlink r:id="rId395">
        <w:r>
          <w:rPr>
            <w:color w:val="1155CC"/>
            <w:u w:val="single"/>
          </w:rPr>
          <w:t>对Sava-Segal等人文章的勘误：叙事“转折”改变可分离故事特征的个体内神经表征</w:t>
        </w:r>
      </w:hyperlink>
    </w:p>
    <w:p>
      <w:pPr>
        <w:spacing w:before="0" w:after="80"/>
      </w:pPr>
      <w:r>
        <w:rPr>
          <w:i/>
          <w:sz w:val="20"/>
        </w:rPr>
        <w:t>EN: Correction for Sava-Segal et al., Narrative “twist” shifts within-individual neural representations of dissociable story features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96">
        <w:r>
          <w:rPr>
            <w:color w:val="1155CC"/>
            <w:u w:val="single"/>
          </w:rPr>
          <w:t>10.1073/pnas.2614323123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[97] </w:t>
      </w:r>
      <w:hyperlink r:id="rId397">
        <w:r>
          <w:rPr>
            <w:color w:val="1155CC"/>
            <w:u w:val="single"/>
          </w:rPr>
          <w:t>囚徒困境中因对手特异性反应而出现的合作</w:t>
        </w:r>
      </w:hyperlink>
    </w:p>
    <w:p>
      <w:pPr>
        <w:spacing w:before="0" w:after="80"/>
      </w:pPr>
      <w:r>
        <w:rPr>
          <w:i/>
          <w:sz w:val="20"/>
        </w:rPr>
        <w:t>EN: Emergence of cooperation due to opponent-specific responses in Prisoner’s Dilemma</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398">
        <w:r>
          <w:rPr>
            <w:color w:val="1155CC"/>
            <w:u w:val="single"/>
          </w:rPr>
          <w:t>10.1073/pnas.2513282123</w:t>
        </w:r>
      </w:hyperlink>
    </w:p>
    <w:p>
      <w:pPr>
        <w:spacing w:before="0" w:after="120"/>
      </w:pPr>
      <w:r>
        <w:rPr>
          <w:b/>
        </w:rPr>
        <w:t xml:space="preserve">Notes: </w:t>
      </w:r>
      <w:r>
        <w:t>abstract_source=crossref</w:t>
      </w:r>
    </w:p>
    <w:p>
      <w:pPr>
        <w:spacing w:before="0" w:after="80" w:lineRule="auto" w:line="276"/>
      </w:pPr>
      <w:r>
        <w:rPr>
          <w:b/>
        </w:rPr>
        <w:t xml:space="preserve">摘要（ZH）: </w:t>
      </w:r>
      <w:r>
        <w:t>没有生物组织各个层面的合作，复杂生命将不可能存在。然而，达尔文选择通常被认为有利于自私行为，使合作者社会容易受到欺骗者的侵害。这种行为的典型模型是囚徒困境博弈，在其中，欺骗者总是获胜，尽管合作会带来更大的回报。已经提出了许多情景，允许在限制性环境中合作的演化，这些情景假设遗传亲属之间的利他主义，探索直接和间接互惠机制，关注群体间的竞争，或对种群施加空间结构。很难想象这些情景如何解释在缺乏复杂评估机制且没有空间限制的生物种群中合作的演化。在此，我们证明在囚徒困境博弈中，无需引入关于遗传亲缘关系、种群结构或明确互惠安排的任何额外假设，就可以实现高水平的合作。唯一的要求是合作意愿因对手而异，例如，根据对手的外貌和行为模式做出反应。这种机制需要在多次遭遇中持续识别对手。由于对手特异性反应而产生的合作演化可能是许多生物环境中唯一可用的机制，并可能成为更复杂合作模式的起点</w:t>
      </w:r>
    </w:p>
    <w:p>
      <w:pPr>
        <w:spacing w:before="0" w:after="200" w:lineRule="auto" w:line="276"/>
      </w:pPr>
      <w:r>
        <w:rPr>
          <w:b/>
        </w:rPr>
        <w:t xml:space="preserve">Abstract (EN): </w:t>
      </w:r>
      <w:r>
        <w:t>Complex life would be impossible without cooperation at all levels of biological organization. However, Darwinian selection is commonly believed to favor selfish behavior, making societies of cooperators vulnerable to cheaters. A quintessential model of this behavior is the game of Prisoner’s Dilemma in which cheaters always win, even though being cooperative results in greater rewards. Numerous scenarios have been proposed that allow for the evolution of cooperation in restrictive settings that postulate altruism between genetic relatives, explore mechanisms of direct and indirect reciprocity, focus on competition between groups, or impose spatial structure on the population. It is difficult to imagine how these scenarios would account for the evolution of cooperation in populations of organisms that lack sophisticated assessment mechanisms and have no spatial constraints. Here we demonstrate that it is possible to achieve high levels of cooperativity in the game of Prisoner’s Dilemma without introducing any additional assumptions about genetic relatedness, population structure, or explicit reciprocal arrangements. The only requirement is that the willingness to cooperate varies depending on the opponent, for example in response to the opponent’s physical appearance and patterns of behavior. This mechanism requires consistent opponent recognition during multiple encounters. Evolution of cooperativity due to opponent-specific responses may be the only available mechanism in many biological settings and may serve as a starting point for more sophisticated modes of cooperation observed in animal and human societies.</w:t>
      </w:r>
    </w:p>
    <w:p>
      <w:pPr>
        <w:spacing w:before="120" w:after="120"/>
      </w:pPr>
      <w:r>
        <w:rPr>
          <w:sz w:val="18"/>
        </w:rPr>
        <w:t>——————————————————————————————————————————————————————————————————————</w:t>
      </w:r>
    </w:p>
    <w:p>
      <w:pPr>
        <w:spacing w:before="160" w:after="40" w:line="240" w:lineRule="auto"/>
      </w:pPr>
      <w:r>
        <w:rPr>
          <w:b/>
        </w:rPr>
        <w:t xml:space="preserve">[98] </w:t>
      </w:r>
      <w:hyperlink r:id="rId399">
        <w:r>
          <w:rPr>
            <w:color w:val="1155CC"/>
            <w:u w:val="single"/>
          </w:rPr>
          <w:t>回复Zadegan等人：空间依赖性是真实的，但并非所有校正都适用</w:t>
        </w:r>
      </w:hyperlink>
    </w:p>
    <w:p>
      <w:pPr>
        <w:spacing w:before="0" w:after="80"/>
      </w:pPr>
      <w:r>
        <w:rPr>
          <w:i/>
          <w:sz w:val="20"/>
        </w:rPr>
        <w:t>EN: Reply to Zadegan et al.: Spatial dependence is real, but not every correction travels well</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00">
        <w:r>
          <w:rPr>
            <w:color w:val="1155CC"/>
            <w:u w:val="single"/>
          </w:rPr>
          <w:t>10.1073/pnas.2613518123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[99] </w:t>
      </w:r>
      <w:hyperlink r:id="rId401">
        <w:r>
          <w:rPr>
            <w:color w:val="1155CC"/>
            <w:u w:val="single"/>
          </w:rPr>
          <w:t>HIV-1 Vif依赖性SUMO化调节病毒RNA剪接</w:t>
        </w:r>
      </w:hyperlink>
    </w:p>
    <w:p>
      <w:pPr>
        <w:spacing w:before="0" w:after="80"/>
      </w:pPr>
      <w:r>
        <w:rPr>
          <w:i/>
          <w:sz w:val="20"/>
        </w:rPr>
        <w:t>EN: HIV-1 Vif–dependent SUMOylation regulates viral RNA splicing</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02">
        <w:r>
          <w:rPr>
            <w:color w:val="1155CC"/>
            <w:u w:val="single"/>
          </w:rPr>
          <w:t>10.1073/pnas.2611974123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[100] </w:t>
      </w:r>
      <w:hyperlink r:id="rId403">
        <w:r>
          <w:rPr>
            <w:color w:val="1155CC"/>
            <w:u w:val="single"/>
          </w:rPr>
          <w:t>拉丁裔人群健康研究的背景化：对Goldman和Pebley的评论</w:t>
        </w:r>
      </w:hyperlink>
    </w:p>
    <w:p>
      <w:pPr>
        <w:spacing w:before="0" w:after="80"/>
      </w:pPr>
      <w:r>
        <w:rPr>
          <w:i/>
          <w:sz w:val="20"/>
        </w:rPr>
        <w:t>EN: Contextualizing research on Latino population health: Commentary on Goldman and Pebley</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04">
        <w:r>
          <w:rPr>
            <w:color w:val="1155CC"/>
            <w:u w:val="single"/>
          </w:rPr>
          <w:t>10.1073/pnas.2610118123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[101] </w:t>
      </w:r>
      <w:hyperlink r:id="rId405">
        <w:r>
          <w:rPr>
            <w:color w:val="1155CC"/>
            <w:u w:val="single"/>
          </w:rPr>
          <w:t>回复Guido等人：可信度在外展干预中的重要性</w:t>
        </w:r>
      </w:hyperlink>
    </w:p>
    <w:p>
      <w:pPr>
        <w:spacing w:before="0" w:after="80"/>
      </w:pPr>
      <w:r>
        <w:rPr>
          <w:i/>
          <w:sz w:val="20"/>
        </w:rPr>
        <w:t>EN: Reply to Guido et al.: The importance of credibility in outreach interventions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06">
        <w:r>
          <w:rPr>
            <w:color w:val="1155CC"/>
            <w:u w:val="single"/>
          </w:rPr>
          <w:t>10.1073/pnas.2609000123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[102] </w:t>
      </w:r>
      <w:hyperlink r:id="rId407">
        <w:r>
          <w:rPr>
            <w:color w:val="1155CC"/>
            <w:u w:val="single"/>
          </w:rPr>
          <w:t>Maynard Smith的类比，已实现：共同祖先限制蛋白质空间中的进化渗透</w:t>
        </w:r>
      </w:hyperlink>
    </w:p>
    <w:p>
      <w:pPr>
        <w:spacing w:before="0" w:after="80"/>
      </w:pPr>
      <w:r>
        <w:rPr>
          <w:i/>
          <w:sz w:val="20"/>
        </w:rPr>
        <w:t>EN: Maynard Smith’s analogy, realized: Common ancestry constrains evolutionary percolation through protein space</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08">
        <w:r>
          <w:rPr>
            <w:color w:val="1155CC"/>
            <w:u w:val="single"/>
          </w:rPr>
          <w:t>10.1073/pnas.2610113123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[103] </w:t>
      </w:r>
      <w:hyperlink r:id="rId409">
        <w:r>
          <w:rPr>
            <w:color w:val="1155CC"/>
            <w:u w:val="single"/>
          </w:rPr>
          <w:t>IglF介导VI型分泌系统刺突组装并促进弗朗西斯菌毒力</w:t>
        </w:r>
      </w:hyperlink>
    </w:p>
    <w:p>
      <w:pPr>
        <w:spacing w:before="0" w:after="80"/>
      </w:pPr>
      <w:r>
        <w:rPr>
          <w:i/>
          <w:sz w:val="20"/>
        </w:rPr>
        <w:t>EN: IglF mediates type VI secretion system spike assembly and promotes Francisella virulence</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10">
        <w:r>
          <w:rPr>
            <w:color w:val="1155CC"/>
            <w:u w:val="single"/>
          </w:rPr>
          <w:t>10.1073/pnas.2530804123</w:t>
        </w:r>
      </w:hyperlink>
    </w:p>
    <w:p>
      <w:pPr>
        <w:spacing w:before="0" w:after="120"/>
      </w:pPr>
      <w:r>
        <w:rPr>
          <w:b/>
        </w:rPr>
        <w:t xml:space="preserve">Notes: </w:t>
      </w:r>
      <w:r>
        <w:t>abstract_source=crossref</w:t>
      </w:r>
    </w:p>
    <w:p>
      <w:pPr>
        <w:spacing w:before="0" w:after="80" w:lineRule="auto" w:line="276"/>
      </w:pPr>
      <w:r>
        <w:rPr>
          <w:b/>
        </w:rPr>
        <w:t xml:space="preserve">摘要（ZH）: </w:t>
      </w:r>
      <w:r>
        <w:t>VI型分泌系统 (T6SS) 广泛分布于革兰氏阴性菌中，主要作用是促进细菌战。法兰西斯菌属 (Francisella) 细菌拥有的T6SS在系统发育上与其他所有T6SS分化，构成T6SSii亚型。土拉弗朗西斯菌 (Francisella tularensis) 是兔热病的病原体，它依赖其T6SS将效应物分泌到宿主细胞中。尽管这种纳米机器在法兰西斯菌毒力中起着关键作用，但T6SSii的结构及其组装机制仍知之甚少。在此，我们使用新型法兰西斯菌 (Francisella novicida)，重点研究了刺突的结构和组装，刺突是连接效应物递送和膜穿刺活性的最顶端T6SS复合体。我们解析了功能未知蛋白IglF与T6SSii PAAR蛋白IglG的N末端结构域复合体的结构。IglF和IglG之间的相互作用使得成熟的T6SS刺突复合体能够在法兰西斯菌和异源表达系统中组装。相反，破坏IglF:IglG相互作用会阻止PAAR蛋白与中央刺突复合体的组装，并使T6SS组装失效，这通过监测T6SS动力学或分泌得以证实。因此，IglF:IglG相互作用对于F. novicida在体外和兔热病小鼠模型中的毒力是必需的。综上所述，我们的研究</w:t>
      </w:r>
    </w:p>
    <w:p>
      <w:pPr>
        <w:spacing w:before="0" w:after="200" w:lineRule="auto" w:line="276"/>
      </w:pPr>
      <w:r>
        <w:rPr>
          <w:b/>
        </w:rPr>
        <w:t xml:space="preserve">Abstract (EN): </w:t>
      </w:r>
      <w:r>
        <w:t>Type VI secretion systems (T6SSs) are widely distributed among Gram-negative bacteria, where they mostly act to promote bacterial warfare. Bacteria from the</w:t>
      </w:r>
      <w:r>
        <w:t xml:space="preserve"> </w:t>
      </w:r>
      <w:r>
        <w:t>Francisella</w:t>
      </w:r>
      <w:r>
        <w:t xml:space="preserve"> </w:t>
      </w:r>
      <w:r>
        <w:t>genus possess T6SSs that phylogenetically diverge from all other T6SSs and constitute the T6SSii subtype.</w:t>
      </w:r>
      <w:r>
        <w:t xml:space="preserve"> </w:t>
      </w:r>
      <w:r>
        <w:t>Francisella</w:t>
      </w:r>
      <w:r>
        <w:t xml:space="preserve"> </w:t>
      </w:r>
      <w:r>
        <w:t>tularensis, the agent of tularemia, relies on its T6SS to secrete effectors into host cells. Despite the key role of this nanomachine in</w:t>
      </w:r>
      <w:r>
        <w:t xml:space="preserve"> </w:t>
      </w:r>
      <w:r>
        <w:t>Francisella</w:t>
      </w:r>
      <w:r>
        <w:t xml:space="preserve"> </w:t>
      </w:r>
      <w:r>
        <w:t>virulence, the structure of T6SSii and the mechanism underlying its assembly are still poorly understood. Here, using</w:t>
      </w:r>
      <w:r>
        <w:t xml:space="preserve"> </w:t>
      </w:r>
      <w:r>
        <w:t>Francisella novicida</w:t>
      </w:r>
      <w:r>
        <w:t xml:space="preserve"> </w:t>
      </w:r>
      <w:r>
        <w:t>, we focused on understanding the structure and assembly of the spike, the most apical T6SS complex coupling effector delivery and membrane-puncturing activity. We solved the structure of the protein of unknown function, IglF, in complex with the N-terminal domain of IglG, the T6SSii PAAR protein. Interaction between IglF and IglG enabled the assembly of a mature T6SS spike complex both in</w:t>
      </w:r>
      <w:r>
        <w:t xml:space="preserve"> </w:t>
      </w:r>
      <w:r>
        <w:t>Francisella</w:t>
      </w:r>
      <w:r>
        <w:t xml:space="preserve"> </w:t>
      </w:r>
      <w:r>
        <w:t>and in a heterologous expression system. In contrast, disrupting IglF:IglG interactions prevented assembly of the PAAR protein with the central spike complex and invalidated T6SS assembly, as visualized by monitoring T6SS dynamics or secretion. Accordingly, IglF:IglG interactions were required for</w:t>
      </w:r>
      <w:r>
        <w:t xml:space="preserve"> </w:t>
      </w:r>
      <w:r>
        <w:t>F. novicida</w:t>
      </w:r>
      <w:r>
        <w:t xml:space="preserve"> </w:t>
      </w:r>
      <w:r>
        <w:t>virulence in vitro and in a mouse model of tularemia. Altogether, our findings shed light on the assembly mechanism of the</w:t>
      </w:r>
      <w:r>
        <w:t xml:space="preserve"> </w:t>
      </w:r>
      <w:r>
        <w:t>Francisella</w:t>
      </w:r>
      <w:r>
        <w:t xml:space="preserve"> </w:t>
      </w:r>
      <w:r>
        <w:t>T6SSii spike complex and its importance in virulence.</w:t>
      </w:r>
    </w:p>
    <w:p>
      <w:pPr>
        <w:spacing w:before="120" w:after="120"/>
      </w:pPr>
      <w:r>
        <w:rPr>
          <w:sz w:val="18"/>
        </w:rPr>
        <w:t>——————————————————————————————————————————————————————————————————————</w:t>
      </w:r>
    </w:p>
    <w:p>
      <w:pPr>
        <w:spacing w:before="160" w:after="40" w:line="240" w:lineRule="auto"/>
      </w:pPr>
      <w:r>
        <w:rPr>
          <w:b/>
        </w:rPr>
        <w:t xml:space="preserve">[104] </w:t>
      </w:r>
      <w:hyperlink r:id="rId411">
        <w:r>
          <w:rPr>
            <w:color w:val="1155CC"/>
            <w:u w:val="single"/>
          </w:rPr>
          <w:t>hiPSC上皮类皮质体的可逆超变形性</w:t>
        </w:r>
      </w:hyperlink>
    </w:p>
    <w:p>
      <w:pPr>
        <w:spacing w:before="0" w:after="80"/>
      </w:pPr>
      <w:r>
        <w:rPr>
          <w:i/>
          <w:sz w:val="20"/>
        </w:rPr>
        <w:t>EN: Reversible superdeformability of hiPSC epithelial cortinoids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12">
        <w:r>
          <w:rPr>
            <w:color w:val="1155CC"/>
            <w:u w:val="single"/>
          </w:rPr>
          <w:t>10.1073/pnas.2528603123</w:t>
        </w:r>
      </w:hyperlink>
    </w:p>
    <w:p>
      <w:pPr>
        <w:spacing w:before="0" w:after="120"/>
      </w:pPr>
      <w:r>
        <w:rPr>
          <w:b/>
        </w:rPr>
        <w:t xml:space="preserve">Notes: </w:t>
      </w:r>
      <w:r>
        <w:t>abstract_source=crossref</w:t>
      </w:r>
    </w:p>
    <w:p>
      <w:pPr>
        <w:spacing w:before="0" w:after="80" w:lineRule="auto" w:line="276"/>
      </w:pPr>
      <w:r>
        <w:rPr>
          <w:b/>
        </w:rPr>
        <w:t xml:space="preserve">摘要（ZH）: </w:t>
      </w:r>
      <w:r>
        <w:t>上皮类皮质体是诱导多能干细胞 (iPSC) 形成的充满液体的壳，在生长和形态发生过程中必须适应大的变形。通过充气-放气实验和高分辨率成像，我们发现这些充满液体的壳是弱加压的，并通过细胞骨架适应的可逆软变形模式实现极高的可变形性。我们发现，沿细胞侧边缘定位的肌动蛋白等细胞骨架元件会发生倾斜和弯曲不稳定性，通过将顶基拉伸与侧向延伸解耦来缓冲机械载荷。这些可逆不稳定性充当弹性安全阀，允许大的形状变化而不会丧失上皮的水力学和拓扑完整性。一个最小的理论和计算模型演示了倾斜和弯曲如何降低对径向变薄的有效抵抗力，并解释了观察到的压力-应变软化现象。因此，iPSC壳利用可逆的细胞骨架不稳定性作为机械缓冲器，使发育中的上皮能够强大地耐受大变形。</w:t>
      </w:r>
    </w:p>
    <w:p>
      <w:pPr>
        <w:spacing w:before="0" w:after="200" w:lineRule="auto" w:line="276"/>
      </w:pPr>
      <w:r>
        <w:rPr>
          <w:b/>
        </w:rPr>
        <w:t xml:space="preserve">Abstract (EN): </w:t>
      </w:r>
      <w:r>
        <w:t>Epithelial cortinoids, fluid-filled shells formed from induced pluripotent stem cells (iPSCs), must accommodate large deformations during growth and morphogenesis. Using inflation–deflation assays and high-resolution imaging, we find that these fluid-filled shells are weakly pressurized and achieve extreme deformability through reversible soft modes of deformation accommodated by the cytoskeleton. We show that cytoskeletal elements such as actin localized along lateral cell edges undergo tilt and bend instabilities that buffer mechanical load by decoupling apico–basal stretching from lateral extension. These reversible instabilities act as elastic safety valves, permitting large shape changes without loss of epithelial hydraulic and topological integrity. A minimal theoretical and computational model demonstrates how tilt and bend reduce effective resistance to radial thinning and explains the observed pressure–strain softening. Thus, iPSC shells exploit reversible cytoskeletal instabilities as mechanical buffers, enabling robust tolerance of large deformations in developing epithelia.</w:t>
      </w:r>
    </w:p>
    <w:p>
      <w:pPr>
        <w:spacing w:before="120" w:after="120"/>
      </w:pPr>
      <w:r>
        <w:rPr>
          <w:sz w:val="18"/>
        </w:rPr>
        <w:t>——————————————————————————————————————————————————————————————————————</w:t>
      </w:r>
    </w:p>
    <w:p>
      <w:pPr>
        <w:spacing w:before="160" w:after="40" w:line="240" w:lineRule="auto"/>
      </w:pPr>
      <w:r>
        <w:rPr>
          <w:b/>
        </w:rPr>
        <w:t xml:space="preserve">[105] </w:t>
      </w:r>
      <w:hyperlink r:id="rId413">
        <w:r>
          <w:rPr>
            <w:color w:val="1155CC"/>
            <w:u w:val="single"/>
          </w:rPr>
          <w:t>利用光驱动组织中分子组合条形码标记的空间可调谐多组学测序</w:t>
        </w:r>
      </w:hyperlink>
    </w:p>
    <w:p>
      <w:pPr>
        <w:spacing w:before="0" w:after="80"/>
      </w:pPr>
      <w:r>
        <w:rPr>
          <w:i/>
          <w:sz w:val="20"/>
        </w:rPr>
        <w:t>EN: Spatially tunable multiomic sequencing using light-driven combinatorial barcoding of molecules in tissues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14">
        <w:r>
          <w:rPr>
            <w:color w:val="1155CC"/>
            <w:u w:val="single"/>
          </w:rPr>
          <w:t>10.1073/pnas.2527896123</w:t>
        </w:r>
      </w:hyperlink>
    </w:p>
    <w:p>
      <w:pPr>
        <w:spacing w:before="0" w:after="120"/>
      </w:pPr>
      <w:r>
        <w:rPr>
          <w:b/>
        </w:rPr>
        <w:t xml:space="preserve">Notes: </w:t>
      </w:r>
      <w:r>
        <w:t>abstract_source=crossref</w:t>
      </w:r>
    </w:p>
    <w:p>
      <w:pPr>
        <w:spacing w:before="0" w:after="80" w:lineRule="auto" w:line="276"/>
      </w:pPr>
      <w:r>
        <w:rPr>
          <w:b/>
        </w:rPr>
        <w:t xml:space="preserve">摘要（ZH）: </w:t>
      </w:r>
      <w:r>
        <w:t>绘制细胞在其空间背景下的分子身份和功能，是理解组织邻域内部和之间复杂相互作用的关键。最近，多种方法已实现细胞解剖学背景的空间分析，其中一些提供了单细胞分辨率。这些方法使用不同的条形码方案来编码目标分子的位置或身份。然而，所有这些技术都面临着空间分辨率、分析深度和可扩展性之间的权衡。在此，我们介绍了一种名为索引激活连接条形码 (BALI) 的方法，该方法利用光将组合空间分子条形码直接写入原位目标分子，从而通过下一代测序实现多组学分析。BALI的一个独特之处在于，用户可以定义要查询的空间位置的数量、大小、形状和分辨率，并有可能以亚细胞精度分析数百万个不同区域。作为概念验证，我们使用BALI从单个组织切片中捕获了小鼠大脑不同区域的转录组、染色质可及性或两者，结果与公开数据集高度一致。我们还开发了一种集成仪器，可自动在组织切片上写入组合条形码，从而实现高通量分析。因此，BALI结合了高空间分辨率、高</w:t>
      </w:r>
    </w:p>
    <w:p>
      <w:pPr>
        <w:spacing w:before="0" w:after="200" w:lineRule="auto" w:line="276"/>
      </w:pPr>
      <w:r>
        <w:rPr>
          <w:b/>
        </w:rPr>
        <w:t xml:space="preserve">Abstract (EN): </w:t>
      </w:r>
      <w:r>
        <w:t>Mapping the molecular identities and functions of cells within their spatial context is key to understanding the complex interplay within and between tissue neighborhoods. A wide range of methods have recently enabled spatial profiling of cellular anatomical contexts, some offering single-cell resolution. These use different barcoding schemes to encode either the location or the identity of target molecules. However, all these technologies face a trade-off between spatial resolution, depth of profiling, and scalability. Here, we present</w:t>
      </w:r>
      <w:r>
        <w:t xml:space="preserve"> </w:t>
      </w:r>
      <w:r>
        <w:t>B</w:t>
      </w:r>
      <w:r>
        <w:t xml:space="preserve"> </w:t>
      </w:r>
      <w:r>
        <w:t>arcoding by</w:t>
      </w:r>
      <w:r>
        <w:t xml:space="preserve"> </w:t>
      </w:r>
      <w:r>
        <w:t>A</w:t>
      </w:r>
      <w:r>
        <w:t xml:space="preserve"> </w:t>
      </w:r>
      <w:r>
        <w:t>ctivated</w:t>
      </w:r>
      <w:r>
        <w:t xml:space="preserve"> </w:t>
      </w:r>
      <w:r>
        <w:t>L</w:t>
      </w:r>
      <w:r>
        <w:t xml:space="preserve"> </w:t>
      </w:r>
      <w:r>
        <w:t>inkage of</w:t>
      </w:r>
      <w:r>
        <w:t xml:space="preserve"> </w:t>
      </w:r>
      <w:r>
        <w:t>I</w:t>
      </w:r>
      <w:r>
        <w:t xml:space="preserve"> </w:t>
      </w:r>
      <w:r>
        <w:t>ndexes (BALI), a method that uses light to write combinatorial spatial molecular barcodes directly onto target molecules in situ, enabling multiomic profiling by next generation sequencing. A unique feature of BALI is that the user can define the number, size, shape, and resolution of the spatial locations to be interrogated, with the potential to profile millions of distinct regions with subcellular precision. As a proof of concept, we used BALI to capture the transcriptome, chromatin accessibility, or both simultaneously, from distinct areas of the mouse brain in single tissue sections, demonstrating strong concordance with publicly available datasets. We also developed an integrated instrument that automates combinatorial barcode writing on tissue sections, enabling high-throughput profiling. BALI therefore combines high spatial resolution, high throughput, compatibility with standard histological pipelines, and workflow accessibility to enable tunable spatial multi-omic profiling.</w:t>
      </w:r>
    </w:p>
    <w:p>
      <w:pPr>
        <w:spacing w:before="120" w:after="120"/>
      </w:pPr>
      <w:r>
        <w:rPr>
          <w:sz w:val="18"/>
        </w:rPr>
        <w:t>——————————————————————————————————————————————————————————————————————</w:t>
      </w:r>
    </w:p>
    <w:p>
      <w:pPr>
        <w:spacing w:before="160" w:after="40" w:line="240" w:lineRule="auto"/>
      </w:pPr>
      <w:r>
        <w:rPr>
          <w:b/>
        </w:rPr>
        <w:t xml:space="preserve">[106] </w:t>
      </w:r>
      <w:hyperlink r:id="rId415">
        <w:r>
          <w:rPr>
            <w:color w:val="1155CC"/>
            <w:u w:val="single"/>
          </w:rPr>
          <w:t>深度学习预测揭示显著的蛋白质-碳水化合物相互作用</w:t>
        </w:r>
      </w:hyperlink>
    </w:p>
    <w:p>
      <w:pPr>
        <w:spacing w:before="0" w:after="80"/>
      </w:pPr>
      <w:r>
        <w:rPr>
          <w:i/>
          <w:sz w:val="20"/>
        </w:rPr>
        <w:t>EN: Predictions from deep learning propose substantial protein–carbohydrate interplay</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16">
        <w:r>
          <w:rPr>
            <w:color w:val="1155CC"/>
            <w:u w:val="single"/>
          </w:rPr>
          <w:t>10.1073/pnas.2523342123</w:t>
        </w:r>
      </w:hyperlink>
    </w:p>
    <w:p>
      <w:pPr>
        <w:spacing w:before="0" w:after="120"/>
      </w:pPr>
      <w:r>
        <w:rPr>
          <w:b/>
        </w:rPr>
        <w:t xml:space="preserve">Notes: </w:t>
      </w:r>
      <w:r>
        <w:t>abstract_source=crossref</w:t>
      </w:r>
    </w:p>
    <w:p>
      <w:pPr>
        <w:spacing w:before="0" w:after="80" w:lineRule="auto" w:line="276"/>
      </w:pPr>
      <w:r>
        <w:rPr>
          <w:b/>
        </w:rPr>
        <w:t xml:space="preserve">摘要（ZH）: </w:t>
      </w:r>
      <w:r>
        <w:t>蛋白质与碳水化合物（糖、聚糖）之间的非共价相互作用是生物功能（从代谢调节到细胞间识别）的基础。识别生物体中的蛋白质-碳水化合物相互作用组是一个巨大的挑战。直接实验需要大量的聚糖库来区分结合蛋白和非结合蛋白。计算筛选蛋白质的碳水化合物结合潜力提供了一种有吸引力的替代方案。目前估计，&lt;5%的蛋白质结合碳水化合物，这个数字尚未得到充分证实。因此，我们开发了一种神经网络，“碳水化合物蛋白质相互作用预测器”（PiCAP），用于预测蛋白质是否非共价结合碳水化合物。我们使用一个手动整理的数据集训练了PiCAP，该数据集包含已知的碳水化合物结合蛋白以及我们确定为可能不结合碳水化合物的蛋白质（转录因子、细胞骨架成分和小分子结合蛋白）。PiCAP在蛋白质水平的碳水化合物结合/非结合预测中达到了90%的平衡准确率。使用相同的数据集，我们开发了碳水化合物蛋白质位点识别器2 (CAPSIF2)，用于预测与碳水化合物非共价相互作用的蛋白质残基。CAPSIF2在我们的独立测试数据集上的残基水平预测中达到了0.57的Dice系数，优于以前的模型。为了证明这些模型的生物学适用性，我们研究了人类细胞表面蛋白质，并进一步预测了六种蛋白质中碳水化合物结合的可能性</w:t>
      </w:r>
    </w:p>
    <w:p>
      <w:pPr>
        <w:spacing w:before="0" w:after="200" w:lineRule="auto" w:line="276"/>
      </w:pPr>
      <w:r>
        <w:rPr>
          <w:b/>
        </w:rPr>
        <w:t xml:space="preserve">Abstract (EN): </w:t>
      </w:r>
      <w:r>
        <w:t>Noncovalent interaction between proteins and carbohydrates (sugars, glycans) is the basis for biological functions from metabolic regulation to intercellular recognition. It is a grand challenge to identify the protein–carbohydrate interactomes in organisms. Direct experiments would require extensive libraries of glycans to distinguish binding from nonbinding proteins. Computational screening of proteins for carbohydrate binding potential provides an attractive alternative. Current estimates propose that &amp;lt;5% of proteins bind carbohydrates, a number that is not well established. We therefore developed a neural network, “Protein interaction of Carbohydrates Predictor” (PiCAP), to predict whether a protein noncovalently binds to a carbohydrate. We trained PiCAP on a manually curated dataset of known carbohydrate binders and proteins that we identified as likely</w:t>
      </w:r>
      <w:r>
        <w:t xml:space="preserve"> </w:t>
      </w:r>
      <w:r>
        <w:t>not</w:t>
      </w:r>
      <w:r>
        <w:t xml:space="preserve"> </w:t>
      </w:r>
      <w:r>
        <w:t>to bind carbohydrates (transcription factors, cytoskeletal components, and small-molecule-binding proteins). PiCAP achieves 90% balanced accuracy on protein-level predictions of carbohydrate binding/nonbinding. Using the same datasets, we developed Carbohydrate Protein Site Identifier 2 (CAPSIF2) to predict protein residues that interact noncovalently with carbohydrates. CAPSIF2 achieves a Dice coefficient of 0.57 on residue-level predictions on our independent test dataset, outperforming previous models. To demonstrate the models’ biological applicability, we investigated human cell surface proteins and further predicted the likelihood of carbohydrate binding in six proteomes (</w:t>
      </w:r>
      <w:r>
        <w:t xml:space="preserve"> </w:t>
      </w:r>
      <w:r>
        <w:t>Escherichia coli</w:t>
      </w:r>
      <w:r>
        <w:t xml:space="preserve"> </w:t>
      </w:r>
      <w:r>
        <w:t>, Mus musculus, Homo sapiens, Saccharomyces cerevisiae, Caenorhabditis elegans, Drosophila melanogaster</w:t>
      </w:r>
      <w:r>
        <w:t xml:space="preserve"> </w:t>
      </w:r>
      <w:r>
        <w:t>). PiCAP predicts that ~35 to 40% of proteins in these proteomes bind carbohydrates, with 75% of extracellular and cell surface proteins predicted to bind. The PiCAP predicted binders are enriched for functions including growth factor receptor binding, inflammation, and cell–cell adhesion.</w:t>
      </w:r>
    </w:p>
    <w:p>
      <w:pPr>
        <w:spacing w:before="120" w:after="120"/>
      </w:pPr>
      <w:r>
        <w:rPr>
          <w:sz w:val="18"/>
        </w:rPr>
        <w:t>——————————————————————————————————————————————————————————————————————</w:t>
      </w:r>
    </w:p>
    <w:p>
      <w:pPr>
        <w:spacing w:before="160" w:after="40" w:line="240" w:lineRule="auto"/>
      </w:pPr>
      <w:r>
        <w:rPr>
          <w:b/>
        </w:rPr>
        <w:t xml:space="preserve">[107] </w:t>
      </w:r>
      <w:hyperlink r:id="rId417">
        <w:r>
          <w:rPr>
            <w:color w:val="1155CC"/>
            <w:u w:val="single"/>
          </w:rPr>
          <w:t>空气污染物排放减少导致的气溶胶掩蔽效应减弱在近期全球变暖加速（2013-2023年）中的作用</w:t>
        </w:r>
      </w:hyperlink>
    </w:p>
    <w:p>
      <w:pPr>
        <w:spacing w:before="0" w:after="80"/>
      </w:pPr>
      <w:r>
        <w:rPr>
          <w:i/>
          <w:sz w:val="20"/>
        </w:rPr>
        <w:t>EN: The role of reduced aerosol masking from air pollutant emission reductions in recent global warming acceleration (2013–2023)</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18">
        <w:r>
          <w:rPr>
            <w:color w:val="1155CC"/>
            <w:u w:val="single"/>
          </w:rPr>
          <w:t>10.1073/pnas.2534130123</w:t>
        </w:r>
      </w:hyperlink>
    </w:p>
    <w:p>
      <w:pPr>
        <w:spacing w:before="0" w:after="120"/>
      </w:pPr>
      <w:r>
        <w:rPr>
          <w:b/>
        </w:rPr>
        <w:t xml:space="preserve">Notes: </w:t>
      </w:r>
      <w:r>
        <w:t>abstract_source=crossref</w:t>
      </w:r>
    </w:p>
    <w:p>
      <w:pPr>
        <w:spacing w:before="0" w:after="80" w:lineRule="auto" w:line="276"/>
      </w:pPr>
      <w:r>
        <w:rPr>
          <w:b/>
        </w:rPr>
        <w:t xml:space="preserve">摘要（ZH）: </w:t>
      </w:r>
      <w:r>
        <w:t>近年来，地球可能经历了加速变暖的趋势，引发了人们对可能的影响因素日益增长的兴趣。从2013年到2023年，全球人为空气污染物排放量显著下降，带来了巨大的公共健康效益，但气溶胶对温室变暖的遮蔽作用减弱对近期趋势的贡献仍不确定。使用两个最先进的全球气候模型，我们表明2013-2023年期间全球空气污染物排放量的减少导致了0.16 W/m2（90% CI: 0.13至0.20）的全球有效辐射强迫，其中国际航运、中国和其他陆地区域分别贡献了0.05 W/m2（0.00至0.09）、0.07 W/m2（0.03至0.11）和0.05 W/m2（0.00至0.09）。国际航运对其排放量减少的辐射强迫贡献不成比例，突显了其高强迫效率。估计这些综合强迫在2013-2023年期间导致了0.044 °C（0.012至0.076）的升温，占相对于1970-2012年趋势观测到的变暖加速（0.084 °C/十年）的52%（14至90%）。在北太平洋地区发现了气溶胶-云相互作用的尤其显著的减少，这主要由东亚排放减少的下风向影响驱动。气溶胶去遮蔽效应导致了近期变暖的加速，并强调了准确量化空气污染物的重要性。</w:t>
      </w:r>
    </w:p>
    <w:p>
      <w:pPr>
        <w:spacing w:before="0" w:after="200" w:lineRule="auto" w:line="276"/>
      </w:pPr>
      <w:r>
        <w:rPr>
          <w:b/>
        </w:rPr>
        <w:t xml:space="preserve">Abstract (EN): </w:t>
      </w:r>
      <w:r>
        <w:t>In recent years, the Earth has likely experienced an accelerated warming trend, raising growing interest in the possible contributing factors. From 2013 to 2023, global anthropogenic air pollutant emissions declined significantly and brought enormous public health benefits, but the contribution of reduced aerosol masking of greenhouse warming to recent trends remains uncertain. Using two state-of-the-art global climate models, we show that global air pollutant emission reductions during 2013–2023 caused a global effective radiative forcing of 0.16 W/m</w:t>
      </w:r>
      <w:r>
        <w:rPr>
          <w:vertAlign w:val="subscript"/>
        </w:rPr>
        <w:t>2</w:t>
      </w:r>
      <w:r>
        <w:t>(90% CI: 0.13 to 0.20), with international shipping, China, and other land regions contributing 0.05 W/m</w:t>
      </w:r>
      <w:r>
        <w:rPr>
          <w:vertAlign w:val="subscript"/>
        </w:rPr>
        <w:t>2</w:t>
      </w:r>
      <w:r>
        <w:t>(0.00 to 0.09), 0.07 W/m</w:t>
      </w:r>
      <w:r>
        <w:rPr>
          <w:vertAlign w:val="subscript"/>
        </w:rPr>
        <w:t>2</w:t>
      </w:r>
      <w:r>
        <w:t>(0.03 to 0.11), and 0.05 W/m</w:t>
      </w:r>
      <w:r>
        <w:rPr>
          <w:vertAlign w:val="subscript"/>
        </w:rPr>
        <w:t>2</w:t>
      </w:r>
      <w:r>
        <w:t>(0.00 to 0.09), respectively. International shipping contributes disproportionately to radiative forcing relative to its emission reductions, highlighting its high forcing efficiency. The combined forcings are estimated to have contributed a warming of 0.044 °C (0.012 to 0.076) over 2013–2023, accounting for 52% (14 to 90%) of the observed warming acceleration (0.084 °C/decade) relative to the 1970–2012 trend. Especially strong reductions in aerosol–cloud interactions are found over the North Pacific, driven primarily by the downwind impacts of East Asian emission reductions. Aerosol unmasking contributes to the recent acceleration of warming and highlights the importance of accurately quantifying air pollutant emission changes for future climate projections.</w:t>
      </w:r>
    </w:p>
    <w:p>
      <w:pPr>
        <w:spacing w:before="120" w:after="120"/>
      </w:pPr>
      <w:r>
        <w:rPr>
          <w:sz w:val="18"/>
        </w:rPr>
        <w:t>——————————————————————————————————————————————————————————————————————</w:t>
      </w:r>
    </w:p>
    <w:p>
      <w:pPr>
        <w:spacing w:before="160" w:after="40" w:line="240" w:lineRule="auto"/>
      </w:pPr>
      <w:r>
        <w:rPr>
          <w:b/>
        </w:rPr>
        <w:t xml:space="preserve">[108] </w:t>
      </w:r>
      <w:hyperlink r:id="rId419">
        <w:r>
          <w:rPr>
            <w:color w:val="1155CC"/>
            <w:u w:val="single"/>
          </w:rPr>
          <w:t>位置依赖性反馈驱动形态发生素梯度的缩放和鲁棒性</w:t>
        </w:r>
      </w:hyperlink>
    </w:p>
    <w:p>
      <w:pPr>
        <w:spacing w:before="0" w:after="80"/>
      </w:pPr>
      <w:r>
        <w:rPr>
          <w:i/>
          <w:sz w:val="20"/>
        </w:rPr>
        <w:t>EN: Position-dependent feedback drives scaling and robustness of morphogen gradients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20">
        <w:r>
          <w:rPr>
            <w:color w:val="1155CC"/>
            <w:u w:val="single"/>
          </w:rPr>
          <w:t>10.1073/pnas.2521182123</w:t>
        </w:r>
      </w:hyperlink>
    </w:p>
    <w:p>
      <w:pPr>
        <w:spacing w:before="0" w:after="120"/>
      </w:pPr>
      <w:r>
        <w:rPr>
          <w:b/>
        </w:rPr>
        <w:t xml:space="preserve">Notes: </w:t>
      </w:r>
      <w:r>
        <w:t>abstract_source=crossref</w:t>
      </w:r>
    </w:p>
    <w:p>
      <w:pPr>
        <w:spacing w:before="0" w:after="80" w:lineRule="auto" w:line="276"/>
      </w:pPr>
      <w:r>
        <w:rPr>
          <w:b/>
        </w:rPr>
        <w:t xml:space="preserve">摘要（ZH）: </w:t>
      </w:r>
      <w:r>
        <w:t>发育模式形成对内在和外在变异具有显著的鲁棒性。形态发生素梯度是驱动模式形成的关键机制，它们本身通常与发育组织的大小成比例，并对其他扰动表现出鲁棒性。最新数据显示，被认为通过扩张-抑制（ER）反馈驱动形态发生素缩放的扩张分子，其浓度分布是位置依赖的。这挑战了目前公认的ER机制，该机制要求扩张分子浓度均匀且反馈与位置无关。为了调和这些观察结果，我们引入了一种ER基序，它支持在扩张分子浓度均匀和位置依赖的情况下实现形态发生素缩放。我们将缩放量化为位置的函数，并证明缩放的空间分布与对形态发生素产生扰动的鲁棒性高度相关。与在单一位置提供高水平缩放和鲁棒性的均匀扩张分子浓度不同，位置依赖的扩张分子浓度可以增强整个目标组织的缩放和鲁棒性。我们探讨了与扩张分子浓度动态范围相关的权衡，揭示了可以通过改变其动态范围来调整形态发生素梯度同时赋予缩放、鲁棒性和精度的位置。这些发现为发育系统如何在生物变异性下平衡相互竞争的需求以实现可重复的模式形成提供了见解。</w:t>
      </w:r>
    </w:p>
    <w:p>
      <w:pPr>
        <w:spacing w:before="0" w:after="200" w:lineRule="auto" w:line="276"/>
      </w:pPr>
      <w:r>
        <w:rPr>
          <w:b/>
        </w:rPr>
        <w:t xml:space="preserve">Abstract (EN): </w:t>
      </w:r>
      <w:r>
        <w:t>Developmental patterning is remarkably robust to intrinsic and extrinsic variation. Morphogen gradients are a key mechanism driving patterning, and themselves often scale with the size of developing tissues and exhibit robustness to other perturbations. Recent data indicate that expander molecules, thought to drive morphogen scaling through expansion-repression (ER) feedback, have concentration profiles that are position dependent. This challenges the currently accepted ER mechanism that requires uniform expander concentrations and position independent feedback. To reconcile these observations, we introduce an ER motif that supports morphogen scaling with both uniform and position-dependent expander concentrations. We quantify scaling as a function of position, and demonstrate that the spatial profiles of scaling and robustness to perturbations in morphogen production are highly correlated. In contrast to uniform expander concentrations that can confer high levels of scaling and robustness at a single position, position-dependent expander concentrations can enhance both scaling and robustness throughout the entire target tissue. We explore trade-offs associated with the dynamic range of the expander concentration, revealing that it can be varied to tune the locations where morphogen gradients confer scaling, robustness, and precision simultaneously. These findings offer insight into how developmental systems balance competing demands to achieve reproducible patterning despite biological variability.</w:t>
      </w:r>
    </w:p>
    <w:p>
      <w:pPr>
        <w:spacing w:before="120" w:after="120"/>
      </w:pPr>
      <w:r>
        <w:rPr>
          <w:sz w:val="18"/>
        </w:rPr>
        <w:t>——————————————————————————————————————————————————————————————————————</w:t>
      </w:r>
    </w:p>
    <w:p>
      <w:pPr>
        <w:spacing w:before="160" w:after="40" w:line="240" w:lineRule="auto"/>
      </w:pPr>
      <w:r>
        <w:rPr>
          <w:b/>
        </w:rPr>
        <w:t xml:space="preserve">[109] </w:t>
      </w:r>
      <w:hyperlink r:id="rId421">
        <w:r>
          <w:rPr>
            <w:color w:val="1155CC"/>
            <w:u w:val="single"/>
          </w:rPr>
          <w:t>具有兼容抗原的多价mRNA疫苗平台赋予抵抗正埃博拉病毒暴露的广谱保护</w:t>
        </w:r>
      </w:hyperlink>
    </w:p>
    <w:p>
      <w:pPr>
        <w:spacing w:before="0" w:after="80"/>
      </w:pPr>
      <w:r>
        <w:rPr>
          <w:i/>
          <w:sz w:val="20"/>
        </w:rPr>
        <w:t>EN: Multivalent mRNA vaccine platform with compatible antigens conferred broad-spectrum protection against orthoebolaviruses’ exposure</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22">
        <w:r>
          <w:rPr>
            <w:color w:val="1155CC"/>
            <w:u w:val="single"/>
          </w:rPr>
          <w:t>10.1073/pnas.2517814123</w:t>
        </w:r>
      </w:hyperlink>
    </w:p>
    <w:p>
      <w:pPr>
        <w:spacing w:before="0" w:after="120"/>
      </w:pPr>
      <w:r>
        <w:rPr>
          <w:b/>
        </w:rPr>
        <w:t xml:space="preserve">Notes: </w:t>
      </w:r>
      <w:r>
        <w:t>abstract_source=crossref</w:t>
      </w:r>
    </w:p>
    <w:p>
      <w:pPr>
        <w:spacing w:before="0" w:after="80" w:lineRule="auto" w:line="276"/>
      </w:pPr>
      <w:r>
        <w:rPr>
          <w:b/>
        </w:rPr>
        <w:t xml:space="preserve">摘要（ZH）: </w:t>
      </w:r>
      <w:r>
        <w:t>已确立了几种正埃博拉病毒，包括扎伊尔正埃博拉病毒 [对应埃博拉病毒 (EBOV)]、苏丹正埃博拉病毒 [对应苏丹病毒 (SUDV)] 和邦迪布焦正埃博拉病毒 [对应邦迪布焦病毒 (BDBV)]。正埃博拉病毒是高毒性病原体，可导致人类严重疾病。然而，大多数现有疫苗主要针对 EBOV，未能提供针对其他致命正埃博拉病毒的强大交叉保护。开发广谱疫苗有望有效减轻由多种正埃博拉病毒引起的疫情。在本研究中，我们开发并评估了一种广谱 mRNA 疫苗，命名为 [GPs+NP]@LNP，该疫苗采用单一脂质纳米颗粒 (LNP) 平台配制，用于封装编码 EBOV、BDBV 和 SUDV 糖蛋白 (GPs) 以及 EBOV 核蛋白 (NP) 的混合 mRNA 有效载荷。这种合理的抗原组合旨在激活免疫系统的体液和细胞免疫分支。与此设计一致，驱动体液免疫的 GPs 和主导细胞免疫的 NPs 的兼容性支持互补的免疫反应，这些反应共同与动物模型中针对 EBOV、BDBV 和 SUDV 的广泛而持久的保护相关。因此，单一 LNP 制剂中的抗原协同作用可能代表了一种优化疫苗免疫原性、保护效果、持久性和安全性的有效策略。总的来说，这些发现突出了 [GP</w:t>
      </w:r>
    </w:p>
    <w:p>
      <w:pPr>
        <w:spacing w:before="0" w:after="200" w:lineRule="auto" w:line="276"/>
      </w:pPr>
      <w:r>
        <w:rPr>
          <w:b/>
        </w:rPr>
        <w:t xml:space="preserve">Abstract (EN): </w:t>
      </w:r>
      <w:r>
        <w:t>Several orthoebolaviruses have been established, including</w:t>
      </w:r>
      <w:r>
        <w:t xml:space="preserve"> </w:t>
      </w:r>
      <w:r>
        <w:t>Orthoebolavirus zairense</w:t>
      </w:r>
      <w:r>
        <w:t xml:space="preserve"> </w:t>
      </w:r>
      <w:r>
        <w:t>[for Ebola virus (EBOV)],</w:t>
      </w:r>
      <w:r>
        <w:t xml:space="preserve"> </w:t>
      </w:r>
      <w:r>
        <w:t>Orthoebolavirus sudanense</w:t>
      </w:r>
      <w:r>
        <w:t xml:space="preserve"> </w:t>
      </w:r>
      <w:r>
        <w:t>[for Sudan virus (SUDV)], and</w:t>
      </w:r>
      <w:r>
        <w:t xml:space="preserve"> </w:t>
      </w:r>
      <w:r>
        <w:t>Orthoebolavirus bundibugyoense</w:t>
      </w:r>
      <w:r>
        <w:t xml:space="preserve"> </w:t>
      </w:r>
      <w:r>
        <w:t>[for Bundibugyo virus (BDBV)]. Orthoebolaviruses are highly virulent pathogens that cause severe disease in humans. However, most existing vaccines primarily target EBOV, and fail to provide robust cross-protection against other lethal orthoebolaviruses. The development of a broad-spectrum vaccine has the potential to efficiently mitigate outbreaks caused by multiple orthoebolaviruses. In this study, we developed and evaluated a broad-spectrum mRNA vaccine, designated [GPs+NP]@LNP, formulated with a single lipid nanoparticle (LNP) platform to encapsulate a mixed mRNA payload encoding the glycoproteins (GPs) of EBOV, BDBV, and SUDV, along with the nucleoprotein (NP) of EBOV. This rational antigenic combination was designed to engage both humoral and cellular arms of the immune system. Consistent with this design, the compatibility of humoral immunity-driving GPs and cellular immune-dominating NPs supports complementary immune responses, which together are associated with broad and durable protection against EBOV, BDBV, and SUDV in animal models. Antigenic coordination within a single LNP formulation may therefore represent an effective strategy to optimize vaccine immunogenicity, protective effect, durability, and safety. Collectively, these findings highlight [GPs+NP]@LNP as a promising approach for the development of next-generation vaccines targeting multiple pathogenic orthoebolaviruses.</w:t>
      </w:r>
    </w:p>
    <w:p>
      <w:pPr>
        <w:spacing w:before="120" w:after="120"/>
      </w:pPr>
      <w:r>
        <w:rPr>
          <w:sz w:val="18"/>
        </w:rPr>
        <w:t>——————————————————————————————————————————————————————————————————————</w:t>
      </w:r>
    </w:p>
    <w:p>
      <w:pPr>
        <w:spacing w:before="160" w:after="40" w:line="240" w:lineRule="auto"/>
      </w:pPr>
      <w:r>
        <w:rPr>
          <w:b/>
        </w:rPr>
        <w:t xml:space="preserve">[110] </w:t>
      </w:r>
      <w:hyperlink r:id="rId423">
        <w:r>
          <w:rPr>
            <w:color w:val="1155CC"/>
            <w:u w:val="single"/>
          </w:rPr>
          <w:t>115,000年前尼安德特人对贝类的季节性开发利用</w:t>
        </w:r>
      </w:hyperlink>
    </w:p>
    <w:p>
      <w:pPr>
        <w:spacing w:before="0" w:after="80"/>
      </w:pPr>
      <w:r>
        <w:rPr>
          <w:i/>
          <w:sz w:val="20"/>
        </w:rPr>
        <w:t>EN: Seasonal shellfish exploitation by Neanderthals 115,000 years ago</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24">
        <w:r>
          <w:rPr>
            <w:color w:val="1155CC"/>
            <w:u w:val="single"/>
          </w:rPr>
          <w:t>10.1073/pnas.2531880123</w:t>
        </w:r>
      </w:hyperlink>
    </w:p>
    <w:p>
      <w:pPr>
        <w:spacing w:before="0" w:after="120"/>
      </w:pPr>
      <w:r>
        <w:rPr>
          <w:b/>
        </w:rPr>
        <w:t xml:space="preserve">Notes: </w:t>
      </w:r>
      <w:r>
        <w:t>abstract_source=crossref</w:t>
      </w:r>
    </w:p>
    <w:p>
      <w:pPr>
        <w:spacing w:before="0" w:after="80" w:lineRule="auto" w:line="276"/>
      </w:pPr>
      <w:r>
        <w:rPr>
          <w:b/>
        </w:rPr>
        <w:t xml:space="preserve">摘要（ZH）: </w:t>
      </w:r>
      <w:r>
        <w:t>欧洲南部海岸一直是考古学争论的焦点，这些争论对比了尼安德特人与现代人类的社会和认知能力。该地区尼安德特人利用海洋资源的早期证据挑战了一些观点，即沿海适应是现代人类认知和行为的独特特征。虽然现在已经明确尼安德特人利用了海洋资源，但其季节性觅食策略的性质仍然是一个悬而未决的问题。在此，我们分析了尼安德特人在洛斯阿维奥内斯洞穴（伊比利亚半岛）采集的软体动物贝壳的氧同位素组成，结果表明他们主要在一年中较冷的月份利用潮间带软体动物。这种采集模式预示了后来南欧现代人类群体中观察到的主要季节性利用策略，突出了尼安德特人在利用沿海生态系统方面的行为灵活性。</w:t>
      </w:r>
    </w:p>
    <w:p>
      <w:pPr>
        <w:spacing w:before="0" w:after="200" w:lineRule="auto" w:line="276"/>
      </w:pPr>
      <w:r>
        <w:rPr>
          <w:b/>
        </w:rPr>
        <w:t xml:space="preserve">Abstract (EN): </w:t>
      </w:r>
      <w:r>
        <w:t>The southern coast of Europe has been at the center of archaeological debates contrasting the social and cognitive capabilities of Neanderthals and modern humans. Early evidence of marine resource exploitation by Neanderthals in this region challenged some views that coastal adaptation was a trait distinctive of modern human cognition and behavior. While it is now evident that Neanderthals exploited marine resources, the nature of their seasonal foraging strategies remains an open question. Here, we analyzed the oxygen isotope composition of mollusk shells collected by Neanderthals at Los Aviones Cave (Iberian Peninsula), demonstrating that they primarily exploited intertidal mollusks during the colder months of the year. This harvesting pattern anticipates the dominant seasonal exploitation strategies observed among later modern human populations in southern Europe, highlighting a degree of behavioral flexibility in Neanderthal use of coastal ecosystems.</w:t>
      </w:r>
    </w:p>
    <w:p>
      <w:pPr>
        <w:spacing w:before="120" w:after="120"/>
      </w:pPr>
      <w:r>
        <w:rPr>
          <w:sz w:val="18"/>
        </w:rPr>
        <w:t>——————————————————————————————————————————————————————————————————————</w:t>
      </w:r>
    </w:p>
    <w:p>
      <w:pPr>
        <w:spacing w:before="160" w:after="40" w:line="240" w:lineRule="auto"/>
      </w:pPr>
      <w:r>
        <w:rPr>
          <w:b/>
        </w:rPr>
        <w:t xml:space="preserve">[111] </w:t>
      </w:r>
      <w:hyperlink r:id="rId425">
        <w:r>
          <w:rPr>
            <w:color w:val="1155CC"/>
            <w:u w:val="single"/>
          </w:rPr>
          <w:t>极端主义不应止于国界，我们的模型亦是如此</w:t>
        </w:r>
      </w:hyperlink>
    </w:p>
    <w:p>
      <w:pPr>
        <w:spacing w:before="0" w:after="80"/>
      </w:pPr>
      <w:r>
        <w:rPr>
          <w:i/>
          <w:sz w:val="20"/>
        </w:rPr>
        <w:t>EN: Extremism does not stop at borders, and neither should our models</w:t>
      </w:r>
    </w:p>
    <w:p>
      <w:pPr>
        <w:spacing w:before="0" w:after="120"/>
      </w:pPr>
      <w:r>
        <w:rPr>
          <w:b/>
        </w:rPr>
        <w:t xml:space="preserve">Source: </w:t>
      </w:r>
      <w:r>
        <w:t>Proceedings of the National Academy of Sciences: Keyword search for query</w:t>
      </w:r>
      <w:r>
        <w:t xml:space="preserve">    </w:t>
      </w:r>
      <w:r>
        <w:rPr>
          <w:b/>
        </w:rPr>
        <w:t xml:space="preserve">Pub date: </w:t>
      </w:r>
      <w:r>
        <w:t>2026-05-18 07:00:00+00:00</w:t>
      </w:r>
      <w:r>
        <w:t xml:space="preserve">    </w:t>
      </w:r>
      <w:r>
        <w:rPr>
          <w:b/>
        </w:rPr>
        <w:t xml:space="preserve">DOI: </w:t>
      </w:r>
      <w:hyperlink r:id="rId426">
        <w:r>
          <w:rPr>
            <w:color w:val="1155CC"/>
            <w:u w:val="single"/>
          </w:rPr>
          <w:t>10.1073/pnas.2610939123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[112] </w:t>
      </w:r>
      <w:hyperlink r:id="rId427">
        <w:r>
          <w:rPr>
            <w:color w:val="1155CC"/>
            <w:u w:val="single"/>
          </w:rPr>
          <w:t>[ASAP] 阳离子取样实现酮的区域发散远端官能化</w:t>
        </w:r>
      </w:hyperlink>
    </w:p>
    <w:p>
      <w:pPr>
        <w:spacing w:before="0" w:after="80"/>
      </w:pPr>
      <w:r>
        <w:rPr>
          <w:i/>
          <w:sz w:val="20"/>
        </w:rPr>
        <w:t>EN: [ASAP] Cation Sampling Enables Regiodivergent Distal Functionalization of Ketones</w:t>
      </w:r>
    </w:p>
    <w:p>
      <w:pPr>
        <w:spacing w:before="0" w:after="120"/>
      </w:pPr>
      <w:r>
        <w:rPr>
          <w:b/>
        </w:rPr>
        <w:t xml:space="preserve">Source: </w:t>
      </w:r>
      <w:r>
        <w:t>Journal of the American Chemical Society: Latest Articles (ACS Publications)</w:t>
      </w:r>
      <w:r>
        <w:t xml:space="preserve">    </w:t>
      </w:r>
      <w:r>
        <w:rPr>
          <w:b/>
        </w:rPr>
        <w:t xml:space="preserve">Pub date: </w:t>
      </w:r>
      <w:r>
        <w:t>2026-05-18 08:03:32+00:00</w:t>
      </w:r>
      <w:r>
        <w:t xml:space="preserve">    </w:t>
      </w:r>
      <w:r>
        <w:rPr>
          <w:b/>
        </w:rPr>
        <w:t xml:space="preserve">DOI: </w:t>
      </w:r>
      <w:hyperlink r:id="rId428">
        <w:r>
          <w:rPr>
            <w:color w:val="1155CC"/>
            <w:u w:val="single"/>
          </w:rPr>
          <w:t>10.1021/jacs.6c05299</w:t>
        </w:r>
      </w:hyperlink>
    </w:p>
    <w:p>
      <w:pPr>
        <w:spacing w:before="0" w:after="120"/>
      </w:pPr>
      <w:r>
        <w:rPr>
          <w:b/>
        </w:rPr>
        <w:t xml:space="preserve">Notes: </w:t>
      </w:r>
      <w:r>
        <w:t>abstract_source=pubmed</w:t>
      </w:r>
    </w:p>
    <w:p>
      <w:pPr>
        <w:spacing w:before="0" w:after="80" w:lineRule="auto" w:line="276"/>
      </w:pPr>
      <w:r>
        <w:rPr>
          <w:b/>
        </w:rPr>
        <w:t xml:space="preserve">摘要（ZH）: </w:t>
      </w:r>
      <w:r>
        <w:t>尽管催化烯烃异构化过程在实现远端 Csp3-H 官能化方面取得了显著进展，但大多数方法依赖于复杂的金属基催化体系，并且在实现区域发散结果方面面临固有的挑战。在此，我们提出了一种概念上独特的方法，其中我们利用阳离子烯烃异构化进行区域发散的 Csp3-H 官能化，其中选择性源于我们称之为阳离子采样 (cation sampling) 的酮辅助过程。该方法实现了 sp3 杂化碳的位点选择性区域发散官能化，使得在具有挑战性的位置形成 C-杂原子键，并开辟了通过金属基方法以前无法获得的产物的途径。详细的机理研究支持了所提出的反应途径，该途径涉及两种关键的氧碳鎓物种的参与，它们控制着该过程的区域选择性。</w:t>
      </w:r>
    </w:p>
    <w:p>
      <w:pPr>
        <w:spacing w:before="0" w:after="200" w:lineRule="auto" w:line="276"/>
      </w:pPr>
      <w:r>
        <w:rPr>
          <w:b/>
        </w:rPr>
        <w:t xml:space="preserve">Abstract (EN): </w:t>
      </w:r>
      <w:r>
        <w:t>Despite notable progress in catalytic olefin isomerization processes enabling distal Csp3-H functionalization, most methods depend on complex metal-based catalytic systems and face inherent challenges in achieving regiodivergent outcomes. Herein, we present a conceptually distinct approach in which we leverage cationic olefin isomerization for regiodivergent Csp3-H functionalization, wherein the selectivity results from a ketone-assisted process we term cation sampling. This method enables site-selective regiodivergent functionalization of sp3-hybridized carbons, allowing the formation of C-heteroatom bonds in challenging positions and unlocking access to products previously unattainable through metal-based methodologies. Detailed mechanistic studies support the proposed reaction pathway, which involves the engagement of two key oxocarbenium species that govern the regioselectivity of this process.</w:t>
      </w:r>
    </w:p>
    <w:p>
      <w:pPr>
        <w:spacing w:before="120" w:after="120"/>
      </w:pPr>
      <w:r>
        <w:rPr>
          <w:sz w:val="18"/>
        </w:rPr>
        <w:t>——————————————————————————————————————————————————————————————————————</w:t>
      </w:r>
    </w:p>
    <w:p>
      <w:pPr>
        <w:spacing w:before="160" w:after="40" w:line="240" w:lineRule="auto"/>
      </w:pPr>
      <w:r>
        <w:rPr>
          <w:b/>
        </w:rPr>
        <w:t xml:space="preserve">[113] </w:t>
      </w:r>
      <w:hyperlink r:id="rId429">
        <w:r>
          <w:rPr>
            <w:color w:val="1155CC"/>
            <w:u w:val="single"/>
          </w:rPr>
          <w:t>动态磁对准提高磁性功能材料DLP制造中的剩磁和制造可靠性 (Adv. Mater. 28/2026)</w:t>
        </w:r>
      </w:hyperlink>
    </w:p>
    <w:p>
      <w:pPr>
        <w:spacing w:before="0" w:after="80"/>
      </w:pPr>
      <w:r>
        <w:rPr>
          <w:i/>
          <w:sz w:val="20"/>
        </w:rPr>
        <w:t>EN: Dynamic Magnetic Alignment Boosts Remanence and Fabrication Reliability in DLP Manufacturing of Magnetic Functional Materials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430">
        <w:r>
          <w:rPr>
            <w:color w:val="1155CC"/>
            <w:u w:val="single"/>
          </w:rPr>
          <w:t>10.1002/adma.73280</w:t>
        </w:r>
      </w:hyperlink>
    </w:p>
    <w:p>
      <w:pPr>
        <w:spacing w:before="0" w:after="120"/>
      </w:pPr>
      <w:r>
        <w:rPr>
          <w:b/>
        </w:rPr>
        <w:t xml:space="preserve">Notes: </w:t>
      </w:r>
      <w:r>
        <w:t>abstract_source=openalex</w:t>
      </w:r>
    </w:p>
    <w:p>
      <w:pPr>
        <w:spacing w:before="0" w:after="80" w:lineRule="auto" w:line="276"/>
      </w:pPr>
      <w:r>
        <w:rPr>
          <w:b/>
        </w:rPr>
        <w:t xml:space="preserve">摘要（ZH）: </w:t>
      </w:r>
      <w:r>
        <w:t>动态磁场辅助 DLP 3D 打印 旋转磁动力学均匀分散硬磁颗粒，而对准场在紫外光固化过程中精确地定向它们。这种集成方法成功克服了颗粒聚集问题，从而能够制造出复杂、高分辨率的多向磁性结构——例如连续的 24 极环——具有显著提高的对准效率和剩磁。更多详情请参见张承乾、潘成峰、赵鹏及合作者发表的研究文章 (DOI: 10.1002/adma.202519123)。</w:t>
      </w:r>
    </w:p>
    <w:p>
      <w:pPr>
        <w:spacing w:before="0" w:after="200" w:lineRule="auto" w:line="276"/>
      </w:pPr>
      <w:r>
        <w:rPr>
          <w:b/>
        </w:rPr>
        <w:t xml:space="preserve">Abstract (EN): </w:t>
      </w:r>
      <w:r>
        <w:t>Dynamic Magnetic Field-Assisted DLP 3D Printing Rotational magnetic dynamics homogeneously disperse hard-magnetic particles, while an alignment field precisely orients them during UV optical curing. This integrated approach successfully overcomes particle aggregation, enabling the fabrication of sophisticated, high-resolution multi-directional magnetic structures—such as continuous 24-pole rings—with highly enhanced alignment efficiency and remanence. More details can be found in the Research Article by Chengqian Zhang, Chengfeng Pan, Peng Zhao, and co-workers (DOI: 10.1002/adma.202519123).</w:t>
      </w:r>
    </w:p>
    <w:p>
      <w:pPr>
        <w:spacing w:before="120" w:after="120"/>
      </w:pPr>
      <w:r>
        <w:rPr>
          <w:sz w:val="18"/>
        </w:rPr>
        <w:t>——————————————————————————————————————————————————————————————————————</w:t>
      </w:r>
    </w:p>
    <w:p>
      <w:pPr>
        <w:spacing w:before="160" w:after="40" w:line="240" w:lineRule="auto"/>
      </w:pPr>
      <w:r>
        <w:rPr>
          <w:b/>
        </w:rPr>
        <w:t xml:space="preserve">[114] </w:t>
      </w:r>
      <w:hyperlink r:id="rId431">
        <w:r>
          <w:rPr>
            <w:color w:val="1155CC"/>
            <w:u w:val="single"/>
          </w:rPr>
          <w:t>石墨烯纳米带中的边缘驱动边缘场效应、减少的屏蔽和带隙展宽实现单分子灵敏度 (Adv. Mater. 28/2026)</w:t>
        </w:r>
      </w:hyperlink>
    </w:p>
    <w:p>
      <w:pPr>
        <w:spacing w:before="0" w:after="80"/>
      </w:pPr>
      <w:r>
        <w:rPr>
          <w:i/>
          <w:sz w:val="20"/>
        </w:rPr>
        <w:t>EN: Edge‐Driven Fringe‐Field Effects, Reduced Screening, and Bandgap Widening in Graphene Nanoribbons Enable Single‑Molecule Sensitivity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432">
        <w:r>
          <w:rPr>
            <w:color w:val="1155CC"/>
            <w:u w:val="single"/>
          </w:rPr>
          <w:t>10.1002/adma.73281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[115] </w:t>
      </w:r>
      <w:hyperlink r:id="rId433">
        <w:r>
          <w:rPr>
            <w:color w:val="1155CC"/>
            <w:u w:val="single"/>
          </w:rPr>
          <w:t>稳定的纯绿色超荧光有机发光二极管在高亮度下具有极致效率迈向Rec 2020标准 (Adv. Mater. 28/2026)</w:t>
        </w:r>
      </w:hyperlink>
    </w:p>
    <w:p>
      <w:pPr>
        <w:spacing w:before="0" w:after="80"/>
      </w:pPr>
      <w:r>
        <w:rPr>
          <w:i/>
          <w:sz w:val="20"/>
        </w:rPr>
        <w:t>EN: Stable Pure‐Green Hyperfluorescent Organic Light‐Emitting Diodes with Ultimate Efficiency at High Brightness Toward Rec 2020 Standard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434">
        <w:r>
          <w:rPr>
            <w:color w:val="1155CC"/>
            <w:u w:val="single"/>
          </w:rPr>
          <w:t>10.1002/adma.73279</w:t>
        </w:r>
      </w:hyperlink>
    </w:p>
    <w:p>
      <w:pPr>
        <w:spacing w:before="0" w:after="120"/>
      </w:pPr>
      <w:r>
        <w:rPr>
          <w:b/>
        </w:rPr>
        <w:t xml:space="preserve">Notes: </w:t>
      </w:r>
      <w:r>
        <w:t>abstract_source=openalex</w:t>
      </w:r>
    </w:p>
    <w:p>
      <w:pPr>
        <w:spacing w:before="0" w:after="80" w:lineRule="auto" w:line="276"/>
      </w:pPr>
      <w:r>
        <w:rPr>
          <w:b/>
        </w:rPr>
        <w:t xml:space="preserve">摘要（ZH）: </w:t>
      </w:r>
      <w:r>
        <w:t>稳定的纯绿色超荧光有机发光二极管。一种新设计的MR-TADF发射体DBF-v-DABNA，实现了具有超高效率、出色色纯度和长期运行稳定性的纯绿色超荧光OLED。其刚性骨架和空间屏蔽使超荧光OLED的EQE高达35.6%，CIE y为0.73–0.79，并且在5000 cd m−2下的器件寿命超过600 h。这项工作突出了一种有效的分子设计策略，以实现下一代UHD显示器中的高效且色纯的绿色发光。更多细节可在Byoung Ki Choi、Yun-Hi Kim及其同事的综述文章中找到（DOI: 10.1002/adma.202518330）。</w:t>
      </w:r>
    </w:p>
    <w:p>
      <w:pPr>
        <w:spacing w:before="0" w:after="200" w:lineRule="auto" w:line="276"/>
      </w:pPr>
      <w:r>
        <w:rPr>
          <w:b/>
        </w:rPr>
        <w:t xml:space="preserve">Abstract (EN): </w:t>
      </w:r>
      <w:r>
        <w:t>Stable Pure-Green Hyperfluorescent Organic Light-Emitting Diodes A newly designed MR-TADF emitter, DBF-v-DABNA, enables pure-green hyperfluorescent OLEDs with ultrahigh efficiency, outstanding color purity, and long operational stability. Its rigid framework and steric shielding enable hyperfluorescent OLEDs with EQEs up to 35.6%, CIE y of 0.73–0.79, and device lifetimes exceeding 600 h at 5000 cd m−2. This work highlights an effective molecular design strategy for realizing highly efficient and color-pure green emission in next-generation UHD displays. More details can be found in the Research Article by Byoung Ki Choi, Yun-Hi Kim, and co-workers (DOI: 10.1002/adma.202518330).</w:t>
      </w:r>
    </w:p>
    <w:p>
      <w:pPr>
        <w:spacing w:before="120" w:after="120"/>
      </w:pPr>
      <w:r>
        <w:rPr>
          <w:sz w:val="18"/>
        </w:rPr>
        <w:t>——————————————————————————————————————————————————————————————————————</w:t>
      </w:r>
    </w:p>
    <w:p>
      <w:pPr>
        <w:spacing w:before="160" w:after="40" w:line="240" w:lineRule="auto"/>
      </w:pPr>
      <w:r>
        <w:rPr>
          <w:b/>
        </w:rPr>
        <w:t xml:space="preserve">[116] </w:t>
      </w:r>
      <w:hyperlink r:id="rId435">
        <w:r>
          <w:rPr>
            <w:color w:val="1155CC"/>
            <w:u w:val="single"/>
          </w:rPr>
          <w:t>通过飞秒激光混合刻蚀实现无衍射全向减反射二元超表面 (Adv. Mater. 28//2026)</w:t>
        </w:r>
      </w:hyperlink>
    </w:p>
    <w:p>
      <w:pPr>
        <w:spacing w:before="0" w:after="80"/>
      </w:pPr>
      <w:r>
        <w:rPr>
          <w:i/>
          <w:sz w:val="20"/>
        </w:rPr>
        <w:t>EN: Diffraction‐Free Omnidirectional Antireflection Binary Metasurface via Femtosecond Laser Hybrid Etching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436">
        <w:r>
          <w:rPr>
            <w:color w:val="1155CC"/>
            <w:u w:val="single"/>
          </w:rPr>
          <w:t>10.1002/adma.73283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[117] </w:t>
      </w:r>
      <w:hyperlink r:id="rId437">
        <w:r>
          <w:rPr>
            <w:color w:val="1155CC"/>
            <w:u w:val="single"/>
          </w:rPr>
          <w:t>人类唾液中神经蛋白构象动力学的无标记SERS指纹识别 (Adv. Mater. 28/2026)</w:t>
        </w:r>
      </w:hyperlink>
    </w:p>
    <w:p>
      <w:pPr>
        <w:spacing w:before="0" w:after="80"/>
      </w:pPr>
      <w:r>
        <w:rPr>
          <w:i/>
          <w:sz w:val="20"/>
        </w:rPr>
        <w:t>EN: Label‐Free SERS Fingerprinting of Neuroprotein Conformational Dynamics in Human Saliva (Adv. Mater. 28/2026)</w:t>
      </w:r>
    </w:p>
    <w:p>
      <w:pPr>
        <w:spacing w:before="0" w:after="120"/>
      </w:pPr>
      <w:r>
        <w:rPr>
          <w:b/>
        </w:rPr>
        <w:t xml:space="preserve">Source: </w:t>
      </w:r>
      <w:r>
        <w:t>Wiley: Advanced Materials: Table of Contents</w:t>
      </w:r>
      <w:r>
        <w:t xml:space="preserve">    </w:t>
      </w:r>
      <w:r>
        <w:rPr>
          <w:b/>
        </w:rPr>
        <w:t xml:space="preserve">Pub date: </w:t>
      </w:r>
      <w:r>
        <w:t>2026-05-18 08:35:26+00:00</w:t>
      </w:r>
      <w:r>
        <w:t xml:space="preserve">    </w:t>
      </w:r>
      <w:r>
        <w:rPr>
          <w:b/>
        </w:rPr>
        <w:t xml:space="preserve">DOI: </w:t>
      </w:r>
      <w:hyperlink r:id="rId438">
        <w:r>
          <w:rPr>
            <w:color w:val="1155CC"/>
            <w:u w:val="single"/>
          </w:rPr>
          <w:t>10.1002/adma.73284</w:t>
        </w:r>
      </w:hyperlink>
    </w:p>
    <w:p>
      <w:pPr>
        <w:spacing w:before="0" w:after="120"/>
      </w:pPr>
      <w:r>
        <w:rPr>
          <w:b/>
        </w:rPr>
        <w:t xml:space="preserve">Notes: </w:t>
      </w:r>
      <w:r>
        <w:t>abstract_source=openalex</w:t>
      </w:r>
    </w:p>
    <w:p>
      <w:pPr>
        <w:spacing w:before="0" w:after="80" w:lineRule="auto" w:line="276"/>
      </w:pPr>
      <w:r>
        <w:rPr>
          <w:b/>
        </w:rPr>
        <w:t xml:space="preserve">摘要（ZH）: </w:t>
      </w:r>
      <w:r>
        <w:t>无标记SERS神经蛋白指纹图谱。封面描绘了纳米海绵上的分子捕获，形成将神经蛋白锁定在热点中的壳层。激光激发产生SERS指纹图谱，并将其转化为脑图。唾液构象特征能够对癫痫、精神分裂症和帕金森病进行机器学习分类。更多细节可在Ho Sang Jung及其同事的综述文章中找到（DOI: 10.1002/adma.202513500）。</w:t>
      </w:r>
    </w:p>
    <w:p>
      <w:pPr>
        <w:spacing w:before="0" w:after="200" w:lineRule="auto" w:line="276"/>
      </w:pPr>
      <w:r>
        <w:rPr>
          <w:b/>
        </w:rPr>
        <w:t xml:space="preserve">Abstract (EN): </w:t>
      </w:r>
      <w:r>
        <w:t>Label-Free SERS Fingerprinting of Neuroprotein The cover depicts molecular entrapment on a nanosponge, forming shells that lock neuroproteins into hotspots. Laser excitation yields SERS fingerprints, translated into a brain map. Saliva conformational signatures enable machine learning classification of epilepsy, schizophrenia, and Parkinson's disease. More details can be found in the Research Article by Ho Sang Jung and co-workers (DOI: 10.1002/adma.202513500).</w:t>
      </w:r>
    </w:p>
    <w:p>
      <w:pPr>
        <w:spacing w:before="120" w:after="120"/>
      </w:pPr>
      <w:r>
        <w:rPr>
          <w:sz w:val="18"/>
        </w:rPr>
        <w:t>——————————————————————————————————————————————————————————————————————</w:t>
      </w:r>
    </w:p>
    <w:p>
      <w:pPr>
        <w:spacing w:before="160" w:after="40" w:line="240" w:lineRule="auto"/>
      </w:pPr>
      <w:r>
        <w:rPr>
          <w:b/>
        </w:rPr>
        <w:t xml:space="preserve">[118] </w:t>
      </w:r>
      <w:hyperlink r:id="rId439">
        <w:r>
          <w:rPr>
            <w:color w:val="1155CC"/>
            <w:u w:val="single"/>
          </w:rPr>
          <w:t>葡萄糖氧化酶偶联的氧化铈基超级纳米酶用于快速清除MRSA和伤口闭合</w:t>
        </w:r>
      </w:hyperlink>
    </w:p>
    <w:p>
      <w:pPr>
        <w:spacing w:before="0" w:after="80"/>
      </w:pPr>
      <w:r>
        <w:rPr>
          <w:i/>
          <w:sz w:val="20"/>
        </w:rPr>
        <w:t>EN: Glucose‐Oxidase Conjugated Cerium Oxide‐Based Super Nanozyme for Rapid MRSA Eradication and Wound Closure</w:t>
      </w:r>
    </w:p>
    <w:p>
      <w:pPr>
        <w:spacing w:before="0" w:after="120"/>
      </w:pPr>
      <w:r>
        <w:rPr>
          <w:b/>
        </w:rPr>
        <w:t xml:space="preserve">Source: </w:t>
      </w:r>
      <w:r>
        <w:t>Wiley: Advanced Materials: Table of Contents</w:t>
      </w:r>
      <w:r>
        <w:t xml:space="preserve">    </w:t>
      </w:r>
      <w:r>
        <w:rPr>
          <w:b/>
        </w:rPr>
        <w:t xml:space="preserve">Pub date: </w:t>
      </w:r>
      <w:r>
        <w:t>2026-05-18 11:23:17+00:00</w:t>
      </w:r>
      <w:r>
        <w:t xml:space="preserve">    </w:t>
      </w:r>
      <w:r>
        <w:rPr>
          <w:b/>
        </w:rPr>
        <w:t xml:space="preserve">DOI: </w:t>
      </w:r>
      <w:hyperlink r:id="rId440">
        <w:r>
          <w:rPr>
            <w:color w:val="1155CC"/>
            <w:u w:val="single"/>
          </w:rPr>
          <w:t>10.1002/adma.202520966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球范围内抗生素耐药病原体的兴起对公共卫生构成了严峻挑战，尤其是在感染性慢性伤口的愈合方面。迫切需要创新、安全且具有治疗适应性的策略来对抗抗菌素耐药性（AMR）病原体。开发了一种基于葡萄糖氧化酶偶联氧化铈纳米颗粒（CeO2NPs‐GOx）的纳米酶，其在生理pH值和伤口渗出液中表现出氧化酶模拟活性。该偶联物在三磷酸腺苷（ATP）和葡萄糖存在下，通过产生超氧自由基和羟基自由基，显示出强大的抗菌活性，并能根除产β-内酰胺酶的耐甲氧西林金黄色葡萄球菌（MRSA）临床分离株。显微成像、乳酸脱氢酶（LDH）释放和脂质过氧化测定结果显示，由于自由基的持续产生，细菌细胞壁结构受损，细胞质内容物释放。体内MRSA感染伤口数据显示，应用CeO2NPs‐GOx可在一周内清除感染，并比万古霉素实现更好的伤口闭合。经CeO2NPs‐GOx治疗后，伤口组织表现出增强的再上皮化、胶原沉积和血管生成，同时促炎细胞因子（IL‐6、TNF‐α和IL‐1β）的产生减少。CeO2NPs‐GOx暴露导致</w:t>
      </w:r>
    </w:p>
    <w:p>
      <w:pPr>
        <w:spacing w:before="0" w:after="200" w:lineRule="auto" w:line="276"/>
      </w:pPr>
      <w:r>
        <w:rPr>
          <w:b/>
        </w:rPr>
        <w:t xml:space="preserve">Abstract (EN): </w:t>
      </w:r>
      <w:r>
        <w:t>The global rise of antibiotic‐resistant pathogens poses a serious challenge to public health, particularly in the healing of infected chronic wounds. Innovative, safe, and therapeutically adaptive strategies are urgently required to combat antimicrobial resistance (AMR) pathogens. A glucose‐oxidase conjugated cerium oxide nanoparticle (CeO</w:t>
      </w:r>
      <w:r>
        <w:rPr>
          <w:vertAlign w:val="subscript"/>
        </w:rPr>
        <w:t>2</w:t>
      </w:r>
      <w:r>
        <w:t>NPs‐GOx)‐based nanozyme displaying oxidase‐mimetic activity at physiological pH and wound exudate is developed. The conjugate displays potent antibacterial activity and eradication of β‐lactamase‐producing clinical isolates of methicillin‐resistant</w:t>
      </w:r>
      <w:r>
        <w:t xml:space="preserve"> </w:t>
      </w:r>
      <w:r>
        <w:t>Staphylococcus aureus</w:t>
      </w:r>
      <w:r>
        <w:t xml:space="preserve"> </w:t>
      </w:r>
      <w:r>
        <w:t>(MRSA) by producing superoxide and hydroxyl radicals in the presence of adenosine triphosphate (ATP) and glucose. Microscopic imaging, lactate dehydrogenase (LDH) release and lipid peroxidation assays revealed compromised bacterial cell wall structure and release of cytoplasmic contents due to the continuous production of free radicals. The in vivo MRSA‐infected wound data showed that application of CeO</w:t>
      </w:r>
      <w:r>
        <w:rPr>
          <w:vertAlign w:val="subscript"/>
        </w:rPr>
        <w:t>2</w:t>
      </w:r>
      <w:r>
        <w:t>NPs‐GOx led to infection clearance within a week, as well as better wound closure than vancomycin. Upon CeO</w:t>
      </w:r>
      <w:r>
        <w:rPr>
          <w:vertAlign w:val="subscript"/>
        </w:rPr>
        <w:t>2</w:t>
      </w:r>
      <w:r>
        <w:t>NPs‐GOx treatment, wound tissues undergo enhanced re‐epithelialization, collagen deposition, and angiogenesis, while reduced production of pro‐inflammatory cytokines (IL‐6, TNF‐α, and IL‐1β). CeO</w:t>
      </w:r>
      <w:r>
        <w:rPr>
          <w:vertAlign w:val="subscript"/>
        </w:rPr>
        <w:t>2</w:t>
      </w:r>
      <w:r>
        <w:t>NPs‐GOx exposure displayed almost no accumulation rather rapid clearance of nanozymes from the body. Overall, this study establishes CeO</w:t>
      </w:r>
      <w:r>
        <w:rPr>
          <w:vertAlign w:val="subscript"/>
        </w:rPr>
        <w:t>2</w:t>
      </w:r>
      <w:r>
        <w:t>NPs‐GOx as an effective antibacterial nanozyme, integrating ATP‐assisted oxidase‐mimetic activity, exhibiting reactive oxygen species (ROS)‐mediated elimination of MRSA infection from wounds. Thus, the developed novel CeO</w:t>
      </w:r>
      <w:r>
        <w:rPr>
          <w:vertAlign w:val="subscript"/>
        </w:rPr>
        <w:t>2</w:t>
      </w:r>
      <w:r>
        <w:t>NPs‐based nanozyme offers an alternative to antibiotics for clinical translation and effective control of AMR spread.</w:t>
      </w:r>
    </w:p>
    <w:p>
      <w:pPr>
        <w:spacing w:before="120" w:after="120"/>
      </w:pPr>
      <w:r>
        <w:rPr>
          <w:sz w:val="18"/>
        </w:rPr>
        <w:t>——————————————————————————————————————————————————————————————————————</w:t>
      </w:r>
    </w:p>
    <w:p>
      <w:pPr>
        <w:spacing w:before="160" w:after="40" w:line="240" w:lineRule="auto"/>
      </w:pPr>
      <w:r>
        <w:rPr>
          <w:b/>
        </w:rPr>
        <w:t xml:space="preserve">[119] </w:t>
      </w:r>
      <w:hyperlink r:id="rId441">
        <w:r>
          <w:rPr>
            <w:color w:val="1155CC"/>
            <w:u w:val="single"/>
          </w:rPr>
          <w:t>对“光合纳米细菌驱动代谢-免疫协同作用用于耐缺氧癌症治疗”的更正</w:t>
        </w:r>
      </w:hyperlink>
    </w:p>
    <w:p>
      <w:pPr>
        <w:spacing w:before="0" w:after="80"/>
      </w:pPr>
      <w:r>
        <w:rPr>
          <w:i/>
          <w:sz w:val="20"/>
        </w:rPr>
        <w:t>EN: Correction to “Photosynthetic Nanobacteria Drive Metabolic–Immune Synergy for Hypoxia‐Resistant Cancer Therapy”</w:t>
      </w:r>
    </w:p>
    <w:p>
      <w:pPr>
        <w:spacing w:before="0" w:after="120"/>
      </w:pPr>
      <w:r>
        <w:rPr>
          <w:b/>
        </w:rPr>
        <w:t xml:space="preserve">Source: </w:t>
      </w:r>
      <w:r>
        <w:t>Wiley: Advanced Materials: Table of Contents</w:t>
      </w:r>
      <w:r>
        <w:t xml:space="preserve">    </w:t>
      </w:r>
      <w:r>
        <w:rPr>
          <w:b/>
        </w:rPr>
        <w:t xml:space="preserve">Pub date: </w:t>
      </w:r>
      <w:r>
        <w:t>2026-05-18 11:24:29+00:00</w:t>
      </w:r>
      <w:r>
        <w:t xml:space="preserve">    </w:t>
      </w:r>
      <w:r>
        <w:rPr>
          <w:b/>
        </w:rPr>
        <w:t xml:space="preserve">DOI: </w:t>
      </w:r>
      <w:hyperlink r:id="rId442">
        <w:r>
          <w:rPr>
            <w:color w:val="1155CC"/>
            <w:u w:val="single"/>
          </w:rPr>
          <w:t>10.1002/adma.73268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[120] </w:t>
      </w:r>
      <w:hyperlink r:id="rId443">
        <w:r>
          <w:rPr>
            <w:color w:val="1155CC"/>
            <w:u w:val="single"/>
          </w:rPr>
          <w:t>[ASAP] 无铅双Cs2Ag(Bi,Sb)(Br,I)6钙钛矿：通过阴离子交换和固态反应实现低于1.8 eV的带隙</w:t>
        </w:r>
      </w:hyperlink>
    </w:p>
    <w:p>
      <w:pPr>
        <w:spacing w:before="0" w:after="80"/>
      </w:pPr>
      <w:r>
        <w:rPr>
          <w:i/>
          <w:sz w:val="20"/>
        </w:rPr>
        <w:t>EN: [ASAP] Lead-Free Double Cs2Ag(Bi,Sb)(Br,I)6 Perovskites: Going below 1.8 eV Bandgap by Anion Exchange and Solid-State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2026-05-18 11:46:50+00:00</w:t>
      </w:r>
      <w:r>
        <w:t xml:space="preserve">    </w:t>
      </w:r>
      <w:r>
        <w:rPr>
          <w:b/>
        </w:rPr>
        <w:t xml:space="preserve">DOI: </w:t>
      </w:r>
      <w:hyperlink r:id="rId444">
        <w:r>
          <w:rPr>
            <w:color w:val="1155CC"/>
            <w:u w:val="single"/>
          </w:rPr>
          <w:t>10.1021/jacs.6c07190</w:t>
        </w:r>
      </w:hyperlink>
    </w:p>
    <w:p>
      <w:pPr>
        <w:spacing w:before="0" w:after="120"/>
      </w:pPr>
      <w:r>
        <w:rPr>
          <w:b/>
        </w:rPr>
        <w:t xml:space="preserve">Notes: </w:t>
      </w:r>
      <w:r>
        <w:t>abstract_source=pubmed</w:t>
      </w:r>
    </w:p>
    <w:p>
      <w:pPr>
        <w:spacing w:before="0" w:after="80" w:lineRule="auto" w:line="276"/>
      </w:pPr>
      <w:r>
        <w:rPr>
          <w:b/>
        </w:rPr>
        <w:t xml:space="preserve">摘要（ZH）: </w:t>
      </w:r>
      <w:r>
        <w:t>微晶Cs2AgBiBr6双钙钛矿（CAB-B）在环境条件下与NaI进行阴离子交换，得到Cs3Bi2(Br,I)9 (CB-(B)I)和CsAg2I3 (CA-I)双盐的混合物，这些混合物在250-300 °C退火后转化为四方晶系Cs2AgBi(Br,I)6双钙钛矿（CAB-(B)I），其中碘化物含量约为80 mol%。通过对机械混合的CB-(B)I和CA-I进行退火，证实了CB-(B)I和CA-I之间热活化的固态反应，从而得到了CAB-(B)I钙钛矿。阴离子交换和固态反应（AE/T）的优化得到了相纯的CAB-(B)I钙钛矿，其碘化物含量约为90 mol%，带隙略低于1.9 eV。所提出方法的普遍适用性在一系列AE/T驱动的更复杂前驱体转化中得到证实，包括将Cs2AgBixSb1-xBr6转化为具有可变x值的四方晶系Cs2AgBixSb1-x(Br,I)6钙钛矿，在Bi/Sb比为1:1时观察到最高的碘化物含量约为90%和最低的1.78 eV带隙，以及CB-(B)I、CA-I和Cs3Bi2Br9双盐三元混合物之间的固态反应，生成具有晶格参数和带隙线性组成变化的四方晶系Cs2AgBi(BryI1-y)钙钛矿，y值范围为0.08-0.76。所报道的两阶段AE/T方法被强调为一种通用、灵活且可持续的途径，用于组合合成具有可变组成和复杂程度的稳定四方晶系双钙钛矿。</w:t>
      </w:r>
    </w:p>
    <w:p>
      <w:pPr>
        <w:spacing w:before="0" w:after="200" w:lineRule="auto" w:line="276"/>
      </w:pPr>
      <w:r>
        <w:rPr>
          <w:b/>
        </w:rPr>
        <w:t xml:space="preserve">Abstract (EN): </w:t>
      </w:r>
      <w:r>
        <w:t>Anion exchange of microcrystalline Cs2AgBiBr6 double perovskite (CAB-B) with NaI under ambient conditions yielded mixtures of Cs3Bi2(Br,I)9 (CB-(B)I) and CsAg2I3 (CA-I) double salts, which were transformed by annealing at 250-300 °C into a tetragonal Cs2AgBi(Br,I)6 double perovskite (CAB-(B)I) with ca. 80 mol % iodide. The thermally activated solid-state reaction between CB-(B)I and CA-I was confirmed by annealing mechanically mixed CB-(B)I and CA-I, which yielded CAB-(B)I perovskites. Optimization of the anion exchange and the solid-state reaction (AE/T) resulted in phase-pure CAB-(B)I perovskite with ca. 90 mol% iodide and a band gap slightly below 1.9 eV. The general applicability of the proposed approach was demonstrated in a series of AE/T-driven transformations of more complex precursors, including the conversion of Cs2AgBixSb1-xBr6 into tetragonal Cs2AgBixSb1-x(Br,I)6 perovskites with variable x, the highest iodide content of ca. 90%, and the lowest band gap of 1.78 eV observed at a Bi/Sb ratio of 1:1, as well as solid-state reactions between ternary mixtures of CB-(B)I, CA-I, and Cs3Bi2Br9 double salts, yielding tetragonal Cs2AgBi(BryI1-y) perovskites with linear compositional variations of the lattice parameters and band gaps over a broad range of y = 0.08-0.76. The reported two-stage AE/T approach is highlighted as a general, flexible, and sustainable pathway for the combinatorial synthesis of stable tetragonal double perovskites with variable compositions and levels of complexity.</w:t>
      </w:r>
    </w:p>
    <w:p>
      <w:pPr>
        <w:spacing w:before="120" w:after="120"/>
      </w:pPr>
      <w:r>
        <w:rPr>
          <w:sz w:val="18"/>
        </w:rPr>
        <w:t>——————————————————————————————————————————————————————————————————————</w:t>
      </w:r>
    </w:p>
    <w:p>
      <w:pPr>
        <w:spacing w:before="160" w:after="40" w:line="240" w:lineRule="auto"/>
      </w:pPr>
      <w:r>
        <w:rPr>
          <w:b/>
        </w:rPr>
        <w:t xml:space="preserve">[121] </w:t>
      </w:r>
      <w:hyperlink r:id="rId445">
        <w:r>
          <w:rPr>
            <w:color w:val="1155CC"/>
            <w:u w:val="single"/>
          </w:rPr>
          <w:t>一种便携式比色装置，用于利用可裂解功能核酸探针快速检测常见细菌内切核糖核酸酶</w:t>
        </w:r>
      </w:hyperlink>
    </w:p>
    <w:p>
      <w:pPr>
        <w:spacing w:before="0" w:after="80"/>
      </w:pPr>
      <w:r>
        <w:rPr>
          <w:i/>
          <w:sz w:val="20"/>
        </w:rPr>
        <w:t>EN: A Portable Colorimetric Device for Rapid Bacterial Detection with Cleavable Functional Nucleic Acid Probes for A Common Bacterial Endoribonuclease</w:t>
      </w:r>
    </w:p>
    <w:p>
      <w:pPr>
        <w:spacing w:before="0" w:after="120"/>
      </w:pPr>
      <w:r>
        <w:rPr>
          <w:b/>
        </w:rPr>
        <w:t xml:space="preserve">Source: </w:t>
      </w:r>
      <w:r>
        <w:t>Wiley: Angewandte Chemie International Edition: Table of Contents</w:t>
      </w:r>
      <w:r>
        <w:t xml:space="preserve">    </w:t>
      </w:r>
      <w:r>
        <w:rPr>
          <w:b/>
        </w:rPr>
        <w:t xml:space="preserve">Pub date: </w:t>
      </w:r>
      <w:r>
        <w:t>2026-05-18 11:55:54+00:00</w:t>
      </w:r>
      <w:r>
        <w:t xml:space="preserve">    </w:t>
      </w:r>
      <w:r>
        <w:rPr>
          <w:b/>
        </w:rPr>
        <w:t xml:space="preserve">DOI: </w:t>
      </w:r>
      <w:hyperlink r:id="rId446">
        <w:r>
          <w:rPr>
            <w:color w:val="1155CC"/>
            <w:u w:val="single"/>
          </w:rPr>
          <w:t>10.1002/anie.5320160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快速细菌检测，包括多重检测形式，对临床诊断至关重要，尤其是在不同病原体引起相似症状并使鉴别诊断复杂化的情况下。在此，我们报告了一种便携式金涂层滤头检测方法（GFTA），用于快速、比色和双重细菌检测。通过体外筛选获得了可裂解的功能性核酸（FNA）探针，以靶向RNase H2，这是一种保守的细菌内切核糖核酸酶。在GFTA中，辣根过氧化物酶（HRP）作为报告分子，而细菌特异性FNA探针既作为识别元件，又作为连接HRP与金涂层滤头的分子桥。当目标细菌存在时，其RNase H2会裂解FNA探针并释放HRP。释放的酶随后被第二个金涂层滤头捕获，并在那里催化四甲基联苯胺氧化，产生可见的颜色变化。该检测可在30分钟内完成。GFTA能够特异性检测粪便样本中低至1.3 × 10^3 CFU/mL的艰难梭菌（Clostridioides difficile）和鼠伤寒沙门氏菌（Salmonella typhimurium）。使用60份人类粪便样本进行的临床验证，对C. difficile检测的灵敏度达到83.3%，特异性达到100%。其简单性、便携性以及无需仪器的比色读数使GFTA在资源有限的环境中具有吸引力。</w:t>
      </w:r>
    </w:p>
    <w:p>
      <w:pPr>
        <w:spacing w:before="0" w:after="200" w:lineRule="auto" w:line="276"/>
      </w:pPr>
      <w:r>
        <w:rPr>
          <w:b/>
        </w:rPr>
        <w:t xml:space="preserve">Abstract (EN): </w:t>
      </w:r>
      <w:r>
        <w:t>Rapid bacterial detection, including multiplex formats, is critical for clinical diagnostics, particularly when distinct pathogens cause similar symptoms and complicate differential diagnosis. Here we report a portable gold‐coated filter tip‐based assay (GFTA) for rapid, colorimetric, and two‐plex bacterial detection. Cleavable functional nucleic acid (FNA) probes were obtained through in vitro selection to target RNase H2, a conserved bacterial endoribonuclease. In GFTA, horseradish peroxidase (HRP) serves as the reporter, while a bacterium‐specific FNA probe functions both as the recognition element and as a molecular bridge linking HRP to a gold‐coated filter tip. When a target bacterium is present, its RNase H2 cleaves the FNA probe and releases HRP. The released enzyme is then captured by a second gold‐coated filter tip, where it catalyzes tetramethylbenzidine oxidation to generate a visible color change. The assay is completed within 30 min. GFTA enabled specific detection of</w:t>
      </w:r>
      <w:r>
        <w:t xml:space="preserve"> </w:t>
      </w:r>
      <w:r>
        <w:t>Clostridioides difficile</w:t>
      </w:r>
      <w:r>
        <w:t xml:space="preserve"> </w:t>
      </w:r>
      <w:r>
        <w:t>and</w:t>
      </w:r>
      <w:r>
        <w:t xml:space="preserve"> </w:t>
      </w:r>
      <w:r>
        <w:t>Salmonella typhimurium</w:t>
      </w:r>
      <w:r>
        <w:t xml:space="preserve"> </w:t>
      </w:r>
      <w:r>
        <w:t>at concentrations as low as as low as 1.3 × 10</w:t>
      </w:r>
      <w:r>
        <w:rPr>
          <w:vertAlign w:val="subscript"/>
        </w:rPr>
        <w:t>3</w:t>
      </w:r>
      <w:r>
        <w:t>CFU/mL in fecal samples. Clinical validation using 60 human fecal samples achieved 83.3% sensitivity and 100% specificity for</w:t>
      </w:r>
      <w:r>
        <w:t xml:space="preserve"> </w:t>
      </w:r>
      <w:r>
        <w:t>C. difficile</w:t>
      </w:r>
      <w:r>
        <w:t xml:space="preserve"> </w:t>
      </w:r>
      <w:r>
        <w:t>detection. Its simplicity, portability, and instrument‐free colorimetric readout make GFTA attractive for resource‐limited settings.</w:t>
      </w:r>
    </w:p>
    <w:p>
      <w:pPr>
        <w:spacing w:before="120" w:after="120"/>
      </w:pPr>
      <w:r>
        <w:rPr>
          <w:sz w:val="18"/>
        </w:rPr>
        <w:t>——————————————————————————————————————————————————————————————————————</w:t>
      </w:r>
    </w:p>
    <w:p>
      <w:pPr>
        <w:spacing w:before="160" w:after="40" w:line="240" w:lineRule="auto"/>
      </w:pPr>
      <w:r>
        <w:rPr>
          <w:b/>
        </w:rPr>
        <w:t xml:space="preserve">[122] </w:t>
      </w:r>
      <w:hyperlink r:id="rId447">
        <w:r>
          <w:rPr>
            <w:color w:val="1155CC"/>
            <w:u w:val="single"/>
          </w:rPr>
          <w:t>酶引导组装实现单线态氧电池的精确递送用于膜脂质过氧化治疗</w:t>
        </w:r>
      </w:hyperlink>
    </w:p>
    <w:p>
      <w:pPr>
        <w:spacing w:before="0" w:after="80"/>
      </w:pPr>
      <w:r>
        <w:rPr>
          <w:i/>
          <w:sz w:val="20"/>
        </w:rPr>
        <w:t>EN: Enzyme‐Guided Assembly Enables Precision Delivery of a Singlet Oxygen Battery for Membrane Lipid Peroxidation Therapy</w:t>
      </w:r>
    </w:p>
    <w:p>
      <w:pPr>
        <w:spacing w:before="0" w:after="120"/>
      </w:pPr>
      <w:r>
        <w:rPr>
          <w:b/>
        </w:rPr>
        <w:t xml:space="preserve">Source: </w:t>
      </w:r>
      <w:r>
        <w:t>Wiley: Angewandte Chemie International Edition: Table of Contents</w:t>
      </w:r>
      <w:r>
        <w:t xml:space="preserve">    </w:t>
      </w:r>
      <w:r>
        <w:rPr>
          <w:b/>
        </w:rPr>
        <w:t xml:space="preserve">Pub date: </w:t>
      </w:r>
      <w:r>
        <w:t>2026-05-18 11:57:04+00:00</w:t>
      </w:r>
      <w:r>
        <w:t xml:space="preserve">    </w:t>
      </w:r>
      <w:r>
        <w:rPr>
          <w:b/>
        </w:rPr>
        <w:t xml:space="preserve">DOI: </w:t>
      </w:r>
      <w:hyperlink r:id="rId448">
        <w:r>
          <w:rPr>
            <w:color w:val="1155CC"/>
            <w:u w:val="single"/>
          </w:rPr>
          <w:t>10.1002/anie.4426401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肿瘤细胞膜的脂质过氧化（LPO）是调控性细胞死亡的关键执行者，也是抗肿瘤免疫的有效触发因素。然而，大多数诱导LPO的策略要么依赖外部辐照和充足的氧气供应，要么需要广泛破坏谷胱甘肽（GSH）/谷胱甘肽过氧化物酶4（GPX4）抗氧化轴。因此，它们的性能常常受到组织穿透性有限、肿瘤微环境异质性、肿瘤选择性不足伴随潜在脱靶毒性以及削弱持续LPO扩增的适应性抗铁死亡反应的影响。为应对这些挑战，我们开发了一种精密增强型单线态氧电池（SOB），命名为GUIDE‐SOB。通过将肿瘤特异性识别与酶引导的细胞相关自组装相结合，GUIDE‐SOB实现了时空受限的氧化疗法。这种设计将氧化源锚定在质膜上超过12小时，并将氧化通量集中到易于过氧化的富脂膜区域。持续的膜氧化减少了对光穿透的依赖，缓解了缺氧相关的限制，同时克服了细胞修复机制，从而产生强大的肿瘤抑制作用。总的来说，这项工作建立了一个具有持久活性的膜靶向氧化平台，为治疗深部和耐药性恶性肿瘤提供了一种有前景的策略。</w:t>
      </w:r>
    </w:p>
    <w:p>
      <w:pPr>
        <w:spacing w:before="0" w:after="200" w:lineRule="auto" w:line="276"/>
      </w:pPr>
      <w:r>
        <w:rPr>
          <w:b/>
        </w:rPr>
        <w:t xml:space="preserve">Abstract (EN): </w:t>
      </w:r>
      <w:r>
        <w:t>Lipid peroxidation (LPO) of tumor cell membranes is a pivotal executor of regulated cell death and a potent trigger for antitumor immunity. However, most LPO inducing strategies either depend on external irradiation and adequate oxygen supply or require broad disruption of the glutathione (GSH)/glutathione peroxidase 4 (GPX4) antioxidant axis. As a result, their performance is often compromised by limited tissue penetration, heterogeneous tumor microenvironments, insufficient tumor selectivity with potential off target toxicity, and adaptive anti‐ferroptotic responses that blunt sustained LPO amplification. To address these challenges, we developed a precision enhanced singlet oxygen battery (SOB), termed GUIDE‐SOB. By integrating tumor‐specific recognition with enzyme guided, cell‐associated self‐assembly, GUIDE‐SOB achieves spatiotemporally confined oxidative therapy. This design anchors the oxidative source on the plasma membrane for more than 12 h and concentrates oxidative flux onto lipid rich membrane domains that are highly susceptible to peroxidation. Sustained membrane oxidation reduces reliance on light penetration and alleviates hypoxia associated limitations, while overcoming cellular repair mechanisms to produce robust tumor suppression. Overall, this work establishes a membrane‐targeted oxidative platform with prolonged activity, providing a promising strategy for treating deep‐seated and therapy‐resistant malignancies.</w:t>
      </w:r>
    </w:p>
    <w:p>
      <w:pPr>
        <w:spacing w:before="120" w:after="120"/>
      </w:pPr>
      <w:r>
        <w:rPr>
          <w:sz w:val="18"/>
        </w:rPr>
        <w:t>——————————————————————————————————————————————————————————————————————</w:t>
      </w:r>
    </w:p>
    <w:p>
      <w:pPr>
        <w:spacing w:before="160" w:after="40" w:line="240" w:lineRule="auto"/>
      </w:pPr>
      <w:r>
        <w:rPr>
          <w:b/>
        </w:rPr>
        <w:t xml:space="preserve">[123] </w:t>
      </w:r>
      <w:hyperlink r:id="rId449">
        <w:r>
          <w:rPr>
            <w:color w:val="1155CC"/>
            <w:u w:val="single"/>
          </w:rPr>
          <w:t>配位B←N骨架中的分子级π堆叠工程用于优异的光催化H2O2生产</w:t>
        </w:r>
      </w:hyperlink>
    </w:p>
    <w:p>
      <w:pPr>
        <w:spacing w:before="0" w:after="80"/>
      </w:pPr>
      <w:r>
        <w:rPr>
          <w:i/>
          <w:sz w:val="20"/>
        </w:rPr>
        <w:t>EN: Molecular‐Level π‐Stacking Engineering in Dative B←N Frameworks for Superior Photocatalytic H2O2 Production</w:t>
      </w:r>
    </w:p>
    <w:p>
      <w:pPr>
        <w:spacing w:before="0" w:after="120"/>
      </w:pPr>
      <w:r>
        <w:rPr>
          <w:b/>
        </w:rPr>
        <w:t xml:space="preserve">Source: </w:t>
      </w:r>
      <w:r>
        <w:t>Wiley: Angewandte Chemie International Edition: Table of Contents</w:t>
      </w:r>
      <w:r>
        <w:t xml:space="preserve">    </w:t>
      </w:r>
      <w:r>
        <w:rPr>
          <w:b/>
        </w:rPr>
        <w:t xml:space="preserve">Pub date: </w:t>
      </w:r>
      <w:r>
        <w:t>2026-05-18 11:57:32+00:00</w:t>
      </w:r>
      <w:r>
        <w:t xml:space="preserve">    </w:t>
      </w:r>
      <w:r>
        <w:rPr>
          <w:b/>
        </w:rPr>
        <w:t xml:space="preserve">DOI: </w:t>
      </w:r>
      <w:hyperlink r:id="rId450">
        <w:r>
          <w:rPr>
            <w:color w:val="1155CC"/>
            <w:u w:val="single"/>
          </w:rPr>
          <w:t>10.1002/anie.5657008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O2和H2O光催化合成过氧化氢（H2O2）代表了能源密集型蒽醌工艺的可持续替代方案。然而，实现高效光催化需要精确控制结构-活性关系，这仍然是一个重大挑战。在此，我们报告了一种分子工程策略，该策略利用精确调节三种单晶配位B←N骨架（BNF‐75、‐76和‐77）中的分子间π堆积。通过系统地调节B-受体的平面性，我们实现了B-受体的均方根偏差（RMSD）从BNF‐75中的0.463 Å逐步降低到BNF‐77中的0.201 Å。BNF‐77在可见光下（λ &gt; 420 nm）表现出更宽的可见光吸收、增强的电荷分离和传输，以及在不使用牺牲剂或金属助催化剂的情况下，H2O2生产速率高达5684.6 µmol·g−1·h−1。简单的机械研磨以减小粒径，进一步将速率提高到惊人的9451.0 µmol·g−1·h−1，使BNF‐77跻身于基于</w:t>
      </w:r>
    </w:p>
    <w:p>
      <w:pPr>
        <w:spacing w:before="0" w:after="200" w:lineRule="auto" w:line="276"/>
      </w:pPr>
      <w:r>
        <w:rPr>
          <w:b/>
        </w:rPr>
        <w:t xml:space="preserve">Abstract (EN): </w:t>
      </w:r>
      <w:r>
        <w:t>The photocatalytic synthesis of hydrogen peroxide (H</w:t>
      </w:r>
      <w:r>
        <w:rPr>
          <w:vertAlign w:val="subscript"/>
        </w:rPr>
        <w:t>2</w:t>
      </w:r>
      <w:r>
        <w:t>O</w:t>
      </w:r>
      <w:r>
        <w:rPr>
          <w:vertAlign w:val="subscript"/>
        </w:rPr>
        <w:t>2</w:t>
      </w:r>
      <w:r>
        <w:t>) from O</w:t>
      </w:r>
      <w:r>
        <w:rPr>
          <w:vertAlign w:val="subscript"/>
        </w:rPr>
        <w:t>2</w:t>
      </w:r>
      <w:r>
        <w:t>and H</w:t>
      </w:r>
      <w:r>
        <w:rPr>
          <w:vertAlign w:val="subscript"/>
        </w:rPr>
        <w:t>2</w:t>
      </w:r>
      <w:r>
        <w:t>O represents a sustainable alternative to the energy‐intensive anthraquinone process. However, achieving efficient photocatalysis requires precise control over structure–activity relationships, which remains a significant challenge. Herein, we report a molecular engineering strategy that leverages precise tuning of intermolecular π‐stacking in three single‐crystalline dative B←N frameworks (BNF‐75, ‐76, and ‐77). By systematically modulating the planarity of the B‐acceptors, we achieved a progressive decrease in the root‐mean‐square deviation (RMSD) of the B‐acceptors from 0.463 Å in BNF‐75 to 0.201 Å in BNF‐77. The BNF‐77 exhibits broadened visible‐light absorption, enhanced charge separation and transport, and an outstanding H</w:t>
      </w:r>
      <w:r>
        <w:rPr>
          <w:vertAlign w:val="subscript"/>
        </w:rPr>
        <w:t>2</w:t>
      </w:r>
      <w:r>
        <w:t>O</w:t>
      </w:r>
      <w:r>
        <w:rPr>
          <w:vertAlign w:val="subscript"/>
        </w:rPr>
        <w:t>2</w:t>
      </w:r>
      <w:r>
        <w:t>production rate of 5684.6 µmol·g</w:t>
      </w:r>
      <w:r>
        <w:t xml:space="preserve"> </w:t>
      </w:r>
      <w:r>
        <w:t>−1</w:t>
      </w:r>
      <w:r>
        <w:t xml:space="preserve"> </w:t>
      </w:r>
      <w:r>
        <w:t>·h</w:t>
      </w:r>
      <w:r>
        <w:t xml:space="preserve"> </w:t>
      </w:r>
      <w:r>
        <w:t>−1</w:t>
      </w:r>
      <w:r>
        <w:t xml:space="preserve"> </w:t>
      </w:r>
      <w:r>
        <w:t>under visible light without sacrificial agents or metal cocatalysts (λ &amp;gt; 420 nm). Simple mechanical grinding for particle‐size reduction further elevates the rate to a remarkable 9451.0 µmol·g</w:t>
      </w:r>
      <w:r>
        <w:t xml:space="preserve"> </w:t>
      </w:r>
      <w:r>
        <w:t>−1</w:t>
      </w:r>
      <w:r>
        <w:t xml:space="preserve"> </w:t>
      </w:r>
      <w:r>
        <w:t>·h</w:t>
      </w:r>
      <w:r>
        <w:t xml:space="preserve"> </w:t>
      </w:r>
      <w:r>
        <w:t>−1</w:t>
      </w:r>
      <w:r>
        <w:t xml:space="preserve"> </w:t>
      </w:r>
      <w:r>
        <w:t>, positioning BNF‐77 among the top‐performing crystalline photocatalysts based on dative B←N bonds. Integrated mechanistic studies reveal a synergistic mechanism: the dative B←N bond extends light harvesting and promotes charge separation, while the engineered tight π‐stacking constructs efficient charge‐transport highways and facilitates the two‐electron oxygen reduction reaction (ORR) pathway, with superoxide radicals (•O</w:t>
      </w:r>
      <w:r>
        <w:rPr>
          <w:vertAlign w:val="subscript"/>
        </w:rPr>
        <w:t>2</w:t>
      </w:r>
      <w:r>
        <w:t>−</w:t>
      </w:r>
      <w:r>
        <w:t>) as the key intermediate.</w:t>
      </w:r>
    </w:p>
    <w:p>
      <w:pPr>
        <w:spacing w:before="120" w:after="120"/>
      </w:pPr>
      <w:r>
        <w:rPr>
          <w:sz w:val="18"/>
        </w:rPr>
        <w:t>——————————————————————————————————————————————————————————————————————</w:t>
      </w:r>
    </w:p>
    <w:p>
      <w:pPr>
        <w:spacing w:before="160" w:after="40" w:line="240" w:lineRule="auto"/>
      </w:pPr>
      <w:r>
        <w:rPr>
          <w:b/>
        </w:rPr>
        <w:t xml:space="preserve">[124] </w:t>
      </w:r>
      <w:hyperlink r:id="rId451">
        <w:r>
          <w:rPr>
            <w:color w:val="1155CC"/>
            <w:u w:val="single"/>
          </w:rPr>
          <w:t>由金属有机笼工程化的一种氧自给自足纳米酶用于双模态自报告诊疗</w:t>
        </w:r>
      </w:hyperlink>
    </w:p>
    <w:p>
      <w:pPr>
        <w:spacing w:before="0" w:after="80"/>
      </w:pPr>
      <w:r>
        <w:rPr>
          <w:i/>
          <w:sz w:val="20"/>
        </w:rPr>
        <w:t>EN: An Oxygen Self‐Sufficient Nanozyme Engineered From Metal–Organic Cage for Dual‐Modal Self‐Reporting Theranostics</w:t>
      </w:r>
    </w:p>
    <w:p>
      <w:pPr>
        <w:spacing w:before="0" w:after="120"/>
      </w:pPr>
      <w:r>
        <w:rPr>
          <w:b/>
        </w:rPr>
        <w:t xml:space="preserve">Source: </w:t>
      </w:r>
      <w:r>
        <w:t>Wiley: Angewandte Chemie International Edition: Table of Contents</w:t>
      </w:r>
      <w:r>
        <w:t xml:space="preserve">    </w:t>
      </w:r>
      <w:r>
        <w:rPr>
          <w:b/>
        </w:rPr>
        <w:t xml:space="preserve">Pub date: </w:t>
      </w:r>
      <w:r>
        <w:t>2026-05-18 12:00:19+00:00</w:t>
      </w:r>
      <w:r>
        <w:t xml:space="preserve">    </w:t>
      </w:r>
      <w:r>
        <w:rPr>
          <w:b/>
        </w:rPr>
        <w:t xml:space="preserve">DOI: </w:t>
      </w:r>
      <w:hyperlink r:id="rId452">
        <w:r>
          <w:rPr>
            <w:color w:val="1155CC"/>
            <w:u w:val="single"/>
          </w:rPr>
          <w:t>10.1002/anie.8495523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能够改善肿瘤缺氧微环境和自报告治疗状态的智能诊疗平台对于克服传统光动力疗法（PDT）的局限性至关重要。在此，我们报告了一种氧自给纳米酶，通过用超分子金属有机笼（MOC52‐L）光敏剂对二氧化锰（MnO2）纳米花进行功能化，实现双模态自报告诊疗。这种纳米酶将用于产氧的过氧化氢酶模拟活性与治疗酶活性相结合，实现增强的I/II型联合PDT。肿瘤微环境中MnO2组分的分解不仅有效产氧并激活PDT，而且特异性触发荧光和T1加权磁共振成像（MRI）信号的恢复。这些信号的激活提供了肿瘤积累的实时可视化，并作为成功缓解缺氧和治疗启动的直接报告器。此外，MOC52‐L的口袋可用于捕获低水溶性利非西瓜（YC‐1）作为HIF-1α的有效抑制剂，以进一步实现抗血管生成和抗转移。体外和体内研究均表明，这种纳米酶可以通过信号开启非侵入性地可视化有效治疗区域，并以高生物安全性实现优异的抗肿瘤性能。这项工作为设计可推广的策略奠定了基础</w:t>
      </w:r>
    </w:p>
    <w:p>
      <w:pPr>
        <w:spacing w:before="0" w:after="200" w:lineRule="auto" w:line="276"/>
      </w:pPr>
      <w:r>
        <w:rPr>
          <w:b/>
        </w:rPr>
        <w:t xml:space="preserve">Abstract (EN): </w:t>
      </w:r>
      <w:r>
        <w:t>The development of intelligent theranostic platforms capable of improving tumor‐hypoxic microenvironment and self‐reporting therapeutic status is crucial for overcoming the limitations of conventional photodynamic therapy (PDT). Herein, we report an oxygen self‐sufficient nanozyme by the functionalization of manganese dioxide (MnO</w:t>
      </w:r>
      <w:r>
        <w:rPr>
          <w:vertAlign w:val="subscript"/>
        </w:rPr>
        <w:t>2</w:t>
      </w:r>
      <w:r>
        <w:t>) nanoflowers with supramolecular metal–organic cage (MOC52‐L) photosensitizers for dual‐modal self‐reporting theranostics. This nanozyme integrates catalase‐mimetic activity for oxygen generation with therapeutic enzyme activities, enabling enhanced type I/II combined PDT. The decomposition of MnO</w:t>
      </w:r>
      <w:r>
        <w:rPr>
          <w:vertAlign w:val="subscript"/>
        </w:rPr>
        <w:t>2</w:t>
      </w:r>
      <w:r>
        <w:t>component in tumor microenvironment not only efficiently generates oxygen and activates PDT but also specifically triggers the recovery of fluorescence and T1‐weighted magnetic resonance imaging (MRI) signals. The activation of these signals provides real‐time visualization of tumor accumulation and serves as a direct reporter of successful hypoxia alleviation and therapeutic initiation. Moreover, the pockets of MOC52‐L can be employed to capture low‐water‐soluble lificiguat (YC‐1) as effective inhibitors of HIF‐1α for further anti‐angiogenesis and anti‐metastasis. Both in vitro and in vivo studies demonstrated that this nanozyme can non‐invasively visualize the effective treatment zone via signal turn‐on and achieve excellent anti‐tumor performance with high biosafety. This work establishes a generalizable strategy for designing silenced theranostics agents, enabling a single activatable core to enhance imaging‐guided PDT and trigger turn‐on self‐reporting.</w:t>
      </w:r>
    </w:p>
    <w:p>
      <w:pPr>
        <w:spacing w:before="120" w:after="120"/>
      </w:pPr>
      <w:r>
        <w:rPr>
          <w:sz w:val="18"/>
        </w:rPr>
        <w:t>——————————————————————————————————————————————————————————————————————</w:t>
      </w:r>
    </w:p>
    <w:p>
      <w:pPr>
        <w:spacing w:before="160" w:after="40" w:line="240" w:lineRule="auto"/>
      </w:pPr>
      <w:r>
        <w:rPr>
          <w:b/>
        </w:rPr>
        <w:t xml:space="preserve">[125] </w:t>
      </w:r>
      <w:hyperlink r:id="rId453">
        <w:r>
          <w:rPr>
            <w:color w:val="1155CC"/>
            <w:u w:val="single"/>
          </w:rPr>
          <w:t>[ASAP] 通过自旋选择性析氧反应增强圆偏振光的电化学检测</w:t>
        </w:r>
      </w:hyperlink>
    </w:p>
    <w:p>
      <w:pPr>
        <w:spacing w:before="0" w:after="80"/>
      </w:pPr>
      <w:r>
        <w:rPr>
          <w:i/>
          <w:sz w:val="20"/>
        </w:rPr>
        <w:t>EN: [ASAP] Enhanced Electrochemical Detection of Circularly Polarized Light Enabled by Spin-Selective Oxygen Evolution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2026-05-18 12:18:02+00:00</w:t>
      </w:r>
      <w:r>
        <w:t xml:space="preserve">    </w:t>
      </w:r>
      <w:r>
        <w:rPr>
          <w:b/>
        </w:rPr>
        <w:t xml:space="preserve">DOI: </w:t>
      </w:r>
      <w:hyperlink r:id="rId454">
        <w:r>
          <w:rPr>
            <w:color w:val="1155CC"/>
            <w:u w:val="single"/>
          </w:rPr>
          <w:t>10.1021/jacs.6c01538</w:t>
        </w:r>
      </w:hyperlink>
    </w:p>
    <w:p>
      <w:pPr>
        <w:spacing w:before="0" w:after="120"/>
      </w:pPr>
      <w:r>
        <w:rPr>
          <w:b/>
        </w:rPr>
        <w:t xml:space="preserve">Notes: </w:t>
      </w:r>
      <w:r>
        <w:t>abstract_source=pubmed</w:t>
      </w:r>
    </w:p>
    <w:p>
      <w:pPr>
        <w:spacing w:before="0" w:after="80" w:lineRule="auto" w:line="276"/>
      </w:pPr>
      <w:r>
        <w:rPr>
          <w:b/>
        </w:rPr>
        <w:t xml:space="preserve">摘要（ZH）: </w:t>
      </w:r>
      <w:r>
        <w:t>圆偏振光(CPL)与手性物质之间的相互作用产生自旋极化电荷载流子；然而，如何有效地将这种微观自旋不平衡转化为宏观电信号仍然是CPL检测中的一个核心挑战。在此，我们提出了一种基于金属化手性共价有机框架(CCOF)的电化学CPL检测平台，其中CPL诱导的自旋极化与自旋选择性析氧反应(OER)耦合，从而实现自旋极化的非线性转导，产生放大的电响应。非线性自旋依赖性OER动力学作为内部增益模块，放大自旋不平衡的电读数，将CPL检测从直接的光电流转换转变为一个涉及自旋生成、自旋极化非线性转导和电流读数的级联过程，从而显著增强了光电流各向异性，超越了固态CPL检测器所能达到的水平。此外，用更重的Ru和Re中心系统性地取代Co，建立了自旋轨道耦合(SOC)强度、微观手性光学响应(gCD和PCPL)和宏观器件性能(GIph)之间的关联。这种级联自旋生成-非线性电化学放大策略将光电流各向异性因子(GIph)提高到0.52，为系统性提高CPL检测性能提供了一种合理的方法。</w:t>
      </w:r>
    </w:p>
    <w:p>
      <w:pPr>
        <w:spacing w:before="0" w:after="200" w:lineRule="auto" w:line="276"/>
      </w:pPr>
      <w:r>
        <w:rPr>
          <w:b/>
        </w:rPr>
        <w:t xml:space="preserve">Abstract (EN): </w:t>
      </w:r>
      <w:r>
        <w:t>The interaction between circularly polarized light (CPL) and chiral matter generates spin-polarized charge carriers; however, efficiently converting this microscopic spin imbalance into a macroscopic electrical signal remains a central challenge in CPL detection. Herein, we present an electrochemical CPL detection platform based on a metalated chiral covalent organic framework (CCOF), where CPL-induced spin polarization is coupled with the spin-selective oxygen evolution reaction (OER) to enable nonlinear transduction of spin polarization into an amplified electrical response. The nonlinear spin-dependent OER kinetics serves as an internal gain module that amplifies the electrical readout of spin imbalance, transforming CPL detection from a direct light-to-current conversion into a cascade process involving spin generation, nonlinear transduction of spin polarization, and current readout, resulting in a pronounced enhancement of the photocurrent anisotropy beyond that achievable in solid-state CPL detectors. Furthermore, systematic substitution of Co with heavier Ru and Re centers establishes a correlation among spin-orbit coupling (SOC) strength, microscopic chiroptical response (gCD and PCPL), and macroscopic device performance (GIph). This cascade spin generation-nonlinear electrochemical amplification strategy boosts the photocurrent anisotropy factor (GIph) to as high as 0.52, providing a rational approach for the systematic enhancement of CPL detection performance.</w:t>
      </w:r>
    </w:p>
    <w:p>
      <w:pPr>
        <w:spacing w:before="120" w:after="120"/>
      </w:pPr>
      <w:r>
        <w:rPr>
          <w:sz w:val="18"/>
        </w:rPr>
        <w:t>——————————————————————————————————————————————————————————————————————</w:t>
      </w:r>
    </w:p>
    <w:p>
      <w:pPr>
        <w:spacing w:before="160" w:after="40" w:line="240" w:lineRule="auto"/>
      </w:pPr>
      <w:r>
        <w:rPr>
          <w:b/>
        </w:rPr>
        <w:t xml:space="preserve">[126] </w:t>
      </w:r>
      <w:hyperlink r:id="rId455">
        <w:r>
          <w:rPr>
            <w:color w:val="1155CC"/>
            <w:u w:val="single"/>
          </w:rPr>
          <w:t>[ASAP] 控制钙钛矿卤化物中相不稳定性的动力学标度规则</w:t>
        </w:r>
      </w:hyperlink>
    </w:p>
    <w:p>
      <w:pPr>
        <w:spacing w:before="0" w:after="80"/>
      </w:pPr>
      <w:r>
        <w:rPr>
          <w:i/>
          <w:sz w:val="20"/>
        </w:rPr>
        <w:t>EN: [ASAP] Kinetic Scaling Rules Governing Phase Instability in Perovskite Halides</w:t>
      </w:r>
    </w:p>
    <w:p>
      <w:pPr>
        <w:spacing w:before="0" w:after="120"/>
      </w:pPr>
      <w:r>
        <w:rPr>
          <w:b/>
        </w:rPr>
        <w:t xml:space="preserve">Source: </w:t>
      </w:r>
      <w:r>
        <w:t>Journal of the American Chemical Society: Latest Articles (ACS Publications)</w:t>
      </w:r>
      <w:r>
        <w:t xml:space="preserve">    </w:t>
      </w:r>
      <w:r>
        <w:rPr>
          <w:b/>
        </w:rPr>
        <w:t xml:space="preserve">Pub date: </w:t>
      </w:r>
      <w:r>
        <w:t>2026-05-18 12:37:05+00:00</w:t>
      </w:r>
      <w:r>
        <w:t xml:space="preserve">    </w:t>
      </w:r>
      <w:r>
        <w:rPr>
          <w:b/>
        </w:rPr>
        <w:t xml:space="preserve">DOI: </w:t>
      </w:r>
      <w:hyperlink r:id="rId456">
        <w:r>
          <w:rPr>
            <w:color w:val="1155CC"/>
            <w:u w:val="single"/>
          </w:rPr>
          <w:t>10.1021/jacs.6c01689</w:t>
        </w:r>
      </w:hyperlink>
    </w:p>
    <w:p>
      <w:pPr>
        <w:spacing w:before="0" w:after="120"/>
      </w:pPr>
      <w:r>
        <w:rPr>
          <w:b/>
        </w:rPr>
        <w:t xml:space="preserve">Notes: </w:t>
      </w:r>
      <w:r>
        <w:t>abstract_source=pubmed</w:t>
      </w:r>
    </w:p>
    <w:p>
      <w:pPr>
        <w:spacing w:before="0" w:after="80" w:lineRule="auto" w:line="276"/>
      </w:pPr>
      <w:r>
        <w:rPr>
          <w:b/>
        </w:rPr>
        <w:t xml:space="preserve">摘要（ZH）: </w:t>
      </w:r>
      <w:r>
        <w:t>钙钛矿卤化物(ABX3)为下一代电子和光电技术提供了巨大的前景，然而，它们的部署根本上受限于固有的热相不稳定性。尽管进行了广泛研究，但控制分解和结构转变的机制仍未解决，部分原因是主流稳定性指标侧重于热力学，而忽视了主导降解的耦合离子迁移动力学。在此，我们确定了两个普适的线性标度关系，它们定量地将宏观不稳定性温度与微观离子迁移动力学联系起来。结合第一性原理计算和对各种单钙钛矿和双钙钛矿化学的实验验证，我们表明立方钙钛矿卤化物的分解温度与A-X和B-X迁移势垒的复合串联“电阻”呈线性关系，这捕捉了晶格破裂所需的键断裂的耦合动力学难度。相比之下，立方到四方相变温度与一个独特的动力学描述符相关：即沿晶体学c轴投影的阳离子和阴离子迁移势垒的差异性变化，这决定了对称破缺畸变的难易程度。总而言之，这些关系能够准确预测广泛化学空间中的不稳定性温度，并调和了先前关于钙钛矿稳定性的不同观察结果。通过揭示复合离子迁移动力学是相不稳定性主要的统一驱动因素，这项工作提供了一个通用的设计原</w:t>
      </w:r>
    </w:p>
    <w:p>
      <w:pPr>
        <w:spacing w:before="0" w:after="200" w:lineRule="auto" w:line="276"/>
      </w:pPr>
      <w:r>
        <w:rPr>
          <w:b/>
        </w:rPr>
        <w:t xml:space="preserve">Abstract (EN): </w:t>
      </w:r>
      <w:r>
        <w:t>Perovskite halides (ABX3) offer remarkable promise for next-generation electronic and optoelectronic technologies, yet their deployment is fundamentally limited by intrinsic thermal phase instability. Despite extensive study, the mechanisms governing decomposition and structural transitions remain unresolved, partly because prevailing stability metrics emphasize thermodynamics while overlooking the coupled ion-migration kinetics that dominate degradation. Here, we identify two universal linear scaling relationships that quantitatively link macroscopic instability temperatures to microscopic ion-migration kinetics. Using first-principles calculations combined with experimental validations across diverse single and double perovskite chemistries, we show that the decomposition temperature of cubic perovskite halides increases linearly with the composite serial "resistance" of A-X and B-X migration barriers, capturing the coupled kinetic difficulty of bond rupture required for lattice breakdown. In contrast, the cubic-to-tetragonal transition temperature scales with a distinct kinetic descriptor: the differential shift in cation and anion migration barriers projected along the crystallographic c-axis, which governs the ease of symmetry-breaking distortions. Together, these relationships enable accurate prediction of instability temperatures across a broad chemical space and reconcile previously disparate observations of perovskite stability. By revealing composite ion-migration kinetics as the dominant unifying driver of phase instability, this work provides a general design principle for engineering intrinsically stable halide perovskites and overcoming a central bottleneck in their technological maturation.</w:t>
      </w:r>
    </w:p>
    <w:p>
      <w:pPr>
        <w:spacing w:before="120" w:after="120"/>
      </w:pPr>
      <w:r>
        <w:rPr>
          <w:sz w:val="18"/>
        </w:rPr>
        <w:t>——————————————————————————————————————————————————————————————————————</w:t>
      </w:r>
    </w:p>
    <w:p>
      <w:pPr>
        <w:spacing w:before="160" w:after="40" w:line="240" w:lineRule="auto"/>
      </w:pPr>
      <w:r>
        <w:rPr>
          <w:b/>
        </w:rPr>
        <w:t xml:space="preserve">[127] </w:t>
      </w:r>
      <w:hyperlink r:id="rId457">
        <w:r>
          <w:rPr>
            <w:color w:val="1155CC"/>
            <w:u w:val="single"/>
          </w:rPr>
          <w:t>晶格S调控CoOOH自旋态和表面微环境实现高活性、高选择性、工业级电催化甘油升级</w:t>
        </w:r>
      </w:hyperlink>
    </w:p>
    <w:p>
      <w:pPr>
        <w:spacing w:before="0" w:after="80"/>
      </w:pPr>
      <w:r>
        <w:rPr>
          <w:i/>
          <w:sz w:val="20"/>
        </w:rPr>
        <w:t>EN: Lattice‐S Regulation of CoOOH Spin State and Surface Microenvironment Enables High‐Activity, High‐Selectivity, Industrial‐Level Electrocatalytic Glycerol Upgrading</w:t>
      </w:r>
    </w:p>
    <w:p>
      <w:pPr>
        <w:spacing w:before="0" w:after="120"/>
      </w:pPr>
      <w:r>
        <w:rPr>
          <w:b/>
        </w:rPr>
        <w:t xml:space="preserve">Source: </w:t>
      </w:r>
      <w:r>
        <w:t>Wiley: Angewandte Chemie International Edition: Table of Contents</w:t>
      </w:r>
      <w:r>
        <w:t xml:space="preserve">    </w:t>
      </w:r>
      <w:r>
        <w:rPr>
          <w:b/>
        </w:rPr>
        <w:t xml:space="preserve">Pub date: </w:t>
      </w:r>
      <w:r>
        <w:t>2026-05-18 13:01:56+00:00</w:t>
      </w:r>
      <w:r>
        <w:t xml:space="preserve">    </w:t>
      </w:r>
      <w:r>
        <w:rPr>
          <w:b/>
        </w:rPr>
        <w:t xml:space="preserve">DOI: </w:t>
      </w:r>
      <w:hyperlink r:id="rId458">
        <w:r>
          <w:rPr>
            <w:color w:val="1155CC"/>
            <w:u w:val="single"/>
          </w:rPr>
          <w:t>10.1002/anie.7533313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生物质甘油电催化升级为高附加值甲酸盐具有巨大的能源和化学应用潜力。在此，我们采用阴离子-S修饰策略，精确调控CoOOH的电子结构和表面化学，从而实现高效的甘油制甲酸盐（GOR）转化。所得的CoOOH-S催化剂仅需1.25和1.31 V（vs. RHE）即可分别达到100和500 mA cm−2的电流密度。此外，在1.4 V下，其甲酸盐选择性和法拉第效率分别达到96%和95%，超越了迄今为止报道的大多数体系。值得注意的是，在流动电解条件下，CoOOH-S在仅2.14和2.27 V下即可实现1.0和1.5 A cm−2的工业级电流密度，并在 &gt; 500 mA cm−2下稳定运行超过500小时。这种GOR活性可归因于S的修饰，它破坏了CoOOH原有的八面体对称性，诱导了Co─O键的伸长和晶格畸变，并促进了电子再分布和未配对电子的存在，从而增强了电子传输和本征活性。同时，S较低的电负性增强了OH−和甘油的协同吸附，加速了脱氢和甲酸盐解离。本研究阐明了阴离子掺杂在调节质子脱嵌中的协同作用。</w:t>
      </w:r>
    </w:p>
    <w:p>
      <w:pPr>
        <w:spacing w:before="0" w:after="200" w:lineRule="auto" w:line="276"/>
      </w:pPr>
      <w:r>
        <w:rPr>
          <w:b/>
        </w:rPr>
        <w:t xml:space="preserve">Abstract (EN): </w:t>
      </w:r>
      <w:r>
        <w:t>Electrocatalytic upgrading of biomass‐derived glycerol into high value‐added formate presents significant energy and chemical application potential. Herein, an anion‐S modification strategy was employed to precisely modulate the electronic structure and surface chemistry of CoOOH, enabling highly efficient glycerol‐to‐formate (GOR) conversion. The resulting CoOOH‐S catalyst requires only 1.25 and 1.31 V (vs. RHE) to achieve 100 and 500 mA cm</w:t>
      </w:r>
      <w:r>
        <w:t xml:space="preserve"> </w:t>
      </w:r>
      <w:r>
        <w:t>−2</w:t>
      </w:r>
      <w:r>
        <w:t xml:space="preserve"> </w:t>
      </w:r>
      <w:r>
        <w:t>, respectively. Moreover, it delivers a formate selectivity and Faradaic efficiency of 96% and 95% at 1.4 V, surpassing most systems reported so far. Notably, under flow‐electrolysis conditions, the CoOOH‐S achieves industrial‐level current densities of 1.0 and 1.5 A cm</w:t>
      </w:r>
      <w:r>
        <w:t xml:space="preserve"> </w:t>
      </w:r>
      <w:r>
        <w:t>−2</w:t>
      </w:r>
      <w:r>
        <w:t xml:space="preserve"> </w:t>
      </w:r>
      <w:r>
        <w:t>at merely 2.14 and 2.27 V, and maintains stable operation for over 500 h at  &amp;gt; 500 mA cm</w:t>
      </w:r>
      <w:r>
        <w:t xml:space="preserve"> </w:t>
      </w:r>
      <w:r>
        <w:t>−2</w:t>
      </w:r>
      <w:r>
        <w:t xml:space="preserve"> </w:t>
      </w:r>
      <w:r>
        <w:t>. Such GOR activity can be attributed to the modification of S, which disrupts the original octahedral symmetry of CoOOH, induces elongation of the Co─O bond and lattice distortion, and promotes electron redistribution and the presence of unpaired electrons, thereby enhancing electron transport and intrinsic activity. Meanwhile, the lower electronegativity of S strengthens the cooperative adsorption of OH</w:t>
      </w:r>
      <w:r>
        <w:t xml:space="preserve"> </w:t>
      </w:r>
      <w:r>
        <w:t>−</w:t>
      </w:r>
      <w:r>
        <w:t>and glycerol, accelerating dehydrogenation and formate dissociation. This study elucidates the synergistic role of anion doping in regulating proton deintercalation and substrate adsorption on Co‐based catalysts.</w:t>
      </w:r>
    </w:p>
    <w:p>
      <w:pPr>
        <w:spacing w:before="120" w:after="120"/>
      </w:pPr>
      <w:r>
        <w:rPr>
          <w:sz w:val="18"/>
        </w:rPr>
        <w:t>——————————————————————————————————————————————————————————————————————</w:t>
      </w:r>
    </w:p>
    <w:p>
      <w:pPr>
        <w:spacing w:before="160" w:after="40" w:line="240" w:lineRule="auto"/>
      </w:pPr>
      <w:r>
        <w:rPr>
          <w:b/>
        </w:rPr>
        <w:t xml:space="preserve">[128] </w:t>
      </w:r>
      <w:hyperlink r:id="rId459">
        <w:r>
          <w:rPr>
            <w:color w:val="1155CC"/>
            <w:u w:val="single"/>
          </w:rPr>
          <w:t>2-氮杂薁半花菁染料用于NIR-II多模态成像和联合光疗</w:t>
        </w:r>
      </w:hyperlink>
    </w:p>
    <w:p>
      <w:pPr>
        <w:spacing w:before="0" w:after="80"/>
      </w:pPr>
      <w:r>
        <w:rPr>
          <w:i/>
          <w:sz w:val="20"/>
        </w:rPr>
        <w:t>EN: 2‐Azaazulenium Hemicyanine Dyes for NIR‐II Multimodal Imaging and Combined Phototherapy</w:t>
      </w:r>
    </w:p>
    <w:p>
      <w:pPr>
        <w:spacing w:before="0" w:after="120"/>
      </w:pPr>
      <w:r>
        <w:rPr>
          <w:b/>
        </w:rPr>
        <w:t xml:space="preserve">Source: </w:t>
      </w:r>
      <w:r>
        <w:t>Wiley: Angewandte Chemie International Edition: Table of Contents</w:t>
      </w:r>
      <w:r>
        <w:t xml:space="preserve">    </w:t>
      </w:r>
      <w:r>
        <w:rPr>
          <w:b/>
        </w:rPr>
        <w:t xml:space="preserve">Pub date: </w:t>
      </w:r>
      <w:r>
        <w:t>2026-05-18 13:02:58+00:00</w:t>
      </w:r>
      <w:r>
        <w:t xml:space="preserve">    </w:t>
      </w:r>
      <w:r>
        <w:rPr>
          <w:b/>
        </w:rPr>
        <w:t xml:space="preserve">DOI: </w:t>
      </w:r>
      <w:hyperlink r:id="rId460">
        <w:r>
          <w:rPr>
            <w:color w:val="1155CC"/>
            <w:u w:val="single"/>
          </w:rPr>
          <w:t>10.1002/anie.9264339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半花菁染料是定义明确的供体-π-受体分子，其光物理和生物学特性可以通过合理的分子设计精确调控。然而，在第二近红外（NIR-II）区域工作的有效发射体仍然稀缺，阻碍了其更广泛的生物医学应用。在此，我们报道了一系列策略性设计的2-氮杂薁半花菁，它们实现了明亮的NIR-II发射和多功能性。其中，SWJT-OCH3结合了强烈的NIR-II荧光与出色的光热和光动力性能，当封装到生物相容性纳米颗粒（SWJT NPs）中时，可实现多模态成像和联合光疗。此外，源自该平台的可激活探针（SWJT-Probe）可实现体外和体内对过氧亚硝酸盐（ONOO−）的高灵敏和选择性检测。这项工作将2-氮杂薁半花菁确立为多功能分子骨架，并为具有广泛生物医学潜力的多功能NIR-II荧光团提供了有前景的设计范例。</w:t>
      </w:r>
    </w:p>
    <w:p>
      <w:pPr>
        <w:spacing w:before="0" w:after="200" w:lineRule="auto" w:line="276"/>
      </w:pPr>
      <w:r>
        <w:rPr>
          <w:b/>
        </w:rPr>
        <w:t xml:space="preserve">Abstract (EN): </w:t>
      </w:r>
      <w:r>
        <w:t>Hemicyanine dyes are well‐defined donor–π–acceptor molecules whose photophysical and biological properties can be precisely tuned through rational molecular design. However, efficient emitters operating in the second near‐infrared (NIR‐II) region remain scarce, hindering their broader biomedical applications. Here, we report a strategically engineered series of 2‐azaazulenium hemicyanines that achieve bright NIR‐II emission together with multifunctionality. Among them, SWJT‐OCH</w:t>
      </w:r>
      <w:r>
        <w:rPr>
          <w:vertAlign w:val="subscript"/>
        </w:rPr>
        <w:t>3</w:t>
      </w:r>
      <w:r>
        <w:t>integrates intense NIR‐II fluorescence with outstanding photothermal and photodynamic performance, enabling multimodal imaging and combined phototherapy when encapsulated into biocompatible nanoparticles (SWJT NPs). Furthermore, an activatable probe (SWJT‐Probe) derived from this platform allows highly sensitive and selective detection of peroxynitrite (ONOO</w:t>
      </w:r>
      <w:r>
        <w:t xml:space="preserve"> </w:t>
      </w:r>
      <w:r>
        <w:t>−</w:t>
      </w:r>
      <w:r>
        <w:t>) both in vitro and in vivo. This work establishes 2‐azaazulenium hemicyanines as versatile molecular scaffolds and provides a promising design paradigm for multifunctional NIR‐II fluorophores with broad biomedical potential.</w:t>
      </w:r>
    </w:p>
    <w:p>
      <w:pPr>
        <w:spacing w:before="120" w:after="120"/>
      </w:pPr>
      <w:r>
        <w:rPr>
          <w:sz w:val="18"/>
        </w:rPr>
        <w:t>——————————————————————————————————————————————————————————————————————</w:t>
      </w:r>
    </w:p>
    <w:p>
      <w:pPr>
        <w:spacing w:before="160" w:after="40" w:line="240" w:lineRule="auto"/>
      </w:pPr>
      <w:r>
        <w:rPr>
          <w:b/>
        </w:rPr>
        <w:t xml:space="preserve">[129] </w:t>
      </w:r>
      <w:hyperlink r:id="rId461">
        <w:r>
          <w:rPr>
            <w:color w:val="1155CC"/>
            <w:u w:val="single"/>
          </w:rPr>
          <w:t>在钴基催化剂上由醇可控电催化合成醛：一种氧化还原循环介导的间接氧化机制</w:t>
        </w:r>
      </w:hyperlink>
    </w:p>
    <w:p>
      <w:pPr>
        <w:spacing w:before="0" w:after="80"/>
      </w:pPr>
      <w:r>
        <w:rPr>
          <w:i/>
          <w:sz w:val="20"/>
        </w:rPr>
        <w:t>EN: Controllable Electrocatalytic Synthesis of Aldehydes From Alcohols on Co‐Based Catalysts: A Redox Cycling‐Mediated Indirect Oxidation Mechanism</w:t>
      </w:r>
    </w:p>
    <w:p>
      <w:pPr>
        <w:spacing w:before="0" w:after="120"/>
      </w:pPr>
      <w:r>
        <w:rPr>
          <w:b/>
        </w:rPr>
        <w:t xml:space="preserve">Source: </w:t>
      </w:r>
      <w:r>
        <w:t>Wiley: Angewandte Chemie International Edition: Table of Contents</w:t>
      </w:r>
      <w:r>
        <w:t xml:space="preserve">    </w:t>
      </w:r>
      <w:r>
        <w:rPr>
          <w:b/>
        </w:rPr>
        <w:t xml:space="preserve">Pub date: </w:t>
      </w:r>
      <w:r>
        <w:t>2026-05-18 13:04:00+00:00</w:t>
      </w:r>
      <w:r>
        <w:t xml:space="preserve">    </w:t>
      </w:r>
      <w:r>
        <w:rPr>
          <w:b/>
        </w:rPr>
        <w:t xml:space="preserve">DOI: </w:t>
      </w:r>
      <w:hyperlink r:id="rId462">
        <w:r>
          <w:rPr>
            <w:color w:val="1155CC"/>
            <w:u w:val="single"/>
          </w:rPr>
          <w:t>10.1002/anie.4948095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质衍生的醇的电催化氧化为醛的制备提供了一条绿色可持续的途径，然而，该途径仍面临诸多挑战，例如不可控的深度氧化（优先生成有机酸）、复杂苛刻的反应条件以及需要高成本的贵金属基催化剂。在此，我们展示了一种Co</w:t>
      </w:r>
      <w:r>
        <w:t xml:space="preserve"> </w:t>
      </w:r>
      <w:r>
        <w:t>3+</w:t>
      </w:r>
      <w:r>
        <w:t xml:space="preserve"> </w:t>
      </w:r>
      <w:r>
        <w:t>/Co</w:t>
      </w:r>
      <w:r>
        <w:t xml:space="preserve"> </w:t>
      </w:r>
      <w:r>
        <w:t>4+</w:t>
      </w:r>
      <w:r>
        <w:t xml:space="preserve"> </w:t>
      </w:r>
      <w:r>
        <w:t>介导的间接氧化机制，用于在中性条件下可控选择性地将醇氧化为醛。作为概念验证，我们成功开发了一种CeO</w:t>
      </w:r>
      <w:r>
        <w:rPr>
          <w:vertAlign w:val="subscript"/>
        </w:rPr>
        <w:t>2</w:t>
      </w:r>
      <w:r>
        <w:t>/Co</w:t>
      </w:r>
      <w:r>
        <w:rPr>
          <w:vertAlign w:val="subscript"/>
        </w:rPr>
        <w:t>3</w:t>
      </w:r>
      <w:r>
        <w:t>O</w:t>
      </w:r>
      <w:r>
        <w:rPr>
          <w:vertAlign w:val="subscript"/>
        </w:rPr>
        <w:t>4</w:t>
      </w:r>
      <w:r>
        <w:t>/CC催化剂，用于将乙二醇氧化为乙醛二聚体，实现了高达94.4%的法拉第效率和99.9%的选择性，甚至优于先前报道的贵金属基催化剂。详细的机理研究表明，该反应由Co</w:t>
      </w:r>
      <w:r>
        <w:t xml:space="preserve"> </w:t>
      </w:r>
      <w:r>
        <w:t>3+</w:t>
      </w:r>
      <w:r>
        <w:t xml:space="preserve"> </w:t>
      </w:r>
      <w:r>
        <w:t>/Co</w:t>
      </w:r>
      <w:r>
        <w:t xml:space="preserve"> </w:t>
      </w:r>
      <w:r>
        <w:t>4+</w:t>
      </w:r>
      <w:r>
        <w:t xml:space="preserve"> </w:t>
      </w:r>
      <w:r>
        <w:t>氧化还原对的氧化还原循环驱动，并且CeO</w:t>
      </w:r>
      <w:r>
        <w:rPr>
          <w:vertAlign w:val="subscript"/>
        </w:rPr>
        <w:t>2</w:t>
      </w:r>
      <w:r>
        <w:t>和Co</w:t>
      </w:r>
      <w:r>
        <w:rPr>
          <w:vertAlign w:val="subscript"/>
        </w:rPr>
        <w:t>3</w:t>
      </w:r>
      <w:r>
        <w:t>O</w:t>
      </w:r>
      <w:r>
        <w:rPr>
          <w:vertAlign w:val="subscript"/>
        </w:rPr>
        <w:t>4</w:t>
      </w:r>
      <w:r>
        <w:t>之间的异质结界面有效提高了催化剂中Co</w:t>
      </w:r>
      <w:r>
        <w:t xml:space="preserve"> </w:t>
      </w:r>
      <w:r>
        <w:t>3+</w:t>
      </w:r>
      <w:r>
        <w:t xml:space="preserve"> </w:t>
      </w:r>
      <w:r>
        <w:t>的含量，从而有效促进了活性Co</w:t>
      </w:r>
    </w:p>
    <w:p>
      <w:pPr>
        <w:spacing w:before="0" w:after="200" w:lineRule="auto" w:line="276"/>
      </w:pPr>
      <w:r>
        <w:rPr>
          <w:b/>
        </w:rPr>
        <w:t xml:space="preserve">Abstract (EN): </w:t>
      </w:r>
      <w:r>
        <w:t>The electrocatalytic oxidation of biomass‐derived alcohols offers a green and sustainable route for the preparation of aldehydes, which, however, still faces great challenges such as uncontrollable deep oxidation, preferentially to organic acids, complex and harsh reaction conditions, and the necessitation of high‐cost noble‐metal‐based catalysts. Herein, a Co</w:t>
      </w:r>
      <w:r>
        <w:t xml:space="preserve"> </w:t>
      </w:r>
      <w:r>
        <w:t>3+</w:t>
      </w:r>
      <w:r>
        <w:t xml:space="preserve"> </w:t>
      </w:r>
      <w:r>
        <w:t>/Co</w:t>
      </w:r>
      <w:r>
        <w:t xml:space="preserve"> </w:t>
      </w:r>
      <w:r>
        <w:t>4+</w:t>
      </w:r>
      <w:r>
        <w:t xml:space="preserve"> </w:t>
      </w:r>
      <w:r>
        <w:t>‐mediated indirect oxidation mechanism has been demonstrated for the controllable and selective oxidation of alcohols to aldehydes under neutral conditions. As a proof‐of‐concept, we successfully developed a CeO</w:t>
      </w:r>
      <w:r>
        <w:rPr>
          <w:vertAlign w:val="subscript"/>
        </w:rPr>
        <w:t>2</w:t>
      </w:r>
      <w:r>
        <w:t>/Co</w:t>
      </w:r>
      <w:r>
        <w:rPr>
          <w:vertAlign w:val="subscript"/>
        </w:rPr>
        <w:t>3</w:t>
      </w:r>
      <w:r>
        <w:t>O</w:t>
      </w:r>
      <w:r>
        <w:rPr>
          <w:vertAlign w:val="subscript"/>
        </w:rPr>
        <w:t>4</w:t>
      </w:r>
      <w:r>
        <w:t>/CC catalyst for oxidizing ethylene glycol to glycolaldehyde dimer, which achieves a favorably high Faradaic efficiency of 94.4% and 99.9% selectivity, even standing out from previously reported noble‐metal‐based catalysts. Detailed mechanistic studies reveal that the reaction is driven by the redox cycling of the Co</w:t>
      </w:r>
      <w:r>
        <w:t xml:space="preserve"> </w:t>
      </w:r>
      <w:r>
        <w:t>3+</w:t>
      </w:r>
      <w:r>
        <w:t xml:space="preserve"> </w:t>
      </w:r>
      <w:r>
        <w:t>/Co</w:t>
      </w:r>
      <w:r>
        <w:t xml:space="preserve"> </w:t>
      </w:r>
      <w:r>
        <w:t>4+</w:t>
      </w:r>
      <w:r>
        <w:t xml:space="preserve"> </w:t>
      </w:r>
      <w:r>
        <w:t>redox couple, and the heterojunction interface between CeO</w:t>
      </w:r>
      <w:r>
        <w:rPr>
          <w:vertAlign w:val="subscript"/>
        </w:rPr>
        <w:t>2</w:t>
      </w:r>
      <w:r>
        <w:t>and Co</w:t>
      </w:r>
      <w:r>
        <w:rPr>
          <w:vertAlign w:val="subscript"/>
        </w:rPr>
        <w:t>3</w:t>
      </w:r>
      <w:r>
        <w:t>O</w:t>
      </w:r>
      <w:r>
        <w:rPr>
          <w:vertAlign w:val="subscript"/>
        </w:rPr>
        <w:t>4</w:t>
      </w:r>
      <w:r>
        <w:t>effectively elevates the Co</w:t>
      </w:r>
      <w:r>
        <w:t xml:space="preserve"> </w:t>
      </w:r>
      <w:r>
        <w:t>3+</w:t>
      </w:r>
      <w:r>
        <w:t xml:space="preserve"> </w:t>
      </w:r>
      <w:r>
        <w:t>content in the catalyst, thereby effectively facilitating active Co</w:t>
      </w:r>
      <w:r>
        <w:t xml:space="preserve"> </w:t>
      </w:r>
      <w:r>
        <w:t>4+</w:t>
      </w:r>
      <w:r>
        <w:t xml:space="preserve"> </w:t>
      </w:r>
      <w:r>
        <w:t>species generation as the rate‐determining step and remarkably enhancing the electrocatalytic alcohol oxidation performance. Overall, the proposed reaction mechanism provides novel insights into the selective oxidation of alcohols to aldehydes under mild conditions and paves the way for the development of a series of non‐noble metal electrocatalysts.</w:t>
      </w:r>
    </w:p>
    <w:p>
      <w:pPr>
        <w:spacing w:before="120" w:after="120"/>
      </w:pPr>
      <w:r>
        <w:rPr>
          <w:sz w:val="18"/>
        </w:rPr>
        <w:t>——————————————————————————————————————————————————————————————————————</w:t>
      </w:r>
    </w:p>
    <w:p>
      <w:pPr>
        <w:spacing w:before="160" w:after="40" w:line="240" w:lineRule="auto"/>
      </w:pPr>
      <w:r>
        <w:rPr>
          <w:b/>
        </w:rPr>
        <w:t xml:space="preserve">[130] </w:t>
      </w:r>
      <w:hyperlink r:id="rId463">
        <w:r>
          <w:rPr>
            <w:color w:val="1155CC"/>
            <w:u w:val="single"/>
          </w:rPr>
          <w:t>反重原子效应增强铜簇基LED中的电致发光</w:t>
        </w:r>
      </w:hyperlink>
    </w:p>
    <w:p>
      <w:pPr>
        <w:spacing w:before="0" w:after="80"/>
      </w:pPr>
      <w:r>
        <w:rPr>
          <w:i/>
          <w:sz w:val="20"/>
        </w:rPr>
        <w:t>EN: Anti‐Heavy‐Atom Effect Boosts Electroluminescence in Copper Cluster‐Based LEDs</w:t>
      </w:r>
    </w:p>
    <w:p>
      <w:pPr>
        <w:spacing w:before="0" w:after="120"/>
      </w:pPr>
      <w:r>
        <w:rPr>
          <w:b/>
        </w:rPr>
        <w:t xml:space="preserve">Source: </w:t>
      </w:r>
      <w:r>
        <w:t>Wiley: Angewandte Chemie International Edition: Table of Contents</w:t>
      </w:r>
      <w:r>
        <w:t xml:space="preserve">    </w:t>
      </w:r>
      <w:r>
        <w:rPr>
          <w:b/>
        </w:rPr>
        <w:t xml:space="preserve">Pub date: </w:t>
      </w:r>
      <w:r>
        <w:t>2026-05-18 13:05:32+00:00</w:t>
      </w:r>
      <w:r>
        <w:t xml:space="preserve">    </w:t>
      </w:r>
      <w:r>
        <w:rPr>
          <w:b/>
        </w:rPr>
        <w:t xml:space="preserve">DOI: </w:t>
      </w:r>
      <w:hyperlink r:id="rId464">
        <w:r>
          <w:rPr>
            <w:color w:val="1155CC"/>
            <w:u w:val="single"/>
          </w:rPr>
          <w:t>10.1002/anie.5191546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重原子效应在促进系间窜越和增强磷光方面起着关键作用。然而，其对发光二极管（LED）器件中电致发光的影响仍未得到充分探索，并且缺乏清晰的分子水平理解。在此，我们报道了一对近乎同构的铜(I)簇，[Cu</w:t>
      </w:r>
      <w:r>
        <w:rPr>
          <w:vertAlign w:val="subscript"/>
        </w:rPr>
        <w:t>4</w:t>
      </w:r>
      <w:r>
        <w:t>S(dppm)</w:t>
      </w:r>
      <w:r>
        <w:rPr>
          <w:vertAlign w:val="subscript"/>
        </w:rPr>
        <w:t>4</w:t>
      </w:r>
      <w:r>
        <w:t>](PF</w:t>
      </w:r>
      <w:r>
        <w:rPr>
          <w:vertAlign w:val="subscript"/>
        </w:rPr>
        <w:t>6</w:t>
      </w:r>
      <w:r>
        <w:t>)</w:t>
      </w:r>
      <w:r>
        <w:rPr>
          <w:vertAlign w:val="subscript"/>
        </w:rPr>
        <w:t>2</w:t>
      </w:r>
      <w:r>
        <w:t>(</w:t>
      </w:r>
      <w:r>
        <w:t xml:space="preserve"> </w:t>
      </w:r>
      <w:r>
        <w:t>Cu</w:t>
      </w:r>
      <w:r>
        <w:rPr>
          <w:vertAlign w:val="subscript"/>
        </w:rPr>
        <w:t>4</w:t>
      </w:r>
      <w:r>
        <w:t>S</w:t>
      </w:r>
      <w:r>
        <w:t xml:space="preserve"> </w:t>
      </w:r>
      <w:r>
        <w:t>)和[Cu</w:t>
      </w:r>
      <w:r>
        <w:rPr>
          <w:vertAlign w:val="subscript"/>
        </w:rPr>
        <w:t>4</w:t>
      </w:r>
      <w:r>
        <w:t>Se(dppm)</w:t>
      </w:r>
      <w:r>
        <w:rPr>
          <w:vertAlign w:val="subscript"/>
        </w:rPr>
        <w:t>4</w:t>
      </w:r>
      <w:r>
        <w:t>](PF</w:t>
      </w:r>
      <w:r>
        <w:rPr>
          <w:vertAlign w:val="subscript"/>
        </w:rPr>
        <w:t>6</w:t>
      </w:r>
      <w:r>
        <w:t>)</w:t>
      </w:r>
      <w:r>
        <w:rPr>
          <w:vertAlign w:val="subscript"/>
        </w:rPr>
        <w:t>2</w:t>
      </w:r>
      <w:r>
        <w:t>(</w:t>
      </w:r>
      <w:r>
        <w:t xml:space="preserve"> </w:t>
      </w:r>
      <w:r>
        <w:t>Cu</w:t>
      </w:r>
      <w:r>
        <w:rPr>
          <w:vertAlign w:val="subscript"/>
        </w:rPr>
        <w:t>4</w:t>
      </w:r>
      <w:r>
        <w:t>Se</w:t>
      </w:r>
      <w:r>
        <w:t xml:space="preserve"> </w:t>
      </w:r>
      <w:r>
        <w:t>)，它们仅通过将中心S</w:t>
      </w:r>
      <w:r>
        <w:t xml:space="preserve"> </w:t>
      </w:r>
      <w:r>
        <w:t>2−</w:t>
      </w:r>
      <w:r>
        <w:t>(</w:t>
      </w:r>
      <w:r>
        <w:t xml:space="preserve"> </w:t>
      </w:r>
      <w:r>
        <w:t>Z</w:t>
      </w:r>
      <w:r>
        <w:t xml:space="preserve"> </w:t>
      </w:r>
      <w:r>
        <w:t>= 16)替换为Se</w:t>
      </w:r>
      <w:r>
        <w:t xml:space="preserve"> </w:t>
      </w:r>
      <w:r>
        <w:t>2−</w:t>
      </w:r>
      <w:r>
        <w:t>(</w:t>
      </w:r>
      <w:r>
        <w:t xml:space="preserve"> </w:t>
      </w:r>
      <w:r>
        <w:t>Z</w:t>
      </w:r>
      <w:r>
        <w:t xml:space="preserve"> </w:t>
      </w:r>
      <w:r>
        <w:t>= 34)的单原子取代而不同。尽管在非掺杂器件中表现出几乎相同的光致发光（PL）特性和可比的外部量子效率（EQE）（5.8% 对 5.5%），但掺入较轻原子的</w:t>
      </w:r>
      <w:r>
        <w:t xml:space="preserve"> </w:t>
      </w:r>
      <w:r>
        <w:t>Cu</w:t>
      </w:r>
      <w:r>
        <w:rPr>
          <w:vertAlign w:val="subscript"/>
        </w:rPr>
        <w:t>4</w:t>
      </w:r>
    </w:p>
    <w:p>
      <w:pPr>
        <w:spacing w:before="0" w:after="200" w:lineRule="auto" w:line="276"/>
      </w:pPr>
      <w:r>
        <w:rPr>
          <w:b/>
        </w:rPr>
        <w:t xml:space="preserve">Abstract (EN): </w:t>
      </w:r>
      <w:r>
        <w:t>The heavy‐atom effect plays a pivotal role in promoting intersystem crossing and enhancing phosphorescence. However, its impact on electroluminescence in light‐emitting diode (LED) devices remains largely unexplored, and a clear molecular‐level understanding is still lacking. Herein, we report a nearly isostructural pair of copper(I) clusters, [Cu</w:t>
      </w:r>
      <w:r>
        <w:rPr>
          <w:vertAlign w:val="subscript"/>
        </w:rPr>
        <w:t>4</w:t>
      </w:r>
      <w:r>
        <w:t>S(dppm)</w:t>
      </w:r>
      <w:r>
        <w:rPr>
          <w:vertAlign w:val="subscript"/>
        </w:rPr>
        <w:t>4</w:t>
      </w:r>
      <w:r>
        <w:t>](PF</w:t>
      </w:r>
      <w:r>
        <w:rPr>
          <w:vertAlign w:val="subscript"/>
        </w:rPr>
        <w:t>6</w:t>
      </w:r>
      <w:r>
        <w:t>)</w:t>
      </w:r>
      <w:r>
        <w:rPr>
          <w:vertAlign w:val="subscript"/>
        </w:rPr>
        <w:t>2</w:t>
      </w:r>
      <w:r>
        <w:t>(</w:t>
      </w:r>
      <w:r>
        <w:t xml:space="preserve"> </w:t>
      </w:r>
      <w:r>
        <w:t>Cu</w:t>
      </w:r>
      <w:r>
        <w:rPr>
          <w:vertAlign w:val="subscript"/>
        </w:rPr>
        <w:t>4</w:t>
      </w:r>
      <w:r>
        <w:t>S</w:t>
      </w:r>
      <w:r>
        <w:t xml:space="preserve"> </w:t>
      </w:r>
      <w:r>
        <w:t>) and [Cu</w:t>
      </w:r>
      <w:r>
        <w:rPr>
          <w:vertAlign w:val="subscript"/>
        </w:rPr>
        <w:t>4</w:t>
      </w:r>
      <w:r>
        <w:t>Se(dppm)</w:t>
      </w:r>
      <w:r>
        <w:rPr>
          <w:vertAlign w:val="subscript"/>
        </w:rPr>
        <w:t>4</w:t>
      </w:r>
      <w:r>
        <w:t>](PF</w:t>
      </w:r>
      <w:r>
        <w:rPr>
          <w:vertAlign w:val="subscript"/>
        </w:rPr>
        <w:t>6</w:t>
      </w:r>
      <w:r>
        <w:t>)</w:t>
      </w:r>
      <w:r>
        <w:rPr>
          <w:vertAlign w:val="subscript"/>
        </w:rPr>
        <w:t>2</w:t>
      </w:r>
      <w:r>
        <w:t>(</w:t>
      </w:r>
      <w:r>
        <w:t xml:space="preserve"> </w:t>
      </w:r>
      <w:r>
        <w:t>Cu</w:t>
      </w:r>
      <w:r>
        <w:rPr>
          <w:vertAlign w:val="subscript"/>
        </w:rPr>
        <w:t>4</w:t>
      </w:r>
      <w:r>
        <w:t>Se</w:t>
      </w:r>
      <w:r>
        <w:t xml:space="preserve"> </w:t>
      </w:r>
      <w:r>
        <w:t>), which differ solely by a single‐atom substitution of the central S</w:t>
      </w:r>
      <w:r>
        <w:t xml:space="preserve"> </w:t>
      </w:r>
      <w:r>
        <w:t>2−</w:t>
      </w:r>
      <w:r>
        <w:t>(</w:t>
      </w:r>
      <w:r>
        <w:t xml:space="preserve"> </w:t>
      </w:r>
      <w:r>
        <w:t>Z</w:t>
      </w:r>
      <w:r>
        <w:t xml:space="preserve"> </w:t>
      </w:r>
      <w:r>
        <w:t>= 16) with Se</w:t>
      </w:r>
      <w:r>
        <w:t xml:space="preserve"> </w:t>
      </w:r>
      <w:r>
        <w:t>2−</w:t>
      </w:r>
      <w:r>
        <w:t>(</w:t>
      </w:r>
      <w:r>
        <w:t xml:space="preserve"> </w:t>
      </w:r>
      <w:r>
        <w:t>Z</w:t>
      </w:r>
      <w:r>
        <w:t xml:space="preserve"> </w:t>
      </w:r>
      <w:r>
        <w:t>= 34). Despite exhibiting nearly identical photoluminescence (PL) characteristics and comparable external quantum efficiencies (EQEs) in non‐doped devices (5.8% vs. 5.5%), the lighter‐atom‐incorporated</w:t>
      </w:r>
      <w:r>
        <w:t xml:space="preserve"> </w:t>
      </w:r>
      <w:r>
        <w:t>Cu</w:t>
      </w:r>
      <w:r>
        <w:rPr>
          <w:vertAlign w:val="subscript"/>
        </w:rPr>
        <w:t>4</w:t>
      </w:r>
      <w:r>
        <w:t>S</w:t>
      </w:r>
      <w:r>
        <w:t xml:space="preserve"> </w:t>
      </w:r>
      <w:r>
        <w:t>consistently outperforms its heavier analog</w:t>
      </w:r>
      <w:r>
        <w:t xml:space="preserve"> </w:t>
      </w:r>
      <w:r>
        <w:t>Cu</w:t>
      </w:r>
      <w:r>
        <w:rPr>
          <w:vertAlign w:val="subscript"/>
        </w:rPr>
        <w:t>4</w:t>
      </w:r>
      <w:r>
        <w:t>Se</w:t>
      </w:r>
      <w:r>
        <w:t xml:space="preserve"> </w:t>
      </w:r>
      <w:r>
        <w:t>across three distinct host matrices. In particular, the</w:t>
      </w:r>
      <w:r>
        <w:t xml:space="preserve"> </w:t>
      </w:r>
      <w:r>
        <w:t>Cu</w:t>
      </w:r>
      <w:r>
        <w:rPr>
          <w:vertAlign w:val="subscript"/>
        </w:rPr>
        <w:t>4</w:t>
      </w:r>
      <w:r>
        <w:t>S</w:t>
      </w:r>
      <w:r>
        <w:t xml:space="preserve"> </w:t>
      </w:r>
      <w:r>
        <w:t>‐based device employing the thermally activated delayed fluorescence (TADF) hosts achieved a maximum EQE of</w:t>
      </w:r>
      <w:r>
        <w:t xml:space="preserve"> </w:t>
      </w:r>
      <w:r>
        <w:t>20.9%</w:t>
      </w:r>
      <w:r>
        <w:t xml:space="preserve"> </w:t>
      </w:r>
      <w:r>
        <w:t>at</w:t>
      </w:r>
      <w:r>
        <w:t xml:space="preserve"> </w:t>
      </w:r>
      <w:r>
        <w:t>λ</w:t>
      </w:r>
      <w:r>
        <w:t xml:space="preserve"> </w:t>
      </w:r>
      <w:r>
        <w:t>EL</w:t>
      </w:r>
      <w:r>
        <w:t xml:space="preserve"> </w:t>
      </w:r>
      <w:r>
        <w:t>=</w:t>
      </w:r>
      <w:r>
        <w:t xml:space="preserve"> </w:t>
      </w:r>
      <w:r>
        <w:t>608 nm</w:t>
      </w:r>
      <w:r>
        <w:t xml:space="preserve"> </w:t>
      </w:r>
      <w:r>
        <w:t>, significantly surpassing that of devices with</w:t>
      </w:r>
      <w:r>
        <w:t xml:space="preserve"> </w:t>
      </w:r>
      <w:r>
        <w:t>Cu</w:t>
      </w:r>
      <w:r>
        <w:rPr>
          <w:vertAlign w:val="subscript"/>
        </w:rPr>
        <w:t>4</w:t>
      </w:r>
      <w:r>
        <w:t>Se</w:t>
      </w:r>
      <w:r>
        <w:t xml:space="preserve"> </w:t>
      </w:r>
      <w:r>
        <w:t>(12.9%). Systematic studies reveal that the S‐centered cluster exhibits stronger resistance to concentration quenching, more enhanced charge transport, and a significantly reduced trap‐state density, thereby effectively circumventing heavy‐atom‐induced non‐radiative losses during electroluminescence. These findings demonstrate that single‐atom variations within the cluster core decisively govern EL efficiency via an anti‐heavy‐atom effect and provide a new strategy for improving LED performance by exploiting this effect.</w:t>
      </w:r>
    </w:p>
    <w:p>
      <w:pPr>
        <w:spacing w:before="120" w:after="120"/>
      </w:pPr>
      <w:r>
        <w:rPr>
          <w:sz w:val="18"/>
        </w:rPr>
        <w:t>——————————————————————————————————————————————————————————————————————</w:t>
      </w:r>
    </w:p>
    <w:p>
      <w:pPr>
        <w:spacing w:before="160" w:after="40" w:line="240" w:lineRule="auto"/>
      </w:pPr>
      <w:r>
        <w:rPr>
          <w:b/>
        </w:rPr>
        <w:t xml:space="preserve">[131] </w:t>
      </w:r>
      <w:hyperlink r:id="rId465">
        <w:r>
          <w:rPr>
            <w:color w:val="1155CC"/>
            <w:u w:val="single"/>
          </w:rPr>
          <w:t>双界面纳米孔阵列传感器揭示癌细胞中乳酸流出的协同振荡</w:t>
        </w:r>
      </w:hyperlink>
    </w:p>
    <w:p>
      <w:pPr>
        <w:spacing w:before="0" w:after="80"/>
      </w:pPr>
      <w:r>
        <w:rPr>
          <w:i/>
          <w:sz w:val="20"/>
        </w:rPr>
        <w:t>EN: Dual‐Interface Nanopore Array Sensor Revealing the Synergistic Oscillations of Lactate Efflux in Cancer Cells</w:t>
      </w:r>
    </w:p>
    <w:p>
      <w:pPr>
        <w:spacing w:before="0" w:after="120"/>
      </w:pPr>
      <w:r>
        <w:rPr>
          <w:b/>
        </w:rPr>
        <w:t xml:space="preserve">Source: </w:t>
      </w:r>
      <w:r>
        <w:t>Wiley: Angewandte Chemie International Edition: Table of Contents</w:t>
      </w:r>
      <w:r>
        <w:t xml:space="preserve">    </w:t>
      </w:r>
      <w:r>
        <w:rPr>
          <w:b/>
        </w:rPr>
        <w:t xml:space="preserve">Pub date: </w:t>
      </w:r>
      <w:r>
        <w:t>2026-05-18 13:06:55+00:00</w:t>
      </w:r>
      <w:r>
        <w:t xml:space="preserve">    </w:t>
      </w:r>
      <w:r>
        <w:rPr>
          <w:b/>
        </w:rPr>
        <w:t xml:space="preserve">DOI: </w:t>
      </w:r>
      <w:hyperlink r:id="rId466">
        <w:r>
          <w:rPr>
            <w:color w:val="1155CC"/>
            <w:u w:val="single"/>
          </w:rPr>
          <w:t>10.1002/anie.8233632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乳酸是肿瘤代谢中的关键底物和信号分子。其从癌细胞中的流出使肿瘤微环境酸化，并反映了能量代谢状态。阐明乳酸流出对于理解癌细胞如何快速调整能量代谢并协同适应应激至关重要。然而，癌细胞内源性活性氧（ROS）严重干扰基于氧化酶的乳酸传感器信号，阻碍了乳酸流出的定量分析。为解决这一挑战，我们开发了一种双界面纳米孔阵列传感器（DINAS），它集成了抗ROS界面和乳酸传感界面。当在传感器上培养时，癌细胞释放的ROS和乳酸沿纳米孔扩散：外部抗ROS界面电化学去除ROS，而内部传感界面监测乳酸流出。利用这种双界面传感器设计，我们揭示了药物诱导的乳酸流出表现出时间依赖性的“先升后降”行为，反映了能量代谢重编程。此外，我们意外地观察到细胞群体水平上乳酸流出的协同振荡。这种振荡可能表明癌细胞群体之间存在连接蛋白相关的乳酸稳态协调，其发现可能为未来靶向乳酸代谢调节能力的精准抗癌疗法提供新策略。</w:t>
      </w:r>
    </w:p>
    <w:p>
      <w:pPr>
        <w:spacing w:before="0" w:after="200" w:lineRule="auto" w:line="276"/>
      </w:pPr>
      <w:r>
        <w:rPr>
          <w:b/>
        </w:rPr>
        <w:t xml:space="preserve">Abstract (EN): </w:t>
      </w:r>
      <w:r>
        <w:t>Lactate is a key substrate and signaling molecule in tumor metabolism. Its efflux from cancer cells acidifies the tumor microenvironment and reflects the energy metabolic states. Clarifying the lactate efflux is crucial for understanding how cancer cells rapidly adjust energy metabolism and cooperatively adapt to stress. However, the endogenous reactive oxygen species (ROS) of cancer cells severely interfere with oxidase‐based lactate sensor signals and hinder quantitative analysis of lactate efflux. To address this challenge, we developed a dual‐interface nanopore array sensor (DINAS) that integrates an anti‐ROS interface and a lactate sensing interface. When cultured on the sensor, the cancer cells release ROS and lactate that diffuse along the nanopores: the outer anti‐ROS interface electrochemically removes ROS, while the inner sensing interface monitors lactate efflux. Using this dual‐interface sensor design, we disclosed that the drug‐induced lactate efflux exhibits a time‐dependent “rise‐then‐fall” behavior, reflecting the energy metabolic reprogramming. Moreover, we unexpectedly observed a synergistic oscillation in lactate efflux at the cell population level. This oscillation might indicate a connexins‐related coordination of lactate homeostasis between a population of cancer cells, and its discovery may provide new strategies for future precision anticancer therapies targeting the regulating ability of lactate metabolism.</w:t>
      </w:r>
    </w:p>
    <w:p>
      <w:pPr>
        <w:spacing w:before="120" w:after="120"/>
      </w:pPr>
      <w:r>
        <w:rPr>
          <w:sz w:val="18"/>
        </w:rPr>
        <w:t>——————————————————————————————————————————————————————————————————————</w:t>
      </w:r>
    </w:p>
    <w:p>
      <w:pPr>
        <w:spacing w:before="160" w:after="40" w:line="240" w:lineRule="auto"/>
      </w:pPr>
      <w:r>
        <w:rPr>
          <w:b/>
        </w:rPr>
        <w:t xml:space="preserve">[132] </w:t>
      </w:r>
      <w:hyperlink r:id="rId467">
        <w:r>
          <w:rPr>
            <w:color w:val="1155CC"/>
            <w:u w:val="single"/>
          </w:rPr>
          <w:t>[ASAP] 铀酰三(苯甲酸酯)光催化剂用于位点选择性烃官能化</w:t>
        </w:r>
      </w:hyperlink>
    </w:p>
    <w:p>
      <w:pPr>
        <w:spacing w:before="0" w:after="80"/>
      </w:pPr>
      <w:r>
        <w:rPr>
          <w:i/>
          <w:sz w:val="20"/>
        </w:rPr>
        <w:t>EN: [ASAP] Uranyl Tris(benzoate) Photocatalysts for Site-Selective Hydrocarbon Functionalization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2026-05-18 13:12:07+00:00</w:t>
      </w:r>
      <w:r>
        <w:t xml:space="preserve">    </w:t>
      </w:r>
      <w:r>
        <w:rPr>
          <w:b/>
        </w:rPr>
        <w:t xml:space="preserve">DOI: </w:t>
      </w:r>
      <w:hyperlink r:id="rId468">
        <w:r>
          <w:rPr>
            <w:color w:val="1155CC"/>
            <w:u w:val="single"/>
          </w:rPr>
          <w:t>10.1021/jacs.6c01402</w:t>
        </w:r>
      </w:hyperlink>
    </w:p>
    <w:p>
      <w:pPr>
        <w:spacing w:before="0" w:after="120"/>
      </w:pPr>
      <w:r>
        <w:rPr>
          <w:b/>
        </w:rPr>
        <w:t xml:space="preserve">Notes: </w:t>
      </w:r>
      <w:r>
        <w:t>abstract_source=openalex</w:t>
      </w:r>
    </w:p>
    <w:p>
      <w:pPr>
        <w:spacing w:before="0" w:after="80" w:lineRule="auto" w:line="276"/>
      </w:pPr>
      <w:r>
        <w:rPr>
          <w:b/>
        </w:rPr>
        <w:t xml:space="preserve">摘要（ZH）: </w:t>
      </w:r>
      <w:r>
        <w:t>铀酰双阳离子（[UO2]2+）是一种通过直接氢原子提取（HAA）实现惰性Csp3–H键功能化的活性光催化剂。然而，铀酰离子光催化作用仍未得到充分探索。大多数报道仅限于简单铀酰盐（如硝酸铀酰[UO2(NO3)2·6H2O] (UNO3)）催化的反应。我们报道了一系列铀酰三（苯甲酸酯）配合物1-R，它们含有强配位且可调的赤道配体，能够抵抗光损伤并控制与氧代基团的接触。这些具有适当芳基取代基的催化剂变体通过HAA在C–H键处发生催化反应。此步骤的选择性和反应性取决于配体骨架，并且与UNO3或其他缺乏辅助配体的光活性氧代配合物（如十钨酸盐）不同。最后，与强而稳定的轴向U–O键一致，与外源自由基受体的反应优于自由基反弹，从而能够从烷基自由基中间体形成C–C和C–N键。这导致了广泛底物的区域选择性烷基化和功能化，并且这种光催化表明，调节[UO2]2+上的赤道配体可以影响光催化C–H键功能化的反应性和选择性。</w:t>
      </w:r>
    </w:p>
    <w:p>
      <w:pPr>
        <w:spacing w:before="0" w:after="200" w:lineRule="auto" w:line="276"/>
      </w:pPr>
      <w:r>
        <w:rPr>
          <w:b/>
        </w:rPr>
        <w:t xml:space="preserve">Abstract (EN): </w:t>
      </w:r>
      <w:r>
        <w:t>The uranyl dication ([UO2]2+) is a highly active photocatalyst for the functionalization of inert Csp3–H bonds by direct hydrogen atom abstraction (HAA). However, photocatalysis by the uranyl ion remains underexplored. Most reports are limited to reactions catalyzed by simple uranyl salts, such as uranyl nitrate [UO2(NO3)2·6H2O] (UNO3). We report a set of uranyl tris(benzoate) complexes 1-R containing strongly coordinating and tunable equatorial ligands that resist photodamage and control access to the oxo groups. These catalyst variants with appropriate aryl substituents undergo catalytic reactions at C–H bonds by HAA. The selectivity and reactivity of this step depend on the ligand framework and are distinct from that of UNO3 or other photoactive oxo complexes, such as decatungstate, that lack ancillary ligands. Finally, consistent with the strong, stable axial U–O bond, reaction with exogenous radical acceptors outcompetes radical rebound, enabling C–C and C–N bond formation from the alkyl radical intermediate. Regioselective alkylation and functionalization of a broad range of substrates results, and this photocatalysis shows that modulation of equatorial ligands on [UO2]2+ can influence the reactivity and selectivity of photocatalytic C–H bond functionalization.</w:t>
      </w:r>
    </w:p>
    <w:p>
      <w:pPr>
        <w:spacing w:before="120" w:after="120"/>
      </w:pPr>
      <w:r>
        <w:rPr>
          <w:sz w:val="18"/>
        </w:rPr>
        <w:t>——————————————————————————————————————————————————————————————————————</w:t>
      </w:r>
    </w:p>
    <w:p>
      <w:pPr>
        <w:spacing w:before="160" w:after="40" w:line="240" w:lineRule="auto"/>
      </w:pPr>
      <w:r>
        <w:rPr>
          <w:b/>
        </w:rPr>
        <w:t xml:space="preserve">[133] </w:t>
      </w:r>
      <w:hyperlink r:id="rId469">
        <w:r>
          <w:rPr>
            <w:color w:val="1155CC"/>
            <w:u w:val="single"/>
          </w:rPr>
          <w:t>多功能纳米交联剂增强型可注射水凝胶用于快速止血和高效创伤修复</w:t>
        </w:r>
      </w:hyperlink>
    </w:p>
    <w:p>
      <w:pPr>
        <w:spacing w:before="0" w:after="80"/>
      </w:pPr>
      <w:r>
        <w:rPr>
          <w:i/>
          <w:sz w:val="20"/>
        </w:rPr>
        <w:t>EN: Versatile Nano‐Crosslinker Enhanced Injectable Hydrogel Toward Rapid Hemostasis and Efficient Trauma Repair</w:t>
      </w:r>
    </w:p>
    <w:p>
      <w:pPr>
        <w:spacing w:before="0" w:after="120"/>
      </w:pPr>
      <w:r>
        <w:rPr>
          <w:b/>
        </w:rPr>
        <w:t xml:space="preserve">Source: </w:t>
      </w:r>
      <w:r>
        <w:t>Wiley: Advanced Materials: Table of Contents</w:t>
      </w:r>
      <w:r>
        <w:t xml:space="preserve">    </w:t>
      </w:r>
      <w:r>
        <w:rPr>
          <w:b/>
        </w:rPr>
        <w:t xml:space="preserve">Pub date: </w:t>
      </w:r>
      <w:r>
        <w:t>2026-05-18 13:34:03+00:00</w:t>
      </w:r>
      <w:r>
        <w:t xml:space="preserve">    </w:t>
      </w:r>
      <w:r>
        <w:rPr>
          <w:b/>
        </w:rPr>
        <w:t xml:space="preserve">DOI: </w:t>
      </w:r>
      <w:hyperlink r:id="rId470">
        <w:r>
          <w:rPr>
            <w:color w:val="1155CC"/>
            <w:u w:val="single"/>
          </w:rPr>
          <w:t>10.1002/adma.73277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法控制的创伤性出血常伴有感染和愈合不良，占全球创伤相关死亡的30%以上。具有坚固多键交联网络、兼具流动性和原位稳定性的可注射水凝胶有望实现高效止血，但其交联剂相对单一的结构限制了在资源匮乏环境下有效创伤管理所需的多功能性。在此，合成了一类新型多功能ε-聚赖氨酸接枝二氧化锰（EPL-g-MnO2）纳米交联剂，用于构建可注射水凝胶（即OSEG水凝胶）。在EPL-g-MnO2的驱动下，OSEG水凝胶通过亚胺键、氢键和离子键在严重损伤（例如，兔心脏出血模型中24.9秒）中迅速实现稳定的湿粘附和高效止血，这些键在完全凝胶化后形成坚固的多功能交联网络。在创伤伤口微环境中，OSEG水凝胶加速降解，进一步暴露EPL-g-MnO2和亚精胺，从而提供足够的抗菌和促愈合作用。结果，在感染性颅骨缺损大鼠模型中，OSEG水凝胶的骨体积/总体积是商业止血剂SURGIFLO的3.3倍。这项工作有望启发</w:t>
      </w:r>
    </w:p>
    <w:p>
      <w:pPr>
        <w:spacing w:before="0" w:after="200" w:lineRule="auto" w:line="276"/>
      </w:pPr>
      <w:r>
        <w:rPr>
          <w:b/>
        </w:rPr>
        <w:t xml:space="preserve">Abstract (EN): </w:t>
      </w:r>
      <w:r>
        <w:t>Uncontrolled traumatic hemorrhage, often complicated by infection and poor healing, accounts for over 30% of trauma‐related deaths worldwide. Injectable hydrogels with robust multi‐bond crosslinked networks, integrating fluidity and in situ stability, are promising for efficient hemostasis, but their crosslinkers’ relatively single structures limit the multifunctionality required for effective trauma management in resource‐scarce environments. Herein, a new class of versatile ε‐polylysine grafted manganese dioxide (EPL‐</w:t>
      </w:r>
      <w:r>
        <w:t xml:space="preserve"> </w:t>
      </w:r>
      <w:r>
        <w:t>g</w:t>
      </w:r>
      <w:r>
        <w:t xml:space="preserve"> </w:t>
      </w:r>
      <w:r>
        <w:t>‐MnO</w:t>
      </w:r>
      <w:r>
        <w:rPr>
          <w:vertAlign w:val="subscript"/>
        </w:rPr>
        <w:t>2</w:t>
      </w:r>
      <w:r>
        <w:t>) nano‐crosslinkers is synthesized to construct an injectable hydrogel (i.e., OSEG hydrogel). Driven by EPL‐</w:t>
      </w:r>
      <w:r>
        <w:t xml:space="preserve"> </w:t>
      </w:r>
      <w:r>
        <w:t>g</w:t>
      </w:r>
      <w:r>
        <w:t xml:space="preserve"> </w:t>
      </w:r>
      <w:r>
        <w:t>‐MnO</w:t>
      </w:r>
      <w:r>
        <w:rPr>
          <w:vertAlign w:val="subscript"/>
        </w:rPr>
        <w:t>2</w:t>
      </w:r>
      <w:r>
        <w:t>, OSEG hydrogel rapidly achieves stable wet adhesion and efficient hemostasis in critical injuries (e.g., 24.9 s in a rabbit model of cardiac hemorrhage) via imine, hydrogen, and ionic bonds, which form a robust and multifunctional crosslinked network upon full gelation. In the microenvironment of traumatic wounds, OSEG hydrogel undergoes accelerated degradation to further expose EPL‐</w:t>
      </w:r>
      <w:r>
        <w:t xml:space="preserve"> </w:t>
      </w:r>
      <w:r>
        <w:t>g</w:t>
      </w:r>
      <w:r>
        <w:t xml:space="preserve"> </w:t>
      </w:r>
      <w:r>
        <w:t>‐MnO</w:t>
      </w:r>
      <w:r>
        <w:rPr>
          <w:vertAlign w:val="subscript"/>
        </w:rPr>
        <w:t>2</w:t>
      </w:r>
      <w:r>
        <w:t>and spermidine, thereby providing sufficient antibacterial and pro‐healing effects. As a result, OSEG hydrogel achieves a bone volume/total volume 3.3 times that of commercial hemostat SURGIFLO in a rat model of infected cranial defect. This work may inspire the design of advanced injectable hydrogels for synergistic trauma management.</w:t>
      </w:r>
    </w:p>
    <w:p>
      <w:pPr>
        <w:spacing w:before="120" w:after="120"/>
      </w:pPr>
      <w:r>
        <w:rPr>
          <w:sz w:val="18"/>
        </w:rPr>
        <w:t>——————————————————————————————————————————————————————————————————————</w:t>
      </w:r>
    </w:p>
    <w:p>
      <w:pPr>
        <w:spacing w:before="160" w:after="40" w:line="240" w:lineRule="auto"/>
      </w:pPr>
      <w:r>
        <w:rPr>
          <w:b/>
        </w:rPr>
        <w:t xml:space="preserve">[134] </w:t>
      </w:r>
      <w:hyperlink r:id="rId471">
        <w:r>
          <w:rPr>
            <w:color w:val="1155CC"/>
            <w:u w:val="single"/>
          </w:rPr>
          <w:t>[ASAP] 一种通过氢化物夺取裂解C–H键的合成钼羟化酶化合物</w:t>
        </w:r>
      </w:hyperlink>
    </w:p>
    <w:p>
      <w:pPr>
        <w:spacing w:before="0" w:after="80"/>
      </w:pPr>
      <w:r>
        <w:rPr>
          <w:i/>
          <w:sz w:val="20"/>
        </w:rPr>
        <w:t>EN: [ASAP] A Synthetic Molybdenum Hydroxylase Compound That Cleaves C–H Bonds by Hydride Abstraction</w:t>
      </w:r>
    </w:p>
    <w:p>
      <w:pPr>
        <w:spacing w:before="0" w:after="120"/>
      </w:pPr>
      <w:r>
        <w:rPr>
          <w:b/>
        </w:rPr>
        <w:t xml:space="preserve">Source: </w:t>
      </w:r>
      <w:r>
        <w:t>Journal of the American Chemical Society: Latest Articles (ACS Publications)</w:t>
      </w:r>
      <w:r>
        <w:t xml:space="preserve">    </w:t>
      </w:r>
      <w:r>
        <w:rPr>
          <w:b/>
        </w:rPr>
        <w:t xml:space="preserve">Pub date: </w:t>
      </w:r>
      <w:r>
        <w:t>2026-05-18 13:36:03+00:00</w:t>
      </w:r>
      <w:r>
        <w:t xml:space="preserve">    </w:t>
      </w:r>
      <w:r>
        <w:rPr>
          <w:b/>
        </w:rPr>
        <w:t xml:space="preserve">DOI: </w:t>
      </w:r>
      <w:hyperlink r:id="rId472">
        <w:r>
          <w:rPr>
            <w:color w:val="1155CC"/>
            <w:u w:val="single"/>
          </w:rPr>
          <w:t>10.1021/jacs.6c03753</w:t>
        </w:r>
      </w:hyperlink>
    </w:p>
    <w:p>
      <w:pPr>
        <w:spacing w:before="0" w:after="120"/>
      </w:pPr>
      <w:r>
        <w:rPr>
          <w:b/>
        </w:rPr>
        <w:t xml:space="preserve">Notes: </w:t>
      </w:r>
      <w:r>
        <w:t>abstract_source=openalex</w:t>
      </w:r>
    </w:p>
    <w:p>
      <w:pPr>
        <w:spacing w:before="0" w:after="80" w:lineRule="auto" w:line="276"/>
      </w:pPr>
      <w:r>
        <w:rPr>
          <w:b/>
        </w:rPr>
        <w:t xml:space="preserve">摘要（ZH）: </w:t>
      </w:r>
      <w:r>
        <w:t>C-H活化的抽象范式，并描绘了催化周转所需的反应路径。</w:t>
      </w:r>
    </w:p>
    <w:p>
      <w:pPr>
        <w:spacing w:before="0" w:after="200" w:lineRule="auto" w:line="276"/>
      </w:pPr>
      <w:r>
        <w:rPr>
          <w:b/>
        </w:rPr>
        <w:t xml:space="preserve">Abstract (EN): </w:t>
      </w:r>
      <w:r>
        <w:t>ion paradigm for C-H activation and charts the reaction pathways needed for catalytic turnover.</w:t>
      </w:r>
    </w:p>
    <w:p>
      <w:pPr>
        <w:spacing w:before="120" w:after="120"/>
      </w:pPr>
      <w:r>
        <w:rPr>
          <w:sz w:val="18"/>
        </w:rPr>
        <w:t>——————————————————————————————————————————————————————————————————————</w:t>
      </w:r>
    </w:p>
    <w:p>
      <w:pPr>
        <w:spacing w:before="160" w:after="40" w:line="240" w:lineRule="auto"/>
      </w:pPr>
      <w:r>
        <w:rPr>
          <w:b/>
        </w:rPr>
        <w:t xml:space="preserve">[135] </w:t>
      </w:r>
      <w:hyperlink r:id="rId473">
        <w:r>
          <w:rPr>
            <w:color w:val="1155CC"/>
            <w:u w:val="single"/>
          </w:rPr>
          <w:t>[ASAP] 未来展望：核糖体上α-螺旋膜蛋白的折叠</w:t>
        </w:r>
      </w:hyperlink>
    </w:p>
    <w:p>
      <w:pPr>
        <w:spacing w:before="0" w:after="80"/>
      </w:pPr>
      <w:r>
        <w:rPr>
          <w:i/>
          <w:sz w:val="20"/>
        </w:rPr>
        <w:t>EN: [ASAP] The Shape of Things to Come: α-Helical Membrane Protein Folding on the Ribosome</w:t>
      </w:r>
    </w:p>
    <w:p>
      <w:pPr>
        <w:spacing w:before="0" w:after="120"/>
      </w:pPr>
      <w:r>
        <w:rPr>
          <w:b/>
        </w:rPr>
        <w:t xml:space="preserve">Source: </w:t>
      </w:r>
      <w:r>
        <w:t>Chemical Reviews: Latest Articles (ACS Publications)</w:t>
      </w:r>
      <w:r>
        <w:t xml:space="preserve">    </w:t>
      </w:r>
      <w:r>
        <w:rPr>
          <w:b/>
        </w:rPr>
        <w:t xml:space="preserve">Pub date: </w:t>
      </w:r>
      <w:r>
        <w:t>2026-05-18 15:13:20+00:00</w:t>
      </w:r>
      <w:r>
        <w:t xml:space="preserve">    </w:t>
      </w:r>
      <w:r>
        <w:rPr>
          <w:b/>
        </w:rPr>
        <w:t xml:space="preserve">DOI: </w:t>
      </w:r>
      <w:hyperlink r:id="rId474">
        <w:r>
          <w:rPr>
            <w:color w:val="1155CC"/>
            <w:u w:val="single"/>
          </w:rPr>
          <w:t>10.1021/acs.chemrev.6c00236</w:t>
        </w:r>
      </w:hyperlink>
    </w:p>
    <w:p>
      <w:pPr>
        <w:spacing w:before="0" w:after="120"/>
      </w:pPr>
      <w:r>
        <w:rPr>
          <w:b/>
        </w:rPr>
        <w:t xml:space="preserve">Notes: </w:t>
      </w:r>
      <w:r>
        <w:t>abstract_source=openalex</w:t>
      </w:r>
    </w:p>
    <w:p>
      <w:pPr>
        <w:spacing w:before="0" w:after="80" w:lineRule="auto" w:line="276"/>
      </w:pPr>
      <w:r>
        <w:rPr>
          <w:b/>
        </w:rPr>
        <w:t xml:space="preserve">摘要（ZH）: </w:t>
      </w:r>
      <w:r>
        <w:t>膜蛋白折叠。驱动膜蛋白折叠的机制仍然难以捉摸，这主要是因为能够实时并在其天然环境中探测这些过程的方法有限。在本文中，我们讨论了在揭示膜蛋白在合成和插入过程中如何折叠方面的最新进展，并强调了已有的和新兴的生物物理和结构工具如何开始以比以往任何时候都更详细的机制解析共翻译事件。总之，这些进展正在重塑我们对膜蛋白生物发生的理解，使其远超传统的重折叠模型。</w:t>
      </w:r>
    </w:p>
    <w:p>
      <w:pPr>
        <w:spacing w:before="0" w:after="200" w:lineRule="auto" w:line="276"/>
      </w:pPr>
      <w:r>
        <w:rPr>
          <w:b/>
        </w:rPr>
        <w:t xml:space="preserve">Abstract (EN): </w:t>
      </w:r>
      <w:r>
        <w:t>membrane protein folding. The mechanisms driving membrane protein folding remain elusive, largely due to the limited availability of approaches that can probe these processes both in real-time and in their native context. Here, we discuss recent progress in uncovering how membrane proteins fold during synthesis and insertion, and highlight how established and emerging biophysical and structural tools are beginning to resolve cotranslational events with greater mechanistic detail than has been previously possible. Together, these advances are reshaping our understanding of membrane protein biogenesis far beyond traditional refolding models.</w:t>
      </w:r>
    </w:p>
    <w:p>
      <w:pPr>
        <w:spacing w:before="120" w:after="120"/>
      </w:pPr>
      <w:r>
        <w:rPr>
          <w:sz w:val="18"/>
        </w:rPr>
        <w:t>——————————————————————————————————————————————————————————————————————</w:t>
      </w:r>
    </w:p>
    <w:p>
      <w:pPr>
        <w:spacing w:before="160" w:after="40" w:line="240" w:lineRule="auto"/>
      </w:pPr>
      <w:r>
        <w:rPr>
          <w:b/>
        </w:rPr>
        <w:t xml:space="preserve">[136] </w:t>
      </w:r>
      <w:hyperlink r:id="rId475">
        <w:r>
          <w:rPr>
            <w:color w:val="1155CC"/>
            <w:u w:val="single"/>
          </w:rPr>
          <w:t>使商品聚合物可SuFEx化：通过桥接SuFEx点击化学和光修饰的多功能平台</w:t>
        </w:r>
      </w:hyperlink>
    </w:p>
    <w:p>
      <w:pPr>
        <w:spacing w:before="0" w:after="80"/>
      </w:pPr>
      <w:r>
        <w:rPr>
          <w:i/>
          <w:sz w:val="20"/>
        </w:rPr>
        <w:t>EN: Making Commodity Polymers SuFExable: A Versatile Platform by Bridging SuFEx Click Chemistry and Photo‐Modification</w:t>
      </w:r>
    </w:p>
    <w:p>
      <w:pPr>
        <w:spacing w:before="0" w:after="120"/>
      </w:pPr>
      <w:r>
        <w:rPr>
          <w:b/>
        </w:rPr>
        <w:t xml:space="preserve">Source: </w:t>
      </w:r>
      <w:r>
        <w:t>Wiley: Angewandte Chemie International Edition: Table of Contents</w:t>
      </w:r>
      <w:r>
        <w:t xml:space="preserve">    </w:t>
      </w:r>
      <w:r>
        <w:rPr>
          <w:b/>
        </w:rPr>
        <w:t xml:space="preserve">Pub date: </w:t>
      </w:r>
      <w:r>
        <w:t>2026-05-18 15:26:08+00:00</w:t>
      </w:r>
      <w:r>
        <w:t xml:space="preserve">    </w:t>
      </w:r>
      <w:r>
        <w:rPr>
          <w:b/>
        </w:rPr>
        <w:t xml:space="preserve">DOI: </w:t>
      </w:r>
      <w:hyperlink r:id="rId476">
        <w:r>
          <w:rPr>
            <w:color w:val="1155CC"/>
            <w:u w:val="single"/>
          </w:rPr>
          <w:t>10.1002/anie.3576616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合物开发中的一个核心挑战在于每种聚合物固有的局限性与实际应用中对材料性能和功能的多样化要求之间的困境。开发将官能团引入聚合物主链的新方法，可以创新性地改变赋予商品聚合物新性能的方式。在本文中，受新一代点击化学——硫(VI)氟交换（SuFEx）的启发，我们发现SuFEx点击化学可以与聚合物的光催化氢原子转移后修饰有效结合，以引入可点击的磺酰氟基团，从而为商品聚合物的功能化、转化和多样化打造了一个简便而有用的平台。</w:t>
      </w:r>
    </w:p>
    <w:p>
      <w:pPr>
        <w:spacing w:before="0" w:after="200" w:lineRule="auto" w:line="276"/>
      </w:pPr>
      <w:r>
        <w:rPr>
          <w:b/>
        </w:rPr>
        <w:t xml:space="preserve">Abstract (EN): </w:t>
      </w:r>
      <w:r>
        <w:t>A central challenge in polymer development lies in the dilemma between the inherent limitations of each polymer and the diverse requirements for material properties and functionalities in practical applications. Developing new methods to introduce functional groups into polymer backbones could innovatively evolve the way of endowing commodity polymers with new properties. Herein, inspired by the new generation of click chemistry, sulfur(VI) fluoride exchange (SuFEx), we found that SuFEx click chemistry can be effectively bridged with photocatalytic hydrogen atom transfer post‐modification of polymers to introduce clickable sulfonyl fluoride groups, thus forging a facile and useful platform for the functionalization, transformation, and diversification of commodity polymers.</w:t>
      </w:r>
    </w:p>
    <w:p>
      <w:pPr>
        <w:spacing w:before="120" w:after="120"/>
      </w:pPr>
      <w:r>
        <w:rPr>
          <w:sz w:val="18"/>
        </w:rPr>
        <w:t>——————————————————————————————————————————————————————————————————————</w:t>
      </w:r>
    </w:p>
    <w:p>
      <w:pPr>
        <w:spacing w:before="160" w:after="40" w:line="240" w:lineRule="auto"/>
      </w:pPr>
      <w:r>
        <w:rPr>
          <w:b/>
        </w:rPr>
        <w:t xml:space="preserve">[137] </w:t>
      </w:r>
      <w:hyperlink r:id="rId477">
        <w:r>
          <w:rPr>
            <w:color w:val="1155CC"/>
            <w:u w:val="single"/>
          </w:rPr>
          <w:t>钯催化的炔醇和一氧化碳羰基化交替共聚</w:t>
        </w:r>
      </w:hyperlink>
    </w:p>
    <w:p>
      <w:pPr>
        <w:spacing w:before="0" w:after="80"/>
      </w:pPr>
      <w:r>
        <w:rPr>
          <w:i/>
          <w:sz w:val="20"/>
        </w:rPr>
        <w:t>EN: Palladium‐Catalyzed Carbonylative Alternating Copolymerization of Alkynols and Carbon Monoxide</w:t>
      </w:r>
    </w:p>
    <w:p>
      <w:pPr>
        <w:spacing w:before="0" w:after="120"/>
      </w:pPr>
      <w:r>
        <w:rPr>
          <w:b/>
        </w:rPr>
        <w:t xml:space="preserve">Source: </w:t>
      </w:r>
      <w:r>
        <w:t>Wiley: Angewandte Chemie International Edition: Table of Contents</w:t>
      </w:r>
      <w:r>
        <w:t xml:space="preserve">    </w:t>
      </w:r>
      <w:r>
        <w:rPr>
          <w:b/>
        </w:rPr>
        <w:t xml:space="preserve">Pub date: </w:t>
      </w:r>
      <w:r>
        <w:t>2026-05-18 15:28:22+00:00</w:t>
      </w:r>
      <w:r>
        <w:t xml:space="preserve">    </w:t>
      </w:r>
      <w:r>
        <w:rPr>
          <w:b/>
        </w:rPr>
        <w:t xml:space="preserve">DOI: </w:t>
      </w:r>
      <w:hyperlink r:id="rId478">
        <w:r>
          <w:rPr>
            <w:color w:val="1155CC"/>
            <w:u w:val="single"/>
          </w:rPr>
          <w:t>10.1002/anie.1133642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聚酯合成方法对立体化学的控制有限，且官能团耐受性受限，限制了具有可编程骨架动力学的不饱和聚合物结构的获取，并关键性地阻碍了先进机械性能所需的超高分子量（UHMW）链的形成。在此，我们报道了一种钯催化的羰基化交替共聚反应，该反应能将易得的末端炔醇和一氧化碳直接转化为明确的不饱和聚酯。通过策略性地延长炔醇链长，我们抑制了熵有利的分子内环化途径，转而促进了分子间、焓驱动的链增长。Pd/膦催化体系的配体工程实现了马尔科夫尼科夫加成的优异区域选择性（&gt;99%），生产出具有UHMW（Mn高达1,390 kDa）和受控E/Z烯烃比例（高达99:1）的区域规整α,β-不饱和聚酯。这种基于炔醇的羰基化聚合为合成具有定制拓扑结构的功能性UHMW聚酯建立了一个多功能平台，解决了精密聚酯合成和可持续聚合物设计中长期存在的挑战。</w:t>
      </w:r>
    </w:p>
    <w:p>
      <w:pPr>
        <w:spacing w:before="0" w:after="200" w:lineRule="auto" w:line="276"/>
      </w:pPr>
      <w:r>
        <w:rPr>
          <w:b/>
        </w:rPr>
        <w:t xml:space="preserve">Abstract (EN): </w:t>
      </w:r>
      <w:r>
        <w:t>Conventional methods for polyester synthesis offer limited control over stereochemistry and exhibit constrained functional group tolerance, restricting access to unsaturated polymer architectures with programmable backbone dynamics and critically precluding the formation of ultra‐high‐molecular‐weight (UHMW) chains required for advanced mechanical performance. Here, we report a palladium‐catalyzed carbonylative alternating copolymerization that directly transforms readily available terminal ynols and carbon monoxide into well‐defined unsaturated polyesters. By strategically extending the ynol chain length, we suppress the entropically favored intramolecular cyclization pathway and instead promote intermolecular, enthalpy‐driven chain growth. Ligand engineering of the Pd/phosphine catalytic system achieves exceptional regioselectivity (&amp;gt;99%) for Markovnikov addition, producing regioregular</w:t>
      </w:r>
      <w:r>
        <w:t xml:space="preserve"> </w:t>
      </w:r>
      <w:r>
        <w:t>α,β</w:t>
      </w:r>
      <w:r>
        <w:t xml:space="preserve"> </w:t>
      </w:r>
      <w:r>
        <w:t>‐unsaturated polyesters with UHMW (</w:t>
      </w:r>
      <w:r>
        <w:t xml:space="preserve"> </w:t>
      </w:r>
      <w:r>
        <w:t>M</w:t>
      </w:r>
      <w:r>
        <w:t xml:space="preserve"> </w:t>
      </w:r>
      <w:r>
        <w:t>n</w:t>
      </w:r>
      <w:r>
        <w:t xml:space="preserve"> </w:t>
      </w:r>
      <w:r>
        <w:t>up to 1,390 kDa) and controlled</w:t>
      </w:r>
      <w:r>
        <w:t xml:space="preserve"> </w:t>
      </w:r>
      <w:r>
        <w:t>E</w:t>
      </w:r>
      <w:r>
        <w:t xml:space="preserve"> </w:t>
      </w:r>
      <w:r>
        <w:t>/</w:t>
      </w:r>
      <w:r>
        <w:t>Z</w:t>
      </w:r>
      <w:r>
        <w:t xml:space="preserve"> </w:t>
      </w:r>
      <w:r>
        <w:t>olefin ratios (up to 99:1). This alkynol‐based carbonylative polymerization establishes a versatile platform for synthesizing functional UHMW polyesters with tailored topologies, addressing long‐standing challenges in precision polyester synthesis and sustainable polymer design.</w:t>
      </w:r>
    </w:p>
    <w:p>
      <w:pPr>
        <w:spacing w:before="120" w:after="120"/>
      </w:pPr>
      <w:r>
        <w:rPr>
          <w:sz w:val="18"/>
        </w:rPr>
        <w:t>——————————————————————————————————————————————————————————————————————</w:t>
      </w:r>
    </w:p>
    <w:p>
      <w:pPr>
        <w:spacing w:before="160" w:after="40" w:line="240" w:lineRule="auto"/>
      </w:pPr>
      <w:r>
        <w:rPr>
          <w:b/>
        </w:rPr>
        <w:t xml:space="preserve">[138] </w:t>
      </w:r>
      <w:hyperlink r:id="rId479">
        <w:r>
          <w:rPr>
            <w:color w:val="1155CC"/>
            <w:u w:val="single"/>
          </w:rPr>
          <w:t>具有多个手性中心的手性穿空间电荷转移热活化延迟荧光发射体</w:t>
        </w:r>
      </w:hyperlink>
    </w:p>
    <w:p>
      <w:pPr>
        <w:spacing w:before="0" w:after="80"/>
      </w:pPr>
      <w:r>
        <w:rPr>
          <w:i/>
          <w:sz w:val="20"/>
        </w:rPr>
        <w:t>EN: Chiral Through‐Space Charge‐Transfer Thermally Activated Delayed Fluorescent Emitter with Multiple Stereogenic Centers</w:t>
      </w:r>
    </w:p>
    <w:p>
      <w:pPr>
        <w:spacing w:before="0" w:after="120"/>
      </w:pPr>
      <w:r>
        <w:rPr>
          <w:b/>
        </w:rPr>
        <w:t xml:space="preserve">Source: </w:t>
      </w:r>
      <w:r>
        <w:t>Wiley: Angewandte Chemie International Edition: Table of Contents</w:t>
      </w:r>
      <w:r>
        <w:t xml:space="preserve">    </w:t>
      </w:r>
      <w:r>
        <w:rPr>
          <w:b/>
        </w:rPr>
        <w:t xml:space="preserve">Pub date: </w:t>
      </w:r>
      <w:r>
        <w:t>2026-05-18 15:30:38+00:00</w:t>
      </w:r>
      <w:r>
        <w:t xml:space="preserve">    </w:t>
      </w:r>
      <w:r>
        <w:rPr>
          <w:b/>
        </w:rPr>
        <w:t xml:space="preserve">DOI: </w:t>
      </w:r>
      <w:hyperlink r:id="rId480">
        <w:r>
          <w:rPr>
            <w:color w:val="1155CC"/>
            <w:u w:val="single"/>
          </w:rPr>
          <w:t>10.1002/anie.9197967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空间电荷转移（TSCT）跃迁的高性能圆偏振热活化延迟荧光（CP-TADF）发光体既引人入胜又充满挑战，因为难以平衡效率、不对称因子和结构多样性。在此，我们报道了首个螺旋构型集成的TSCT型CP-TADF发光体，其采用双螺环锁定面对面受体/供体/受体骨架。这种夹心设计不仅通过多通道TSCT跃迁实现了简并能态，而且还引入了多个手性中心，从而实现了0.04 eV的极小单线态-三线态能隙、&gt;10^6 s^−1的高反向系间窜越速率和接近统一的光致发光量子产率（&gt;93%），并伴随着此类TSCT型发光体中基准高的光致发光不对称因子（|gPL|）4.4 × 10^−3。当作为有机发光二极管（OLED）中的发光体时，该分子实现了27.4%的最大外量子效率（EQEmax），同时抑制了效率滚降并表现出强的电致发光不对称性（|gEL| ≈ 3.2 × 10^−3）。</w:t>
      </w:r>
    </w:p>
    <w:p>
      <w:pPr>
        <w:spacing w:before="0" w:after="200" w:lineRule="auto" w:line="276"/>
      </w:pPr>
      <w:r>
        <w:rPr>
          <w:b/>
        </w:rPr>
        <w:t xml:space="preserve">Abstract (EN): </w:t>
      </w:r>
      <w:r>
        <w:t>The development of high‐performance circularly polarized thermally activated delayed fluorescence (CP‐TADF) emitters featuring through‐space charge‐transfer (TSCT) transitions is fascinating yet challenging due to the difficulty in balancing efficiency, dissymmetry factors, and structural diversity. Here, we report the first helical‐configuration integrated TSCT‐type CP‐TADF emitter, which adopts a dual‐spiro‐locked face‐to‐face acceptor/donor/acceptor scaffold. This sandwiched design not only enables degenerate energy states via multi‐channel TSCT transitions but also incorporates multiple stereogenic centers, resulting in an exceptionally small singlet–triplet energy gap of 0.04 eV, a high reverse intersystem crossing rate of &amp;gt;10</w:t>
      </w:r>
      <w:r>
        <w:rPr>
          <w:vertAlign w:val="subscript"/>
        </w:rPr>
        <w:t>6</w:t>
      </w:r>
      <w:r>
        <w:t>s</w:t>
      </w:r>
      <w:r>
        <w:t xml:space="preserve"> </w:t>
      </w:r>
      <w:r>
        <w:t>−</w:t>
      </w:r>
      <w:r>
        <w:rPr>
          <w:vertAlign w:val="subscript"/>
        </w:rPr>
        <w:t>1</w:t>
      </w:r>
      <w:r>
        <w:t>, and near‐unity photoluminescence quantum yields (&amp;gt;93%), accompanied by a benchmark high photoluminescence dissymmetry factor (|</w:t>
      </w:r>
      <w:r>
        <w:t xml:space="preserve"> </w:t>
      </w:r>
      <w:r>
        <w:t>g</w:t>
      </w:r>
      <w:r>
        <w:t xml:space="preserve"> </w:t>
      </w:r>
      <w:r>
        <w:t>PL</w:t>
      </w:r>
      <w:r>
        <w:t xml:space="preserve"> </w:t>
      </w:r>
      <w:r>
        <w:t>|) of 4.4 × 10</w:t>
      </w:r>
      <w:r>
        <w:t xml:space="preserve"> </w:t>
      </w:r>
      <w:r>
        <w:t>−</w:t>
      </w:r>
      <w:r>
        <w:rPr>
          <w:vertAlign w:val="subscript"/>
        </w:rPr>
        <w:t>3</w:t>
      </w:r>
      <w:r>
        <w:t>among such TSCT‐type emitters. When applied as an emitter in organic light‐emitting diodes (OLEDs), this molecule achieves a maximum external quantum efficiency (EQE</w:t>
      </w:r>
      <w:r>
        <w:t xml:space="preserve"> </w:t>
      </w:r>
      <w:r>
        <w:t>max</w:t>
      </w:r>
      <w:r>
        <w:t xml:space="preserve"> </w:t>
      </w:r>
      <w:r>
        <w:t>) of 27.4% with suppressed efficiency roll‐off and strong electroluminescence dissymmetry (|</w:t>
      </w:r>
      <w:r>
        <w:t xml:space="preserve"> </w:t>
      </w:r>
      <w:r>
        <w:t>g</w:t>
      </w:r>
      <w:r>
        <w:t xml:space="preserve"> </w:t>
      </w:r>
      <w:r>
        <w:t>EL</w:t>
      </w:r>
      <w:r>
        <w:t xml:space="preserve"> </w:t>
      </w:r>
      <w:r>
        <w:t>| ≈ 3.2 × 10</w:t>
      </w:r>
      <w:r>
        <w:t xml:space="preserve"> </w:t>
      </w:r>
      <w:r>
        <w:t>−</w:t>
      </w:r>
      <w:r>
        <w:rPr>
          <w:vertAlign w:val="subscript"/>
        </w:rPr>
        <w:t>3</w:t>
      </w:r>
      <w:r>
        <w:t>). When used as a sensitizer for a multiple‐resonance TADF emitter, it enables an impressive maximum external quantum efficiency (EQE</w:t>
      </w:r>
      <w:r>
        <w:t xml:space="preserve"> </w:t>
      </w:r>
      <w:r>
        <w:t>max</w:t>
      </w:r>
      <w:r>
        <w:t xml:space="preserve"> </w:t>
      </w:r>
      <w:r>
        <w:t>) of 38.4% while maintaining high |</w:t>
      </w:r>
      <w:r>
        <w:t xml:space="preserve"> </w:t>
      </w:r>
      <w:r>
        <w:t>g</w:t>
      </w:r>
      <w:r>
        <w:t xml:space="preserve"> </w:t>
      </w:r>
      <w:r>
        <w:t>EL</w:t>
      </w:r>
      <w:r>
        <w:t xml:space="preserve"> </w:t>
      </w:r>
      <w:r>
        <w:t>| (≈ 3.0 × 10</w:t>
      </w:r>
      <w:r>
        <w:t xml:space="preserve"> </w:t>
      </w:r>
      <w:r>
        <w:t>−</w:t>
      </w:r>
      <w:r>
        <w:rPr>
          <w:vertAlign w:val="subscript"/>
        </w:rPr>
        <w:t>3</w:t>
      </w:r>
      <w:r>
        <w:t>). This work greatly diversifies the structural frameworks of TSCT‐type CP‐TADF emitter with improved performance.</w:t>
      </w:r>
    </w:p>
    <w:p>
      <w:pPr>
        <w:spacing w:before="120" w:after="120"/>
      </w:pPr>
      <w:r>
        <w:rPr>
          <w:sz w:val="18"/>
        </w:rPr>
        <w:t>——————————————————————————————————————————————————————————————————————</w:t>
      </w:r>
    </w:p>
    <w:p>
      <w:pPr>
        <w:spacing w:before="160" w:after="40" w:line="240" w:lineRule="auto"/>
      </w:pPr>
      <w:r>
        <w:rPr>
          <w:b/>
        </w:rPr>
        <w:t xml:space="preserve">[139] </w:t>
      </w:r>
      <w:hyperlink r:id="rId481">
        <w:r>
          <w:rPr>
            <w:color w:val="1155CC"/>
            <w:u w:val="single"/>
          </w:rPr>
          <w:t>锗空位释放和原子偏心工程用于先进的GeTe热电材料</w:t>
        </w:r>
      </w:hyperlink>
    </w:p>
    <w:p>
      <w:pPr>
        <w:spacing w:before="0" w:after="80"/>
      </w:pPr>
      <w:r>
        <w:rPr>
          <w:i/>
          <w:sz w:val="20"/>
        </w:rPr>
        <w:t>EN: Germanium Vacancy Release and Atomic Off‐Centering Engineering for Advanced GeTe Thermoelectrics</w:t>
      </w:r>
    </w:p>
    <w:p>
      <w:pPr>
        <w:spacing w:before="0" w:after="120"/>
      </w:pPr>
      <w:r>
        <w:rPr>
          <w:b/>
        </w:rPr>
        <w:t xml:space="preserve">Source: </w:t>
      </w:r>
      <w:r>
        <w:t>Wiley: Angewandte Chemie International Edition: Table of Contents</w:t>
      </w:r>
      <w:r>
        <w:t xml:space="preserve">    </w:t>
      </w:r>
      <w:r>
        <w:rPr>
          <w:b/>
        </w:rPr>
        <w:t xml:space="preserve">Pub date: </w:t>
      </w:r>
      <w:r>
        <w:t>2026-05-18 15:33:39+00:00</w:t>
      </w:r>
      <w:r>
        <w:t xml:space="preserve">    </w:t>
      </w:r>
      <w:r>
        <w:rPr>
          <w:b/>
        </w:rPr>
        <w:t xml:space="preserve">DOI: </w:t>
      </w:r>
      <w:hyperlink r:id="rId482">
        <w:r>
          <w:rPr>
            <w:color w:val="1155CC"/>
            <w:u w:val="single"/>
          </w:rPr>
          <w:t>10.1002/anie.4936773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碲化锗 (GeTe) 是中温应用的主要候选材料，但其性能本质上受到Ge空位自发形成导致的高载流子浓度的限制。抑制Ge空位以调节载流子浓度的传统策略通常会牺牲有益的声子散射中心。在此，我们证明Ge空位释放和原子偏心工程能够实现高性能GeTe热电材料。具体而言，CdTe合金化引入了Ge空位团簇和由基体、第二相和纳米析出物组成的分级析出结构。同时，Ge原子的局部偏心产生了强烈的声子耦合和显著的晶格应变。此外，CdTe/ZnTe合金化导致带隙展宽、能带收敛和杂质能带，从而提高了有效质量。因此，(Ge</w:t>
      </w:r>
      <w:r>
        <w:t xml:space="preserve"> </w:t>
      </w:r>
      <w:r>
        <w:t>0.92</w:t>
      </w:r>
      <w:r>
        <w:t xml:space="preserve"> </w:t>
      </w:r>
      <w:r>
        <w:t>Sb</w:t>
      </w:r>
      <w:r>
        <w:t xml:space="preserve"> </w:t>
      </w:r>
      <w:r>
        <w:t>0.02</w:t>
      </w:r>
      <w:r>
        <w:t xml:space="preserve"> </w:t>
      </w:r>
      <w:r>
        <w:t>Bi</w:t>
      </w:r>
      <w:r>
        <w:t xml:space="preserve"> </w:t>
      </w:r>
      <w:r>
        <w:t>0.06</w:t>
      </w:r>
      <w:r>
        <w:t xml:space="preserve"> </w:t>
      </w:r>
      <w:r>
        <w:t>Te)</w:t>
      </w:r>
      <w:r>
        <w:t xml:space="preserve"> </w:t>
      </w:r>
      <w:r>
        <w:t>0.96</w:t>
      </w:r>
      <w:r>
        <w:t xml:space="preserve"> </w:t>
      </w:r>
      <w:r>
        <w:t>(CdTe)</w:t>
      </w:r>
      <w:r>
        <w:t xml:space="preserve"> </w:t>
      </w:r>
      <w:r>
        <w:t>0.04</w:t>
      </w:r>
      <w:r>
        <w:t xml:space="preserve"> </w:t>
      </w:r>
      <w:r>
        <w:t>和 (Ge</w:t>
      </w:r>
      <w:r>
        <w:t xml:space="preserve"> </w:t>
      </w:r>
      <w:r>
        <w:t>0.92</w:t>
      </w:r>
      <w:r>
        <w:t xml:space="preserve"> </w:t>
      </w:r>
      <w:r>
        <w:t>Sb</w:t>
      </w:r>
      <w:r>
        <w:t xml:space="preserve"> </w:t>
      </w:r>
      <w:r>
        <w:t>0.02</w:t>
      </w:r>
      <w:r>
        <w:t xml:space="preserve"> </w:t>
      </w:r>
      <w:r>
        <w:t>Bi</w:t>
      </w:r>
      <w:r>
        <w:t xml:space="preserve"> </w:t>
      </w:r>
      <w:r>
        <w:t>0.06</w:t>
      </w:r>
      <w:r>
        <w:t xml:space="preserve"> </w:t>
      </w:r>
      <w:r>
        <w:t>Te)</w:t>
      </w:r>
      <w:r>
        <w:t xml:space="preserve"> </w:t>
      </w:r>
      <w:r>
        <w:t>0.99</w:t>
      </w:r>
      <w:r>
        <w:t xml:space="preserve"> </w:t>
      </w:r>
      <w:r>
        <w:t>(ZnTe)</w:t>
      </w:r>
      <w:r>
        <w:t xml:space="preserve"> </w:t>
      </w:r>
      <w:r>
        <w:t>0.01</w:t>
      </w:r>
      <w:r>
        <w:t xml:space="preserve"> </w:t>
      </w:r>
      <w:r>
        <w:t>在723 K时获得了约2.2和约2.1的峰值无量纲品质因数 (zT) 值，以及平均</w:t>
      </w:r>
    </w:p>
    <w:p>
      <w:pPr>
        <w:spacing w:before="0" w:after="200" w:lineRule="auto" w:line="276"/>
      </w:pPr>
      <w:r>
        <w:rPr>
          <w:b/>
        </w:rPr>
        <w:t xml:space="preserve">Abstract (EN): </w:t>
      </w:r>
      <w:r>
        <w:t>Germanium telluride (GeTe) is a leading candidate for medium‐temperature applications, yet its performance is intrinsically limited by high carrier concentrations arising from the spontaneous formation of Ge vacancies. Conventional strategies for suppressing Ge vacancies to modulate carrier concentration often sacrifice the beneficial phonon scattering centers. Here, we demonstrate that Ge vacancy release and atomic off‐centering engineering enable high‐performance GeTe thermoelectrics. Specifically, CdTe alloying introduces Ge vacancy clusters and a hierarchical precipitate structure composed of a matrix, secondary phase, and nanoprecipitates. In parallel, the local off‐centering of Ge atoms gives rise to intense phonon coupling and pronounced lattice strain. Simultaneously, CdTe/ZnTe alloying causes bandgap widening, band convergence, and impurity bands, thereby raising the effective mass. Consequently, (Ge</w:t>
      </w:r>
      <w:r>
        <w:t xml:space="preserve"> </w:t>
      </w:r>
      <w:r>
        <w:t>0.92</w:t>
      </w:r>
      <w:r>
        <w:t xml:space="preserve"> </w:t>
      </w:r>
      <w:r>
        <w:t>Sb</w:t>
      </w:r>
      <w:r>
        <w:t xml:space="preserve"> </w:t>
      </w:r>
      <w:r>
        <w:t>0.02</w:t>
      </w:r>
      <w:r>
        <w:t xml:space="preserve"> </w:t>
      </w:r>
      <w:r>
        <w:t>Bi</w:t>
      </w:r>
      <w:r>
        <w:t xml:space="preserve"> </w:t>
      </w:r>
      <w:r>
        <w:t>0.06</w:t>
      </w:r>
      <w:r>
        <w:t xml:space="preserve"> </w:t>
      </w:r>
      <w:r>
        <w:t>Te)</w:t>
      </w:r>
      <w:r>
        <w:t xml:space="preserve"> </w:t>
      </w:r>
      <w:r>
        <w:t>0.96</w:t>
      </w:r>
      <w:r>
        <w:t xml:space="preserve"> </w:t>
      </w:r>
      <w:r>
        <w:t>(CdTe)</w:t>
      </w:r>
      <w:r>
        <w:t xml:space="preserve"> </w:t>
      </w:r>
      <w:r>
        <w:t>0.04</w:t>
      </w:r>
      <w:r>
        <w:t xml:space="preserve"> </w:t>
      </w:r>
      <w:r>
        <w:t>and (Ge</w:t>
      </w:r>
      <w:r>
        <w:t xml:space="preserve"> </w:t>
      </w:r>
      <w:r>
        <w:t>0.92</w:t>
      </w:r>
      <w:r>
        <w:t xml:space="preserve"> </w:t>
      </w:r>
      <w:r>
        <w:t>Sb</w:t>
      </w:r>
      <w:r>
        <w:t xml:space="preserve"> </w:t>
      </w:r>
      <w:r>
        <w:t>0.02</w:t>
      </w:r>
      <w:r>
        <w:t xml:space="preserve"> </w:t>
      </w:r>
      <w:r>
        <w:t>Bi</w:t>
      </w:r>
      <w:r>
        <w:t xml:space="preserve"> </w:t>
      </w:r>
      <w:r>
        <w:t>0.06</w:t>
      </w:r>
      <w:r>
        <w:t xml:space="preserve"> </w:t>
      </w:r>
      <w:r>
        <w:t>Te)</w:t>
      </w:r>
      <w:r>
        <w:t xml:space="preserve"> </w:t>
      </w:r>
      <w:r>
        <w:t>0.99</w:t>
      </w:r>
      <w:r>
        <w:t xml:space="preserve"> </w:t>
      </w:r>
      <w:r>
        <w:t>(ZnTe)</w:t>
      </w:r>
      <w:r>
        <w:t xml:space="preserve"> </w:t>
      </w:r>
      <w:r>
        <w:t>0.01</w:t>
      </w:r>
      <w:r>
        <w:t xml:space="preserve"> </w:t>
      </w:r>
      <w:r>
        <w:t>attain peak dimensionless figure of merit (</w:t>
      </w:r>
      <w:r>
        <w:t xml:space="preserve"> </w:t>
      </w:r>
      <w:r>
        <w:t>zT</w:t>
      </w:r>
      <w:r>
        <w:t xml:space="preserve"> </w:t>
      </w:r>
      <w:r>
        <w:t>) values of ∼2.2 and ∼2.1 at 723 K, as well as average</w:t>
      </w:r>
      <w:r>
        <w:t xml:space="preserve"> </w:t>
      </w:r>
      <w:r>
        <w:t>zT</w:t>
      </w:r>
      <w:r>
        <w:t xml:space="preserve"> </w:t>
      </w:r>
      <w:r>
        <w:t>values of ∼1.4 and ∼1.2 over 323–723 K, respectively. Meanwhile, both samples exhibit a Vickers hardness exceeding 235 HV. This work demonstrates a local structural strategy that offers a promising approach for advancing high‐performance thermoelectric materials with low thermal conductivity.</w:t>
      </w:r>
    </w:p>
    <w:p>
      <w:pPr>
        <w:spacing w:before="120" w:after="120"/>
      </w:pPr>
      <w:r>
        <w:rPr>
          <w:sz w:val="18"/>
        </w:rPr>
        <w:t>——————————————————————————————————————————————————————————————————————</w:t>
      </w:r>
    </w:p>
    <w:p>
      <w:pPr>
        <w:spacing w:before="160" w:after="40" w:line="240" w:lineRule="auto"/>
      </w:pPr>
      <w:r>
        <w:rPr>
          <w:b/>
        </w:rPr>
        <w:t xml:space="preserve">[140] </w:t>
      </w:r>
      <w:hyperlink r:id="rId483">
        <w:r>
          <w:rPr>
            <w:color w:val="1155CC"/>
            <w:u w:val="single"/>
          </w:rPr>
          <w:t>从简单类固醇合成Chonemorphol A、Chonemorphol C和Ecdysantheroside A苷元</w:t>
        </w:r>
      </w:hyperlink>
    </w:p>
    <w:p>
      <w:pPr>
        <w:spacing w:before="0" w:after="80"/>
      </w:pPr>
      <w:r>
        <w:rPr>
          <w:i/>
          <w:sz w:val="20"/>
        </w:rPr>
        <w:t>EN: Synthesis of Chonemorphol A, Chonemorphol C, and Ecdysantheroside A Aglycone From Simple Steroids</w:t>
      </w:r>
    </w:p>
    <w:p>
      <w:pPr>
        <w:spacing w:before="0" w:after="120"/>
      </w:pPr>
      <w:r>
        <w:rPr>
          <w:b/>
        </w:rPr>
        <w:t xml:space="preserve">Source: </w:t>
      </w:r>
      <w:r>
        <w:t>Wiley: Angewandte Chemie International Edition: Table of Contents</w:t>
      </w:r>
      <w:r>
        <w:t xml:space="preserve">    </w:t>
      </w:r>
      <w:r>
        <w:rPr>
          <w:b/>
        </w:rPr>
        <w:t xml:space="preserve">Pub date: </w:t>
      </w:r>
      <w:r>
        <w:t>2026-05-18 15:36:00+00:00</w:t>
      </w:r>
      <w:r>
        <w:t xml:space="preserve">    </w:t>
      </w:r>
      <w:r>
        <w:rPr>
          <w:b/>
        </w:rPr>
        <w:t xml:space="preserve">DOI: </w:t>
      </w:r>
      <w:hyperlink r:id="rId484">
        <w:r>
          <w:rPr>
            <w:color w:val="1155CC"/>
            <w:u w:val="single"/>
          </w:rPr>
          <w:t>10.1002/anie.9633331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氧化态类固醇通常具有吸引人的药用价值，但其合成具有挑战性。引入所需的氧化态通常很困难。在此，我们报道了一种1,3-偶极环加成反应策略，通过四取代烯烃的双官能化，能够快速构建带有相邻氧化角甲基和叔羟基的复杂类固醇。为了最大限度地发挥这种合成策略的有效性，设计了一个五步合成序列，以从市售类固醇制备所需中间体。这种新化学不仅促进了类固醇中原始角甲基从C13到C17的立体特异性重定位，而且实现了该甲基的氧化以及在C13和C14之间形成四取代双键。使用一种不常见的烷氧基腈氧化物作为1,3-偶极子，通过1,3-偶极环加成反应顺利地进行了四取代双键的双官能化，在一步中在C13和C14处引入了两个相邻的四取代手性中心。基于上述合成设计，我们从表雄酮出发，通过8步合成了chonemorphol C，以及从3</w:t>
      </w:r>
      <w:r>
        <w:t xml:space="preserve"> </w:t>
      </w:r>
      <w:r>
        <w:t>β</w:t>
      </w:r>
      <w:r>
        <w:t xml:space="preserve"> </w:t>
      </w:r>
      <w:r>
        <w:t>-乙酰氧基雄甾-5-烯-17-酮出发，分别通过10步和14步合成了蜕皮花苷A苷元和chonemorphol A。</w:t>
      </w:r>
    </w:p>
    <w:p>
      <w:pPr>
        <w:spacing w:before="0" w:after="200" w:lineRule="auto" w:line="276"/>
      </w:pPr>
      <w:r>
        <w:rPr>
          <w:b/>
        </w:rPr>
        <w:t xml:space="preserve">Abstract (EN): </w:t>
      </w:r>
      <w:r>
        <w:t>High‐oxidation‐state steroids, often with appealing medicinal value, are challenging synthetic targets. Introducing the desired oxidation states is often difficult. Herein, we report a 1,3‐dipolar cycloaddition reaction strategy to enable the quick construction of complex steroids bearing adjacent oxidized angular methyl and tertiary hydroxy groups through difunctionalization of a tetrasubstituted olefin. To maximize the effectiveness of this synthetic strategy, a five‐step synthetic sequence was devised to prepare the desired intermediate from commercially available steroids. The new chemistry not only promoted stereospecific relocation of the original angular methyl group in steroids from C13 to C17 but also enabled the oxidation of this methyl group and the creation of a tetrasubstituted double bond between C13 and C14. Using an uncommon alkoxynitrile oxide as the 1,3‐dipole, difunctionalization of the tetrasubstituted double bond was carried out smoothly by a 1,3‐dipolar cycloaddition reaction, with installation of two adjacent tetrasubstituted stereogenic centers at C13 and C14 in one step. Based on the above synthetic design, we have synthesized chonemorphol C from epiandrosterone in 8 steps, as well as ecdysantheroside A aglycone and chonemorphol A from 3</w:t>
      </w:r>
      <w:r>
        <w:t xml:space="preserve"> </w:t>
      </w:r>
      <w:r>
        <w:t>β</w:t>
      </w:r>
      <w:r>
        <w:t xml:space="preserve"> </w:t>
      </w:r>
      <w:r>
        <w:t>‐acetoxyandrost‐5‐en‐17‐one in 10 steps and 14 steps, respectively.</w:t>
      </w:r>
    </w:p>
    <w:p>
      <w:pPr>
        <w:spacing w:before="120" w:after="120"/>
      </w:pPr>
      <w:r>
        <w:rPr>
          <w:sz w:val="18"/>
        </w:rPr>
        <w:t>——————————————————————————————————————————————————————————————————————</w:t>
      </w:r>
    </w:p>
    <w:p>
      <w:pPr>
        <w:spacing w:before="160" w:after="40" w:line="240" w:lineRule="auto"/>
      </w:pPr>
      <w:r>
        <w:rPr>
          <w:b/>
        </w:rPr>
        <w:t xml:space="preserve">[141] </w:t>
      </w:r>
      <w:hyperlink r:id="rId485">
        <w:r>
          <w:rPr>
            <w:color w:val="1155CC"/>
            <w:u w:val="single"/>
          </w:rPr>
          <w:t>稀土改性沸石在丙烷脱氢中铂催化的内置自再生</w:t>
        </w:r>
      </w:hyperlink>
    </w:p>
    <w:p>
      <w:pPr>
        <w:spacing w:before="0" w:after="80"/>
      </w:pPr>
      <w:r>
        <w:rPr>
          <w:i/>
          <w:sz w:val="20"/>
        </w:rPr>
        <w:t>EN: Built‐In Self‐Regeneration of Platinum Catalysis in Propane Dehydrogenation with Rare‐Earth‐Modified Zeolites</w:t>
      </w:r>
    </w:p>
    <w:p>
      <w:pPr>
        <w:spacing w:before="0" w:after="120"/>
      </w:pPr>
      <w:r>
        <w:rPr>
          <w:b/>
        </w:rPr>
        <w:t xml:space="preserve">Source: </w:t>
      </w:r>
      <w:r>
        <w:t>Wiley: Angewandte Chemie International Edition: Table of Contents</w:t>
      </w:r>
      <w:r>
        <w:t xml:space="preserve">    </w:t>
      </w:r>
      <w:r>
        <w:rPr>
          <w:b/>
        </w:rPr>
        <w:t xml:space="preserve">Pub date: </w:t>
      </w:r>
      <w:r>
        <w:t>2026-05-18 15:39:16+00:00</w:t>
      </w:r>
      <w:r>
        <w:t xml:space="preserve">    </w:t>
      </w:r>
      <w:r>
        <w:rPr>
          <w:b/>
        </w:rPr>
        <w:t xml:space="preserve">DOI: </w:t>
      </w:r>
      <w:hyperlink r:id="rId486">
        <w:r>
          <w:rPr>
            <w:color w:val="1155CC"/>
            <w:u w:val="single"/>
          </w:rPr>
          <w:t>10.1002/anie.5533379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铂基沸石催化剂是丙烷脱氢 (PDH) 最有效的体系之一，但其在严苛的氧化还原循环下再生性差，限制了其工业应用。在此，我们报道了一种配体保护策略，可同时将亚纳米级CeO</w:t>
      </w:r>
      <w:r>
        <w:t xml:space="preserve"> </w:t>
      </w:r>
      <w:r>
        <w:t>x</w:t>
      </w:r>
      <w:r>
        <w:t xml:space="preserve"> </w:t>
      </w:r>
      <w:r>
        <w:t>和Pt团簇包覆在硅沸石-1 (S-1) 中。沸石限域在还原性脱氢条件下稳定了Pt和CeO</w:t>
      </w:r>
      <w:r>
        <w:t xml:space="preserve"> </w:t>
      </w:r>
      <w:r>
        <w:t>x</w:t>
      </w:r>
      <w:r>
        <w:t xml:space="preserve"> </w:t>
      </w:r>
      <w:r>
        <w:t>物种，而Pt–CeO</w:t>
      </w:r>
      <w:r>
        <w:t xml:space="preserve"> </w:t>
      </w:r>
      <w:r>
        <w:t>x</w:t>
      </w:r>
      <w:r>
        <w:t xml:space="preserve"> </w:t>
      </w:r>
      <w:r>
        <w:t>强相互作用的动态可逆形成促进了Pt物种在氧化再生过程中的可逆再分散。值得注意的是，Pt‐4CeO</w:t>
      </w:r>
      <w:r>
        <w:t xml:space="preserve"> </w:t>
      </w:r>
      <w:r>
        <w:t>x</w:t>
      </w:r>
      <w:r>
        <w:t xml:space="preserve"> </w:t>
      </w:r>
      <w:r>
        <w:t>@S‐1催化剂在9个连续的氧化还原循环后仍能完全再生，并在600°C下持续运行超过5000分钟。即使在600°C蒸汽处理后，该催化剂通过简单的煅烧-还原也能完全恢复其活性，这表明其在工业相关条件下具有出色的结构耐久性。综合理论和实验证据表明，沸石骨架内的限域使CeO</w:t>
      </w:r>
      <w:r>
        <w:t xml:space="preserve"> </w:t>
      </w:r>
      <w:r>
        <w:t>x</w:t>
      </w:r>
      <w:r>
        <w:t xml:space="preserve"> </w:t>
      </w:r>
      <w:r>
        <w:t>能够动态捕获移动的PtO</w:t>
      </w:r>
    </w:p>
    <w:p>
      <w:pPr>
        <w:spacing w:before="0" w:after="200" w:lineRule="auto" w:line="276"/>
      </w:pPr>
      <w:r>
        <w:rPr>
          <w:b/>
        </w:rPr>
        <w:t xml:space="preserve">Abstract (EN): </w:t>
      </w:r>
      <w:r>
        <w:t>Platinum‐based zeolite catalysts are among the most effective systems for propane dehydrogenation (PDH), yet their industrial deployment is limited by their poor regenerability under harsh redox cycling. Here, we report a ligand‐protected strategy to simultaneously encapsulate subnanometric CeO</w:t>
      </w:r>
      <w:r>
        <w:t xml:space="preserve"> </w:t>
      </w:r>
      <w:r>
        <w:t>x</w:t>
      </w:r>
      <w:r>
        <w:t xml:space="preserve"> </w:t>
      </w:r>
      <w:r>
        <w:t>and Pt clusters within silicalite‐1 (S‐1) zeolite. Zeolite confinement stabilizes both Pt and CeO</w:t>
      </w:r>
      <w:r>
        <w:t xml:space="preserve"> </w:t>
      </w:r>
      <w:r>
        <w:t>x</w:t>
      </w:r>
      <w:r>
        <w:t xml:space="preserve"> </w:t>
      </w:r>
      <w:r>
        <w:t>species under reducing dehydrogenation conditions, while the dynamic and reversible formation of strong Pt–CeO</w:t>
      </w:r>
      <w:r>
        <w:t xml:space="preserve"> </w:t>
      </w:r>
      <w:r>
        <w:t>x</w:t>
      </w:r>
      <w:r>
        <w:t xml:space="preserve"> </w:t>
      </w:r>
      <w:r>
        <w:t>interactions facilitates the reversible redispersion of Pt species during oxidative regeneration. Notably, the Pt‐4CeO</w:t>
      </w:r>
      <w:r>
        <w:t xml:space="preserve"> </w:t>
      </w:r>
      <w:r>
        <w:t>x</w:t>
      </w:r>
      <w:r>
        <w:t xml:space="preserve"> </w:t>
      </w:r>
      <w:r>
        <w:t>@S‐1 catalyst remains fully regenerable after 9 consecutive redox cycles and sustained operation over 5000 min at 600°C. Even after steam treatment at 600°C, the catalyst fully recovers its activity through simple calcination–reduction, demonstrating outstanding structural durability under industrially relevant conditions. Integrated theoretical and experimental evidence shows that confinement within the zeolite framework allows CeO</w:t>
      </w:r>
      <w:r>
        <w:t xml:space="preserve"> </w:t>
      </w:r>
      <w:r>
        <w:t>x</w:t>
      </w:r>
      <w:r>
        <w:t xml:space="preserve"> </w:t>
      </w:r>
      <w:r>
        <w:t>to dynamically capture mobile PtO</w:t>
      </w:r>
      <w:r>
        <w:t xml:space="preserve"> </w:t>
      </w:r>
      <w:r>
        <w:t>x</w:t>
      </w:r>
      <w:r>
        <w:t xml:space="preserve"> </w:t>
      </w:r>
      <w:r>
        <w:t>via Pt–O‒Ce bond formation, facilitating atomic‐scale Pt redispersion under oxidative conditions. This work offers a generalizable strategy for constructing redox‐adaptive catalyst architectures with built‐in self‐regeneration, advancing the design of robust zeolite‐based catalysts for high‐temperature and cyclic catalytic processes.</w:t>
      </w:r>
    </w:p>
    <w:p>
      <w:pPr>
        <w:spacing w:before="120" w:after="120"/>
      </w:pPr>
      <w:r>
        <w:rPr>
          <w:sz w:val="18"/>
        </w:rPr>
        <w:t>——————————————————————————————————————————————————————————————————————</w:t>
      </w:r>
    </w:p>
    <w:p>
      <w:pPr>
        <w:spacing w:before="160" w:after="40" w:line="240" w:lineRule="auto"/>
      </w:pPr>
      <w:r>
        <w:rPr>
          <w:b/>
        </w:rPr>
        <w:t xml:space="preserve">[142] </w:t>
      </w:r>
      <w:hyperlink r:id="rId487">
        <w:r>
          <w:rPr>
            <w:color w:val="1155CC"/>
            <w:u w:val="single"/>
          </w:rPr>
          <w:t>钯催化通过卡宾迁移插入的三组分偶联：获得丙二烯和1,5-烯炔</w:t>
        </w:r>
      </w:hyperlink>
    </w:p>
    <w:p>
      <w:pPr>
        <w:spacing w:before="0" w:after="80"/>
      </w:pPr>
      <w:r>
        <w:rPr>
          <w:i/>
          <w:sz w:val="20"/>
        </w:rPr>
        <w:t>EN: Palladium‐Catalyzed Three‐Component Coupling Through Carbene Migratory Insertion: Access to Allenes and 1,5‐Enynes</w:t>
      </w:r>
    </w:p>
    <w:p>
      <w:pPr>
        <w:spacing w:before="0" w:after="120"/>
      </w:pPr>
      <w:r>
        <w:rPr>
          <w:b/>
        </w:rPr>
        <w:t xml:space="preserve">Source: </w:t>
      </w:r>
      <w:r>
        <w:t>Wiley: Angewandte Chemie International Edition: Table of Contents</w:t>
      </w:r>
      <w:r>
        <w:t xml:space="preserve">    </w:t>
      </w:r>
      <w:r>
        <w:rPr>
          <w:b/>
        </w:rPr>
        <w:t xml:space="preserve">Pub date: </w:t>
      </w:r>
      <w:r>
        <w:t>2026-05-18 15:41:56+00:00</w:t>
      </w:r>
      <w:r>
        <w:t xml:space="preserve">    </w:t>
      </w:r>
      <w:r>
        <w:rPr>
          <w:b/>
        </w:rPr>
        <w:t xml:space="preserve">DOI: </w:t>
      </w:r>
      <w:hyperlink r:id="rId488">
        <w:r>
          <w:rPr>
            <w:color w:val="1155CC"/>
            <w:u w:val="single"/>
          </w:rPr>
          <w:t>10.1002/anie.8821005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钯催化的炔丙位亲电试剂与碳亲核试剂的交叉偶联反应已被确立为合成联烯和1,5-烯炔的直接可靠方法。然而，此类转化迄今仅限于双组分体系。在此，我们报道了一种钯催化的三组分偶联反应，涉及溴代炔烃、重氮酯和硼酸酯。该反应通过联烯基钯或炔丙基钯中间体进行，这些中间体是通过卤代炔烃与重氮化合物在钯催化下相互作用，经过氧化加成、卡宾形成和迁移插入的序列生成的。根据硼酸酯底物的结构，三组分偶联选择性地生成联烯或1,5-烯炔。DFT计算为这种底物依赖的化学选择性提供了深入见解。该方法具有广泛的底物范围，并已成功应用于两种药物——氨鲁米特和阿尼利定的简明合成。</w:t>
      </w:r>
    </w:p>
    <w:p>
      <w:pPr>
        <w:spacing w:before="0" w:after="200" w:lineRule="auto" w:line="276"/>
      </w:pPr>
      <w:r>
        <w:rPr>
          <w:b/>
        </w:rPr>
        <w:t xml:space="preserve">Abstract (EN): </w:t>
      </w:r>
      <w:r>
        <w:t>Palladium‐catalyzed cross‐coupling reactions of propargylic electrophiles with carbon nucleophiles have been established as straightforward and reliable methods for the synthesis of allenes and 1,5‐enynes. However, such transformations have so far been limited to two‐component systems. Herein, we report a palladium‐catalyzed three‐component coupling reaction involving bromoalkynes, diazoesters, and boronates. The reaction proceeds via allenylpalladium or propargylpalladium intermediates, generated through a sequence of oxidative addition, carbene formation, and migratory insertion upon interaction of haloalkynes with diazo compounds under palladium catalysis. Depending on the structure of the boronate substrate, the three‐component coupling selectively delivers either allenes or 1,5‐enynes. DFT calculations provide insight into this substrate‐dependent chemoselectivity. The method exhibits broad substrate scope and has been successfully applied to the concise synthesis of two pharmaceutical agents—aminoglutethimide and anileridine.</w:t>
      </w:r>
    </w:p>
    <w:p>
      <w:pPr>
        <w:spacing w:before="120" w:after="120"/>
      </w:pPr>
      <w:r>
        <w:rPr>
          <w:sz w:val="18"/>
        </w:rPr>
        <w:t>——————————————————————————————————————————————————————————————————————</w:t>
      </w:r>
    </w:p>
    <w:p>
      <w:pPr>
        <w:spacing w:before="160" w:after="40" w:line="240" w:lineRule="auto"/>
      </w:pPr>
      <w:r>
        <w:rPr>
          <w:b/>
        </w:rPr>
        <w:t xml:space="preserve">[143] </w:t>
      </w:r>
      <w:hyperlink r:id="rId489">
        <w:r>
          <w:rPr>
            <w:color w:val="1155CC"/>
            <w:u w:val="single"/>
          </w:rPr>
          <w:t>[ASAP] 由2,6-双(1,2,3-三唑-4-基)吡啶 (btp) 构筑单元组装的构象可切换分子三叶结</w:t>
        </w:r>
      </w:hyperlink>
    </w:p>
    <w:p>
      <w:pPr>
        <w:spacing w:before="0" w:after="80"/>
      </w:pPr>
      <w:r>
        <w:rPr>
          <w:i/>
          <w:sz w:val="20"/>
        </w:rPr>
        <w:t>EN: [ASAP] Conformationally Switchable Molecular Trefoil Knot Assembled From 2,6-Bis(1,2,3-triazol-4-yl)pyridine (btp) Building Blocks</w:t>
      </w:r>
    </w:p>
    <w:p>
      <w:pPr>
        <w:spacing w:before="0" w:after="120"/>
      </w:pPr>
      <w:r>
        <w:rPr>
          <w:b/>
        </w:rPr>
        <w:t xml:space="preserve">Source: </w:t>
      </w:r>
      <w:r>
        <w:t>Journal of the American Chemical Society: Latest Articles (ACS Publications)</w:t>
      </w:r>
      <w:r>
        <w:t xml:space="preserve">    </w:t>
      </w:r>
      <w:r>
        <w:rPr>
          <w:b/>
        </w:rPr>
        <w:t xml:space="preserve">Pub date: </w:t>
      </w:r>
      <w:r>
        <w:t>2026-05-18 15:51:03+00:00</w:t>
      </w:r>
      <w:r>
        <w:t xml:space="preserve">    </w:t>
      </w:r>
      <w:r>
        <w:rPr>
          <w:b/>
        </w:rPr>
        <w:t xml:space="preserve">DOI: </w:t>
      </w:r>
      <w:hyperlink r:id="rId490">
        <w:r>
          <w:rPr>
            <w:color w:val="1155CC"/>
            <w:u w:val="single"/>
          </w:rPr>
          <w:t>10.1021/jacs.6c07733</w:t>
        </w:r>
      </w:hyperlink>
    </w:p>
    <w:p>
      <w:pPr>
        <w:spacing w:before="0" w:after="120"/>
      </w:pPr>
      <w:r>
        <w:rPr>
          <w:b/>
        </w:rPr>
        <w:t xml:space="preserve">Notes: </w:t>
      </w:r>
      <w:r>
        <w:t>abstract_source=openalex</w:t>
      </w:r>
    </w:p>
    <w:p>
      <w:pPr>
        <w:spacing w:before="0" w:after="80" w:lineRule="auto" w:line="276"/>
      </w:pPr>
      <w:r>
        <w:rPr>
          <w:b/>
        </w:rPr>
        <w:t xml:space="preserve">摘要（ZH）: </w:t>
      </w:r>
      <w:r>
        <w:t>在金属结合结中，btp 单元向内定向以配位金属中心，链构象通过吡啶-萘 π-堆叠进一步稳定。在无金属结中，btp 基序向外旋转，构象通过三唑 C-H···O 氢键和萘-萘 π-堆叠稳定。可逆的金属化和去金属化清晰地相互转化两种结构象，将 btp 结构单元确立为一个简单而多功能的平台，用于响应性缠结或编织分子拓扑结构。</w:t>
      </w:r>
    </w:p>
    <w:p>
      <w:pPr>
        <w:spacing w:before="0" w:after="200" w:lineRule="auto" w:line="276"/>
      </w:pPr>
      <w:r>
        <w:rPr>
          <w:b/>
        </w:rPr>
        <w:t xml:space="preserve">Abstract (EN): </w:t>
      </w:r>
      <w:r>
        <w:t>-bound knot the btp units are directed inward to coordinate the metal center, with the strand conformation further stabilized by pyridine-naphthalene π-stacking. In the metal-free knot the btp motifs are rotated outward, with the conformation stabilized by triazole C-H···O hydrogen bonding and naphthalene-naphthalene π-stacking. Reversible metalation and demetalation cleanly interconverts the two knot conformations, establishing btp building blocks as a simple and versatile platform for responsive entangled or woven molecular topologies.</w:t>
      </w:r>
    </w:p>
    <w:p>
      <w:pPr>
        <w:spacing w:before="120" w:after="120"/>
      </w:pPr>
      <w:r>
        <w:rPr>
          <w:sz w:val="18"/>
        </w:rPr>
        <w:t>——————————————————————————————————————————————————————————————————————</w:t>
      </w:r>
    </w:p>
    <w:p>
      <w:pPr>
        <w:spacing w:before="160" w:after="40" w:line="240" w:lineRule="auto"/>
      </w:pPr>
      <w:r>
        <w:rPr>
          <w:b/>
        </w:rPr>
        <w:t xml:space="preserve">[144] </w:t>
      </w:r>
      <w:hyperlink r:id="rId491">
        <w:r>
          <w:rPr>
            <w:color w:val="1155CC"/>
            <w:u w:val="single"/>
          </w:rPr>
          <w:t>[ASAP] 自由基交联分子锚定界面用于宽带隙钙钛矿太阳能电池</w:t>
        </w:r>
      </w:hyperlink>
    </w:p>
    <w:p>
      <w:pPr>
        <w:spacing w:before="0" w:after="80"/>
      </w:pPr>
      <w:r>
        <w:rPr>
          <w:i/>
          <w:sz w:val="20"/>
        </w:rPr>
        <w:t>EN: [ASAP] Radical-Cross-Linking Molecular Anchoring Interfaces for Wide Bandgap Perovskite Solar Cells</w:t>
      </w:r>
    </w:p>
    <w:p>
      <w:pPr>
        <w:spacing w:before="0" w:after="120"/>
      </w:pPr>
      <w:r>
        <w:rPr>
          <w:b/>
        </w:rPr>
        <w:t xml:space="preserve">Source: </w:t>
      </w:r>
      <w:r>
        <w:t>ACS Energy Letters: Latest Articles (ACS Publications)</w:t>
      </w:r>
      <w:r>
        <w:t xml:space="preserve">    </w:t>
      </w:r>
      <w:r>
        <w:rPr>
          <w:b/>
        </w:rPr>
        <w:t xml:space="preserve">Pub date: </w:t>
      </w:r>
      <w:r>
        <w:t>2026-05-18 16:01:56+00:00</w:t>
      </w:r>
      <w:r>
        <w:t xml:space="preserve">    </w:t>
      </w:r>
      <w:r>
        <w:rPr>
          <w:b/>
        </w:rPr>
        <w:t xml:space="preserve">DOI: </w:t>
      </w:r>
      <w:hyperlink r:id="rId492">
        <w:r>
          <w:rPr>
            <w:color w:val="1155CC"/>
            <w:u w:val="single"/>
          </w:rPr>
          <w:t>10.1021/acsenergylett.6c00867</w:t>
        </w:r>
      </w:hyperlink>
    </w:p>
    <w:p>
      <w:pPr>
        <w:spacing w:before="0" w:after="120"/>
      </w:pPr>
      <w:r>
        <w:rPr>
          <w:b/>
        </w:rPr>
        <w:t xml:space="preserve">Notes: </w:t>
      </w:r>
      <w:r>
        <w:t>abstract_source=openalex</w:t>
      </w:r>
    </w:p>
    <w:p>
      <w:pPr>
        <w:spacing w:before="0" w:after="80" w:lineRule="auto" w:line="276"/>
      </w:pPr>
      <w:r>
        <w:rPr>
          <w:b/>
        </w:rPr>
        <w:t xml:space="preserve">摘要（ZH）: </w:t>
      </w:r>
      <w:r>
        <w:t>宽带隙倒置钙钛矿太阳能电池 (PSCs) 根本上受限于埋藏界面的界面非辐射复合和机械不稳定性。传统的自组装单分子层 (SAMs) 尽管能够实现分子级界面工程，但存在结合强度不足、π–π 聚集以及对溶剂和热应力抵抗力有限的问题。在此，我们报道了一种自由基交联的烯丙基封端 SAM，它将扩展的扭曲共轭与双齿分子锚定相结合。引发剂辅助的热聚合能够在器件兼容条件下原位形成共价缝合的界面网络。交联 SAM 增强了界面鲁棒性，抑制了陷阱形成和卤化物偏析，并改善了能级对齐以实现高效电荷提取。结果，倒置 1.68 eV PSCs 实现了 23.71% 的功率转换效率，开路电压为 1.268 V，并显著增强了操作稳定性，而 1.54 eV 器件达到了 26.06% 的效率。这项工作为构建高性能钙钛矿光伏器件中机械弹性且电子优化的界面建立了自由基交联 SAMs 范式。</w:t>
      </w:r>
    </w:p>
    <w:p>
      <w:pPr>
        <w:spacing w:before="0" w:after="200" w:lineRule="auto" w:line="276"/>
      </w:pPr>
      <w:r>
        <w:rPr>
          <w:b/>
        </w:rPr>
        <w:t xml:space="preserve">Abstract (EN): </w:t>
      </w:r>
      <w:r>
        <w:t>Wide bandgap inverted perovskite solar cells (PSCs) are fundamentally constrained by interfacial nonradiative recombination and mechanical instability at the buried interface. Conventional self-assembled monolayers (SAMs), despite enabling molecular-level interface engineering, suffer from insufficient binding strength, π–π aggregation, and limited resistance to solvent and thermal stresses. Here, we report a radical-cross-linking allyl-terminated SAM that integrates extended twisting conjugation with bidentate molecular anchoring. Initiator-assisted thermal polymerization enables in situ formation of a covalently stitched interfacial network under device-compatible conditions. The cross-linked SAM enhances interfacial robustness, suppresses trap formation and halide segregation, and improves energy-level alignment for efficient charge extraction. As a result, inverted 1.68 eV PSCs achieve a power conversion efficiency of 23.71% with an open-circuit voltage of 1.268 V and markedly enhanced operational stability, while 1.54 eV devices reach 26.06% efficiency. This work establishes a radical cross-linking SAMs paradigm for constructing mechanically resilient and electronically optimized interfaces in high-performance perovskite photovoltaics.</w:t>
      </w:r>
    </w:p>
    <w:p>
      <w:pPr>
        <w:spacing w:before="120" w:after="120"/>
      </w:pPr>
      <w:r>
        <w:rPr>
          <w:sz w:val="18"/>
        </w:rPr>
        <w:t>——————————————————————————————————————————————————————————————————————</w:t>
      </w:r>
    </w:p>
    <w:p>
      <w:pPr>
        <w:spacing w:before="160" w:after="40" w:line="240" w:lineRule="auto"/>
      </w:pPr>
      <w:r>
        <w:rPr>
          <w:b/>
        </w:rPr>
        <w:t xml:space="preserve">[145] </w:t>
      </w:r>
      <w:hyperlink r:id="rId493">
        <w:r>
          <w:rPr>
            <w:color w:val="1155CC"/>
            <w:u w:val="single"/>
          </w:rPr>
          <w:t>[ASAP] 立体化学在控制聚合物材料磁行为中的作用</w:t>
        </w:r>
      </w:hyperlink>
    </w:p>
    <w:p>
      <w:pPr>
        <w:spacing w:before="0" w:after="80"/>
      </w:pPr>
      <w:r>
        <w:rPr>
          <w:i/>
          <w:sz w:val="20"/>
        </w:rPr>
        <w:t>EN: [ASAP] Role of Stereochemistry in Controlling Magnetic Behavior in Polymeric Materials</w:t>
      </w:r>
    </w:p>
    <w:p>
      <w:pPr>
        <w:spacing w:before="0" w:after="120"/>
      </w:pPr>
      <w:r>
        <w:rPr>
          <w:b/>
        </w:rPr>
        <w:t xml:space="preserve">Source: </w:t>
      </w:r>
      <w:r>
        <w:t>Journal of the American Chemical Society: Latest Articles (ACS Publications)</w:t>
      </w:r>
      <w:r>
        <w:t xml:space="preserve">    </w:t>
      </w:r>
      <w:r>
        <w:rPr>
          <w:b/>
        </w:rPr>
        <w:t xml:space="preserve">Pub date: </w:t>
      </w:r>
      <w:r>
        <w:t>2026-05-18 16:08:23+00:00</w:t>
      </w:r>
      <w:r>
        <w:t xml:space="preserve">    </w:t>
      </w:r>
      <w:r>
        <w:rPr>
          <w:b/>
        </w:rPr>
        <w:t xml:space="preserve">DOI: </w:t>
      </w:r>
      <w:hyperlink r:id="rId494">
        <w:r>
          <w:rPr>
            <w:color w:val="1155CC"/>
            <w:u w:val="single"/>
          </w:rPr>
          <w:t>10.1021/jacs.6c01683</w:t>
        </w:r>
      </w:hyperlink>
    </w:p>
    <w:p>
      <w:pPr>
        <w:spacing w:before="0" w:after="120"/>
      </w:pPr>
      <w:r>
        <w:rPr>
          <w:b/>
        </w:rPr>
        <w:t xml:space="preserve">Notes: </w:t>
      </w:r>
      <w:r>
        <w:t>abstract_source=pubmed</w:t>
      </w:r>
    </w:p>
    <w:p>
      <w:pPr>
        <w:spacing w:before="0" w:after="80" w:lineRule="auto" w:line="276"/>
      </w:pPr>
      <w:r>
        <w:rPr>
          <w:b/>
        </w:rPr>
        <w:t xml:space="preserve">摘要（ZH）: </w:t>
      </w:r>
      <w:r>
        <w:t>稳定自由基聚合物正成为自旋电子学、导电性和量子信息技术等多种应用的重要功能材料。为了更好地理解这类聚合物的磁行为，我们开发了一种简便的这些聚合物材料的合成方法，即通过 COS 与生物基环氧化物香草醛缩水甘油醚 (VGE, R-VGE, 或 S-VGE) 的共聚。重要的是，该单体含有一个醛反应性基团，这使得在聚合前（分别从 VGE-TEMPO, R-VGE-TEMPO, 或 S-VGE-TEMPO 得到的 PMTC-1', R-PMTC-1', 和 S-PMTC-1' 聚合物）或聚合后（分别从 VGE, R-VGE, 或 S-VGE 得到的 PMTC-1, R-PMTC-1, 和 S-PMTC-1 聚合物）通过席夫碱缩合反应添加 4-氨基-TEMPO 成为可能。我们证明了聚合物的立构规整性控制了这些自由基聚合物在各种外加磁场下的磁行为。有趣的是，我们观察到等规 R-PMTC-1 (和 R-PMTC-1') 和 S-PMTC-1 (和 S-PMTC-1') 中的磁开关现象。这些磁可切换聚合物有望适用于各种器件应用。</w:t>
      </w:r>
    </w:p>
    <w:p>
      <w:pPr>
        <w:spacing w:before="0" w:after="200" w:lineRule="auto" w:line="276"/>
      </w:pPr>
      <w:r>
        <w:rPr>
          <w:b/>
        </w:rPr>
        <w:t xml:space="preserve">Abstract (EN): </w:t>
      </w:r>
      <w:r>
        <w:t>Stable radical polymers are emerging as important functional materials for a variety of applications such as spintronics, electrical conductivity, and quantum information technologies. To better understand the magnetic behavior of such polymers, we have developed a facile synthesis of these polymeric materials via copolymerization of COS with the biobased epoxide vanillin glycidyl ether (VGE, R-VGE, or S-VGE). Importantly, this monomer contains an aldehyde-reactive group, which allows for the addition of 4-amino-TEMPO via Schiff base condensation before polymerization (PMTC-1', R-PMTC-1', and S-PMTC-1' polymers from VGE-TEMPO, R-VGE-TEMPO, or S-VGE-TEMPO, respectively) or postpolymerization (PMTC-1, R-PMTC-1, and S-PMTC-1 polymers from VGE, R-VGE, or S-VGE, respectively). We demonstrated that the polymers' tacticity controls the magnetic behaviors of these radical polymers under various applied magnetic fields. Interestingly, we noticed the magnetic switching in isotactic R-PMTC-1 (and R-PMTC-1') and S-PMTC-1 (and S-PMTC-1'). These magnetic switchable polymers are expected to be suitable for various device applications.</w:t>
      </w:r>
    </w:p>
    <w:p>
      <w:pPr>
        <w:spacing w:before="120" w:after="120"/>
      </w:pPr>
      <w:r>
        <w:rPr>
          <w:sz w:val="18"/>
        </w:rPr>
        <w:t>——————————————————————————————————————————————————————————————————————</w:t>
      </w:r>
    </w:p>
    <w:p>
      <w:pPr>
        <w:spacing w:before="160" w:after="40" w:line="240" w:lineRule="auto"/>
      </w:pPr>
      <w:r>
        <w:rPr>
          <w:b/>
        </w:rPr>
        <w:t xml:space="preserve">[146] </w:t>
      </w:r>
      <w:hyperlink r:id="rId495">
        <w:r>
          <w:rPr>
            <w:color w:val="1155CC"/>
            <w:u w:val="single"/>
          </w:rPr>
          <w:t>[ASAP] 由手性纳米管晶格模板化的DNA组装：从螺旋到环</w:t>
        </w:r>
      </w:hyperlink>
    </w:p>
    <w:p>
      <w:pPr>
        <w:spacing w:before="0" w:after="80"/>
      </w:pPr>
      <w:r>
        <w:rPr>
          <w:i/>
          <w:sz w:val="20"/>
        </w:rPr>
        <w:t>EN: [ASAP] DNA Assembly Templated by Chiral Nanotube Lattices: From Helix to Rings</w:t>
      </w:r>
    </w:p>
    <w:p>
      <w:pPr>
        <w:spacing w:before="0" w:after="120"/>
      </w:pPr>
      <w:r>
        <w:rPr>
          <w:b/>
        </w:rPr>
        <w:t xml:space="preserve">Source: </w:t>
      </w:r>
      <w:r>
        <w:t>Journal of the American Chemical Society: Latest Articles (ACS Publications)</w:t>
      </w:r>
      <w:r>
        <w:t xml:space="preserve">    </w:t>
      </w:r>
      <w:r>
        <w:rPr>
          <w:b/>
        </w:rPr>
        <w:t xml:space="preserve">Pub date: </w:t>
      </w:r>
      <w:r>
        <w:t>2026-05-18 16:26:13+00:00</w:t>
      </w:r>
      <w:r>
        <w:t xml:space="preserve">    </w:t>
      </w:r>
      <w:r>
        <w:rPr>
          <w:b/>
        </w:rPr>
        <w:t xml:space="preserve">DOI: </w:t>
      </w:r>
      <w:hyperlink r:id="rId496">
        <w:r>
          <w:rPr>
            <w:color w:val="1155CC"/>
            <w:u w:val="single"/>
          </w:rPr>
          <w:t>10.1021/jacs.6c04280</w:t>
        </w:r>
      </w:hyperlink>
    </w:p>
    <w:p>
      <w:pPr>
        <w:spacing w:before="0" w:after="120"/>
      </w:pPr>
      <w:r>
        <w:rPr>
          <w:b/>
        </w:rPr>
        <w:t xml:space="preserve">Notes: </w:t>
      </w:r>
      <w:r>
        <w:t>abstract_source=pubmed</w:t>
      </w:r>
    </w:p>
    <w:p>
      <w:pPr>
        <w:spacing w:before="0" w:after="80" w:lineRule="auto" w:line="276"/>
      </w:pPr>
      <w:r>
        <w:rPr>
          <w:b/>
        </w:rPr>
        <w:t xml:space="preserve">摘要（ZH）: </w:t>
      </w:r>
      <w:r>
        <w:t>DNA的受控组装拓展了其在材料科学中的应用。大多数基于DNA的结构依赖于沃森-克里克碱基配对和堆叠。识别额外的可编程相互作用可以拓宽设计空间。已知单链DNA (ssDNA) 以序列和手性依赖性螺旋的形式吸附在碳纳米管 (CNTs) 上，但关于纳米管晶格模板机制的直接结构证据有限。在这里，我们使用冷冻电子显微镜比较了ssDNA序列TTA TAT TAT ATT (ss65) 在对映异构(6,5) CNTs上的组装。在左手性(+) (6,5) CNT上，ss65形成堆叠的环状缠绕，轴向重复单元为15.3 Å，并具有微米级的相干长度。相比之下，在右手性(-) (6,5) CNT上，ss65采用传统的1起始螺旋缠绕，螺旋间距约为16.4 Å。这些结果表明，底层手性晶格的手性可以使ssDNA偏向于不同的拓扑结构（螺旋与环），并提出了一种除了碱基配对和堆叠之外，基于CNT晶格识别的DNA组装策略。</w:t>
      </w:r>
    </w:p>
    <w:p>
      <w:pPr>
        <w:spacing w:before="0" w:after="200" w:lineRule="auto" w:line="276"/>
      </w:pPr>
      <w:r>
        <w:rPr>
          <w:b/>
        </w:rPr>
        <w:t xml:space="preserve">Abstract (EN): </w:t>
      </w:r>
      <w:r>
        <w:t>Controlled assembly of DNA expands its utility in materials science. Most DNA-based architectures rely on Watson-Crick base pairing and stacking. Identifying additional programmable interactions could widen the design space. Single-stranded DNA (ssDNA) is known to adsorb on carbon nanotubes (CNTs) as sequence- and chirality-dependent helices, but direct structural evidence for a nanotube lattice-templating mechanism has been limited. Here we use cryo-electron microscopy to compare the assembly of the ssDNA sequence TTA TAT TAT ATT (ss65) on enantiomeric (6,5) CNTs. On the left-handed (+) (6,5) CNT, ss65 forms stacked, ring-like wraps with an axial repeat of 15.3 Å and with micrometer-scale coherence length. In contrast, on the right-handed (-) (6,5) CNT, ss65 adopts a conventional 1-start helical wrap with a helical pitch of ∼16.4 Å. These results indicate that the handedness of the underlying chiral lattice can bias ssDNA into distinct topologies (helix versus rings) and suggest a strategy for DNA assembly based on CNT lattice recognition, in addition to base pairing and stacking.</w:t>
      </w:r>
    </w:p>
    <w:p>
      <w:pPr>
        <w:spacing w:before="120" w:after="120"/>
      </w:pPr>
      <w:r>
        <w:rPr>
          <w:sz w:val="18"/>
        </w:rPr>
        <w:t>——————————————————————————————————————————————————————————————————————</w:t>
      </w:r>
    </w:p>
    <w:p>
      <w:pPr>
        <w:spacing w:before="160" w:after="40" w:line="240" w:lineRule="auto"/>
      </w:pPr>
      <w:r>
        <w:rPr>
          <w:b/>
        </w:rPr>
        <w:t xml:space="preserve">[147] </w:t>
      </w:r>
      <w:hyperlink r:id="rId497">
        <w:r>
          <w:rPr>
            <w:color w:val="1155CC"/>
            <w:u w:val="single"/>
          </w:rPr>
          <w:t>[ASAP] 高熵合金纳米晶：从合成到表征和催化应用</w:t>
        </w:r>
      </w:hyperlink>
    </w:p>
    <w:p>
      <w:pPr>
        <w:spacing w:before="0" w:after="80"/>
      </w:pPr>
      <w:r>
        <w:rPr>
          <w:i/>
          <w:sz w:val="20"/>
        </w:rPr>
        <w:t>EN: [ASAP] High-Entropy Alloy Nanocrystals: From Synthesis to Characterization and Catalytic Application</w:t>
      </w:r>
    </w:p>
    <w:p>
      <w:pPr>
        <w:spacing w:before="0" w:after="120"/>
      </w:pPr>
      <w:r>
        <w:rPr>
          <w:b/>
        </w:rPr>
        <w:t xml:space="preserve">Source: </w:t>
      </w:r>
      <w:r>
        <w:t>Chemical Reviews: Latest Articles (ACS Publications)</w:t>
      </w:r>
      <w:r>
        <w:t xml:space="preserve">    </w:t>
      </w:r>
      <w:r>
        <w:rPr>
          <w:b/>
        </w:rPr>
        <w:t xml:space="preserve">Pub date: </w:t>
      </w:r>
      <w:r>
        <w:t>2026-05-18 17:54:10+00:00</w:t>
      </w:r>
      <w:r>
        <w:t xml:space="preserve">    </w:t>
      </w:r>
      <w:r>
        <w:rPr>
          <w:b/>
        </w:rPr>
        <w:t xml:space="preserve">DOI: </w:t>
      </w:r>
      <w:hyperlink r:id="rId498">
        <w:r>
          <w:rPr>
            <w:color w:val="1155CC"/>
            <w:u w:val="single"/>
          </w:rPr>
          <w:t>10.1021/acs.chemrev.6c00030</w:t>
        </w:r>
      </w:hyperlink>
    </w:p>
    <w:p>
      <w:pPr>
        <w:spacing w:before="0" w:after="120"/>
      </w:pPr>
      <w:r>
        <w:rPr>
          <w:b/>
        </w:rPr>
        <w:t xml:space="preserve">Notes: </w:t>
      </w:r>
      <w:r>
        <w:t>abstract_source=pubmed</w:t>
      </w:r>
    </w:p>
    <w:p>
      <w:pPr>
        <w:spacing w:before="0" w:after="80" w:lineRule="auto" w:line="276"/>
      </w:pPr>
      <w:r>
        <w:rPr>
          <w:b/>
        </w:rPr>
        <w:t xml:space="preserve">摘要（ZH）: </w:t>
      </w:r>
      <w:r>
        <w:t>高熵合金 (HEA) 纳米晶体，以高熵、晶格畸变、迟滞扩散和“鸡尾酒”混合这四种核心效应为特征，代表了一类变革性的催化材料，它们将成分多样性与纳米级复杂性相结合。通过将五种或更多元素组合成单相固溶体，HEA纳米晶体提供了独特的机遇来定制局部原子环境、电子结构和催化性能。本综述全面概述了这些材料在合成、成分和结构控制以及催化应用方面的最新进展，重点关注实现均匀原子混合和明确定义的表面结构。我们首先介绍关键的合成方法，包括自上而下和自下而上的方法，并重点介绍湿化学合成，它能够精确调控还原、成核、生长和合金化动力学，以克服还原动力学、元素不混溶性和晶体学不相容性等挑战。接着，我们讨论了用于探测多组分固溶相、局部配位环境、元素间相互作用以及共同决定HEA纳米晶体催化行为的协同效应的先进表征技术和理论建模方法。我们进一步强调了这些基本特征如何在纳米尺度上表现出来，以提高电催化、热催化和光催化等多种催化反应的性能。最后，我们确定了15个关键方面，这些方面</w:t>
      </w:r>
    </w:p>
    <w:p>
      <w:pPr>
        <w:spacing w:before="0" w:after="200" w:lineRule="auto" w:line="276"/>
      </w:pPr>
      <w:r>
        <w:rPr>
          <w:b/>
        </w:rPr>
        <w:t xml:space="preserve">Abstract (EN): </w:t>
      </w:r>
      <w:r>
        <w:t>High-entropy alloy (HEA) nanocrystals, characterized by four core effects, including high entropy, lattice distortion, sluggish diffusion, and cocktail mixing, represent a transformative class of catalytic materials that combine compositional diversity with nanoscale complexity. By combining five or more elements into single-phase solid solutions, HEA nanocrystals offer unique opportunities to tailor local atomic environments, electronic structures, and catalytic properties. This Review offers a comprehensive overview of recent advances in the syntheses, compositional and structural controls, and catalytic applications of these materials, with a focus on achieving uniform atomic mixing and well-defined surface structures. We start with key synthetic methodologies, including both top-down and bottom-up approaches, and highlight wet-chemical synthesis that allows for precise regulation of reduction, nucleation, growth, and alloying dynamics to overcome challenges such as reduction kinetics, elemental immiscibility, and crystallographic incompatibility. We then discuss advanced characterization techniques and theoretical modeling approaches used to probe the multicomponent solid-solution phases, local coordination environments, interelement interactions, and synergistic effects that collectively govern the catalytic behaviors of HEA nanocrystals. We further highlight how these fundamental features manifest at the nanoscale to enhance performance across diverse catalytic reactions, including electro-, thermo-, and photocatalysis. Finally, we identify 15 critical aspects that provide a roadmap for the rational design of next-generation HEA catalysts for sustainable energy conversions and chemical transformations.</w:t>
      </w:r>
    </w:p>
    <w:p>
      <w:pPr>
        <w:spacing w:before="120" w:after="120"/>
      </w:pPr>
      <w:r>
        <w:rPr>
          <w:sz w:val="18"/>
        </w:rPr>
        <w:t>——————————————————————————————————————————————————————————————————————</w:t>
      </w:r>
    </w:p>
    <w:p>
      <w:pPr>
        <w:spacing w:before="160" w:after="40" w:line="240" w:lineRule="auto"/>
      </w:pPr>
      <w:r>
        <w:rPr>
          <w:b/>
        </w:rPr>
        <w:t xml:space="preserve">[148] </w:t>
      </w:r>
      <w:hyperlink r:id="rId499">
        <w:r>
          <w:rPr>
            <w:color w:val="1155CC"/>
            <w:u w:val="single"/>
          </w:rPr>
          <w:t>[ASAP] 通过铝锚定实现In/Ga化学计量锁定用于窄带宽红色AgInGaS QLED</w:t>
        </w:r>
      </w:hyperlink>
    </w:p>
    <w:p>
      <w:pPr>
        <w:spacing w:before="0" w:after="80"/>
      </w:pPr>
      <w:r>
        <w:rPr>
          <w:i/>
          <w:sz w:val="20"/>
        </w:rPr>
        <w:t>EN: [ASAP] In/Ga Stoichiometry Locking toward Narrow-Bandwidth Red AgInGaS QLEDs via Aluminum Anchoring</w:t>
      </w:r>
    </w:p>
    <w:p>
      <w:pPr>
        <w:spacing w:before="0" w:after="120"/>
      </w:pPr>
      <w:r>
        <w:rPr>
          <w:b/>
        </w:rPr>
        <w:t xml:space="preserve">Source: </w:t>
      </w:r>
      <w:r>
        <w:t>ACS Energy Letters: Latest Articles (ACS Publications)</w:t>
      </w:r>
      <w:r>
        <w:t xml:space="preserve">    </w:t>
      </w:r>
      <w:r>
        <w:rPr>
          <w:b/>
        </w:rPr>
        <w:t xml:space="preserve">Pub date: </w:t>
      </w:r>
      <w:r>
        <w:t>2026-05-18 19:07:22+00:00</w:t>
      </w:r>
      <w:r>
        <w:t xml:space="preserve">    </w:t>
      </w:r>
      <w:r>
        <w:rPr>
          <w:b/>
        </w:rPr>
        <w:t xml:space="preserve">DOI: </w:t>
      </w:r>
      <w:hyperlink r:id="rId500">
        <w:r>
          <w:rPr>
            <w:color w:val="1155CC"/>
            <w:u w:val="single"/>
          </w:rPr>
          <w:t>10.1021/acsenergylett.6c00782</w:t>
        </w:r>
      </w:hyperlink>
    </w:p>
    <w:p>
      <w:pPr>
        <w:spacing w:before="0" w:after="120"/>
      </w:pPr>
      <w:r>
        <w:rPr>
          <w:b/>
        </w:rPr>
        <w:t xml:space="preserve">Notes: </w:t>
      </w:r>
      <w:r>
        <w:t>abstract_source=openalex</w:t>
      </w:r>
    </w:p>
    <w:p>
      <w:pPr>
        <w:spacing w:before="0" w:after="80" w:lineRule="auto" w:line="276"/>
      </w:pPr>
      <w:r>
        <w:rPr>
          <w:b/>
        </w:rPr>
        <w:t xml:space="preserve">摘要（ZH）: </w:t>
      </w:r>
      <w:r>
        <w:t>Ag–In–Ga–S (AIGS) 量子点 (QDs) 因其可调谐发射和环保组分而成为光电子学领域有前景的候选材料。然而，获得 630–650 nm 的窄带宽红色发射仍然具有挑战性，主要原因是合成过程中界面阳离子扩散导致难以实现高 In/Ga 化学计量比。在此，我们开发了一种 Al3+锚定策略，以锁定 In3+ 并提高 In/Ga 化学计量比。第一性原理计算证实，In 空位优先生成，从而降低了有效 In/Ga 比。XPS 深度剖析和 EDS 证实，Al 的掺入有效抑制了 In 空位并阻碍了阳离子相互扩散。因此，光致发光从 597 nm 红移至 635 nm，同时 fwhm 未变宽，PLQY 提高了 20%。Al 锚定的 QLED 实现了约 500 cd m–2 的亮度、36 nm 的窄 fwhm 和 2.4% 的峰值 EQE，为无镉纯红光发射体调节阳离子化学计量和抑制缺陷态提供了一条有效途径。</w:t>
      </w:r>
    </w:p>
    <w:p>
      <w:pPr>
        <w:spacing w:before="0" w:after="200" w:lineRule="auto" w:line="276"/>
      </w:pPr>
      <w:r>
        <w:rPr>
          <w:b/>
        </w:rPr>
        <w:t xml:space="preserve">Abstract (EN): </w:t>
      </w:r>
      <w:r>
        <w:t>Ag–In–Ga–S (AIGS) quantum dots (QDs) are promising candidates for optoelectronics due to their tunable emission and eco-friendly components. However, obtaining narrow-bandwidth red emission at 630–650 nm remains challenging, mainly due to the difficulty in achieving a high In/Ga stoichiometric ratio caused by interface cation diffusion during synthesis. Herein, we develop an Al3+-anchoring strategy to lock In3+ and promotes In/Ga stoichiometric ratio. First-principles calculations confirm that In vacancies are preferentially generated, lowering the effective In/Ga ratio. Al incorporation effectively suppresses In vacancies and blocks cation interdiffusion, as evidenced by XPS depth-profiling and EDS. Consequently, the photoluminescence red-shifts from 597 to 635 nm without broadening the fwhm, with a 20% increase in PLQY. Al-anchored QLEDs achieve a luminance of ∼500 cd m–2, a narrow fwhm of 36 nm, and a peak EQE of 2.4%, offering an effective route to regulate cation stoichiometry and suppress defect states for cadmium-free pure-red emitters.</w:t>
      </w:r>
    </w:p>
    <w:p>
      <w:pPr>
        <w:spacing w:before="120" w:after="120"/>
      </w:pPr>
      <w:r>
        <w:rPr>
          <w:sz w:val="18"/>
        </w:rPr>
        <w:t>——————————————————————————————————————————————————————————————————————</w:t>
      </w:r>
    </w:p>
    <w:p>
      <w:pPr>
        <w:spacing w:before="160" w:after="40" w:line="240" w:lineRule="auto"/>
      </w:pPr>
      <w:r>
        <w:rPr>
          <w:b/>
        </w:rPr>
        <w:t xml:space="preserve">[149] </w:t>
      </w:r>
      <w:hyperlink r:id="rId501">
        <w:r>
          <w:rPr>
            <w:color w:val="1155CC"/>
            <w:u w:val="single"/>
          </w:rPr>
          <w:t>[ASAP] 具有本征自旋极化的手性螺旋金属有机框架实现对映选择性电聚合</w:t>
        </w:r>
      </w:hyperlink>
    </w:p>
    <w:p>
      <w:pPr>
        <w:spacing w:before="0" w:after="80"/>
      </w:pPr>
      <w:r>
        <w:rPr>
          <w:i/>
          <w:sz w:val="20"/>
        </w:rPr>
        <w:t>EN: [ASAP] Chiral Helical Metal–Organic Frameworks with Intrinsic Spin Polarization Enable Enantioselective Electropolymerization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2026-05-18 19:33:32+00:00</w:t>
      </w:r>
      <w:r>
        <w:t xml:space="preserve">    </w:t>
      </w:r>
      <w:r>
        <w:rPr>
          <w:b/>
        </w:rPr>
        <w:t xml:space="preserve">DOI: </w:t>
      </w:r>
      <w:hyperlink r:id="rId502">
        <w:r>
          <w:rPr>
            <w:color w:val="1155CC"/>
            <w:u w:val="single"/>
          </w:rPr>
          <w:t>10.1021/jacs.6c02817</w:t>
        </w:r>
      </w:hyperlink>
    </w:p>
    <w:p>
      <w:pPr>
        <w:spacing w:before="0" w:after="120"/>
      </w:pPr>
      <w:r>
        <w:rPr>
          <w:b/>
        </w:rPr>
        <w:t xml:space="preserve">Notes: </w:t>
      </w:r>
      <w:r>
        <w:t>abstract_source=pubmed</w:t>
      </w:r>
    </w:p>
    <w:p>
      <w:pPr>
        <w:spacing w:before="0" w:after="80" w:lineRule="auto" w:line="276"/>
      </w:pPr>
      <w:r>
        <w:rPr>
          <w:b/>
        </w:rPr>
        <w:t xml:space="preserve">摘要（ZH）: </w:t>
      </w:r>
      <w:r>
        <w:t>手性诱导自旋选择性 (CISS) 效应提供了一种非磁性途径来产生自旋极化电荷传输，然而，将自旋选择性转化为晶体材料内部的固有化学不对称性仍然是一个基本挑战。在此，我们报道了一对由同手性联吡啶配体和三核金属簇组装而成的、手性螺旋状的 Fe 基和 Cr 基金属有机框架 (MOFs) 对映体，它们作为本征自旋极化平台，用于对映选择性电聚合。单晶 X 射线衍射 (SC-XRD) 揭示了具有连续一维传输通道的长程螺旋结构。磁导电原子力显微镜 (mc-AFM) 证明了显著的 CISS 行为，Fe-MOFs 的自旋极化率高达 90%，其 Cr 类似物约为 74%，这反映了金属依赖的自旋轨道耦合 (SOC) 效应。当在非磁性电极上制备成薄膜时，Fe-MOFs 在没有外部磁场的情况下本征地产生自旋极化电流，并控制电聚合的立体化学结果，从而能够从非手性单体对映选择性地生长聚噻吩衍生物。相比之下，同构 Cr-MOFs 表现出较弱的自旋极化，并在聚合过程中诱导了降低的手性响应。值得注意的是，这项工作首次展示了源自手性材料的 CISS 驱动不对称电聚合，并确定手性 MOFs 是将 CISS 转化为对映选择性化学过程的通用平台。</w:t>
      </w:r>
    </w:p>
    <w:p>
      <w:pPr>
        <w:spacing w:before="0" w:after="200" w:lineRule="auto" w:line="276"/>
      </w:pPr>
      <w:r>
        <w:rPr>
          <w:b/>
        </w:rPr>
        <w:t xml:space="preserve">Abstract (EN): </w:t>
      </w:r>
      <w:r>
        <w:t>The chirality-induced spin selectivity (CISS) effect provides a nonmagnetic route to generate spin-polarized charge transport, yet converting spin selectivity into intrinsic chemical asymmetry within crystalline materials remains a fundamental challenge. Here, we report an enantiomeric pair of chiral helical Fe- and Cr-based metal-organic frameworks (MOFs) assembled from homochiral bipyridine ligands and trinuclear metal clusters, which function as intrinsically spin-polarizing platforms for enantioselective electropolymerization. Single-crystal X-ray diffraction (SC-XRD) reveals long-range helical architectures featuring continuous one-dimensional transport channels. Magnetic conductive atomic force microscopy (mc-AFM) demonstrates pronounced CISS behavior, with spin polarization ratios reaching up to 90% for the Fe-MOFs and ∼74% for their Cr analogues, reflecting metal-dependent spin-orbit coupling (SOC) effects. When processed as thin films on nonmagnetic electrodes, the Fe-MOFs intrinsically generate spin-polarized currents without external magnetic fields and govern the stereochemical outcome of electropolymerization, enabling the enantioselective growth of polythiophene derivatives from achiral monomers. In contrast, the isostructural Cr-MOFs exhibit weaker spin polarization and induce reduced chiral responses during polymerization. Notably, this work represents the first demonstration of CISS-driven asymmetric electropolymerization originating from chiral materials and identifies chiral MOFs as a versatile platform for translating CISS into enantioselective chemical synthesis.</w:t>
      </w:r>
    </w:p>
    <w:p>
      <w:pPr>
        <w:spacing w:before="120" w:after="120"/>
      </w:pPr>
      <w:r>
        <w:rPr>
          <w:sz w:val="18"/>
        </w:rPr>
        <w:t>——————————————————————————————————————————————————————————————————————</w:t>
      </w:r>
    </w:p>
    <w:p>
      <w:pPr>
        <w:spacing w:before="160" w:after="40" w:line="240" w:lineRule="auto"/>
      </w:pPr>
      <w:r>
        <w:rPr>
          <w:b/>
        </w:rPr>
        <w:t xml:space="preserve">[150] </w:t>
      </w:r>
      <w:hyperlink r:id="rId503">
        <w:r>
          <w:rPr>
            <w:color w:val="1155CC"/>
            <w:u w:val="single"/>
          </w:rPr>
          <w:t>[ASAP] 斯坦豪斯两性离子光开关作为氢键受体</w:t>
        </w:r>
      </w:hyperlink>
    </w:p>
    <w:p>
      <w:pPr>
        <w:spacing w:before="0" w:after="80"/>
      </w:pPr>
      <w:r>
        <w:rPr>
          <w:i/>
          <w:sz w:val="20"/>
        </w:rPr>
        <w:t>EN: [ASAP] Stenhouse Zwitterion Photoswitches as Hydrogen-Bond Acceptors</w:t>
      </w:r>
    </w:p>
    <w:p>
      <w:pPr>
        <w:spacing w:before="0" w:after="120"/>
      </w:pPr>
      <w:r>
        <w:rPr>
          <w:b/>
        </w:rPr>
        <w:t xml:space="preserve">Source: </w:t>
      </w:r>
      <w:r>
        <w:t>Journal of the American Chemical Society: Latest Articles (ACS Publications)</w:t>
      </w:r>
      <w:r>
        <w:t xml:space="preserve">    </w:t>
      </w:r>
      <w:r>
        <w:rPr>
          <w:b/>
        </w:rPr>
        <w:t xml:space="preserve">Pub date: </w:t>
      </w:r>
      <w:r>
        <w:t>2026-05-18 19:56:37+00:00</w:t>
      </w:r>
      <w:r>
        <w:t xml:space="preserve">    </w:t>
      </w:r>
      <w:r>
        <w:rPr>
          <w:b/>
        </w:rPr>
        <w:t xml:space="preserve">DOI: </w:t>
      </w:r>
      <w:hyperlink r:id="rId504">
        <w:r>
          <w:rPr>
            <w:color w:val="1155CC"/>
            <w:u w:val="single"/>
          </w:rPr>
          <w:t>10.1021/jacs.6c03702</w:t>
        </w:r>
      </w:hyperlink>
    </w:p>
    <w:p>
      <w:pPr>
        <w:spacing w:before="0" w:after="120"/>
      </w:pPr>
      <w:r>
        <w:rPr>
          <w:b/>
        </w:rPr>
        <w:t xml:space="preserve">Notes: </w:t>
      </w:r>
      <w:r>
        <w:t>abstract_source=pubmed</w:t>
      </w:r>
    </w:p>
    <w:p>
      <w:pPr>
        <w:spacing w:before="0" w:after="80" w:lineRule="auto" w:line="276"/>
      </w:pPr>
      <w:r>
        <w:rPr>
          <w:b/>
        </w:rPr>
        <w:t xml:space="preserve">摘要（ZH）: </w:t>
      </w:r>
      <w:r>
        <w:t>形成或破坏氢键对是实现选择性化学转化和功能的强大策略。在此，我们介绍了一类可分离的磺酰胺-亚胺 Stenhouse 两性离子，它们是一类具有氢键受体能力的开关。与之前需要 C2 杂原子质子化才能稳定开环形式的 Stenhouse 光开关不同，当 Stenhouse 两性离子与足够吸电子的磺酰基构建时，它们以 C2 磺酰胺阴离子的开环形式存在。磺酰胺将传统的 C2 氢键供体功能转化为氢键受体，从而实现了超越酸致变色的氢键相互作用。磺酰基的电子变化也可以用来改变辐射和非辐射异构体分布。Stenhouse 两性离子、氢键结合两性离子和 Stenhouse 盐的结构和行为模式通过 X 射线晶体学、NMR 和 UV-vis 对照实验进行区分。发色团氢键受体在可见光照射下以高达 96% 的效率异构化为无色环状加合物，当处于氢键结合形式时，氢键相互作用被破坏。三烯电子结构、非辐射平衡、光开关效率和氢键能力之间的直接相关性证明了该平台的可调谐性。</w:t>
      </w:r>
    </w:p>
    <w:p>
      <w:pPr>
        <w:spacing w:before="0" w:after="200" w:lineRule="auto" w:line="276"/>
      </w:pPr>
      <w:r>
        <w:rPr>
          <w:b/>
        </w:rPr>
        <w:t xml:space="preserve">Abstract (EN): </w:t>
      </w:r>
      <w:r>
        <w:t>Forming or disrupting hydrogen-bond pairs is a powerful strategy used to achieve selective chemical transformations and functions. Here, we introduce isolable sulfonamidate-iminium Stenhouse zwitterions, a class of photoswitches featuring hydrogen-bond-accepting capabilities. Unlike prior Stenhouse photoswitches necessitating C2 heteroatomic protonation for open-form stabilization, Stenhouse zwitterions remain in their open form with a C2 sulfonamidate anion when constructed with a sufficiently electron-withdrawing sulfonyl group. The sulfonamidate inverts the traditional C2 hydrogen-bond donor functionality into a hydrogen-bond acceptor, enabling hydrogen-bonding interactions that extend beyond acidochromism. Electronic changes in the sulfonyl group can also be leveraged to alter irradiative and nonirradiative isomeric distributions. Stenhouse zwitterion, hydrogen-bound zwitterion, and Stenhouse salt structural and behavioral patterns are differentiated by X-ray crystallography, NMR, and UV-vis control experiments. The chromophoric hydrogen-bond acceptor isomerizes to a colorless cyclic adduct with up to 96% efficiency upon visible light irradiation, with disruption of the hydrogen-bond interaction when in the hydrogen-bound form. A direct correlation between the triene electronic structure, nonirradiative equilibrium, photoswitching efficiency, and hydrogen-bonding capacity demonstrates the tunability of this platform.</w:t>
      </w:r>
    </w:p>
    <w:p>
      <w:pPr>
        <w:spacing w:before="120" w:after="120"/>
      </w:pPr>
      <w:r>
        <w:rPr>
          <w:sz w:val="18"/>
        </w:rPr>
        <w:t>——————————————————————————————————————————————————————————————————————</w:t>
      </w:r>
    </w:p>
    <w:p>
      <w:pPr>
        <w:spacing w:before="160" w:after="40" w:line="240" w:lineRule="auto"/>
      </w:pPr>
      <w:r>
        <w:rPr>
          <w:b/>
        </w:rPr>
        <w:t xml:space="preserve">[151] </w:t>
      </w:r>
      <w:hyperlink r:id="rId505">
        <w:r>
          <w:rPr>
            <w:color w:val="1155CC"/>
            <w:u w:val="single"/>
          </w:rPr>
          <w:t>基于物理和数据驱动方法的反应结果预测综述</w:t>
        </w:r>
      </w:hyperlink>
    </w:p>
    <w:p>
      <w:pPr>
        <w:spacing w:before="0" w:after="80"/>
      </w:pPr>
      <w:r>
        <w:rPr>
          <w:i/>
          <w:sz w:val="20"/>
        </w:rPr>
        <w:t>EN: An overview of reaction outcome prediction with physics-based and data-driven methods</w:t>
      </w:r>
    </w:p>
    <w:p>
      <w:pPr>
        <w:spacing w:before="0" w:after="120"/>
      </w:pPr>
      <w:r>
        <w:rPr>
          <w:b/>
        </w:rPr>
        <w:t xml:space="preserve">Source: </w:t>
      </w:r>
      <w:r>
        <w:t>RSC - Chem. Soc. Rev. latest articles</w:t>
      </w:r>
      <w:r>
        <w:t xml:space="preserve">    </w:t>
      </w:r>
      <w:r>
        <w:rPr>
          <w:b/>
        </w:rPr>
        <w:t xml:space="preserve">Pub date: </w:t>
      </w:r>
      <w:r>
        <w:t>2026-05-18 23:00:00+00:00</w:t>
      </w:r>
    </w:p>
    <w:p>
      <w:pPr>
        <w:spacing w:before="0" w:after="120"/>
      </w:pPr>
      <w:r>
        <w:rPr>
          <w:b/>
        </w:rPr>
        <w:t xml:space="preserve">Notes: </w:t>
      </w:r>
      <w:r>
        <w:t>abstract_source=rsc_html</w:t>
      </w:r>
    </w:p>
    <w:p>
      <w:pPr>
        <w:spacing w:before="0" w:after="80" w:lineRule="auto" w:line="276"/>
      </w:pPr>
      <w:r>
        <w:rPr>
          <w:b/>
        </w:rPr>
        <w:t xml:space="preserve">摘要（ZH）: </w:t>
      </w:r>
      <w:r>
        <w:t>反应结果的预测是化学领域一个长期存在的挑战，而预测能力直接反映了我们对化学反应性的理解。准确预测反应产物对于合成规划以及在计算机上设计反应路径和实验都至关重要。本综述探讨了用于预测反应结果的各种方法，这些方法大致可分为两大类。一些方法一步完成反应产物及其可能性的预测，而另一些方法则将任务分解为两个不同的部分：候选枚举和随后的产物可能性预测。我们考察了数据驱动方法，例如基于图和序列生成模型，以及基于物理的方法，包括势能面探索和反应分子动力学。此外，我们讨论了反应选择性、区域选择性、立体选择性和产率的定量预测。本综述总结了反应结果预测的趋势和进展，并简要概述了该领域的未来发展方向。</w:t>
      </w:r>
    </w:p>
    <w:p>
      <w:pPr>
        <w:spacing w:before="0" w:after="200" w:lineRule="auto" w:line="276"/>
      </w:pPr>
      <w:r>
        <w:rPr>
          <w:b/>
        </w:rPr>
        <w:t xml:space="preserve">Abstract (EN): </w:t>
      </w:r>
      <w:r>
        <w:t>The prediction of reaction outcomes is a longstanding challenge in chemistry, with the ability to do so serving as a direct reflection of our understanding of chemical reactivity. Accurately predicting reaction products is crucial not only for synthetic planning but also for designing reaction pathways and experiments in silico. This review explores the diverse methodologies used to predict reaction outcomes, which can be broadly divided into two main categories. Some approaches predict reaction products and their likelihoods in a single step, while others break the task into two distinct parts: candidate enumeration and the subsequent prediction of product likelihoods. We examine both data-driven methods, such as graph-based and sequence-generation models, and physics-based methods, including potential energy surface exploration and reactive molecular dynamics. In addition, we discuss quantitative predictions of reaction selectivity, regioselectivity, stereoselectivity, and yield. This review summarizes trends and advances in reaction outcome prediction and briefly outlines future directions for the field.</w:t>
      </w:r>
    </w:p>
    <w:p>
      <w:pPr>
        <w:spacing w:before="120" w:after="120"/>
      </w:pPr>
      <w:r>
        <w:rPr>
          <w:sz w:val="18"/>
        </w:rPr>
        <w:t>——————————————————————————————————————————————————————————————————————</w:t>
      </w:r>
    </w:p>
    <w:p>
      <w:pPr>
        <w:spacing w:before="160" w:after="40" w:line="240" w:lineRule="auto"/>
      </w:pPr>
      <w:r>
        <w:rPr>
          <w:b/>
        </w:rPr>
        <w:t xml:space="preserve">[152] </w:t>
      </w:r>
      <w:hyperlink r:id="rId506">
        <w:r>
          <w:rPr>
            <w:color w:val="1155CC"/>
            <w:u w:val="single"/>
          </w:rPr>
          <w:t>强激子耦合：计算相互作用能、波函数和光谱的实用工具箱</w:t>
        </w:r>
      </w:hyperlink>
    </w:p>
    <w:p>
      <w:pPr>
        <w:spacing w:before="0" w:after="80"/>
      </w:pPr>
      <w:r>
        <w:rPr>
          <w:i/>
          <w:sz w:val="20"/>
        </w:rPr>
        <w:t>EN: Strong exciton coupling: a practical toolbox for computing interaction energies, wavefunctions, and optical spectra</w:t>
      </w:r>
    </w:p>
    <w:p>
      <w:pPr>
        <w:spacing w:before="0" w:after="120"/>
      </w:pPr>
      <w:r>
        <w:rPr>
          <w:b/>
        </w:rPr>
        <w:t xml:space="preserve">Source: </w:t>
      </w:r>
      <w:r>
        <w:t>RSC - Chem. Soc. Rev. latest articles</w:t>
      </w:r>
      <w:r>
        <w:t xml:space="preserve">    </w:t>
      </w:r>
      <w:r>
        <w:rPr>
          <w:b/>
        </w:rPr>
        <w:t xml:space="preserve">Pub date: </w:t>
      </w:r>
      <w:r>
        <w:t>2026-05-18 23:00:00+00:00</w:t>
      </w:r>
    </w:p>
    <w:p>
      <w:pPr>
        <w:spacing w:before="0" w:after="120"/>
      </w:pPr>
      <w:r>
        <w:rPr>
          <w:b/>
        </w:rPr>
        <w:t xml:space="preserve">Notes: </w:t>
      </w:r>
      <w:r>
        <w:t>abstract_source=rsc_html</w:t>
      </w:r>
    </w:p>
    <w:p>
      <w:pPr>
        <w:spacing w:before="0" w:after="80" w:lineRule="auto" w:line="276"/>
      </w:pPr>
      <w:r>
        <w:rPr>
          <w:b/>
        </w:rPr>
        <w:t xml:space="preserve">摘要（ZH）: </w:t>
      </w:r>
      <w:r>
        <w:t>有机染料的感知颜色和光物理性质不仅取决于其化学结构，还取决于它们的堆积方式。当两个染料彼此靠近时，与其分子态相关的跃迁偶极矩开始相互作用。如果这种相互作用足够强，它可能导致激发态的杂化，形成具有改变的光物理性质的新杂化态。这种现象，正式称为强激子耦合，通常与J-聚集体和H-聚集体这两个术语相关联。这种例子在自然界中比比皆是，但在技术领域则不那么常见，尽管随着理解和方法的不断发展，其数量可能会增加。代表性例子包括蓝细菌中的捕光复合物，它们含有强耦合的细菌叶绿素单元，以及树叶的秋季颜色，这是类胡萝卜素堆积的结果。在本综述中，首先简要回顾了历史，然后深入讨论了用于模拟杂化态性质的各种理论层次，从库仑激子模型到包含振动耦合和电荷转移相互作用的扩展模型。提供了实例作为教程，以将理论框架与实验可观测值联系起来。最后，对强激子耦合可能产生科学和技术影响的方向进行了个人思考。</w:t>
      </w:r>
    </w:p>
    <w:p>
      <w:pPr>
        <w:spacing w:before="0" w:after="200" w:lineRule="auto" w:line="276"/>
      </w:pPr>
      <w:r>
        <w:rPr>
          <w:b/>
        </w:rPr>
        <w:t xml:space="preserve">Abstract (EN): </w:t>
      </w:r>
      <w:r>
        <w:t>The perceived colour and photophysical properties of organic dyes depend not only on their chemical structure, but also how they pack together. When two dyes approach one another, the transition dipole moments associated with their molecular states begin to interact. If this interaction is sufficiently strong, it can lead to hybridization of the excited states, forming new hybrid states with altered photophysical properties. This phenomenon, formally denoted strong exciton coupling, is commonly associated with the terms J- and H-aggregates. Examples are abundant in nature, but less common in technology, though their number may increase as understanding and methods become more developed. Representative examples include light-harvesting complexes in cyanobacteria, which contain strongly coupled bacteriochlorophyll units, and the autumn colours of leaves, which are a function of the packing of carotenoids. In this review, a brief historical outlook is given, followed by a more in-depth discussion of various levels of theories used to model the properties of the hybrid states, ranging from Coulombic exciton models to extensions that incorporate vibronic coupling and charge-transfer interactions. Worked examples are included as tutorials to connect the theoretical frameworks to experimental observables. Finally, a personal reflection on directions where strong exciton coupling can have scientific and technological impact is given.</w:t>
      </w:r>
    </w:p>
    <w:p>
      <w:pPr>
        <w:spacing w:before="120" w:after="120"/>
      </w:pPr>
      <w:r>
        <w:rPr>
          <w:sz w:val="18"/>
        </w:rPr>
        <w:t>——————————————————————————————————————————————————————————————————————</w:t>
      </w:r>
    </w:p>
    <w:p>
      <w:pPr>
        <w:spacing w:before="160" w:after="40" w:line="240" w:lineRule="auto"/>
      </w:pPr>
      <w:r>
        <w:rPr>
          <w:b/>
        </w:rPr>
        <w:t xml:space="preserve">[153] </w:t>
      </w:r>
      <w:hyperlink r:id="rId507">
        <w:r>
          <w:rPr>
            <w:color w:val="1155CC"/>
            <w:u w:val="single"/>
          </w:rPr>
          <w:t>智能催化：通过响应式反馈实现按需动态自优化</w:t>
        </w:r>
      </w:hyperlink>
    </w:p>
    <w:p>
      <w:pPr>
        <w:spacing w:before="0" w:after="80"/>
      </w:pPr>
      <w:r>
        <w:rPr>
          <w:i/>
          <w:sz w:val="20"/>
        </w:rPr>
        <w:t>EN: Intelligent catalysis: on-demand dynamic self-optimization via responsive feedback</w:t>
      </w:r>
    </w:p>
    <w:p>
      <w:pPr>
        <w:spacing w:before="0" w:after="120"/>
      </w:pPr>
      <w:r>
        <w:rPr>
          <w:b/>
        </w:rPr>
        <w:t xml:space="preserve">Source: </w:t>
      </w:r>
      <w:r>
        <w:t>RSC - Chem. Soc. Rev. latest articles</w:t>
      </w:r>
      <w:r>
        <w:t xml:space="preserve">    </w:t>
      </w:r>
      <w:r>
        <w:rPr>
          <w:b/>
        </w:rPr>
        <w:t xml:space="preserve">Pub date: </w:t>
      </w:r>
      <w:r>
        <w:t>2026-05-18 23:00:00+00:00</w:t>
      </w:r>
    </w:p>
    <w:p>
      <w:pPr>
        <w:spacing w:before="0" w:after="120"/>
      </w:pPr>
      <w:r>
        <w:rPr>
          <w:b/>
        </w:rPr>
        <w:t xml:space="preserve">Notes: </w:t>
      </w:r>
      <w:r>
        <w:t>abstract_source=rsc_html</w:t>
      </w:r>
    </w:p>
    <w:p>
      <w:pPr>
        <w:spacing w:before="0" w:after="80" w:lineRule="auto" w:line="276"/>
      </w:pPr>
      <w:r>
        <w:rPr>
          <w:b/>
        </w:rPr>
        <w:t xml:space="preserve">摘要（ZH）: </w:t>
      </w:r>
      <w:r>
        <w:t>催化已成为实现全面可持续社会发展的关键支柱。然而，由于复杂多变的外部环境刺激以及不断演变的内部结构，当前的催化方法持续面临中毒、活性位点浸出、无序化、路径偏差和局部失效等严重问题，导致活性、选择性和稳定性下降。特别是，传统催化体系受其固有的结构刚性和静态操作窗口的限制，在极端变化的反应条件和当前需求下难以维持高效率和长期耐久性。因此，智能催化体系和催化剂的精确设计对于当前的催化领域是必然的。智能催化剂通过在催化剂结构和催化体系内整合自主感知和快速反馈响应，实现动态自优化性能，从而在各种操作场景中实现按需、特定应用的功能。具体而言，智能催化能够实时主动感知物理化学环境、反应条件和实际需求的持续变化，从而执行原位响应的、内置的催化相关反馈过程，包括自适应动态重构、信号传输、自再生和反应路径调节，最终实现自主增强和多样化的结构-功能特性。因此，本综述系统地建立了</w:t>
      </w:r>
    </w:p>
    <w:p>
      <w:pPr>
        <w:spacing w:before="0" w:after="200" w:lineRule="auto" w:line="276"/>
      </w:pPr>
      <w:r>
        <w:rPr>
          <w:b/>
        </w:rPr>
        <w:t xml:space="preserve">Abstract (EN): </w:t>
      </w:r>
      <w:r>
        <w:t>Catalysis has become a critical pillar for realizing comprehensive and sustainable social development. However, due to the complex and ever-changing external environmental stimuli along with the continuously evolving internal structures, the current catalytic approach consistently confronts serious issues such as poisoning, active-site leaching, disorganization, pathway deviation and local failure, leading to reduced activity, selectivity and stability. Especially, conventional catalytic systems, constrained by their inherent structural rigidity and static operational window, struggle to sustain high efficiency and long-term durability under the extremely varying reaction conditions and current demands. Therefore, the precise design of intelligent catalytic systems and catalysts is inevitable for current catalysis. Intelligent catalysts possess dynamic self-optimized performance by integrating autonomous perception and rapid feedback responses within the catalyst structure and catalytic system, enabling on-demand, application-specific functionality across diverse operational scenarios. Specifically, intelligent catalysis can actively sense continuous changes in physicochemical environments, reaction conditions and practical requirements in real time, thereby performing in situ responsive, built-in catalytic-related feedback processes, including adaptive dynamic reconfiguration, signal transmission, self-regeneration and reaction pathway modulation, resulting in autonomously enhanced and diversified structure-function properties. Thus, this review systematically establishes the concept of intelligent catalysis, proposes the current intelligent catalysis classification of various self-optimized intelligent effects and outlines future truly intelligent systems with multimodal synergy. The intelligent catalytic mechanisms, design strategies and applications of intelligent catalysts, as well as challenges and countermeasures, are highlighted. We envision that this review can guide the design of next-generation catalysts and facilitate broader intelligent multi-scenario applications.</w:t>
      </w:r>
    </w:p>
    <w:p>
      <w:pPr>
        <w:spacing w:before="120" w:after="120"/>
      </w:pPr>
      <w:r>
        <w:rPr>
          <w:sz w:val="18"/>
        </w:rPr>
        <w:t>——————————————————————————————————————————————————————————————————————</w:t>
      </w:r>
    </w:p>
    <w:p>
      <w:pPr>
        <w:spacing w:before="160" w:after="40" w:line="240" w:lineRule="auto"/>
      </w:pPr>
      <w:r>
        <w:rPr>
          <w:b/>
        </w:rPr>
        <w:t xml:space="preserve">[154] </w:t>
      </w:r>
      <w:hyperlink r:id="rId508">
        <w:r>
          <w:rPr>
            <w:color w:val="1155CC"/>
            <w:u w:val="single"/>
          </w:rPr>
          <w:t>用于超低延迟深度神经网络推理的片上大规模全光互连</w:t>
        </w:r>
      </w:hyperlink>
    </w:p>
    <w:p>
      <w:pPr>
        <w:spacing w:before="0" w:after="80"/>
      </w:pPr>
      <w:r>
        <w:rPr>
          <w:i/>
          <w:sz w:val="20"/>
        </w:rPr>
        <w:t>EN: On-chip large-scale all-optical interconnect for ultra-low-latency deep neural network inference</w:t>
      </w:r>
    </w:p>
    <w:p>
      <w:pPr>
        <w:spacing w:before="0" w:after="120"/>
      </w:pPr>
      <w:r>
        <w:rPr>
          <w:b/>
        </w:rPr>
        <w:t xml:space="preserve">Source: </w:t>
      </w:r>
      <w:r>
        <w:t>National Science Review Advance Access</w:t>
      </w:r>
      <w:r>
        <w:t xml:space="preserve">    </w:t>
      </w:r>
      <w:r>
        <w:rPr>
          <w:b/>
        </w:rPr>
        <w:t xml:space="preserve">Pub date: </w:t>
      </w:r>
      <w:r>
        <w:t>2026-05-19 00:00:00+00:00</w:t>
      </w:r>
      <w:r>
        <w:t xml:space="preserve">    </w:t>
      </w:r>
      <w:r>
        <w:rPr>
          <w:b/>
        </w:rPr>
        <w:t xml:space="preserve">DOI: </w:t>
      </w:r>
      <w:hyperlink r:id="rId509">
        <w:r>
          <w:rPr>
            <w:color w:val="1155CC"/>
            <w:u w:val="single"/>
          </w:rPr>
          <w:t>10.1093/nsr/nwag282</w:t>
        </w:r>
      </w:hyperlink>
    </w:p>
    <w:p>
      <w:pPr>
        <w:spacing w:before="0" w:after="120"/>
      </w:pPr>
      <w:r>
        <w:rPr>
          <w:b/>
        </w:rPr>
        <w:t xml:space="preserve">Notes: </w:t>
      </w:r>
      <w:r>
        <w:t>abstract_source=rss_oup</w:t>
      </w:r>
    </w:p>
    <w:p>
      <w:pPr>
        <w:spacing w:before="0" w:after="80" w:lineRule="auto" w:line="276"/>
      </w:pPr>
      <w:r>
        <w:rPr>
          <w:b/>
        </w:rPr>
        <w:t xml:space="preserve">摘要（ZH）: </w:t>
      </w:r>
      <w:r>
        <w:t>随着人工智能 (AI) 模型持续快速扩展并加速演进，计算资源无法无限扩展，扩展定律的可持续性面临挑战。一个更有前景的策略是利用高性能互连，将多个中等容量的计算芯片组合成一个高效率系统，从而实现与大得多且资源密集型系统相当的能力。然而，目前仍缺乏一种有效的片上通信和网络，能够提供高带宽、低延迟和大尺度并行性以加速分布式计算。在此，我们通过提出一种基于片上全光互连的混合光电分布式计算系统来应对这一挑战，该系统实现了比单个图形处理单元 (GPU) 低两个数量级的推理延迟，同时仅使用了其九分之一的计算资源。400 吉比特每秒 (Gbps) 的硅光收发器芯片可以为处理芯片提供高速无差错的光输入/输出 (I/O)，而超低损耗 (在 1300 nm 处 ≤ 5 dB)、无阻塞的 16×16 光开关芯片可以进一步扩展全光网络，实现大规模灵活互连。作为验证，我们配置该系统以实现光学流水线并行 (OPP)，并执行一个五层卷积神经网络 (CNN) 去噪模型，该模型在仅 105.16 µs 内处理了总计 1,000 张图像，每张 32,768 比特。这些结果有力地阐明了通向未来高效计算的变革性途径。</w:t>
      </w:r>
    </w:p>
    <w:p>
      <w:pPr>
        <w:spacing w:before="0" w:after="200" w:lineRule="auto" w:line="276"/>
      </w:pPr>
      <w:r>
        <w:rPr>
          <w:b/>
        </w:rPr>
        <w:t xml:space="preserve">Abstract (EN): </w:t>
      </w:r>
      <w:r>
        <w:t>As artificial intelligence (AI) models continue to expand rapidly and evolve at an accelerating pace, the sustainability of scaling law faces challenges as computational resources cannot expand indefinitely. A more promising strategy is to use high-performance interconnections to compose multiple modest-capacity computing chips into a high-efficiency system, enabling comparable capability to that of much larger resource-intensive systems. However, an effective on-chip communication and network that provides high bandwidth, low latency, and large-scale parallelism to accelerate distributed computation is still lacking. Here, we address this challenge by proposing an on-chip, all-optical-interconnect-based hybrid optoelectronic distributed computing system, achieving two orders of magnitude lower inference latency than a single graphics processing unit (GPU) while using only one-ninth of its computational resources. The 400-gigabits per second (Gbps) silicon photonic transceiver chips can provide high-speed and error-free optical input/output (I/O) for processing chips, and an ultra-low-loss (≤ 5 dB at 1300 nm), non-blocking 16×16 optical switch chip can further scale out the all-optical network for massive and flexible interconnection. As a validation, we configure the system to realize optical pipeline parallelism (OPP) and execute a five-layer convolutional neural network (CNN) denoising model, which processes a total of 1,000 images of 32,768 bits each in only 105.16 µs. These results convincingly illustrate a transformative pathway toward future high-efficiency computing architectures.</w:t>
      </w:r>
    </w:p>
    <w:p>
      <w:pPr>
        <w:spacing w:before="120" w:after="120"/>
      </w:pPr>
      <w:r>
        <w:rPr>
          <w:sz w:val="18"/>
        </w:rPr>
        <w:t>——————————————————————————————————————————————————————————————————————</w:t>
      </w:r>
    </w:p>
    <w:p>
      <w:pPr>
        <w:spacing w:before="160" w:after="40" w:line="240" w:lineRule="auto"/>
      </w:pPr>
      <w:r>
        <w:rPr>
          <w:b/>
        </w:rPr>
        <w:t xml:space="preserve">[155] </w:t>
      </w:r>
      <w:hyperlink r:id="rId510">
        <w:r>
          <w:rPr>
            <w:color w:val="1155CC"/>
            <w:u w:val="single"/>
          </w:rPr>
          <w:t>科学领域对人工智能的不加批判的采纳令人担忧——我们迫切需要护栏</w:t>
        </w:r>
      </w:hyperlink>
    </w:p>
    <w:p>
      <w:pPr>
        <w:spacing w:before="0" w:after="80"/>
      </w:pPr>
      <w:r>
        <w:rPr>
          <w:i/>
          <w:sz w:val="20"/>
        </w:rPr>
        <w:t>EN: The uncritical adoption of AI in science is alarming — we urgently need guard rails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11">
        <w:r>
          <w:rPr>
            <w:color w:val="1155CC"/>
            <w:u w:val="single"/>
          </w:rPr>
          <w:t>10.1038/d41586-026-01557-x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512">
        <w:r>
          <w:rPr>
            <w:color w:val="1155CC"/>
            <w:u w:val="single"/>
          </w:rPr>
          <w:t>支持受到攻击的学术机构</w:t>
        </w:r>
      </w:hyperlink>
    </w:p>
    <w:p>
      <w:pPr>
        <w:spacing w:before="0" w:after="80"/>
      </w:pPr>
      <w:r>
        <w:rPr>
          <w:i/>
          <w:sz w:val="20"/>
        </w:rPr>
        <w:t>EN: Support academic institutions under attack</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13">
        <w:r>
          <w:rPr>
            <w:color w:val="1155CC"/>
            <w:u w:val="single"/>
          </w:rPr>
          <w:t>10.1038/d41586-026-01603-8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[157] </w:t>
      </w:r>
      <w:hyperlink r:id="rId514">
        <w:r>
          <w:rPr>
            <w:color w:val="1155CC"/>
            <w:u w:val="single"/>
          </w:rPr>
          <w:t>随着地球变暖，全球河流氧气含量正在下降</w:t>
        </w:r>
      </w:hyperlink>
    </w:p>
    <w:p>
      <w:pPr>
        <w:spacing w:before="0" w:after="80"/>
      </w:pPr>
      <w:r>
        <w:rPr>
          <w:i/>
          <w:sz w:val="20"/>
        </w:rPr>
        <w:t>EN: River oxygen levels are dropping around the world as Earth warms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15">
        <w:r>
          <w:rPr>
            <w:color w:val="1155CC"/>
            <w:u w:val="single"/>
          </w:rPr>
          <w:t>10.1038/d41586-026-01594-6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516">
        <w:r>
          <w:rPr>
            <w:color w:val="1155CC"/>
            <w:u w:val="single"/>
          </w:rPr>
          <w:t>法国的灵长类动物研究项目违背其自身的伦理委员会</w:t>
        </w:r>
      </w:hyperlink>
    </w:p>
    <w:p>
      <w:pPr>
        <w:spacing w:before="0" w:after="80"/>
      </w:pPr>
      <w:r>
        <w:rPr>
          <w:i/>
          <w:sz w:val="20"/>
        </w:rPr>
        <w:t>EN: France’s research-primate project goes against its own ethics panel</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17">
        <w:r>
          <w:rPr>
            <w:color w:val="1155CC"/>
            <w:u w:val="single"/>
          </w:rPr>
          <w:t>10.1038/d41586-026-01606-5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[159] </w:t>
      </w:r>
      <w:hyperlink r:id="rId518">
        <w:r>
          <w:rPr>
            <w:color w:val="1155CC"/>
            <w:u w:val="single"/>
          </w:rPr>
          <w:t>在早期打字机设计方面走上正轨</w:t>
        </w:r>
      </w:hyperlink>
    </w:p>
    <w:p>
      <w:pPr>
        <w:spacing w:before="0" w:after="80"/>
      </w:pPr>
      <w:r>
        <w:rPr>
          <w:i/>
          <w:sz w:val="20"/>
        </w:rPr>
        <w:t>EN: On the right track in the design of an early typewriter</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19">
        <w:r>
          <w:rPr>
            <w:color w:val="1155CC"/>
            <w:u w:val="single"/>
          </w:rPr>
          <w:t>10.1038/d41586-026-01335-9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520">
        <w:r>
          <w:rPr>
            <w:color w:val="1155CC"/>
            <w:u w:val="single"/>
          </w:rPr>
          <w:t>使用虚构参考文献的研究人员将面临 arXiv 禁令</w:t>
        </w:r>
      </w:hyperlink>
    </w:p>
    <w:p>
      <w:pPr>
        <w:spacing w:before="0" w:after="80"/>
      </w:pPr>
      <w:r>
        <w:rPr>
          <w:i/>
          <w:sz w:val="20"/>
        </w:rPr>
        <w:t>EN: Researchers who use hallucinated references to face arXiv ban</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21">
        <w:r>
          <w:rPr>
            <w:color w:val="1155CC"/>
            <w:u w:val="single"/>
          </w:rPr>
          <w:t>10.1038/d41586-026-01595-5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522">
        <w:r>
          <w:rPr>
            <w:color w:val="1155CC"/>
            <w:u w:val="single"/>
          </w:rPr>
          <w:t>空气传播 DNA 采用正确的技术可以提供见解</w:t>
        </w:r>
      </w:hyperlink>
    </w:p>
    <w:p>
      <w:pPr>
        <w:spacing w:before="0" w:after="80"/>
      </w:pPr>
      <w:r>
        <w:rPr>
          <w:i/>
          <w:sz w:val="20"/>
        </w:rPr>
        <w:t>EN: Airborne DNA can yield insights with the right techniques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23">
        <w:r>
          <w:rPr>
            <w:color w:val="1155CC"/>
            <w:u w:val="single"/>
          </w:rPr>
          <w:t>10.1038/d41586-026-01604-7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524">
        <w:r>
          <w:rPr>
            <w:color w:val="1155CC"/>
            <w:u w:val="single"/>
          </w:rPr>
          <w:t>AI 可能会危及科学所需的“不确定性”</w:t>
        </w:r>
      </w:hyperlink>
    </w:p>
    <w:p>
      <w:pPr>
        <w:spacing w:before="0" w:after="80"/>
      </w:pPr>
      <w:r>
        <w:rPr>
          <w:i/>
          <w:sz w:val="20"/>
        </w:rPr>
        <w:t>EN: AI might jeopardize the uncertainty required in science</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25">
        <w:r>
          <w:rPr>
            <w:color w:val="1155CC"/>
            <w:u w:val="single"/>
          </w:rPr>
          <w:t>10.1038/d41586-026-01605-6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526">
        <w:r>
          <w:rPr>
            <w:color w:val="1155CC"/>
            <w:u w:val="single"/>
          </w:rPr>
          <w:t>AI 智能体团队提高研究速度</w:t>
        </w:r>
      </w:hyperlink>
    </w:p>
    <w:p>
      <w:pPr>
        <w:spacing w:before="0" w:after="80"/>
      </w:pPr>
      <w:r>
        <w:rPr>
          <w:i/>
          <w:sz w:val="20"/>
        </w:rPr>
        <w:t>EN: Teams of AI agents boost speed of research</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27">
        <w:r>
          <w:rPr>
            <w:color w:val="1155CC"/>
            <w:u w:val="single"/>
          </w:rPr>
          <w:t>10.1038/d41586-026-01596-4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[164] </w:t>
      </w:r>
      <w:hyperlink r:id="rId528">
        <w:r>
          <w:rPr>
            <w:color w:val="1155CC"/>
            <w:u w:val="single"/>
          </w:rPr>
          <w:t>为什么 AI 没有人类就无法做好科学研究</w:t>
        </w:r>
      </w:hyperlink>
    </w:p>
    <w:p>
      <w:pPr>
        <w:spacing w:before="0" w:after="80"/>
      </w:pPr>
      <w:r>
        <w:rPr>
          <w:i/>
          <w:sz w:val="20"/>
        </w:rPr>
        <w:t>EN: Why AI cannot do good science without humans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29">
        <w:r>
          <w:rPr>
            <w:color w:val="1155CC"/>
            <w:u w:val="single"/>
          </w:rPr>
          <w:t>10.1038/d41586-026-01551-3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[165] </w:t>
      </w:r>
      <w:hyperlink r:id="rId530">
        <w:r>
          <w:rPr>
            <w:color w:val="1155CC"/>
            <w:u w:val="single"/>
          </w:rPr>
          <w:t>这种合成蛋能否让灭绝的鸟类复活？研究人员敦促谨慎</w:t>
        </w:r>
      </w:hyperlink>
    </w:p>
    <w:p>
      <w:pPr>
        <w:spacing w:before="0" w:after="80"/>
      </w:pPr>
      <w:r>
        <w:rPr>
          <w:i/>
          <w:sz w:val="20"/>
        </w:rPr>
        <w:t>EN: Could this synthetic egg bring back extinct birds? Researchers urge caution</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31">
        <w:r>
          <w:rPr>
            <w:color w:val="1155CC"/>
            <w:u w:val="single"/>
          </w:rPr>
          <w:t>10.1038/d41586-026-01535-3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532">
        <w:r>
          <w:rPr>
            <w:color w:val="1155CC"/>
            <w:u w:val="single"/>
          </w:rPr>
          <w:t>毛细血管承担重任</w:t>
        </w:r>
      </w:hyperlink>
    </w:p>
    <w:p>
      <w:pPr>
        <w:spacing w:before="0" w:after="80"/>
      </w:pPr>
      <w:r>
        <w:rPr>
          <w:i/>
          <w:sz w:val="20"/>
        </w:rPr>
        <w:t>EN: Capillaries do the lifting</w:t>
      </w:r>
    </w:p>
    <w:p>
      <w:pPr>
        <w:spacing w:before="0" w:after="120"/>
      </w:pPr>
      <w:r>
        <w:rPr>
          <w:b/>
        </w:rPr>
        <w:t xml:space="preserve">Source: </w:t>
      </w:r>
      <w:r>
        <w:t>Nature Chemical Engineering</w:t>
      </w:r>
      <w:r>
        <w:t xml:space="preserve">    </w:t>
      </w:r>
      <w:r>
        <w:rPr>
          <w:b/>
        </w:rPr>
        <w:t xml:space="preserve">Pub date: </w:t>
      </w:r>
      <w:r>
        <w:t>2026-05-19 00:00:00+00:00</w:t>
      </w:r>
      <w:r>
        <w:t xml:space="preserve">    </w:t>
      </w:r>
      <w:r>
        <w:rPr>
          <w:b/>
        </w:rPr>
        <w:t xml:space="preserve">DOI: </w:t>
      </w:r>
      <w:hyperlink r:id="rId533">
        <w:r>
          <w:rPr>
            <w:color w:val="1155CC"/>
            <w:u w:val="single"/>
          </w:rPr>
          <w:t>10.1038/s44286-026-00399-8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534">
        <w:r>
          <w:rPr>
            <w:color w:val="1155CC"/>
            <w:u w:val="single"/>
          </w:rPr>
          <w:t>每日简报：“增强运动会”如何可能会暴露体育界的缺陷</w:t>
        </w:r>
      </w:hyperlink>
    </w:p>
    <w:p>
      <w:pPr>
        <w:spacing w:before="0" w:after="80"/>
      </w:pPr>
      <w:r>
        <w:rPr>
          <w:i/>
          <w:sz w:val="20"/>
        </w:rPr>
        <w:t>EN: Daily briefing: How the ‘Enhanced Games’ could expose flaws in the sporting world</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35">
        <w:r>
          <w:rPr>
            <w:color w:val="1155CC"/>
            <w:u w:val="single"/>
          </w:rPr>
          <w:t>10.1038/d41586-026-01640-3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536">
        <w:r>
          <w:rPr>
            <w:color w:val="1155CC"/>
            <w:u w:val="single"/>
          </w:rPr>
          <w:t>一个帮助科学家编写专家级经验软件的 AI 系统</w:t>
        </w:r>
      </w:hyperlink>
    </w:p>
    <w:p>
      <w:pPr>
        <w:spacing w:before="0" w:after="80"/>
      </w:pPr>
      <w:r>
        <w:rPr>
          <w:i/>
          <w:sz w:val="20"/>
        </w:rPr>
        <w:t>EN: An AI system to help scientists write expert-level empirical software</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37">
        <w:r>
          <w:rPr>
            <w:color w:val="1155CC"/>
            <w:u w:val="single"/>
          </w:rPr>
          <w:t>10.1038/s41586-026-10658-6</w:t>
        </w:r>
      </w:hyperlink>
    </w:p>
    <w:p>
      <w:pPr>
        <w:spacing w:before="0" w:after="120"/>
      </w:pPr>
      <w:r>
        <w:rPr>
          <w:b/>
        </w:rPr>
        <w:t xml:space="preserve">Notes: </w:t>
      </w:r>
      <w:r>
        <w:t>abstract_source=nature_html</w:t>
      </w:r>
    </w:p>
    <w:p>
      <w:pPr>
        <w:spacing w:before="0" w:after="80" w:lineRule="auto" w:line="276"/>
      </w:pPr>
      <w:r>
        <w:rPr>
          <w:b/>
        </w:rPr>
        <w:t xml:space="preserve">摘要（ZH）: </w:t>
      </w:r>
      <w:r>
        <w:t>科学发现的循环经常受限于支持计算实验1的软件创建过程缓慢且需手动操作。为解决此问题，我们提出了经验研究辅助 (ERA)，这是一个AI系统，旨在创建专家级科学软件，其目标是最大化质量指标。该系统使用大语言模型 (LLM) 和树搜索 (TS)2 来系统地改进质量指标，并智能地探索巨大的可能解决方案空间。ERA在探索和整合来自外部来源的复杂研究思想时，能够取得专家级结果。树搜索的有效性在各种任务中得到了证明。在生物信息学领域，ERA发现了40种用于单细胞数据分析的新方法，这些方法在公共排行榜上超越了人类开发的顶级方法。在流行病学领域，ERA生成了14个模型，在预测COVID-19住院人数方面超越了CDC集合模型和所有其他单个模型。ERA还为地理空间分析、斑马鱼神经活动预测和积分的数值解生成了专家级软件，并提出了一种新颖的基于规则的时间序列预测构建方法。通过设计和实施针对不同任务的新颖解决方案，ERA代表着加速科学进步的重要一步。</w:t>
      </w:r>
    </w:p>
    <w:p>
      <w:pPr>
        <w:spacing w:before="0" w:after="200" w:lineRule="auto" w:line="276"/>
      </w:pPr>
      <w:r>
        <w:rPr>
          <w:b/>
        </w:rPr>
        <w:t xml:space="preserve">Abstract (EN): </w:t>
      </w:r>
      <w:r>
        <w:t>The cycle of scientific discovery is frequently bottlenecked by the slow, manual creation of software to support computational experiments1. To address this, we present Empirical Research Assistance (ERA), an AI system that creates expert-level scientific software whose goal is to maximize a quality metric. The system uses a Large Language Model (LLM) and Tree Search (TS)2 to systematically improve the quality metric and intelligently navigate the large space of possible solutions. ERA achieves expert-level results when it explores and integrates complex research ideas from external sources. The effectiveness of tree search is demonstrated across a diverse range of tasks. In bioinformatics, ERA discovered 40 novel methods for single-cell data analysis that outperformed the top human-developed methods on a public leaderboard. In epidemiology, ERA generated 14 models that outperformed the CDC ensemble and all other individual models for forecasting COVID-19 hospitalizations. ERA also produced expert-level software for geospatial analysis, neural activity prediction in zebrafish, and numerical solution of integrals, and a novel rule-based construction for time series forecasting. By devising and implementing novel solutions to diverse tasks, ERA represents a significant step towards accelerating scientific progress.</w:t>
      </w:r>
    </w:p>
    <w:p>
      <w:pPr>
        <w:spacing w:before="120" w:after="120"/>
      </w:pPr>
      <w:r>
        <w:rPr>
          <w:sz w:val="18"/>
        </w:rPr>
        <w:t>——————————————————————————————————————————————————————————————————————</w:t>
      </w:r>
    </w:p>
    <w:p>
      <w:pPr>
        <w:spacing w:before="160" w:after="40" w:line="240" w:lineRule="auto"/>
      </w:pPr>
      <w:r>
        <w:rPr>
          <w:b/>
        </w:rPr>
        <w:t xml:space="preserve">[169] </w:t>
      </w:r>
      <w:hyperlink r:id="rId538">
        <w:r>
          <w:rPr>
            <w:color w:val="1155CC"/>
            <w:u w:val="single"/>
          </w:rPr>
          <w:t>迈向可持续的金属有机框架：从实验室到实践</w:t>
        </w:r>
      </w:hyperlink>
    </w:p>
    <w:p>
      <w:pPr>
        <w:spacing w:before="0" w:after="80"/>
      </w:pPr>
      <w:r>
        <w:rPr>
          <w:i/>
          <w:sz w:val="20"/>
        </w:rPr>
        <w:t>EN: Towards sustainable metal–organic frameworks from lab to practice</w:t>
      </w:r>
    </w:p>
    <w:p>
      <w:pPr>
        <w:spacing w:before="0" w:after="120"/>
      </w:pPr>
      <w:r>
        <w:rPr>
          <w:b/>
        </w:rPr>
        <w:t xml:space="preserve">Source: </w:t>
      </w:r>
      <w:r>
        <w:t>Nature Sustainability</w:t>
      </w:r>
      <w:r>
        <w:t xml:space="preserve">    </w:t>
      </w:r>
      <w:r>
        <w:rPr>
          <w:b/>
        </w:rPr>
        <w:t xml:space="preserve">Pub date: </w:t>
      </w:r>
      <w:r>
        <w:t>2026-05-19 00:00:00+00:00</w:t>
      </w:r>
      <w:r>
        <w:t xml:space="preserve">    </w:t>
      </w:r>
      <w:r>
        <w:rPr>
          <w:b/>
        </w:rPr>
        <w:t xml:space="preserve">DOI: </w:t>
      </w:r>
      <w:hyperlink r:id="rId539">
        <w:r>
          <w:rPr>
            <w:color w:val="1155CC"/>
            <w:u w:val="single"/>
          </w:rPr>
          <w:t>10.1038/s41893-026-01839-2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540">
        <w:r>
          <w:rPr>
            <w:color w:val="1155CC"/>
            <w:u w:val="single"/>
          </w:rPr>
          <w:t>用于高能效存内逻辑的可扩展异质结构接触</w:t>
        </w:r>
      </w:hyperlink>
    </w:p>
    <w:p>
      <w:pPr>
        <w:spacing w:before="0" w:after="80"/>
      </w:pPr>
      <w:r>
        <w:rPr>
          <w:i/>
          <w:sz w:val="20"/>
        </w:rPr>
        <w:t>EN: Scalable heterostructure contacts for power-efficient logic-in-memory</w:t>
      </w:r>
    </w:p>
    <w:p>
      <w:pPr>
        <w:spacing w:before="0" w:after="120"/>
      </w:pPr>
      <w:r>
        <w:rPr>
          <w:b/>
        </w:rPr>
        <w:t xml:space="preserve">Source: </w:t>
      </w:r>
      <w:r>
        <w:t>Nature Electronics</w:t>
      </w:r>
      <w:r>
        <w:t xml:space="preserve">    </w:t>
      </w:r>
      <w:r>
        <w:rPr>
          <w:b/>
        </w:rPr>
        <w:t xml:space="preserve">Pub date: </w:t>
      </w:r>
      <w:r>
        <w:t>2026-05-19 00:00:00+00:00</w:t>
      </w:r>
      <w:r>
        <w:t xml:space="preserve">    </w:t>
      </w:r>
      <w:r>
        <w:rPr>
          <w:b/>
        </w:rPr>
        <w:t xml:space="preserve">DOI: </w:t>
      </w:r>
      <w:hyperlink r:id="rId541">
        <w:r>
          <w:rPr>
            <w:color w:val="1155CC"/>
            <w:u w:val="single"/>
          </w:rPr>
          <w:t>10.1038/s41928-026-01633-0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542">
        <w:r>
          <w:rPr>
            <w:color w:val="1155CC"/>
            <w:u w:val="single"/>
          </w:rPr>
          <w:t>“这太不可思议了”：人工智能如何改变数学</w:t>
        </w:r>
      </w:hyperlink>
    </w:p>
    <w:p>
      <w:pPr>
        <w:spacing w:before="0" w:after="80"/>
      </w:pPr>
      <w:r>
        <w:rPr>
          <w:i/>
          <w:sz w:val="20"/>
        </w:rPr>
        <w:t>EN: ‘It is incredible’: How AI is transforming mathematics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43">
        <w:r>
          <w:rPr>
            <w:color w:val="1155CC"/>
            <w:u w:val="single"/>
          </w:rPr>
          <w:t>10.1038/d41586-026-01553-1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[172] </w:t>
      </w:r>
      <w:hyperlink r:id="rId544">
        <w:r>
          <w:rPr>
            <w:color w:val="1155CC"/>
            <w:u w:val="single"/>
          </w:rPr>
          <w:t>摆脱氢的束缚</w:t>
        </w:r>
      </w:hyperlink>
    </w:p>
    <w:p>
      <w:pPr>
        <w:spacing w:before="0" w:after="80"/>
      </w:pPr>
      <w:r>
        <w:rPr>
          <w:i/>
          <w:sz w:val="20"/>
        </w:rPr>
        <w:t>EN: A twist away from hydrogen</w:t>
      </w:r>
    </w:p>
    <w:p>
      <w:pPr>
        <w:spacing w:before="0" w:after="120"/>
      </w:pPr>
      <w:r>
        <w:rPr>
          <w:b/>
        </w:rPr>
        <w:t xml:space="preserve">Source: </w:t>
      </w:r>
      <w:r>
        <w:t>Nature Energy</w:t>
      </w:r>
      <w:r>
        <w:t xml:space="preserve">    </w:t>
      </w:r>
      <w:r>
        <w:rPr>
          <w:b/>
        </w:rPr>
        <w:t xml:space="preserve">Pub date: </w:t>
      </w:r>
      <w:r>
        <w:t>2026-05-19 00:00:00+00:00</w:t>
      </w:r>
      <w:r>
        <w:t xml:space="preserve">    </w:t>
      </w:r>
      <w:r>
        <w:rPr>
          <w:b/>
        </w:rPr>
        <w:t xml:space="preserve">DOI: </w:t>
      </w:r>
      <w:hyperlink r:id="rId545">
        <w:r>
          <w:rPr>
            <w:color w:val="1155CC"/>
            <w:u w:val="single"/>
          </w:rPr>
          <w:t>10.1038/s41560-026-02066-x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[173] </w:t>
      </w:r>
      <w:hyperlink r:id="rId546">
        <w:r>
          <w:rPr>
            <w:color w:val="1155CC"/>
            <w:u w:val="single"/>
          </w:rPr>
          <w:t>中国推动人工智能脑植入物从试验走向实际应用</w:t>
        </w:r>
      </w:hyperlink>
    </w:p>
    <w:p>
      <w:pPr>
        <w:spacing w:before="0" w:after="80"/>
      </w:pPr>
      <w:r>
        <w:rPr>
          <w:i/>
          <w:sz w:val="20"/>
        </w:rPr>
        <w:t>EN: China moves AI brain implants from trials towards real-world use</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47">
        <w:r>
          <w:rPr>
            <w:color w:val="1155CC"/>
            <w:u w:val="single"/>
          </w:rPr>
          <w:t>10.1038/d41586-026-01468-x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548">
        <w:r>
          <w:rPr>
            <w:color w:val="1155CC"/>
            <w:u w:val="single"/>
          </w:rPr>
          <w:t>DNA折叠变化阻断自身导向抗体的产生</w:t>
        </w:r>
      </w:hyperlink>
    </w:p>
    <w:p>
      <w:pPr>
        <w:spacing w:before="0" w:after="80"/>
      </w:pPr>
      <w:r>
        <w:rPr>
          <w:i/>
          <w:sz w:val="20"/>
        </w:rPr>
        <w:t>EN: DNA-folding changes block production of self-directed antibodies</w:t>
      </w:r>
    </w:p>
    <w:p>
      <w:pPr>
        <w:spacing w:before="0" w:after="120"/>
      </w:pPr>
      <w:r>
        <w:rPr>
          <w:b/>
        </w:rPr>
        <w:t xml:space="preserve">Source: </w:t>
      </w:r>
      <w:r>
        <w:t>Nature</w:t>
      </w:r>
      <w:r>
        <w:t xml:space="preserve">    </w:t>
      </w:r>
      <w:r>
        <w:rPr>
          <w:b/>
        </w:rPr>
        <w:t xml:space="preserve">Pub date: </w:t>
      </w:r>
      <w:r>
        <w:t>2026-05-19 00:00:00+00:00</w:t>
      </w:r>
      <w:r>
        <w:t xml:space="preserve">    </w:t>
      </w:r>
      <w:r>
        <w:rPr>
          <w:b/>
        </w:rPr>
        <w:t xml:space="preserve">DOI: </w:t>
      </w:r>
      <w:hyperlink r:id="rId549">
        <w:r>
          <w:rPr>
            <w:color w:val="1155CC"/>
            <w:u w:val="single"/>
          </w:rPr>
          <w:t>10.1038/d41586-026-01329-7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[175] </w:t>
      </w:r>
      <w:hyperlink r:id="rId550">
        <w:r>
          <w:rPr>
            <w:color w:val="1155CC"/>
            <w:u w:val="single"/>
          </w:rPr>
          <w:t>动态系统级rSOC模型用于太阳能响应和电网自适应优化运行</w:t>
        </w:r>
      </w:hyperlink>
    </w:p>
    <w:p>
      <w:pPr>
        <w:spacing w:before="0" w:after="80"/>
      </w:pPr>
      <w:r>
        <w:rPr>
          <w:i/>
          <w:sz w:val="20"/>
        </w:rPr>
        <w:t>EN: Dynamic system-level rSOC model for solar-responsive and grid-adaptive optimal operation</w:t>
      </w:r>
    </w:p>
    <w:p>
      <w:pPr>
        <w:spacing w:before="0" w:after="120"/>
      </w:pPr>
      <w:r>
        <w:rPr>
          <w:b/>
        </w:rPr>
        <w:t xml:space="preserve">Source: </w:t>
      </w:r>
      <w:r>
        <w:t>ScienceDirect Publication: Applied Energy</w:t>
      </w:r>
      <w:r>
        <w:t xml:space="preserve">    </w:t>
      </w:r>
      <w:r>
        <w:rPr>
          <w:b/>
        </w:rPr>
        <w:t xml:space="preserve">Pub date: </w:t>
      </w:r>
      <w:r>
        <w:t>2026-05-19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[176] </w:t>
      </w:r>
      <w:hyperlink r:id="rId551">
        <w:r>
          <w:rPr>
            <w:color w:val="1155CC"/>
            <w:u w:val="single"/>
          </w:rPr>
          <w:t>超越即时救济：精准扶贫对家庭用电量的动态效应</w:t>
        </w:r>
      </w:hyperlink>
    </w:p>
    <w:p>
      <w:pPr>
        <w:spacing w:before="0" w:after="80"/>
      </w:pPr>
      <w:r>
        <w:rPr>
          <w:i/>
          <w:sz w:val="20"/>
        </w:rPr>
        <w:t>EN: Beyond immediate relief: the dynamic effects of targeted poverty alleviation on household electricity consumption</w:t>
      </w:r>
    </w:p>
    <w:p>
      <w:pPr>
        <w:spacing w:before="0" w:after="120"/>
      </w:pPr>
      <w:r>
        <w:rPr>
          <w:b/>
        </w:rPr>
        <w:t xml:space="preserve">Source: </w:t>
      </w:r>
      <w:r>
        <w:t>ScienceDirect Publication: Applied Energy</w:t>
      </w:r>
      <w:r>
        <w:t xml:space="preserve">    </w:t>
      </w:r>
      <w:r>
        <w:rPr>
          <w:b/>
        </w:rPr>
        <w:t xml:space="preserve">Pub date: </w:t>
      </w:r>
      <w:r>
        <w:t>2026-05-19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[177] </w:t>
      </w:r>
      <w:hyperlink r:id="rId552">
        <w:r>
          <w:rPr>
            <w:color w:val="1155CC"/>
            <w:u w:val="single"/>
          </w:rPr>
          <w:t>基于图案化二硫化铌和二硫化钼金属-半导体异质结构的非易失性存储器</w:t>
        </w:r>
      </w:hyperlink>
    </w:p>
    <w:p>
      <w:pPr>
        <w:spacing w:before="0" w:after="80"/>
      </w:pPr>
      <w:r>
        <w:rPr>
          <w:i/>
          <w:sz w:val="20"/>
        </w:rPr>
        <w:t>EN: Non-volatile memories based on patterned metal–semiconductor heterostructures of niobium disulfide and molybdenum disulfide</w:t>
      </w:r>
    </w:p>
    <w:p>
      <w:pPr>
        <w:spacing w:before="0" w:after="120"/>
      </w:pPr>
      <w:r>
        <w:rPr>
          <w:b/>
        </w:rPr>
        <w:t xml:space="preserve">Source: </w:t>
      </w:r>
      <w:r>
        <w:t>Nature Electronics</w:t>
      </w:r>
      <w:r>
        <w:t xml:space="preserve">    </w:t>
      </w:r>
      <w:r>
        <w:rPr>
          <w:b/>
        </w:rPr>
        <w:t xml:space="preserve">Pub date: </w:t>
      </w:r>
      <w:r>
        <w:t>2026-05-19 00:00:00+00:00</w:t>
      </w:r>
      <w:r>
        <w:t xml:space="preserve">    </w:t>
      </w:r>
      <w:r>
        <w:rPr>
          <w:b/>
        </w:rPr>
        <w:t xml:space="preserve">DOI: </w:t>
      </w:r>
      <w:hyperlink r:id="rId553">
        <w:r>
          <w:rPr>
            <w:color w:val="1155CC"/>
            <w:u w:val="single"/>
          </w:rPr>
          <w:t>10.1038/s41928-026-01634-z</w:t>
        </w:r>
      </w:hyperlink>
    </w:p>
    <w:p>
      <w:pPr>
        <w:spacing w:before="0" w:after="120"/>
      </w:pPr>
      <w:r>
        <w:rPr>
          <w:b/>
        </w:rPr>
        <w:t xml:space="preserve">Notes: </w:t>
      </w:r>
      <w:r>
        <w:t>abstract_source=nature_html</w:t>
      </w:r>
    </w:p>
    <w:p>
      <w:pPr>
        <w:spacing w:before="0" w:after="80" w:lineRule="auto" w:line="276"/>
      </w:pPr>
      <w:r>
        <w:rPr>
          <w:b/>
        </w:rPr>
        <w:t xml:space="preserve">摘要（ZH）: </w:t>
      </w:r>
      <w:r>
        <w:t>基于二维过渡金属二硫化物半导体的晶体管性能受限于二维材料与传统三维接触之间较差的界面质量。基于过渡金属二硫化物的金属-半导体异质结构已被开发以提高器件性能，但寻找结合高质量生长、可扩展性和广泛适用性的制造技术仍然是一个挑战。在此，我们展示了一种结合金属有机化学气相沉积和硫化作用的方法，可用于在晶圆级制备图案化的二硫化铌和二硫化钼异质结构。二硫化铌-二硫化钼异质结构可用作场效应晶体管和非易失性存储器件的活性沟道材料。与原始二硫化钼相比，异质结构表现出高达九倍的更高导通电流，这归因于接触电阻的降低，最大有效迁移率为77 cm2 V−1 s−1，以及95.8%的良率（144个场效应晶体管）。此外，我们的浮栅场效应晶体管显示出大的编程窗口、精确且连续的电导调制、超过60,000次编程脉冲的耐久性以及约19年的估计数据保持时间。器件仿真表明，长沟道器件（约14 V）的大编程窗口可以通过适当的控制氧化物缩放，在小于100 nm的缩放栅极长度下保持。</w:t>
      </w:r>
    </w:p>
    <w:p>
      <w:pPr>
        <w:spacing w:before="0" w:after="200" w:lineRule="auto" w:line="276"/>
      </w:pPr>
      <w:r>
        <w:rPr>
          <w:b/>
        </w:rPr>
        <w:t xml:space="preserve">Abstract (EN): </w:t>
      </w:r>
      <w:r>
        <w:t>The performance of transistors based on two-dimensional transition metal dichalcogenide semiconductors is restricted by the poor interface quality between two-dimensional materials and conventional three-dimensional contacts. Transition-metal-dichalcogenide-based metal–semiconductor heterostructures have been developed to enhance device performance, but finding fabrication techniques that combine high-quality growth with scalability and broad applicability remains a challenge. Here we show that a method that combines metal–organic chemical vapour deposition and sulfurization can be used to create patterned heterostructures of niobium disulfide and molybdenum disulfide at the wafer scale. The niobium disulfide–molybdenum disulfide heterostructures can be used as the active channel material of field-effect transistors and non-volatile memory devices. Compared with pristine molybdenum disulfide, the heterostructures exhibit up to nine times higher on current due to a reduced contact resistance, a maximum effective mobility of 77 cm2 V−1 s−1 and a 95.8% yield (of 144 field-effect transistors). Furthermore, our floating-gate field-effect transistors show a large programming window, precise and continuous conductance modulation, endurance over 60,000 programming pulses and an estimated retention time of around 19 years. Device simulation shows that the large programming window of the long-channel devices (around 14 V) can be maintained at scaled gate lengths below 100 nm with proper control oxide scaling.</w:t>
      </w:r>
    </w:p>
    <w:p>
      <w:pPr>
        <w:spacing w:before="120" w:after="120"/>
      </w:pPr>
      <w:r>
        <w:rPr>
          <w:sz w:val="18"/>
        </w:rPr>
        <w:t>——————————————————————————————————————————————————————————————————————</w:t>
      </w:r>
    </w:p>
    <w:p>
      <w:pPr>
        <w:spacing w:before="160" w:after="40" w:line="240" w:lineRule="auto"/>
      </w:pPr>
      <w:r>
        <w:rPr>
          <w:b/>
        </w:rPr>
        <w:t xml:space="preserve">[178] </w:t>
      </w:r>
      <w:hyperlink r:id="rId554">
        <w:r>
          <w:rPr>
            <w:color w:val="1155CC"/>
            <w:u w:val="single"/>
          </w:rPr>
          <w:t>考虑投机行为的互联多能源系统分布式鲁棒混合博弈机制</w:t>
        </w:r>
      </w:hyperlink>
    </w:p>
    <w:p>
      <w:pPr>
        <w:spacing w:before="0" w:after="80"/>
      </w:pPr>
      <w:r>
        <w:rPr>
          <w:i/>
          <w:sz w:val="20"/>
        </w:rPr>
        <w:t>EN: Distributed robust hybrid game mechanism for interconnected multi-energy systems considering speculative behavior</w:t>
      </w:r>
    </w:p>
    <w:p>
      <w:pPr>
        <w:spacing w:before="0" w:after="120"/>
      </w:pPr>
      <w:r>
        <w:rPr>
          <w:b/>
        </w:rPr>
        <w:t xml:space="preserve">Source: </w:t>
      </w:r>
      <w:r>
        <w:t>ScienceDirect Publication: Applied Energy</w:t>
      </w:r>
      <w:r>
        <w:t xml:space="preserve">    </w:t>
      </w:r>
      <w:r>
        <w:rPr>
          <w:b/>
        </w:rPr>
        <w:t xml:space="preserve">Pub date: </w:t>
      </w:r>
      <w:r>
        <w:t>2026-05-19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[179] </w:t>
      </w:r>
      <w:hyperlink r:id="rId555">
        <w:r>
          <w:rPr>
            <w:color w:val="1155CC"/>
            <w:u w:val="single"/>
          </w:rPr>
          <w:t>纳米塑料研究中超越尺寸</w:t>
        </w:r>
      </w:hyperlink>
    </w:p>
    <w:p>
      <w:pPr>
        <w:spacing w:before="0" w:after="80"/>
      </w:pPr>
      <w:r>
        <w:rPr>
          <w:i/>
          <w:sz w:val="20"/>
        </w:rPr>
        <w:t>EN: Moving past size in nanoplastics research</w:t>
      </w:r>
    </w:p>
    <w:p>
      <w:pPr>
        <w:spacing w:before="0" w:after="120"/>
      </w:pPr>
      <w:r>
        <w:rPr>
          <w:b/>
        </w:rPr>
        <w:t xml:space="preserve">Source: </w:t>
      </w:r>
      <w:r>
        <w:t>Nature Nanotechnology</w:t>
      </w:r>
      <w:r>
        <w:t xml:space="preserve">    </w:t>
      </w:r>
      <w:r>
        <w:rPr>
          <w:b/>
        </w:rPr>
        <w:t xml:space="preserve">Pub date: </w:t>
      </w:r>
      <w:r>
        <w:t>2026-05-19 00:00:00+00:00</w:t>
      </w:r>
      <w:r>
        <w:t xml:space="preserve">    </w:t>
      </w:r>
      <w:r>
        <w:rPr>
          <w:b/>
        </w:rPr>
        <w:t xml:space="preserve">DOI: </w:t>
      </w:r>
      <w:hyperlink r:id="rId556">
        <w:r>
          <w:rPr>
            <w:color w:val="1155CC"/>
            <w:u w:val="single"/>
          </w:rPr>
          <w:t>10.1038/s41565-026-02190-5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[180] </w:t>
      </w:r>
      <w:hyperlink r:id="rId557">
        <w:r>
          <w:rPr>
            <w:color w:val="1155CC"/>
            <w:u w:val="single"/>
          </w:rPr>
          <w:t>揭示非化学计量钛酸盐钙钛矿薄膜中析出诱导的巨大电子和磁性性质变化</w:t>
        </w:r>
      </w:hyperlink>
    </w:p>
    <w:p>
      <w:pPr>
        <w:spacing w:before="0" w:after="80"/>
      </w:pPr>
      <w:r>
        <w:rPr>
          <w:i/>
          <w:sz w:val="20"/>
        </w:rPr>
        <w:t>EN: Unveiling Exsolution‐Induced Giant Electronic and Magnetic Property Changes in Non‐Stoichiometric Titanate Perovskite Thin Films</w:t>
      </w:r>
    </w:p>
    <w:p>
      <w:pPr>
        <w:spacing w:before="0" w:after="120"/>
      </w:pPr>
      <w:r>
        <w:rPr>
          <w:b/>
        </w:rPr>
        <w:t xml:space="preserve">Source: </w:t>
      </w:r>
      <w:r>
        <w:t>Wiley: Advanced Materials: Table of Contents</w:t>
      </w:r>
      <w:r>
        <w:t xml:space="preserve">    </w:t>
      </w:r>
      <w:r>
        <w:rPr>
          <w:b/>
        </w:rPr>
        <w:t xml:space="preserve">Pub date: </w:t>
      </w:r>
      <w:r>
        <w:t>2026-05-19 04:40:43+00:00</w:t>
      </w:r>
      <w:r>
        <w:t xml:space="preserve">    </w:t>
      </w:r>
      <w:r>
        <w:rPr>
          <w:b/>
        </w:rPr>
        <w:t xml:space="preserve">DOI: </w:t>
      </w:r>
      <w:hyperlink r:id="rId558">
        <w:r>
          <w:rPr>
            <w:color w:val="1155CC"/>
            <w:u w:val="single"/>
          </w:rPr>
          <w:t>10.1002/adma.202600031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颗粒的出溶，即在原位还原条件下形成部分嵌入主体金属氧化物表面的插座状纳米结构，因其相比传统沉积纳米颗粒具有极高的抗颗粒粗化稳定性而引起了广泛关注。因此，基于出溶的体系已广泛应用于催化和能源相关领域。然而，出溶过程引起的电子和磁性性质变化，特别是其物理起源，仍未得到充分探索。在此，报道了一种由纳米颗粒出溶驱动的巨大绝缘体-金属转变，并伴随着室温超顺磁性的出现。通过结合全面的实验表征和密度泛函理论计算，揭示了旨在促进B位阳离子出溶的A位和氧缺陷钙钛矿氧化物La0.2Sr0.7Ni0.1Ti0.9O3‐δ在其原始状态下表现出电荷补偿的绝缘行为。还原后，晶格演变为La掺杂的SrTiO3类相，导致重电子掺杂的简并金属态，从而引发电阻率变化超过三个数量级的巨大绝缘体-金属转变。</w:t>
      </w:r>
    </w:p>
    <w:p>
      <w:pPr>
        <w:spacing w:before="0" w:after="200" w:lineRule="auto" w:line="276"/>
      </w:pPr>
      <w:r>
        <w:rPr>
          <w:b/>
        </w:rPr>
        <w:t xml:space="preserve">Abstract (EN): </w:t>
      </w:r>
      <w:r>
        <w:t>Exsolution of nanoparticles, which forms socketed nanostructures partially submerged into a host metal‐oxide surface under in‐situ reducing conditions, has attracted considerable attention because of its exceptionally high stability against particle coarsening compared with conventionally deposited nanoparticles. Consequently, exsolution‐based systems have been widely explored for catalytic and energy‐related applications. However, the electronic and magnetic property changes induced by the exsolution process, in particular their physical origins, remain largely unexplored. Here, a giant insulator‐to‐metal transformation accompanied by the emergence of room‐temperature superparamagnetism is reported, driven by nanoparticle exsolution. By combining comprehensive experimental characterization with density functional theory calculations, it is revealed that the A‐site‐ and oxygen‐deficient perovskite oxide La</w:t>
      </w:r>
      <w:r>
        <w:t xml:space="preserve"> </w:t>
      </w:r>
      <w:r>
        <w:t>0.2</w:t>
      </w:r>
      <w:r>
        <w:t xml:space="preserve"> </w:t>
      </w:r>
      <w:r>
        <w:t>Sr</w:t>
      </w:r>
      <w:r>
        <w:t xml:space="preserve"> </w:t>
      </w:r>
      <w:r>
        <w:t>0.7</w:t>
      </w:r>
      <w:r>
        <w:t xml:space="preserve"> </w:t>
      </w:r>
      <w:r>
        <w:t>Ni</w:t>
      </w:r>
      <w:r>
        <w:t xml:space="preserve"> </w:t>
      </w:r>
      <w:r>
        <w:t>0.1</w:t>
      </w:r>
      <w:r>
        <w:t xml:space="preserve"> </w:t>
      </w:r>
      <w:r>
        <w:t>Ti</w:t>
      </w:r>
      <w:r>
        <w:t xml:space="preserve"> </w:t>
      </w:r>
      <w:r>
        <w:t>0.9</w:t>
      </w:r>
      <w:r>
        <w:t xml:space="preserve"> </w:t>
      </w:r>
      <w:r>
        <w:t>O</w:t>
      </w:r>
      <w:r>
        <w:t xml:space="preserve"> </w:t>
      </w:r>
      <w:r>
        <w:t>3‐δ</w:t>
      </w:r>
      <w:r>
        <w:t xml:space="preserve"> </w:t>
      </w:r>
      <w:r>
        <w:t>, designed to promote B‐site cation exsolution, exhibits a charge‐compensated insulating behavior in its pristine state. Upon reduction, the lattice evolves toward a La‐doped SrTiO</w:t>
      </w:r>
      <w:r>
        <w:rPr>
          <w:vertAlign w:val="subscript"/>
        </w:rPr>
        <w:t>3</w:t>
      </w:r>
      <w:r>
        <w:t>‐like phase, resulting in a heavily electron‐doped, degenerate metallic state, leading to the giant insulator‐to‐metal transition with a resistivity change exceeding three orders of magnitude. Furthermore, the exsolution process induces a pronounced magnetic transition from diamagnetism in the pristine lattice to room‐temperature superparamagnetism arising from thermally fluctuating exsolved Ni nanoparticles. This work provides new insights into the coupled electronic and magnetic evolution induced by exsolution and highlights its potential for the development of functional electronic and spintronic devices.</w:t>
      </w:r>
    </w:p>
    <w:p>
      <w:pPr>
        <w:spacing w:before="120" w:after="120"/>
      </w:pPr>
      <w:r>
        <w:rPr>
          <w:sz w:val="18"/>
        </w:rPr>
        <w:t>——————————————————————————————————————————————————————————————————————</w:t>
      </w:r>
    </w:p>
    <w:p>
      <w:pPr>
        <w:spacing w:before="160" w:after="40" w:line="240" w:lineRule="auto"/>
      </w:pPr>
      <w:r>
        <w:rPr>
          <w:b/>
        </w:rPr>
        <w:t xml:space="preserve">[181] </w:t>
      </w:r>
      <w:hyperlink r:id="rId559">
        <w:r>
          <w:rPr>
            <w:color w:val="1155CC"/>
            <w:u w:val="single"/>
          </w:rPr>
          <w:t>通过向列涡线动态创建拓扑孤子</w:t>
        </w:r>
      </w:hyperlink>
    </w:p>
    <w:p>
      <w:pPr>
        <w:spacing w:before="0" w:after="80"/>
      </w:pPr>
      <w:r>
        <w:rPr>
          <w:i/>
          <w:sz w:val="20"/>
        </w:rPr>
        <w:t>EN: Dynamic creation of topological solitons via nematic vortex lines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60">
        <w:r>
          <w:rPr>
            <w:color w:val="1155CC"/>
            <w:u w:val="single"/>
          </w:rPr>
          <w:t>10.1073/pnas.2528693123</w:t>
        </w:r>
      </w:hyperlink>
    </w:p>
    <w:p>
      <w:pPr>
        <w:spacing w:before="0" w:after="120"/>
      </w:pPr>
      <w:r>
        <w:rPr>
          <w:b/>
        </w:rPr>
        <w:t xml:space="preserve">Notes: </w:t>
      </w:r>
      <w:r>
        <w:t>abstract_source=crossref</w:t>
      </w:r>
    </w:p>
    <w:p>
      <w:pPr>
        <w:spacing w:before="0" w:after="80" w:lineRule="auto" w:line="276"/>
      </w:pPr>
      <w:r>
        <w:rPr>
          <w:b/>
        </w:rPr>
        <w:t xml:space="preserve">摘要（ZH）: </w:t>
      </w:r>
      <w:r>
        <w:t>拓扑保护的孤子结构因其独特的稳定性和在下一代技术（如高密度数据存储和自旋电子学）中的潜在应用，在凝聚态物理学中引起了广泛关注。涡旋线是另一类拓扑缺陷，在向列液晶（LCs）中普遍存在，为研究拓扑相变提供了多功能平台。该领域的一个关键挑战是理解如何在这些根本不同的拓扑对象之间进行转换。通过结合实验观察和数值模拟，我们证明涡旋线可以通过与拓扑荷为±1/2的楔形或扭曲涡旋相互作用，转变为孤子串。通过表面上的锚定图案，我们能够控制孤子串的拓扑结构。利用激光镊子，我们操纵涡旋线以动态创建和湮灭孤子串，揭示了涡旋与孤子结构之间的兼容性。通过使用两个具有莫比乌斯带拓扑的相邻涡旋环，可以创建具有连续变化的拓扑剖面的孤子环。我们还通过将交织的涡旋线和孤子串组合成任意形状的混合结构，创建了复杂的拓扑构型。</w:t>
      </w:r>
    </w:p>
    <w:p>
      <w:pPr>
        <w:spacing w:before="0" w:after="200" w:lineRule="auto" w:line="276"/>
      </w:pPr>
      <w:r>
        <w:rPr>
          <w:b/>
        </w:rPr>
        <w:t xml:space="preserve">Abstract (EN): </w:t>
      </w:r>
      <w:r>
        <w:t>Topologically protected solitonic structures have garnered significant attention in condensed matter physics due to their unique stability and potential applications in next-generation technologies such as high-density data storage and spintronics. Vortex lines, another class of topological defects, are ubiquitous in nematic liquid crystals (LCs) and provide a versatile platform for studying topological phase transitions. A key challenge in the field is understanding how to transition between these fundamentally distinct topological objects. By combining experimental observations and numerical simulations, we demonstrate that vortex lines can transition into soliton strings through interactions with wedge or twist vortices of topological charge</w:t>
      </w:r>
      <w:r>
        <w:t xml:space="preserve"> </w:t>
      </w:r>
      <w:r>
        <w:t>±</w:t>
      </w:r>
      <w:r>
        <w:rPr>
          <w:vertAlign w:val="subscript"/>
        </w:rPr>
        <w:t>1</w:t>
      </w:r>
      <w:r>
        <w:t>/</w:t>
      </w:r>
      <w:r>
        <w:rPr>
          <w:vertAlign w:val="subscript"/>
        </w:rPr>
        <w:t>2</w:t>
      </w:r>
      <w:r>
        <w:t xml:space="preserve"> </w:t>
      </w:r>
      <w:r>
        <w:t>. By anchored patterns on surfaces, we are able to control topological structures of soliton strings. Using laser tweezers, we manipulate vortex lines to dynamically create and annihilate soliton strings, revealing the compatibility between vortices and solitonic structures. The soliton ring with continuously varying topological profiles can be created by using two adjacent vortex loops with Möbius strip topology. We also create complex topological configurations, such as arbitrary shaped hybrid structures composed of intertwined vortex lines and soliton strings, by leveraging out-of-equilibrium transitions. These findings pave the way for designing smart materials with tailored topological properties.</w:t>
      </w:r>
    </w:p>
    <w:p>
      <w:pPr>
        <w:spacing w:before="120" w:after="120"/>
      </w:pPr>
      <w:r>
        <w:rPr>
          <w:sz w:val="18"/>
        </w:rPr>
        <w:t>——————————————————————————————————————————————————————————————————————</w:t>
      </w:r>
    </w:p>
    <w:p>
      <w:pPr>
        <w:spacing w:before="160" w:after="40" w:line="240" w:lineRule="auto"/>
      </w:pPr>
      <w:r>
        <w:rPr>
          <w:b/>
        </w:rPr>
        <w:t xml:space="preserve">[182] </w:t>
      </w:r>
      <w:hyperlink r:id="rId561">
        <w:r>
          <w:rPr>
            <w:color w:val="1155CC"/>
            <w:u w:val="single"/>
          </w:rPr>
          <w:t>移民相关的结核病流行：高收入国家结核病消除如何取决于高负担地区结核病控制的成功</w:t>
        </w:r>
      </w:hyperlink>
    </w:p>
    <w:p>
      <w:pPr>
        <w:spacing w:before="0" w:after="80"/>
      </w:pPr>
      <w:r>
        <w:rPr>
          <w:i/>
          <w:sz w:val="20"/>
        </w:rPr>
        <w:t>EN: Migration-linked TB epidemics: How TB elimination in high-income countries depends on the success of TB control in high-burden settings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62">
        <w:r>
          <w:rPr>
            <w:color w:val="1155CC"/>
            <w:u w:val="single"/>
          </w:rPr>
          <w:t>10.1073/pnas.2611864123</w:t>
        </w:r>
      </w:hyperlink>
    </w:p>
    <w:p>
      <w:pPr>
        <w:spacing w:before="0" w:after="120"/>
      </w:pPr>
      <w:r>
        <w:rPr>
          <w:b/>
        </w:rPr>
        <w:t xml:space="preserve">Notes: </w:t>
      </w:r>
      <w:r>
        <w:t>abstract_source=crossref</w:t>
      </w:r>
    </w:p>
    <w:p>
      <w:pPr>
        <w:spacing w:before="0" w:after="80" w:lineRule="auto" w:line="276"/>
      </w:pPr>
      <w:r>
        <w:rPr>
          <w:b/>
        </w:rPr>
        <w:t xml:space="preserve">摘要（ZH）: </w:t>
      </w:r>
      <w:r>
        <w:t>结核分枝杆菌是全球传染病死亡的主要原因。在高收入国家，越来越多的结核病病例发生在外籍人士中，这是由于他们在移民前感染了结核病。我们开发了一个数学模型系统，代表了187个国家的结核病流行病学，这些国家通过移民模式相互关联，并根据每个地区的经验数据进行了训练。利用这些模型，我们量化了高收入国家未来结核病风险如何受到高负担地区抗击结核病努力成功或失败的影响。在2025-2050年期间，如果2025年之前的趋势继续，我们预计高收入国家将有2,270,000例（95%CI：1,930,000至2,730,000）结核病病例，其中54%（46至62）发生在外籍人士中（而2024年为39%），2050年平均发病率为每10万人6.0例（4.8至7.7）。在最乐观的情景下（假设高负担国家实现世卫组织积极的结核病消除目标），我们估计2025-2050年期间高收入国家将减少667,000例（559,000至812,000）结核病病例，2050年发病率为每10万人2.6例（2.1至3.3）。在最悲观的情景下（国际卫生援助减少导致高负担国家结核病增加），我们估计高收入国家将增加890,000例（793,000至998,000）结核病病例，2050年发病率为每10万人10.2例（8.4至12.7）。美国、英国、德国、新加坡和法国是受影响最严重的高收入国家。对于高收入</w:t>
      </w:r>
    </w:p>
    <w:p>
      <w:pPr>
        <w:spacing w:before="0" w:after="200" w:lineRule="auto" w:line="276"/>
      </w:pPr>
      <w:r>
        <w:rPr>
          <w:b/>
        </w:rPr>
        <w:t xml:space="preserve">Abstract (EN): </w:t>
      </w:r>
      <w:r>
        <w:t>Mycobacterium tuberculosis</w:t>
      </w:r>
      <w:r>
        <w:t xml:space="preserve"> </w:t>
      </w:r>
      <w:r>
        <w:t>is the leading global cause of infectious disease deaths. A growing proportion of tuberculosis cases in high-income countries occur among foreign-born individuals, due to infections acquired before migration. We developed a system of mathematical models representing tuberculosis epidemiology in 187 countries, linked by migration patterns, and trained on empirical data for each setting. Using these models, we quantified how future tuberculosis risks in high-income countries are influenced by the success or failure of efforts to combat tuberculosis in high-burden settings. Over 2025–2050, we projected 2270,000 (95%CI: 1930,000 to 2730,000) tuberculosis cases in high-income countries if pre-2025 trends continue, with 54% (46 to 62) among foreign-born individuals (versus 39% in 2024), for an average incidence of 6.0 (4.8 to 7.7) per 100,000 in 2050. Under the most optimistic scenario (assuming high-burden countries achieve aggressive WHO tuberculosis elimination targets), we estimated 667,000 (559,000 to 812,000) fewer tuberculosis cases in high-income countries over 2025–2050, with incidence of 2.6 (2.1 to 3.3) per 100,000 in 2050. Under the most pessimistic scenario (reduced international health aid causes rising tuberculosis in high-burden countries), we estimated 890,000 (793,000 to 998,000) additional tuberculosis cases in high-income countries, with incidence of 10.2 (8.4 to 12.7) per 100,000 in 2050. The United States, United Kingdom, Germany, Singapore, and France were the most affected high-income countries. For high-income countries, future tuberculosis incidence and mortality could vary by as much as 4 times depending on the success or failure of tuberculosis control in high-burden settings, fundamentally shaping strategies to prevent, detect, and treat tuberculosis in these settings.</w:t>
      </w:r>
    </w:p>
    <w:p>
      <w:pPr>
        <w:spacing w:before="120" w:after="120"/>
      </w:pPr>
      <w:r>
        <w:rPr>
          <w:sz w:val="18"/>
        </w:rPr>
        <w:t>——————————————————————————————————————————————————————————————————————</w:t>
      </w:r>
    </w:p>
    <w:p>
      <w:pPr>
        <w:spacing w:before="160" w:after="40" w:line="240" w:lineRule="auto"/>
      </w:pPr>
      <w:r>
        <w:rPr>
          <w:b/>
        </w:rPr>
        <w:t xml:space="preserve">[183] </w:t>
      </w:r>
      <w:hyperlink r:id="rId563">
        <w:r>
          <w:rPr>
            <w:color w:val="1155CC"/>
            <w:u w:val="single"/>
          </w:rPr>
          <w:t>本期导读</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64">
        <w:r>
          <w:rPr>
            <w:color w:val="1155CC"/>
            <w:u w:val="single"/>
          </w:rPr>
          <w:t>10.1073/iti2026123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565">
        <w:r>
          <w:rPr>
            <w:color w:val="1155CC"/>
            <w:u w:val="single"/>
          </w:rPr>
          <w:t>结合广谱性和宿主特异性转录策略使真菌病原体灰葡萄孢的宿主广谱性成为可能</w:t>
        </w:r>
      </w:hyperlink>
    </w:p>
    <w:p>
      <w:pPr>
        <w:spacing w:before="0" w:after="80"/>
      </w:pPr>
      <w:r>
        <w:rPr>
          <w:i/>
          <w:sz w:val="20"/>
        </w:rPr>
        <w:t>EN: Combined generalist and host-specific transcriptional strategies enable host generalism in the fungal pathogen Botrytis cinerea</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66">
        <w:r>
          <w:rPr>
            <w:color w:val="1155CC"/>
            <w:u w:val="single"/>
          </w:rPr>
          <w:t>10.1073/pnas.2521414123</w:t>
        </w:r>
      </w:hyperlink>
    </w:p>
    <w:p>
      <w:pPr>
        <w:spacing w:before="0" w:after="120"/>
      </w:pPr>
      <w:r>
        <w:rPr>
          <w:b/>
        </w:rPr>
        <w:t xml:space="preserve">Notes: </w:t>
      </w:r>
      <w:r>
        <w:t>abstract_source=crossref</w:t>
      </w:r>
    </w:p>
    <w:p>
      <w:pPr>
        <w:spacing w:before="0" w:after="80" w:lineRule="auto" w:line="276"/>
      </w:pPr>
      <w:r>
        <w:rPr>
          <w:b/>
        </w:rPr>
        <w:t xml:space="preserve">摘要（ZH）: </w:t>
      </w:r>
      <w:r>
        <w:t>广谱病原体如何感染系统发育多样性宿主仍然是植物病原体生物学中的一个核心问题。特别是，广谱宿主范围是由遗传变异还是转录可塑性实现尚不清楚。为了调查变异和可塑性如何促进广谱性，我们研究了感染超过1,500种植物的广谱坏死性真菌灰葡萄孢。通过使用一个包含72株灰葡萄孢分离株感染15种真双子叶植物的57种植物基因型的交叉感染矩阵，我们确定了病斑形成的一般和宿主依赖性真菌组分。接种后48小时的转录组分析揭示了两个不同的病原体基因模块：1）一组与病斑相关的通用基因，在不同宿主中表现出相似的表达，但在不同分离株之间存在差异；2）一组高熵、宿主诱导基因，组织成独特的共调控模块，动态响应特定的宿主信号。这两组基因在基因组上是分散的，缺乏结构聚类，并受到不同水平的选择性限制。我们的结果表明，灰葡萄孢采用模块化转录策略，整合了核心代谢程序以及可塑的、宿主响应的调控网络，以实现广泛的宿主定殖。这项研究提供了迄今为止任何真菌植物病原体最全面的跨物种共转录组数据集，强调转录可塑性是关键</w:t>
      </w:r>
    </w:p>
    <w:p>
      <w:pPr>
        <w:spacing w:before="0" w:after="200" w:lineRule="auto" w:line="276"/>
      </w:pPr>
      <w:r>
        <w:rPr>
          <w:b/>
        </w:rPr>
        <w:t xml:space="preserve">Abstract (EN): </w:t>
      </w:r>
      <w:r>
        <w:t>How generalist pathogens infect phylogenetically diverse hosts remains a central question in plant-pathogen biology. In particular, the extent to which broad host range is enabled by genetic variation vs. transcriptional plasticity is unclear. To investigate how variation and plasticity contribute to generalism, we studied the generalist necrotrophic fungus</w:t>
      </w:r>
      <w:r>
        <w:t xml:space="preserve"> </w:t>
      </w:r>
      <w:r>
        <w:t>Botrytis cinerea</w:t>
      </w:r>
      <w:r>
        <w:t xml:space="preserve"> </w:t>
      </w:r>
      <w:r>
        <w:t>that infects more than 1,500 plant species. Using a cross-infection matrix of 72</w:t>
      </w:r>
      <w:r>
        <w:t xml:space="preserve"> </w:t>
      </w:r>
      <w:r>
        <w:t>B. cinerea</w:t>
      </w:r>
      <w:r>
        <w:t xml:space="preserve"> </w:t>
      </w:r>
      <w:r>
        <w:t>isolates infecting 57 plant genotypes across 15 eudicot species, we identified general and host-dependent fungal components of lesion formation. Transcriptome profiling at 48 h postinoculation revealed two distinct pathogen gene modules: 1) a set of general lesion-associated genes showing similar expression across hosts but varied among isolates; and 2) a set of high-entropy, host-inducible genes, organized into distinct coregulated modules that respond dynamically to specific host cues. Both gene sets were genomically dispersed, lacking structural clustering, and were under different levels of selective constraints. Our results demonstrate that</w:t>
      </w:r>
      <w:r>
        <w:t xml:space="preserve"> </w:t>
      </w:r>
      <w:r>
        <w:t>B. cinerea</w:t>
      </w:r>
      <w:r>
        <w:t xml:space="preserve"> </w:t>
      </w:r>
      <w:r>
        <w:t>employs a modular transcriptional strategy that integrates a core metabolic program along with a plastic, host-responsive regulatory network to achieve broad host colonization. This study presents the most comprehensive cross-species cotranscriptomic dataset to date for any fungal phytopathogen, highlighting transcriptional plasticity as a key mechanism underlying generalism in plant–fungal interactions. Moreover, the identification of conserved fungal gene targets across diverse hosts offers a foundation for developing broad-spectrum resistance strategies in multiple crops.</w:t>
      </w:r>
    </w:p>
    <w:p>
      <w:pPr>
        <w:spacing w:before="120" w:after="120"/>
      </w:pPr>
      <w:r>
        <w:rPr>
          <w:sz w:val="18"/>
        </w:rPr>
        <w:t>——————————————————————————————————————————————————————————————————————</w:t>
      </w:r>
    </w:p>
    <w:p>
      <w:pPr>
        <w:spacing w:before="160" w:after="40" w:line="240" w:lineRule="auto"/>
      </w:pPr>
      <w:r>
        <w:rPr>
          <w:b/>
        </w:rPr>
        <w:t xml:space="preserve">[185] </w:t>
      </w:r>
      <w:hyperlink r:id="rId567">
        <w:r>
          <w:rPr>
            <w:color w:val="1155CC"/>
            <w:u w:val="single"/>
          </w:rPr>
          <w:t>转录起始位点异质性控制MDA5感知未剪接HIV-1 RNA</w:t>
        </w:r>
      </w:hyperlink>
    </w:p>
    <w:p>
      <w:pPr>
        <w:spacing w:before="0" w:after="80"/>
      </w:pPr>
      <w:r>
        <w:rPr>
          <w:i/>
          <w:sz w:val="20"/>
        </w:rPr>
        <w:t>EN: Transcription start site heterogeneity controls MDA5 sensing of unspliced HIV-1 RNAs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68">
        <w:r>
          <w:rPr>
            <w:color w:val="1155CC"/>
            <w:u w:val="single"/>
          </w:rPr>
          <w:t>10.1073/pnas.2522948123</w:t>
        </w:r>
      </w:hyperlink>
    </w:p>
    <w:p>
      <w:pPr>
        <w:spacing w:before="0" w:after="120"/>
      </w:pPr>
      <w:r>
        <w:rPr>
          <w:b/>
        </w:rPr>
        <w:t xml:space="preserve">Notes: </w:t>
      </w:r>
      <w:r>
        <w:t>abstract_source=crossref</w:t>
      </w:r>
    </w:p>
    <w:p>
      <w:pPr>
        <w:spacing w:before="0" w:after="80" w:lineRule="auto" w:line="276"/>
      </w:pPr>
      <w:r>
        <w:rPr>
          <w:b/>
        </w:rPr>
        <w:t xml:space="preserve">摘要（ZH）: </w:t>
      </w:r>
      <w:r>
        <w:t>异质性转录起始位点 (TSS) 利用决定了未剪接HIV-1 RNA (usRNA) 的5′前导区结构和功能。我们和其他人此前曾报道，巨噬细胞中HIV-1 usRNA的表达和Rev/CRM1介导的核输出会激活MDA5、MAVS和先天免疫信号通路。在本研究中，我们揭示巨噬细胞中MDA5对病毒usRNA的感知主要由TSS和细胞质RNA功能决定。我们发现，优先用于二聚化和病毒基因组包装的HIV-1 usRNA (cap1G) 被MDA5特异性靶向，而高效翻译的 (cap3G) usRNA则具有免疫沉默性。利用产生5′前导区结构改变的突变病毒，或包含一个驱动mRNA样NXF1依赖性病毒usRNA核输出的逆转录病毒组成型转运元件，我们发现转录起始位点和核输出途径选择是HIV-1 usRNA免疫原性和细胞质功能的主要决定因素。总之，我们发现先天免疫反应调节是人类祖先和现存HIV-1分离株中良好保守的异质性TSS利用的结果，并阐明了MDA5如何区分自身和非自身RNA。</w:t>
      </w:r>
    </w:p>
    <w:p>
      <w:pPr>
        <w:spacing w:before="0" w:after="200" w:lineRule="auto" w:line="276"/>
      </w:pPr>
      <w:r>
        <w:rPr>
          <w:b/>
        </w:rPr>
        <w:t xml:space="preserve">Abstract (EN): </w:t>
      </w:r>
      <w:r>
        <w:t>Heterogenous transcription start site (TSS) usage dictates the 5′ leader structure and function of unspliced HIV-1 RNAs (usRNA). We and others have previously reported that expression and Rev/CRM1-mediated nuclear export of HIV-1 usRNA in macrophages activates MDA5, MAVS, and innate immune signaling cascades. In this study, we reveal that MDA5 sensing of viral usRNA is largely determined by TSS and cytoplasmic RNA function in macrophages. We show that HIV-1 usRNAs (</w:t>
      </w:r>
      <w:r>
        <w:t xml:space="preserve"> </w:t>
      </w:r>
      <w:r>
        <w:t>cap</w:t>
      </w:r>
      <w:r>
        <w:t xml:space="preserve"> </w:t>
      </w:r>
      <w:r>
        <w:t>1G) that are preferentially destined for dimerization and viral genome packaging are specifically targeted by MDA5, while efficiently translated (</w:t>
      </w:r>
      <w:r>
        <w:t xml:space="preserve"> </w:t>
      </w:r>
      <w:r>
        <w:t>cap</w:t>
      </w:r>
      <w:r>
        <w:t xml:space="preserve"> </w:t>
      </w:r>
      <w:r>
        <w:t>3G) usRNAs are immunologically silent. Using mutant viruses which generate usRNA with altered 5′ leader structure, or inclusion of a retroviral constitutive transport element which drives mRNA-like NXF1-dependent nuclear export of viral usRNA, we show that transcription initiation site and nuclear export pathway choice are major determinants of both HIV-1 usRNA immunogenicity and cytoplasmic function. In total, we identify innate immune response modulation as a consequence of the well-conserved heterogenous TSS usage among ancestral and extant HIV-1 isolates in humans, and shed light on how MDA5 discriminates between self and non-self RNAs.</w:t>
      </w:r>
    </w:p>
    <w:p>
      <w:pPr>
        <w:spacing w:before="120" w:after="120"/>
      </w:pPr>
      <w:r>
        <w:rPr>
          <w:sz w:val="18"/>
        </w:rPr>
        <w:t>——————————————————————————————————————————————————————————————————————</w:t>
      </w:r>
    </w:p>
    <w:p>
      <w:pPr>
        <w:spacing w:before="160" w:after="40" w:line="240" w:lineRule="auto"/>
      </w:pPr>
      <w:r>
        <w:rPr>
          <w:b/>
        </w:rPr>
        <w:t xml:space="preserve">[186] </w:t>
      </w:r>
      <w:hyperlink r:id="rId569">
        <w:r>
          <w:rPr>
            <w:color w:val="1155CC"/>
            <w:u w:val="single"/>
          </w:rPr>
          <w:t>群体合作中的进化分支和一致性</w:t>
        </w:r>
      </w:hyperlink>
    </w:p>
    <w:p>
      <w:pPr>
        <w:spacing w:before="0" w:after="80"/>
      </w:pPr>
      <w:r>
        <w:rPr>
          <w:i/>
          <w:sz w:val="20"/>
        </w:rPr>
        <w:t>EN: Evolutionary branching and consistency in group cooperation</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70">
        <w:r>
          <w:rPr>
            <w:color w:val="1155CC"/>
            <w:u w:val="single"/>
          </w:rPr>
          <w:t>10.1073/pnas.2523204123</w:t>
        </w:r>
      </w:hyperlink>
    </w:p>
    <w:p>
      <w:pPr>
        <w:spacing w:before="0" w:after="120"/>
      </w:pPr>
      <w:r>
        <w:rPr>
          <w:b/>
        </w:rPr>
        <w:t xml:space="preserve">Notes: </w:t>
      </w:r>
      <w:r>
        <w:t>abstract_source=crossref</w:t>
      </w:r>
    </w:p>
    <w:p>
      <w:pPr>
        <w:spacing w:before="0" w:after="80" w:lineRule="auto" w:line="276"/>
      </w:pPr>
      <w:r>
        <w:rPr>
          <w:b/>
        </w:rPr>
        <w:t xml:space="preserve">摘要（ZH）: </w:t>
      </w:r>
      <w:r>
        <w:t>理解志愿行为和搭便车行为的起源在集体行动情境中至关重要，在这些情境中，需要足够数量的合作者才能实现共同利益，例如在疫苗接种运动和社会变革运动中。尽管行为一致性对于成功的集体行动至关重要，但这一过程背后的理论机制仍然难以捉摸。在此，我们通过研究多轮阈值公共物品博弈中个体合作水平的演化动力学来解决这个问题。通过使用适应性动力学，我们探讨了在有或没有奖励或惩罚的情况下，激励如何塑造个体行为反应。我们证明，奖励持续合作者可以导致两种不同群体的出现：持续合作的志愿者和持续背叛的搭便车者。相比之下，惩罚持续背叛者并不会导致类似的演化分支。我们的结果有助于为设计促进集体行动和解决从气候缓解到疫情控制等集体风险困境的有效干预措施提供见解。</w:t>
      </w:r>
    </w:p>
    <w:p>
      <w:pPr>
        <w:spacing w:before="0" w:after="200" w:lineRule="auto" w:line="276"/>
      </w:pPr>
      <w:r>
        <w:rPr>
          <w:b/>
        </w:rPr>
        <w:t xml:space="preserve">Abstract (EN): </w:t>
      </w:r>
      <w:r>
        <w:t>Understanding the origins of volunteerism and free-riding is crucial in collective action situations where a sufficient number of cooperators is necessary to achieve shared benefits, such as in vaccination campaigns and social change movements. Despite the importance of attaining behavioral consistency for successful collective action, the theoretical mechanisms behind this process remain largely elusive. Here, we address this issue by studying the evolutionary dynamics of individual cooperativity levels in multiround threshold public goods games. By using adaptive dynamics, we explore how individual behavior responses are shaped by incentives, with and without reward or punishment. We demonstrate that rewarding consistent cooperators can lead to the emergence of two distinct populations: volunteers who consistently cooperate and free-riders who consistently defect. In contrast, punishing consistent defectors does not lead to similar evolutionary branching. Our results help offer insights into designing effective interventions that promote collective action and address collective risk dilemmas ranging from climate mitigation to pandemic control.</w:t>
      </w:r>
    </w:p>
    <w:p>
      <w:pPr>
        <w:spacing w:before="120" w:after="120"/>
      </w:pPr>
      <w:r>
        <w:rPr>
          <w:sz w:val="18"/>
        </w:rPr>
        <w:t>——————————————————————————————————————————————————————————————————————</w:t>
      </w:r>
    </w:p>
    <w:p>
      <w:pPr>
        <w:spacing w:before="160" w:after="40" w:line="240" w:lineRule="auto"/>
      </w:pPr>
      <w:r>
        <w:rPr>
          <w:b/>
        </w:rPr>
        <w:t xml:space="preserve">[187] </w:t>
      </w:r>
      <w:hyperlink r:id="rId571">
        <w:r>
          <w:rPr>
            <w:color w:val="1155CC"/>
            <w:u w:val="single"/>
          </w:rPr>
          <w:t>风力涡轮机邻近性与健康：来自美国家庭的纵向证据</w:t>
        </w:r>
      </w:hyperlink>
    </w:p>
    <w:p>
      <w:pPr>
        <w:spacing w:before="0" w:after="80"/>
      </w:pPr>
      <w:r>
        <w:rPr>
          <w:i/>
          <w:sz w:val="20"/>
        </w:rPr>
        <w:t>EN: Wind turbine proximity and health: Longitudinal evidence from US households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72">
        <w:r>
          <w:rPr>
            <w:color w:val="1155CC"/>
            <w:u w:val="single"/>
          </w:rPr>
          <w:t>10.1073/pnas.2525715123</w:t>
        </w:r>
      </w:hyperlink>
    </w:p>
    <w:p>
      <w:pPr>
        <w:spacing w:before="0" w:after="120"/>
      </w:pPr>
      <w:r>
        <w:rPr>
          <w:b/>
        </w:rPr>
        <w:t xml:space="preserve">Notes: </w:t>
      </w:r>
      <w:r>
        <w:t>abstract_source=crossref</w:t>
      </w:r>
    </w:p>
    <w:p>
      <w:pPr>
        <w:spacing w:before="0" w:after="80" w:lineRule="auto" w:line="276"/>
      </w:pPr>
      <w:r>
        <w:rPr>
          <w:b/>
        </w:rPr>
        <w:t xml:space="preserve">摘要（ZH）: </w:t>
      </w:r>
      <w:r>
        <w:t>风能的快速发展在全球减少碳排放的努力中发挥着关键作用，然而，公众对其潜在健康影响，特别是通过噪音暴露产生的健康影响，仍存担忧。尽管一些研究和媒体报道表明风力涡轮机可能导致睡眠障碍、焦虑甚至自杀，但现有证据仍然有限且不确定。本研究结合了来自美国风力涡轮机数据库的涡轮机地理位置数据、超过120,000户家庭的纵向调查数据 (2011-2023年) 和消费者购买记录，以评估靠近风力涡轮机是否影响身心健康。我们考察了广泛的结果，包括抑郁、焦虑、睡眠障碍、头痛以及安眠药和止痛药的使用。比较附近涡轮机安装前后家庭的情况，我们发现在典型暴露距离下，涡轮机暴露没有可检测到的不良健康影响。尽管我们不能排除微小影响，但我们的置信区间 (CIs) 排除了中等到大的影响，这表明对重大健康影响的担忧在人口层面数据中并未得到证实。其他不适因素，如噪音、阴影闪烁和视觉侵扰，即使没有可测量的健康影响，仍可能影响生活质量。</w:t>
      </w:r>
    </w:p>
    <w:p>
      <w:pPr>
        <w:spacing w:before="0" w:after="200" w:lineRule="auto" w:line="276"/>
      </w:pPr>
      <w:r>
        <w:rPr>
          <w:b/>
        </w:rPr>
        <w:t xml:space="preserve">Abstract (EN): </w:t>
      </w:r>
      <w:r>
        <w:t>Rapid growth of wind energy plays a key role in global efforts to reduce carbon emissions, yet public concerns persist about its potential health effects, particularly through noise exposure. While some studies and media reports suggest that wind turbines may contribute to sleep disturbances, anxiety, and even suicide, existing evidence remains limited and inconclusive. This study combines geolocated data on turbines from the US Wind Turbine Database with longitudinal survey data on over 120,000 households (2011–2023) and consumer purchasing records to assess whether proximity to wind turbines affects mental and physical health. We examine a wide range of outcomes, including depression, anxiety, sleep disorders, headaches, and use of sleep aids and painkillers. Comparing households before and after nearby turbine installations, we find no detectable adverse health effects from turbine exposure at typical exposure distances. While we cannot rule out small effects, our CIs exclude moderate-to-large impacts, suggesting that fears about substantial health impacts are not borne out in population-level data. Other disamenities such as noise, shadow flicker, and visual intrusion may still affect quality of life even absent measurable health impacts.</w:t>
      </w:r>
    </w:p>
    <w:p>
      <w:pPr>
        <w:spacing w:before="120" w:after="120"/>
      </w:pPr>
      <w:r>
        <w:rPr>
          <w:sz w:val="18"/>
        </w:rPr>
        <w:t>——————————————————————————————————————————————————————————————————————</w:t>
      </w:r>
    </w:p>
    <w:p>
      <w:pPr>
        <w:spacing w:before="160" w:after="40" w:line="240" w:lineRule="auto"/>
      </w:pPr>
      <w:r>
        <w:rPr>
          <w:b/>
        </w:rPr>
        <w:t xml:space="preserve">[188] </w:t>
      </w:r>
      <w:hyperlink r:id="rId573">
        <w:r>
          <w:rPr>
            <w:color w:val="1155CC"/>
            <w:u w:val="single"/>
          </w:rPr>
          <w:t>大型语言模型通过标准三方图灵测试</w:t>
        </w:r>
      </w:hyperlink>
    </w:p>
    <w:p>
      <w:pPr>
        <w:spacing w:before="0" w:after="80"/>
      </w:pPr>
      <w:r>
        <w:rPr>
          <w:i/>
          <w:sz w:val="20"/>
        </w:rPr>
        <w:t>EN: Large language models pass a standard three-party Turing test</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74">
        <w:r>
          <w:rPr>
            <w:color w:val="1155CC"/>
            <w:u w:val="single"/>
          </w:rPr>
          <w:t>10.1073/pnas.2524472123</w:t>
        </w:r>
      </w:hyperlink>
    </w:p>
    <w:p>
      <w:pPr>
        <w:spacing w:before="0" w:after="120"/>
      </w:pPr>
      <w:r>
        <w:rPr>
          <w:b/>
        </w:rPr>
        <w:t xml:space="preserve">Notes: </w:t>
      </w:r>
      <w:r>
        <w:t>abstract_source=crossref</w:t>
      </w:r>
    </w:p>
    <w:p>
      <w:pPr>
        <w:spacing w:before="0" w:after="80" w:lineRule="auto" w:line="276"/>
      </w:pPr>
      <w:r>
        <w:rPr>
          <w:b/>
        </w:rPr>
        <w:t xml:space="preserve">摘要（ZH）: </w:t>
      </w:r>
      <w:r>
        <w:t>图灵测试作为一种机器智能测试已被广泛讨论，但它也提供了一种衡量人类如何区分其他人类与机器的方法。我们对4个系统（ELIZA、GPT-4o、LLaMa-3.1-405B 和 GPT-4.5）进行了两次随机、对照和预注册的图灵测试，测试对象为独立人群。参与者与另一位人类参与者和其中一个系统同时进行5分钟对话，然后判断他们认为哪个对话伙伴是人类。当被提示采用拟人化角色时，GPT-4.5在73%的时间里被判断为人类：这显著高于提问者选择真实人类参与者的频率。LLaMa-3.1在相同提示下，在56%的时间里被判断为人类——与被比较的人类相比，其频率没有显著更高或更低。然而，在没有这些提示的情况下，相同的模型表现显著更差（38% 和 36%），并且未能持续优于基线模型ELIZA和GPT-4o（分别为23% 和 21%）。第三项研究在15分钟的游戏中复制了这些结果：两个采用PERSONA提示的模型通过率分别为56% 和 59%。这些结果构成了人工系统可以通过标准三方图灵测试的经验证据。提问者的推理更多地集中在人类行为的风格和社会情感方面，而不是更传统的智能概念。这些结果对关于大型语言模型展现何种智能、这些系统可能产生的社会影响以及人类行为的方面等辩论具有启示。</w:t>
      </w:r>
    </w:p>
    <w:p>
      <w:pPr>
        <w:spacing w:before="0" w:after="200" w:lineRule="auto" w:line="276"/>
      </w:pPr>
      <w:r>
        <w:rPr>
          <w:b/>
        </w:rPr>
        <w:t xml:space="preserve">Abstract (EN): </w:t>
      </w:r>
      <w:r>
        <w:t>The Turing test has been widely discussed as a test of machine intelligence, but it also provides a measure of how humans distinguish other humans from machines. We evaluated 4 systems (ELIZA, GPT-4o, LLaMa-3.1-405B, and GPT-4.5) in two randomized, controlled, and preregistered Turing tests on independent populations. Participants had 5 min conversations simultaneously with another human participant and one of these systems before judging which conversational partner they thought was human. When prompted to adopt a humanlike persona, GPT-4.5 was judged to be the human 73% of the time: significantly more often than interrogators selected the real human participant. LLaMa-3.1, with the same prompt, was judged to be the human 56% of the time—not significantly more or less often than the humans it was being compared to. Without these prompts, however, the same models performed significantly worse (38% and 36%), and did not consistently outperform baseline models, ELIZA and GPT-4o (23% and 21%, respectively). A third study replicated these results in 15-min games: two PERSONA-prompted models achieved pass rates of 56% and 59%. The results constitute empirical evidence that artificial systems can pass a standard three-party Turing test. Interrogators’ reasoning focused more on stylistic and socio-emotional aspects of human behavior rather than more traditional notions of intelligence. The results have implications for debates about what kind of intelligence is exhibited by large language models, the social impacts these systems are likely to have, and the aspects of human behavior that people continue to see as unique.</w:t>
      </w:r>
    </w:p>
    <w:p>
      <w:pPr>
        <w:spacing w:before="120" w:after="120"/>
      </w:pPr>
      <w:r>
        <w:rPr>
          <w:sz w:val="18"/>
        </w:rPr>
        <w:t>——————————————————————————————————————————————————————————————————————</w:t>
      </w:r>
    </w:p>
    <w:p>
      <w:pPr>
        <w:spacing w:before="160" w:after="40" w:line="240" w:lineRule="auto"/>
      </w:pPr>
      <w:r>
        <w:rPr>
          <w:b/>
        </w:rPr>
        <w:t xml:space="preserve">[189] </w:t>
      </w:r>
      <w:hyperlink r:id="rId575">
        <w:r>
          <w:rPr>
            <w:color w:val="1155CC"/>
            <w:u w:val="single"/>
          </w:rPr>
          <w:t>二硫键还原电位的系统测定揭示了蓝细菌中的非平衡氧化还原等级</w:t>
        </w:r>
      </w:hyperlink>
    </w:p>
    <w:p>
      <w:pPr>
        <w:spacing w:before="0" w:after="80"/>
      </w:pPr>
      <w:r>
        <w:rPr>
          <w:i/>
          <w:sz w:val="20"/>
        </w:rPr>
        <w:t>EN: Systematic determination of disulfide bond reduction potentials reveals a nonequilibrium redox hierarchy in cyanobacteria</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76">
        <w:r>
          <w:rPr>
            <w:color w:val="1155CC"/>
            <w:u w:val="single"/>
          </w:rPr>
          <w:t>10.1073/pnas.2600150123</w:t>
        </w:r>
      </w:hyperlink>
    </w:p>
    <w:p>
      <w:pPr>
        <w:spacing w:before="0" w:after="120"/>
      </w:pPr>
      <w:r>
        <w:rPr>
          <w:b/>
        </w:rPr>
        <w:t xml:space="preserve">Notes: </w:t>
      </w:r>
      <w:r>
        <w:t>abstract_source=crossref</w:t>
      </w:r>
    </w:p>
    <w:p>
      <w:pPr>
        <w:spacing w:before="0" w:after="80" w:lineRule="auto" w:line="276"/>
      </w:pPr>
      <w:r>
        <w:rPr>
          <w:b/>
        </w:rPr>
        <w:t xml:space="preserve">摘要（ZH）: </w:t>
      </w:r>
      <w:r>
        <w:t>二硫键作为可逆开关，调节几乎所有生物体的细胞功能。它们的行为由中点电位 (E_m) 决定，然而 E_m 仅在少数位点已知，主要是在远离其天然伙伴的纯化蛋白中进行研究。我们开发了一种质谱工作流程，可以直接从天然细胞裂解物中测量 E_m。通过在定义的氧化还原缓冲液中平衡蓝细菌 Synechocystis sp. PCC 6803 的蛋白质并读取单个半胱氨酸的氧化态，我们获得了蛋白质组中368个 E_m 值，并与纯化蛋白进行了验证。一个关键例子是调节蛋白 CP12：其在分离状态下的 E_m 与在裂解物中测得的值差异很大，并且只有当其生理伙伴硫氧还蛋白被包含在内时才趋于一致，这表明我们的方法捕获了细胞内起作用的有效电位。将 E_m 与光照和黑暗中半胱氨酸氧化还原状态的绝对测量相结合，我们绘制了卡尔文-本森-巴沙姆 (CBB) 循环酶的细胞内氧化还原“工作点”。磷酸核酮糖激酶位于硫氧还蛋白附近，而果糖1,6-二磷酸酶/景天庚酮糖1,7-二磷酸酶...</w:t>
      </w:r>
    </w:p>
    <w:p>
      <w:pPr>
        <w:spacing w:before="0" w:after="200" w:lineRule="auto" w:line="276"/>
      </w:pPr>
      <w:r>
        <w:rPr>
          <w:b/>
        </w:rPr>
        <w:t xml:space="preserve">Abstract (EN): </w:t>
      </w:r>
      <w:r>
        <w:t>Disulfide bonds act as reversible switches that regulate cellular function in nearly all organisms. Their behavior is set by the midpoint potential (</w:t>
      </w:r>
      <w:r>
        <w:t xml:space="preserve"> </w:t>
      </w:r>
      <w:r>
        <w:t>E</w:t>
      </w:r>
      <w:r>
        <w:t xml:space="preserve"> </w:t>
      </w:r>
      <w:r>
        <w:t>m</w:t>
      </w:r>
      <w:r>
        <w:t xml:space="preserve"> </w:t>
      </w:r>
      <w:r>
        <w:t>), yet</w:t>
      </w:r>
      <w:r>
        <w:t xml:space="preserve"> </w:t>
      </w:r>
      <w:r>
        <w:t>E</w:t>
      </w:r>
      <w:r>
        <w:t xml:space="preserve"> </w:t>
      </w:r>
      <w:r>
        <w:t>m</w:t>
      </w:r>
      <w:r>
        <w:t xml:space="preserve"> </w:t>
      </w:r>
      <w:r>
        <w:t>is known for only a small number of sites, mostly in purified proteins studied away from their natural partners. We developed a mass-spectrometry workflow that measures</w:t>
      </w:r>
      <w:r>
        <w:t xml:space="preserve"> </w:t>
      </w:r>
      <w:r>
        <w:t>E</w:t>
      </w:r>
      <w:r>
        <w:t xml:space="preserve"> </w:t>
      </w:r>
      <w:r>
        <w:t>m</w:t>
      </w:r>
      <w:r>
        <w:t xml:space="preserve"> </w:t>
      </w:r>
      <w:r>
        <w:t>directly from native cell lysates. By equilibrating proteins of the cyanobacterium</w:t>
      </w:r>
      <w:r>
        <w:t xml:space="preserve"> </w:t>
      </w:r>
      <w:r>
        <w:t>Synechocystis</w:t>
      </w:r>
      <w:r>
        <w:t xml:space="preserve"> </w:t>
      </w:r>
      <w:r>
        <w:t>sp. PCC 6803 in defined redox buffers and reading out the oxidation state of individual cysteines, we obtained 368</w:t>
      </w:r>
      <w:r>
        <w:t xml:space="preserve"> </w:t>
      </w:r>
      <w:r>
        <w:t>E</w:t>
      </w:r>
      <w:r>
        <w:t xml:space="preserve"> </w:t>
      </w:r>
      <w:r>
        <w:t>m</w:t>
      </w:r>
      <w:r>
        <w:t xml:space="preserve"> </w:t>
      </w:r>
      <w:r>
        <w:t>values across the proteome and validated them against purified proteins. A key example is the regulatory protein CP12: its</w:t>
      </w:r>
      <w:r>
        <w:t xml:space="preserve"> </w:t>
      </w:r>
      <w:r>
        <w:t>E</w:t>
      </w:r>
      <w:r>
        <w:t xml:space="preserve"> </w:t>
      </w:r>
      <w:r>
        <w:t>m</w:t>
      </w:r>
      <w:r>
        <w:t xml:space="preserve"> </w:t>
      </w:r>
      <w:r>
        <w:t>in isolation differs strongly from the value measured in lysate and converges only when its physiological partner, thioredoxin, is included, showing that our approach captures the effective potentials that operate inside cells. Combining</w:t>
      </w:r>
      <w:r>
        <w:t xml:space="preserve"> </w:t>
      </w:r>
      <w:r>
        <w:t>E</w:t>
      </w:r>
      <w:r>
        <w:t xml:space="preserve"> </w:t>
      </w:r>
      <w:r>
        <w:t>m</w:t>
      </w:r>
      <w:r>
        <w:t xml:space="preserve"> </w:t>
      </w:r>
      <w:r>
        <w:t>with absolute measurements of cysteine redox state in light and darkness, we mapped intracellular redox “operating points” for Calvin–Benson–Bassham (CBB) cycle enzymes. Phosphoribulokinase sits near thioredoxin, whereas fructose 1,6-bisphosphatase/sedoheptulose 1,7-bisphosphatase (F/SBPase) and CP12 are maintained at more oxidized, nonequilibrium states. These results reveal a hierarchical redox control network in photosynthetic metabolism and provide a general strategy for measuring context-dependent redox switches in living systems.</w:t>
      </w:r>
    </w:p>
    <w:p>
      <w:pPr>
        <w:spacing w:before="120" w:after="120"/>
      </w:pPr>
      <w:r>
        <w:rPr>
          <w:sz w:val="18"/>
        </w:rPr>
        <w:t>——————————————————————————————————————————————————————————————————————</w:t>
      </w:r>
    </w:p>
    <w:p>
      <w:pPr>
        <w:spacing w:before="160" w:after="40" w:line="240" w:lineRule="auto"/>
      </w:pPr>
      <w:r>
        <w:rPr>
          <w:b/>
        </w:rPr>
        <w:t xml:space="preserve">[190] </w:t>
      </w:r>
      <w:hyperlink r:id="rId577">
        <w:r>
          <w:rPr>
            <w:color w:val="1155CC"/>
            <w:u w:val="single"/>
          </w:rPr>
          <w:t>拟南芥Cvi生态型的全基因组CG低甲基化与VIM4–VIM2基因座的结构变异和RNAi相关联</w:t>
        </w:r>
      </w:hyperlink>
    </w:p>
    <w:p>
      <w:pPr>
        <w:spacing w:before="0" w:after="80"/>
      </w:pPr>
      <w:r>
        <w:rPr>
          <w:i/>
          <w:sz w:val="20"/>
        </w:rPr>
        <w:t>EN: Genome-wide CG hypomethylation of the Arabidopsis ecotype Cvi linked to structural variation and RNAi at the VIM4–VIM2 locus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78">
        <w:r>
          <w:rPr>
            <w:color w:val="1155CC"/>
            <w:u w:val="single"/>
          </w:rPr>
          <w:t>10.1073/pnas.2603682123</w:t>
        </w:r>
      </w:hyperlink>
    </w:p>
    <w:p>
      <w:pPr>
        <w:spacing w:before="0" w:after="120"/>
      </w:pPr>
      <w:r>
        <w:rPr>
          <w:b/>
        </w:rPr>
        <w:t xml:space="preserve">Notes: </w:t>
      </w:r>
      <w:r>
        <w:t>abstract_source=crossref</w:t>
      </w:r>
    </w:p>
    <w:p>
      <w:pPr>
        <w:spacing w:before="0" w:after="80" w:lineRule="auto" w:line="276"/>
      </w:pPr>
      <w:r>
        <w:rPr>
          <w:b/>
        </w:rPr>
        <w:t xml:space="preserve">摘要（ZH）: </w:t>
      </w:r>
      <w:r>
        <w:t>佛得角岛 (Cvi)-0 生态型是拟南芥的一个残遗谱系，其特征是全基因组范围内CG甲基化水平异常低。大量的群体水平和分子研究强调了这种表观基因组特征、表型性状和环境因素之间的联系；然而，Cvi-0独特甲基化图谱的分子机制仍然未知。通过对Cvi-0和Col-0进行多组学比较，我们鉴定出源自反向重复序列 (IR) 的Cvi特异性小RNA，该IR由两个反向排列的DNA甲基化途径基因 VARIANT IN METHYLATION 2 和 4 (VIM2 和 VIM4) 形成。Cvi-0中一个基因间2.8-kb的缺失使这些基因更靠近，从而实现了通读转录和嵌合转录本的形成。靶向5′ RACE和WGBS显示，由此产生的siRNA介导了转录后基因沉默以及顺式和反式局部DNA高甲基化，从而降低了拟南芥中甲基转移酶活性所需的VIM1基因的表达。对拟南芥生态型和相关物种的比较分析揭示了VIM4处存在显著的结构多态性。</w:t>
      </w:r>
    </w:p>
    <w:p>
      <w:pPr>
        <w:spacing w:before="0" w:after="200" w:lineRule="auto" w:line="276"/>
      </w:pPr>
      <w:r>
        <w:rPr>
          <w:b/>
        </w:rPr>
        <w:t xml:space="preserve">Abstract (EN): </w:t>
      </w:r>
      <w:r>
        <w:t>The Cape Verde Island (Cvi)-0 ecotype, a relict lineage of</w:t>
      </w:r>
      <w:r>
        <w:t xml:space="preserve"> </w:t>
      </w:r>
      <w:r>
        <w:t>Arabidopsis thaliana</w:t>
      </w:r>
      <w:r>
        <w:t xml:space="preserve"> </w:t>
      </w:r>
      <w:r>
        <w:t>, is characterized by exceptionally low CG methylation levels genome-wide. Numerous population-level and molecular studies have highlighted links between this epigenomic feature, phenotypic traits and environmental factors; however, the molecular mechanism underlying Cvi-0’s distinctive methylation profile remains unknown. Using multiomics comparisons between Cvi-0 and Col-0, we identified Cvi-specific small-RNAs derived from an inverted repeat (IR) formed by two inverted-orientation DNA methylation pathway genes,</w:t>
      </w:r>
      <w:r>
        <w:t xml:space="preserve"> </w:t>
      </w:r>
      <w:r>
        <w:t>VARIANT IN METHYLATION 2</w:t>
      </w:r>
      <w:r>
        <w:t xml:space="preserve"> </w:t>
      </w:r>
      <w:r>
        <w:t>and</w:t>
      </w:r>
      <w:r>
        <w:rPr>
          <w:vertAlign w:val="subscript"/>
        </w:rPr>
        <w:t>4</w:t>
      </w:r>
      <w:r>
        <w:t>(</w:t>
      </w:r>
      <w:r>
        <w:t xml:space="preserve"> </w:t>
      </w:r>
      <w:r>
        <w:t>VIM2</w:t>
      </w:r>
      <w:r>
        <w:t xml:space="preserve"> </w:t>
      </w:r>
      <w:r>
        <w:t>and</w:t>
      </w:r>
      <w:r>
        <w:t xml:space="preserve"> </w:t>
      </w:r>
      <w:r>
        <w:t>VIM4</w:t>
      </w:r>
      <w:r>
        <w:t xml:space="preserve"> </w:t>
      </w:r>
      <w:r>
        <w:t>). An intergenic 2.8-kb deletion brings these genes closer in Cvi-0, enabling read-through transcription and formation of chimeric transcripts. Targeted 5′ RACE and WGBS showed that the resulting siRNAs mediate both posttranscriptional gene silencing and local DNA hypermethylation</w:t>
      </w:r>
      <w:r>
        <w:t xml:space="preserve"> </w:t>
      </w:r>
      <w:r>
        <w:t>in cis</w:t>
      </w:r>
      <w:r>
        <w:t xml:space="preserve"> </w:t>
      </w:r>
      <w:r>
        <w:t>and</w:t>
      </w:r>
      <w:r>
        <w:t xml:space="preserve"> </w:t>
      </w:r>
      <w:r>
        <w:t>trans,</w:t>
      </w:r>
      <w:r>
        <w:t xml:space="preserve"> </w:t>
      </w:r>
      <w:r>
        <w:t>reducing the expression of the</w:t>
      </w:r>
      <w:r>
        <w:t xml:space="preserve"> </w:t>
      </w:r>
      <w:r>
        <w:t>VIM1</w:t>
      </w:r>
      <w:r>
        <w:t xml:space="preserve"> </w:t>
      </w:r>
      <w:r>
        <w:t>gene, which is required for methyltransferase activity in</w:t>
      </w:r>
      <w:r>
        <w:t xml:space="preserve"> </w:t>
      </w:r>
      <w:r>
        <w:t>A.thaliana</w:t>
      </w:r>
      <w:r>
        <w:t xml:space="preserve"> </w:t>
      </w:r>
      <w:r>
        <w:t>. Comparative analysis across</w:t>
      </w:r>
      <w:r>
        <w:t xml:space="preserve"> </w:t>
      </w:r>
      <w:r>
        <w:t>A. thaliana</w:t>
      </w:r>
      <w:r>
        <w:t xml:space="preserve"> </w:t>
      </w:r>
      <w:r>
        <w:t>ecotypes and related species revealed substantial structural polymorphism at the</w:t>
      </w:r>
      <w:r>
        <w:t xml:space="preserve"> </w:t>
      </w:r>
      <w:r>
        <w:t>VIM4</w:t>
      </w:r>
      <w:r>
        <w:t xml:space="preserve"> </w:t>
      </w:r>
      <w:r>
        <w:t>–</w:t>
      </w:r>
      <w:r>
        <w:t xml:space="preserve"> </w:t>
      </w:r>
      <w:r>
        <w:t>VIM2</w:t>
      </w:r>
      <w:r>
        <w:t xml:space="preserve"> </w:t>
      </w:r>
      <w:r>
        <w:t>IR locus, likely shaped by nonallelic homologous recombination—facilitated by local palindromic structures, intronic repeats, and transposable element activity. Notably, the Cvi-0</w:t>
      </w:r>
      <w:r>
        <w:t xml:space="preserve"> </w:t>
      </w:r>
      <w:r>
        <w:t>VIM4</w:t>
      </w:r>
      <w:r>
        <w:t xml:space="preserve"> </w:t>
      </w:r>
      <w:r>
        <w:t>–</w:t>
      </w:r>
      <w:r>
        <w:t xml:space="preserve"> </w:t>
      </w:r>
      <w:r>
        <w:t>VIM2</w:t>
      </w:r>
      <w:r>
        <w:t xml:space="preserve"> </w:t>
      </w:r>
      <w:r>
        <w:t>IR configuration was unique, suggesting it is a rare, lineage-specific natural variant. Taken together, natural variation at the</w:t>
      </w:r>
      <w:r>
        <w:t xml:space="preserve"> </w:t>
      </w:r>
      <w:r>
        <w:t>VIM4</w:t>
      </w:r>
      <w:r>
        <w:t xml:space="preserve"> </w:t>
      </w:r>
      <w:r>
        <w:t>–</w:t>
      </w:r>
      <w:r>
        <w:t xml:space="preserve"> </w:t>
      </w:r>
      <w:r>
        <w:t>VIM2</w:t>
      </w:r>
      <w:r>
        <w:t xml:space="preserve"> </w:t>
      </w:r>
      <w:r>
        <w:t>palindrome locus, uniquely found in Cvi-0, appears to be the causal variant driving siRNA biogenesis and down-regulation of the methyltransferase pathway. This distinctive regulatory mechanism is likely to have contributed to long-term reduction of CG methylation in Cvi-0, potentially maintained over millennia due to its geographical isolation from the mainland.</w:t>
      </w:r>
    </w:p>
    <w:p>
      <w:pPr>
        <w:spacing w:before="120" w:after="120"/>
      </w:pPr>
      <w:r>
        <w:rPr>
          <w:sz w:val="18"/>
        </w:rPr>
        <w:t>——————————————————————————————————————————————————————————————————————</w:t>
      </w:r>
    </w:p>
    <w:p>
      <w:pPr>
        <w:spacing w:before="160" w:after="40" w:line="240" w:lineRule="auto"/>
      </w:pPr>
      <w:r>
        <w:rPr>
          <w:b/>
        </w:rPr>
        <w:t xml:space="preserve">[191] </w:t>
      </w:r>
      <w:hyperlink r:id="rId579">
        <w:r>
          <w:rPr>
            <w:color w:val="1155CC"/>
            <w:u w:val="single"/>
          </w:rPr>
          <w:t>格陵兰鲨基因组：对寿命极端值和种群动态的深入了解</w:t>
        </w:r>
      </w:hyperlink>
    </w:p>
    <w:p>
      <w:pPr>
        <w:spacing w:before="0" w:after="80"/>
      </w:pPr>
      <w:r>
        <w:rPr>
          <w:i/>
          <w:sz w:val="20"/>
        </w:rPr>
        <w:t>EN: The Greenland shark genome: Insights into lifespan extremes and population dynamics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80">
        <w:r>
          <w:rPr>
            <w:color w:val="1155CC"/>
            <w:u w:val="single"/>
          </w:rPr>
          <w:t>10.1073/pnas.2601272123</w:t>
        </w:r>
      </w:hyperlink>
    </w:p>
    <w:p>
      <w:pPr>
        <w:spacing w:before="0" w:after="120"/>
      </w:pPr>
      <w:r>
        <w:rPr>
          <w:b/>
        </w:rPr>
        <w:t xml:space="preserve">Notes: </w:t>
      </w:r>
      <w:r>
        <w:t>abstract_source=crossref</w:t>
      </w:r>
    </w:p>
    <w:p>
      <w:pPr>
        <w:spacing w:before="0" w:after="80" w:lineRule="auto" w:line="276"/>
      </w:pPr>
      <w:r>
        <w:rPr>
          <w:b/>
        </w:rPr>
        <w:t xml:space="preserve">摘要（ZH）: </w:t>
      </w:r>
      <w:r>
        <w:t>格陵兰鲨 (Somniosus microcephalus) 以其缓慢的新陈代谢和深海栖息地而闻名。它被认为是地球上寿命最长的脊椎动物，估计寿命为 392 ± 120 年。尽管其寿命惊人且生活方式独特，但目前尚无关于该物种的基因组学研究。在这里，我们报告了格陵兰鲨基因组的染色体水平组装，其大小为 5.9 Gb，N50 长度为 233 Mb，完整性评分为 96.7%。我们对基因家族扩张和正选择的分析揭示了经典的与长寿相关的机制，包括免疫增强、癌症抵抗和 DNA 修复，以及可能与延长寿命极限相关的其他特征。连接组蛋白 H1.0 球状结构域中独特的氨基酸取代预计会增强染色质稳定性，并且该物种独特的基因库为提出可能将铁死亡与超长寿命联系起来的假设提供了框架。我们还阐明了格陵兰鲨及其近亲太平洋睡鲨 (Somniosus pacificus) 的有效种群大小 (Ne) 的动态。这些基因组分析为格陵兰鲨超长寿命的分子基础提供了见解，并强调了可能为未来长寿研究提供信息的潜在遗传机制。</w:t>
      </w:r>
    </w:p>
    <w:p>
      <w:pPr>
        <w:spacing w:before="0" w:after="200" w:lineRule="auto" w:line="276"/>
      </w:pPr>
      <w:r>
        <w:rPr>
          <w:b/>
        </w:rPr>
        <w:t xml:space="preserve">Abstract (EN): </w:t>
      </w:r>
      <w:r>
        <w:t>The Greenland shark (</w:t>
      </w:r>
      <w:r>
        <w:t xml:space="preserve"> </w:t>
      </w:r>
      <w:r>
        <w:t>Somniosus microcephalus</w:t>
      </w:r>
      <w:r>
        <w:t xml:space="preserve"> </w:t>
      </w:r>
      <w:r>
        <w:t>) is known for its slow metabolism and deep-sea habitat. It is thought to be the longest-lived vertebrate on Earth, with an estimated lifespan of 392 ± 120 y. Despite its remarkable longevity and unusual lifestyle, no genomic studies are yet available for this species. Here, we report a chromosome-level assembly of the Greenland shark genome, which is 5.9 Gb in size with an N50 length of 233 Mb and a completeness score of 96.7%. Our analyses of gene family expansion and positive selection revealed classical longevity-related mechanisms, including immune enhancement, cancer resistance, and DNA repair, as well as additional features potentially associated with extended lifespan limits. Unique amino acid substitutions in the globular domain of linker histone H1.0 are predicted to enhance chromatin stability, and the species’ distinctive gene repertoire provides a framework for generating hypotheses potentially linking ferroptosis to exceptional longevity. We also elucidate the dynamics of the effective population size (</w:t>
      </w:r>
      <w:r>
        <w:t xml:space="preserve"> </w:t>
      </w:r>
      <w:r>
        <w:t>N</w:t>
      </w:r>
      <w:r>
        <w:t xml:space="preserve"> </w:t>
      </w:r>
      <w:r>
        <w:t>e</w:t>
      </w:r>
      <w:r>
        <w:t xml:space="preserve"> </w:t>
      </w:r>
      <w:r>
        <w:t>) of the Greenland shark and its close relative, the Pacific sleeper shark (</w:t>
      </w:r>
      <w:r>
        <w:t xml:space="preserve"> </w:t>
      </w:r>
      <w:r>
        <w:t>Somniosus pacificus</w:t>
      </w:r>
      <w:r>
        <w:t xml:space="preserve"> </w:t>
      </w:r>
      <w:r>
        <w:t>). These genomic analyses offer insights into the molecular basis of the exceptional longevity of the Greenland shark and highlight potential genetic mechanisms that could inform future research into longevity.</w:t>
      </w:r>
    </w:p>
    <w:p>
      <w:pPr>
        <w:spacing w:before="120" w:after="120"/>
      </w:pPr>
      <w:r>
        <w:rPr>
          <w:sz w:val="18"/>
        </w:rPr>
        <w:t>——————————————————————————————————————————————————————————————————————</w:t>
      </w:r>
    </w:p>
    <w:p>
      <w:pPr>
        <w:spacing w:before="160" w:after="40" w:line="240" w:lineRule="auto"/>
      </w:pPr>
      <w:r>
        <w:rPr>
          <w:b/>
        </w:rPr>
        <w:t xml:space="preserve">[192] </w:t>
      </w:r>
      <w:hyperlink r:id="rId581">
        <w:r>
          <w:rPr>
            <w:color w:val="1155CC"/>
            <w:u w:val="single"/>
          </w:rPr>
          <w:t>BCG水凝胶实现局部NOD2/STING激活以克服对免疫检查点阻断的抵抗</w:t>
        </w:r>
      </w:hyperlink>
    </w:p>
    <w:p>
      <w:pPr>
        <w:spacing w:before="0" w:after="80"/>
      </w:pPr>
      <w:r>
        <w:rPr>
          <w:i/>
          <w:sz w:val="20"/>
        </w:rPr>
        <w:t>EN: A BCG hydrogel enables localized NOD2/STING activation to overcome resistance to immune checkpoint blockade</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82">
        <w:r>
          <w:rPr>
            <w:color w:val="1155CC"/>
            <w:u w:val="single"/>
          </w:rPr>
          <w:t>10.1073/pnas.2531588123</w:t>
        </w:r>
      </w:hyperlink>
    </w:p>
    <w:p>
      <w:pPr>
        <w:spacing w:before="0" w:after="120"/>
      </w:pPr>
      <w:r>
        <w:rPr>
          <w:b/>
        </w:rPr>
        <w:t xml:space="preserve">Notes: </w:t>
      </w:r>
      <w:r>
        <w:t>abstract_source=crossref</w:t>
      </w:r>
    </w:p>
    <w:p>
      <w:pPr>
        <w:spacing w:before="0" w:after="80" w:lineRule="auto" w:line="276"/>
      </w:pPr>
      <w:r>
        <w:rPr>
          <w:b/>
        </w:rPr>
        <w:t xml:space="preserve">摘要（ZH）: </w:t>
      </w:r>
      <w:r>
        <w:t>对免疫检查点阻断 (ICB) 的抵抗通常源于富含抑制性髓系细胞的免疫冷肿瘤。先前研究已表明 NOD2 信号通路在抗肿瘤免疫和调节 ICB 反应中发挥作用，但目前在肿瘤内有效且持久地激活该通路的方法仍然有限。在这里，对结直肠癌的单细胞转录组分析发现了一个富含炎症和免疫激活程序的 NOD2high 肿瘤相关巨噬细胞 (TAM) 亚群。为了治疗性地利用这种状态，我们设计了一种可注射的含锰海藻酸盐水凝胶，其封装了聚精氨酸功能化的卡介苗 (MHY@PBCG)，用于肿瘤内持续递送以及局部共激活 TAM 中的 NOD2 和 STING 信号通路。聚精氨酸增强了巨噬细胞对 BCG 的摄取，而 Mn2+ 稳定了水凝胶并放大了 STING 激活。局部施用 MHY@PBCG 将 TAMs 重编程为 M1 样表型，增加了炎症细胞因子和干扰素程序，将冷肿瘤转化为免疫炎症病变，并在多个模型中恢复了对抗 PD1 疗法的反应。从机制上讲，协调的 NOD2/STING 激活建立了一个自我强化的炎症回路，将巨噬细胞重编程与下游 T 细胞介导的抗肿瘤免疫联系起来。这些发现建立了一个局部</w:t>
      </w:r>
    </w:p>
    <w:p>
      <w:pPr>
        <w:spacing w:before="0" w:after="200" w:lineRule="auto" w:line="276"/>
      </w:pPr>
      <w:r>
        <w:rPr>
          <w:b/>
        </w:rPr>
        <w:t xml:space="preserve">Abstract (EN): </w:t>
      </w:r>
      <w:r>
        <w:t>Resistance to immune checkpoint blockade (ICB) often arises from immunologically cold tumors enriched in suppressive myeloid cells. Previous studies have implicated NOD2 signaling in antitumor immunity and in modulation of ICB responses, but approaches to engage this pathway effectively and durably within tumors remain limited. Here, single-cell transcriptomic analysis of colorectal cancer identified a</w:t>
      </w:r>
      <w:r>
        <w:t xml:space="preserve"> </w:t>
      </w:r>
      <w:r>
        <w:t>NOD2</w:t>
      </w:r>
      <w:r>
        <w:t xml:space="preserve"> </w:t>
      </w:r>
      <w:r>
        <w:t>high</w:t>
      </w:r>
      <w:r>
        <w:t xml:space="preserve"> </w:t>
      </w:r>
      <w:r>
        <w:t>tumor-associated macrophage (TAM) subset enriched for inflammatory and immune-activating programs. To therapeutically harness this state, we engineered an injectable manganese-containing alginate hydrogel encapsulating polyarginine-functionalized</w:t>
      </w:r>
      <w:r>
        <w:t xml:space="preserve"> </w:t>
      </w:r>
      <w:r>
        <w:t>Bacillus</w:t>
      </w:r>
      <w:r>
        <w:t xml:space="preserve"> </w:t>
      </w:r>
      <w:r>
        <w:t>Calmette-Guérin</w:t>
      </w:r>
      <w:r>
        <w:t xml:space="preserve"> </w:t>
      </w:r>
      <w:r>
        <w:t>(MHY@PBCG) for sustained intratumoral delivery and localized coactivation of NOD2 and STING signaling in TAMs. Polyarginine enhanced BCG uptake by macrophages, whereas Mn</w:t>
      </w:r>
      <w:r>
        <w:t xml:space="preserve"> </w:t>
      </w:r>
      <w:r>
        <w:t>2+</w:t>
      </w:r>
      <w:r>
        <w:t xml:space="preserve"> </w:t>
      </w:r>
      <w:r>
        <w:t>stabilized the hydrogel and amplified STING activation. Local administration of MHY@PBCG reprogrammed TAMs toward an M1-like phenotype, increased inflammatory cytokine and interferon programs, converted cold tumors into immune-inflamed lesions, and restored responsiveness to anti-PD1 therapy in multiple models. Mechanistically, coordinated NOD2/STING activation established a self-reinforcing inflammatory circuit linking macrophage reprogramming to downstream T cell–mediated antitumor immunity. These findings establish a localized biomaterial strategy for overcoming checkpoint resistance through macrophage-centered remodeling of the tumor microenvironment.</w:t>
      </w:r>
    </w:p>
    <w:p>
      <w:pPr>
        <w:spacing w:before="120" w:after="120"/>
      </w:pPr>
      <w:r>
        <w:rPr>
          <w:sz w:val="18"/>
        </w:rPr>
        <w:t>——————————————————————————————————————————————————————————————————————</w:t>
      </w:r>
    </w:p>
    <w:p>
      <w:pPr>
        <w:spacing w:before="160" w:after="40" w:line="240" w:lineRule="auto"/>
      </w:pPr>
      <w:r>
        <w:rPr>
          <w:b/>
        </w:rPr>
        <w:t xml:space="preserve">[193] </w:t>
      </w:r>
      <w:hyperlink r:id="rId583">
        <w:r>
          <w:rPr>
            <w:color w:val="1155CC"/>
            <w:u w:val="single"/>
          </w:rPr>
          <w:t>再结合驱动具有丰富靶点的小分子药物的细胞滞留</w:t>
        </w:r>
      </w:hyperlink>
    </w:p>
    <w:p>
      <w:pPr>
        <w:spacing w:before="0" w:after="80"/>
      </w:pPr>
      <w:r>
        <w:rPr>
          <w:i/>
          <w:sz w:val="20"/>
        </w:rPr>
        <w:t>EN: Rebinding drives cellular retention of small-molecule drugs with abundant targets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84">
        <w:r>
          <w:rPr>
            <w:color w:val="1155CC"/>
            <w:u w:val="single"/>
          </w:rPr>
          <w:t>10.1073/pnas.2531949123</w:t>
        </w:r>
      </w:hyperlink>
    </w:p>
    <w:p>
      <w:pPr>
        <w:spacing w:before="0" w:after="120"/>
      </w:pPr>
      <w:r>
        <w:rPr>
          <w:b/>
        </w:rPr>
        <w:t xml:space="preserve">Notes: </w:t>
      </w:r>
      <w:r>
        <w:t>abstract_source=crossref</w:t>
      </w:r>
    </w:p>
    <w:p>
      <w:pPr>
        <w:spacing w:before="0" w:after="80" w:lineRule="auto" w:line="276"/>
      </w:pPr>
      <w:r>
        <w:rPr>
          <w:b/>
        </w:rPr>
        <w:t xml:space="preserve">摘要（ZH）: </w:t>
      </w:r>
      <w:r>
        <w:t>许多小分子抗肿瘤药物的给药频率远低于其血浆半衰期所预测的频率，部分原因是其疗效是由肿瘤内药物的长期滞留驱动的。药物滞留可能由非特异性蛋白结合、低膜渗透性、在酸性区室中螯合、靶点缓慢解离以及与空靶点位点再结合引起，但该领域一直缺乏用于区分这些机制和预测体内滞留的定量框架和临床前检测方法。我们开发了一个理论框架和一个简单的双药检测方法，用于量化基于细胞模型中的滞留机制。将其应用于具有 8 个不同细胞内靶点的 13 种药物，揭示了多种滞留机制。再结合成为滞留的强大驱动因素，其强度由靶点与亲和力比 ([Target]/Kd) 预测。再结合使紫杉烷类和雷帕霉素等重要药物的清除率减慢 100 倍或更多。它也解释了需要高负荷浓度的原因。我们的方法弥补了药理学建模中的一个关键空白，并提供了指导间歇给药方案设计的实用工具。</w:t>
      </w:r>
    </w:p>
    <w:p>
      <w:pPr>
        <w:spacing w:before="0" w:after="200" w:lineRule="auto" w:line="276"/>
      </w:pPr>
      <w:r>
        <w:rPr>
          <w:b/>
        </w:rPr>
        <w:t xml:space="preserve">Abstract (EN): </w:t>
      </w:r>
      <w:r>
        <w:t>Many small-molecule antitumor drugs are administered far less frequently than would be predicted from their plasma half-lives, in part because their efficacy is driven by prolonged retention within tumors. Drug retention can be caused by nonspecific protein binding, low membrane permeability, sequestration in acidic compartments, slow target dissociation, and rebinding to empty target sites, but the field has lacked a quantitative framework and preclinical assays for discriminating these mechanisms and predicting retention in vivo. We developed a theoretical framework and a simple two-drug assay for quantifying retention mechanisms in cell-based models. Application to 13 drugs with 8 distinct intracellular targets revealed diverse retention mechanisms. Rebinding emerged as a potent driver of retention whose magnitude was predicted by the target-to-affinity ratio ([Target]/</w:t>
      </w:r>
      <w:r>
        <w:t>K</w:t>
      </w:r>
      <w:r>
        <w:t xml:space="preserve"> </w:t>
      </w:r>
      <w:r>
        <w:t>d</w:t>
      </w:r>
      <w:r>
        <w:t xml:space="preserve"> </w:t>
      </w:r>
      <w:r>
        <w:t>). Rebinding slows the washout rates of important drugs such as taxanes and rapamycin by 100-fold or more. It also explains the need for high loading concentrations. Our approach bridges a critical gap in pharmacology modeling and provides practical tools to guide the design of intermittent dosing regimens.</w:t>
      </w:r>
    </w:p>
    <w:p>
      <w:pPr>
        <w:spacing w:before="120" w:after="120"/>
      </w:pPr>
      <w:r>
        <w:rPr>
          <w:sz w:val="18"/>
        </w:rPr>
        <w:t>——————————————————————————————————————————————————————————————————————</w:t>
      </w:r>
    </w:p>
    <w:p>
      <w:pPr>
        <w:spacing w:before="160" w:after="40" w:line="240" w:lineRule="auto"/>
      </w:pPr>
      <w:r>
        <w:rPr>
          <w:b/>
        </w:rPr>
        <w:t xml:space="preserve">[194] </w:t>
      </w:r>
      <w:hyperlink r:id="rId585">
        <w:r>
          <w:rPr>
            <w:color w:val="1155CC"/>
            <w:u w:val="single"/>
          </w:rPr>
          <w:t>动力系统中的变化点检测：建模季节性流感的时变传播</w:t>
        </w:r>
      </w:hyperlink>
    </w:p>
    <w:p>
      <w:pPr>
        <w:spacing w:before="0" w:after="80"/>
      </w:pPr>
      <w:r>
        <w:rPr>
          <w:i/>
          <w:sz w:val="20"/>
        </w:rPr>
        <w:t>EN: Detecting changepoints in dynamical systems: Modeling time-varying transmission of seasonal influenza</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86">
        <w:r>
          <w:rPr>
            <w:color w:val="1155CC"/>
            <w:u w:val="single"/>
          </w:rPr>
          <w:t>10.1073/pnas.2533861123</w:t>
        </w:r>
      </w:hyperlink>
    </w:p>
    <w:p>
      <w:pPr>
        <w:spacing w:before="0" w:after="120"/>
      </w:pPr>
      <w:r>
        <w:rPr>
          <w:b/>
        </w:rPr>
        <w:t xml:space="preserve">Notes: </w:t>
      </w:r>
      <w:r>
        <w:t>abstract_source=crossref</w:t>
      </w:r>
    </w:p>
    <w:p>
      <w:pPr>
        <w:spacing w:before="0" w:after="80" w:lineRule="auto" w:line="276"/>
      </w:pPr>
      <w:r>
        <w:rPr>
          <w:b/>
        </w:rPr>
        <w:t xml:space="preserve">摘要（ZH）: </w:t>
      </w:r>
      <w:r>
        <w:t>季节性流感疫情表现出复杂的传播动力学，受社会行为和季节效应等时变外在因素的影响。估计传播率的变化对于准确预测疫情曲线至关重要。本研究提出了一个用于检测传播参数 (β_t) 变化点的框架，该参数在确定性仓室模型中作为分段常数函数应用。我们利用爱尔兰四个近期甲型流感季节（2019/2020和2022-2025）的住院病例数据，应用迭代滤波和核密度估计来识别季节特异性和跨季节变化点结构。该算法整合了随机搜索、局部扰动和重采样，以推断最合理的变化点配置。结果揭示了跨季节一致的变化点模式，特别是在社会混合增加的时期，例如12月假期。本研究还开发了一个通用变化点模型，可实现中期预测和情景规划。这种方法提供了一种捕获传播突然转变的稳健方法，并可能适用于其他动力系统。</w:t>
      </w:r>
    </w:p>
    <w:p>
      <w:pPr>
        <w:spacing w:before="0" w:after="200" w:lineRule="auto" w:line="276"/>
      </w:pPr>
      <w:r>
        <w:rPr>
          <w:b/>
        </w:rPr>
        <w:t xml:space="preserve">Abstract (EN): </w:t>
      </w:r>
      <w:r>
        <w:t>Seasonal influenza epidemics exhibit complex transmission dynamics influenced by time-varying extrinsic factors such as social behavior and seasonal effects. Estimating changes in transmission rates is critical to enable accurate forecasting of the epidemic curve. This study presents a framework for detecting changepoints in the transmission parameter (</w:t>
      </w:r>
      <w:r>
        <w:t xml:space="preserve"> </w:t>
      </w:r>
      <w:r>
        <w:t>β</w:t>
      </w:r>
      <w:r>
        <w:t xml:space="preserve"> </w:t>
      </w:r>
      <w:r>
        <w:t>t</w:t>
      </w:r>
      <w:r>
        <w:t xml:space="preserve"> </w:t>
      </w:r>
      <w:r>
        <w:t>), applied as a piecewise constant function within a deterministic compartmental model. Using hospitalized case data from four recent influenza A seasons in Ireland (2019/2020 and 2022–2025), we applied iterated filtering and kernel density estimation to identify season-specific and cross-seasonal changepoint structures. The algorithm integrates stochastic search, local perturbation, and resampling to infer the most plausible changepoint configurations. Results reveal consistent changepoint patterns across seasons, particularly during periods of increased social mixing, such as the December holiday period. A universal changepoint model was also developed, enabling medium-term forecasting and scenario planning. This approach offers a robust method for capturing abrupt shifts in transmission and may be applicable to other dynamical systems.</w:t>
      </w:r>
    </w:p>
    <w:p>
      <w:pPr>
        <w:spacing w:before="120" w:after="120"/>
      </w:pPr>
      <w:r>
        <w:rPr>
          <w:sz w:val="18"/>
        </w:rPr>
        <w:t>——————————————————————————————————————————————————————————————————————</w:t>
      </w:r>
    </w:p>
    <w:p>
      <w:pPr>
        <w:spacing w:before="160" w:after="40" w:line="240" w:lineRule="auto"/>
      </w:pPr>
      <w:r>
        <w:rPr>
          <w:b/>
        </w:rPr>
        <w:t xml:space="preserve">[195] </w:t>
      </w:r>
      <w:hyperlink r:id="rId587">
        <w:r>
          <w:rPr>
            <w:color w:val="1155CC"/>
            <w:u w:val="single"/>
          </w:rPr>
          <w:t>说服大型语言模型遵守不可接受的请求</w:t>
        </w:r>
      </w:hyperlink>
    </w:p>
    <w:p>
      <w:pPr>
        <w:spacing w:before="0" w:after="80"/>
      </w:pPr>
      <w:r>
        <w:rPr>
          <w:i/>
          <w:sz w:val="20"/>
        </w:rPr>
        <w:t>EN: Persuading large language models to comply with objectionable requests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88">
        <w:r>
          <w:rPr>
            <w:color w:val="1155CC"/>
            <w:u w:val="single"/>
          </w:rPr>
          <w:t>10.1073/pnas.2535868123</w:t>
        </w:r>
      </w:hyperlink>
    </w:p>
    <w:p>
      <w:pPr>
        <w:spacing w:before="0" w:after="120"/>
      </w:pPr>
      <w:r>
        <w:rPr>
          <w:b/>
        </w:rPr>
        <w:t xml:space="preserve">Notes: </w:t>
      </w:r>
      <w:r>
        <w:t>abstract_source=crossref</w:t>
      </w:r>
    </w:p>
    <w:p>
      <w:pPr>
        <w:spacing w:before="0" w:after="80" w:lineRule="auto" w:line="276"/>
      </w:pPr>
      <w:r>
        <w:rPr>
          <w:b/>
        </w:rPr>
        <w:t xml:space="preserve">摘要（ZH）: </w:t>
      </w:r>
      <w:r>
        <w:t>大型语言模型 (LLMs) 是否像人类一样容易受到说服性诉求的影响？我们测试了经典说服原则（权威、承诺、喜好、互惠、稀缺、社会认同和统一）是否能诱导三种广泛使用的LLMs（GPT-5 mini、Claude Haiku 4.5和Gemini 3 Flash）遵守协助合成受管制物质的请求。在126,000次对话中，说服原则将依从性从35.3%（基线）提高到51.3%（使用任何原则）。尽管LLMs不是人类，但这些发现强调了它们的准人类（即类人）性质，并揭示了恶意用户试图规避安全防护措施的操纵风险。</w:t>
      </w:r>
    </w:p>
    <w:p>
      <w:pPr>
        <w:spacing w:before="0" w:after="200" w:lineRule="auto" w:line="276"/>
      </w:pPr>
      <w:r>
        <w:rPr>
          <w:b/>
        </w:rPr>
        <w:t xml:space="preserve">Abstract (EN): </w:t>
      </w:r>
      <w:r>
        <w:t>Are large language models (LLMs) susceptible to the same persuasive appeals as humans? We tested whether classic persuasion principles (authority, commitment, liking, reciprocity, scarcity, social proof, and unity) could induce three widely used LLMs (GPT-5 mini, Claude Haiku 4.5, and Gemini 3 Flash) to comply with requests to assist with the synthesis of regulated substances. Across 126,000 conversations, persuasion principles increased compliance from 35.3% (at baseline) to 51.3% (using any principle). Although LLMs are not human, these findings underscore their parahuman (i.e., humanlike) nature and reveal the risk of manipulation by malicious users seeking to circumvent safety guardrails.</w:t>
      </w:r>
    </w:p>
    <w:p>
      <w:pPr>
        <w:spacing w:before="120" w:after="120"/>
      </w:pPr>
      <w:r>
        <w:rPr>
          <w:sz w:val="18"/>
        </w:rPr>
        <w:t>——————————————————————————————————————————————————————————————————————</w:t>
      </w:r>
    </w:p>
    <w:p>
      <w:pPr>
        <w:spacing w:before="160" w:after="40" w:line="240" w:lineRule="auto"/>
      </w:pPr>
      <w:r>
        <w:rPr>
          <w:b/>
        </w:rPr>
        <w:t xml:space="preserve">[196] </w:t>
      </w:r>
      <w:hyperlink r:id="rId589">
        <w:r>
          <w:rPr>
            <w:color w:val="1155CC"/>
            <w:u w:val="single"/>
          </w:rPr>
          <w:t>肺炎球菌膜颗粒促进血清型无关的细胞和体液免疫并保护免受肺炎球菌定植</w:t>
        </w:r>
      </w:hyperlink>
    </w:p>
    <w:p>
      <w:pPr>
        <w:spacing w:before="0" w:after="80"/>
      </w:pPr>
      <w:r>
        <w:rPr>
          <w:i/>
          <w:sz w:val="20"/>
        </w:rPr>
        <w:t>EN: Pneumococcal membrane particles promote serotype-independent cellular and humoral immunity and protect against pneumococcal colonization</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90">
        <w:r>
          <w:rPr>
            <w:color w:val="1155CC"/>
            <w:u w:val="single"/>
          </w:rPr>
          <w:t>10.1073/pnas.2537226123</w:t>
        </w:r>
      </w:hyperlink>
    </w:p>
    <w:p>
      <w:pPr>
        <w:spacing w:before="0" w:after="120"/>
      </w:pPr>
      <w:r>
        <w:rPr>
          <w:b/>
        </w:rPr>
        <w:t xml:space="preserve">Notes: </w:t>
      </w:r>
      <w:r>
        <w:t>abstract_source=crossref</w:t>
      </w:r>
    </w:p>
    <w:p>
      <w:pPr>
        <w:spacing w:before="0" w:after="80" w:lineRule="auto" w:line="276"/>
      </w:pPr>
      <w:r>
        <w:rPr>
          <w:b/>
        </w:rPr>
        <w:t xml:space="preserve">摘要（ZH）: </w:t>
      </w:r>
      <w:r>
        <w:t>尽管实施了针对肺炎链球菌感染的肺炎球菌结合疫苗 (PCVs)，但这些疾病仍然是全球死亡率和发病率的主要原因，这凸显了对新型免疫策略的需求。肺炎球菌释放富含脂质、毒力因子和表面蛋白的细胞外囊泡/膜颗粒 (MP)，并在保护小鼠免受侵袭性肺炎球菌疾病方面显示出巨大功效。因此，MP提出了一种替代疫苗策略。然而，目前缺乏对肺炎球菌MP如何在体内与免疫系统相互作用并调节免疫系统的深入理解。在本研究中，我们证明肺炎球菌MP具有强大的内在佐剂特性和保守抗原，包括MalX和PrsA，它们支持小鼠和人类中强大的血清型非依赖性效应和记忆Th17反应。从机制上讲，囊泡通过TLR2被感知，并且通过该受体的信号传导是人类IL-17反应所必需的。此外，鼻内免疫MP可扩大肺部组织驻留巨噬细胞群，并增强其功能能力。我们的研究还表明，在没有佐剂的情况下进行MP免疫足以保护小鼠免受定植。</w:t>
      </w:r>
    </w:p>
    <w:p>
      <w:pPr>
        <w:spacing w:before="0" w:after="200" w:lineRule="auto" w:line="276"/>
      </w:pPr>
      <w:r>
        <w:rPr>
          <w:b/>
        </w:rPr>
        <w:t xml:space="preserve">Abstract (EN): </w:t>
      </w:r>
      <w:r>
        <w:t>Despite implementation of pneumococcal conjugated vaccines (PCVs) against</w:t>
      </w:r>
      <w:r>
        <w:t xml:space="preserve"> </w:t>
      </w:r>
      <w:r>
        <w:t>Streptococcus pneumoniae</w:t>
      </w:r>
      <w:r>
        <w:t xml:space="preserve"> </w:t>
      </w:r>
      <w:r>
        <w:t>infections, these diseases are still major contributors to global mortality and morbidity, highlighting the need for a novel immunization strategy. Pneumococci release extracellular vesicles/membrane particles (MP) that are enriched in lipids, virulence factors, and surface proteins, and show great efficacy in protecting against invasive pneumococcal disease in mice. As such, MP present an alternative vaccine strategy. However, an in-depth understanding of how pneumococcal MP interact and modulate the immune system in vivo is currently lacking. In this study, we demonstrate that pneumococcal MP possess robust intrinsic adjuvant properties and conserved antigens, including MalX and PrsA, that support a strong serotype-independent effector and memory Th17 response in mice and humans. Mechanistically, vesicles are sensed through TLR2 and signaling through this receptor is required for the human IL-17 response. Moreover, intranasal immunization with MP expands the tissue resident macrophage populations in the lungs with enhanced functional capacities. Our study also demonstrates that MP immunization in the absence of adjuvant is sufficient to protect against colonization in mice.</w:t>
      </w:r>
    </w:p>
    <w:p>
      <w:pPr>
        <w:spacing w:before="120" w:after="120"/>
      </w:pPr>
      <w:r>
        <w:rPr>
          <w:sz w:val="18"/>
        </w:rPr>
        <w:t>——————————————————————————————————————————————————————————————————————</w:t>
      </w:r>
    </w:p>
    <w:p>
      <w:pPr>
        <w:spacing w:before="160" w:after="40" w:line="240" w:lineRule="auto"/>
      </w:pPr>
      <w:r>
        <w:rPr>
          <w:b/>
        </w:rPr>
        <w:t xml:space="preserve">[197] </w:t>
      </w:r>
      <w:hyperlink r:id="rId591">
        <w:r>
          <w:rPr>
            <w:color w:val="1155CC"/>
            <w:u w:val="single"/>
          </w:rPr>
          <w:t>对异质浆细胞和微环境细胞之间相互作用及其在骨髓瘤中临床相关性的分子见解</w:t>
        </w:r>
      </w:hyperlink>
    </w:p>
    <w:p>
      <w:pPr>
        <w:spacing w:before="0" w:after="80"/>
      </w:pPr>
      <w:r>
        <w:rPr>
          <w:i/>
          <w:sz w:val="20"/>
        </w:rPr>
        <w:t>EN: Molecular insight into the interplay among heterogeneous plasmacytes and microenvironment cells and their clinical relevance in myeloma</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92">
        <w:r>
          <w:rPr>
            <w:color w:val="1155CC"/>
            <w:u w:val="single"/>
          </w:rPr>
          <w:t>10.1073/pnas.2537965123</w:t>
        </w:r>
      </w:hyperlink>
    </w:p>
    <w:p>
      <w:pPr>
        <w:spacing w:before="0" w:after="120"/>
      </w:pPr>
      <w:r>
        <w:rPr>
          <w:b/>
        </w:rPr>
        <w:t xml:space="preserve">Notes: </w:t>
      </w:r>
      <w:r>
        <w:t>abstract_source=crossref</w:t>
      </w:r>
    </w:p>
    <w:p>
      <w:pPr>
        <w:spacing w:before="0" w:after="80" w:lineRule="auto" w:line="276"/>
      </w:pPr>
      <w:r>
        <w:rPr>
          <w:b/>
        </w:rPr>
        <w:t xml:space="preserve">摘要（ZH）: </w:t>
      </w:r>
      <w:r>
        <w:t>多发性骨髓瘤 (MM) 随着浆细胞遗传异常的获得和微环境细胞 (MECs) 的变化而发展。尽管通过组学研究在理解MM疾病机制方面取得了进展，但中国MM患者的基因组/转录组图谱分析仍然有限。在此，我们在上海MM组学 (SMMO) 项目中收集了277名新诊断MM (NDMM) 患者。对267例进行全基因组/全外显子组测序和RNA测序 (RNA-seq) 分析，确定了三个遗传组 (MY、HRD和MS/CD)。利用单细胞RNA测序 (scRNA-seq)，我们研究了SMMO中的59名NDMM受试者、来自公共数据库的20例复发病例和30名正常对照。定义了来自NDMM的八个浆细胞亚群 (mSP1–mSP8)，每个亚群都显示出独特的特征，同时形成了一个分化轨迹。mSP2因其高增殖特性而值得关注。关于MECs，我们发现T细胞亚群，包括辅助性T细胞、调节性T细胞和细胞毒性T细胞，都处于功能障碍状态，并且髓源性抑制细胞（如巨噬细胞）主要以M2极化形式增加，两者共同构成了有利于MM细胞生长和免疫逃逸的微环境。此外，我们深入研究了MM细胞与MECs之间以及不同MECs之间的串扰。揭示了一个动态、全面的MM发病机制网络，其中包含许多配体-受体对。重要的是，mSP2特征可以投射到235名患者的MM细胞RNA-seq数据中，以生成在SMMO中具有预后价值的Score100。通过国际分期系统</w:t>
      </w:r>
    </w:p>
    <w:p>
      <w:pPr>
        <w:spacing w:before="0" w:after="200" w:lineRule="auto" w:line="276"/>
      </w:pPr>
      <w:r>
        <w:rPr>
          <w:b/>
        </w:rPr>
        <w:t xml:space="preserve">Abstract (EN): </w:t>
      </w:r>
      <w:r>
        <w:t>Multiple myeloma (MM) develops with the acquisition of genetic abnormalities in plasmacytes and changes in microenvironment cells (MECs). Despite the progress in understanding MM disease mechanism through omics studies, the genomic/transcriptomic profiling remains limited in Chinese MM patients. Here, we collected 277 newly diagnosed MM (NDMM) patients in the Shanghai MM Omics (SMMO) project. Analysis of 267 cases with whole-genome/whole-exome sequencing and RNA sequencing (RNA-seq) identified three genetic groups (MY, HRD, and MS/CD). Using single-cell RNA sequencing (scRNA-seq), we investigated 59 NDMM subjects from SMMO, 20 relapsed cases from public database and 30 normal controls. Eight subpopulations of plasmacytes from NDMM (mSP1–mSP8) were defined, each showing unique signatures while forming a differentiation trajectory. The mSP2 is worth noting due to its high proliferative property. Regarding MECs, we found T cell subsets including T-helpers, Tregs, and cytotoxic T cells all in dysfunctional status and increased myeloid-derived suppressor cells such as macrophages mainly in M2 polarization, both constituting a milieu in favor of MM cell growth and immune escape. Furthermore, we scrutinized the crosstalk between MM cells and MECs and that among distinct MECs. A dynamic, comprehensive MM pathogenesis network was revealed, with a number of ligand–receptor pairs. Importantly, the mSP2 signature can be projected to the MM cell RNA-seq data of 235 patients to generate a Score100 with prognostic value in SMMO. Via multivariate analysis of the International Staging System, Consensus Genomic Staging, and Score100, we propose a practical MM stratification model for evaluating aggressive myeloma.</w:t>
      </w:r>
    </w:p>
    <w:p>
      <w:pPr>
        <w:spacing w:before="120" w:after="120"/>
      </w:pPr>
      <w:r>
        <w:rPr>
          <w:sz w:val="18"/>
        </w:rPr>
        <w:t>——————————————————————————————————————————————————————————————————————</w:t>
      </w:r>
    </w:p>
    <w:p>
      <w:pPr>
        <w:spacing w:before="160" w:after="40" w:line="240" w:lineRule="auto"/>
      </w:pPr>
      <w:r>
        <w:rPr>
          <w:b/>
        </w:rPr>
        <w:t xml:space="preserve">[198] </w:t>
      </w:r>
      <w:hyperlink r:id="rId593">
        <w:r>
          <w:rPr>
            <w:color w:val="1155CC"/>
            <w:u w:val="single"/>
          </w:rPr>
          <w:t>TAZ整合ECM重塑与子宫基质分化以维持早期妊娠</w:t>
        </w:r>
      </w:hyperlink>
    </w:p>
    <w:p>
      <w:pPr>
        <w:spacing w:before="0" w:after="80"/>
      </w:pPr>
      <w:r>
        <w:rPr>
          <w:i/>
          <w:sz w:val="20"/>
        </w:rPr>
        <w:t>EN: TAZ integrates ECM remodeling with uterine stromal differentiation to maintain early pregnancy</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94">
        <w:r>
          <w:rPr>
            <w:color w:val="1155CC"/>
            <w:u w:val="single"/>
          </w:rPr>
          <w:t>10.1073/pnas.2528309123</w:t>
        </w:r>
      </w:hyperlink>
    </w:p>
    <w:p>
      <w:pPr>
        <w:spacing w:before="0" w:after="120"/>
      </w:pPr>
      <w:r>
        <w:rPr>
          <w:b/>
        </w:rPr>
        <w:t xml:space="preserve">Notes: </w:t>
      </w:r>
      <w:r>
        <w:t>abstract_source=crossref</w:t>
      </w:r>
    </w:p>
    <w:p>
      <w:pPr>
        <w:spacing w:before="0" w:after="80" w:lineRule="auto" w:line="276"/>
      </w:pPr>
      <w:r>
        <w:rPr>
          <w:b/>
        </w:rPr>
        <w:t xml:space="preserve">摘要（ZH）: </w:t>
      </w:r>
      <w:r>
        <w:t>子宫微环境对于建立妊娠和维持胚胎发育至关重要。胚胎着床诱导子宫内膜发生深刻转化，包括基质细胞分化和血管化，称为蜕膜化。这一过程在人类和啮齿动物中保守，甚至在胎盘形成之前就支持胚胎。蜕膜形成不良会导致胎儿生长受限或胎盘缺陷，但其潜在机制仍不清楚。在此，我们利用小鼠和人类子宫内膜（包括患者样本）的单细胞RNA测序，揭示了关键调控因子。我们发现胶原相关细胞外基质 (ECM) 重塑依赖于TAZ（Hippo信号通路的核心效应子），并且对蜕膜形成至关重要。ECM通路在分化中的基质细胞中富集，同时TAZ和相关转录因子上调。TAZ的子宫条件性敲除 (</w:t>
      </w:r>
      <w:r>
        <w:t xml:space="preserve"> </w:t>
      </w:r>
      <w:r>
        <w:t>Wwtr1</w:t>
      </w:r>
      <w:r>
        <w:t xml:space="preserve"> </w:t>
      </w:r>
      <w:r>
        <w:t>flox/flox</w:t>
      </w:r>
      <w:r>
        <w:t xml:space="preserve"> </w:t>
      </w:r>
      <w:r>
        <w:t>Pgr</w:t>
      </w:r>
      <w:r>
        <w:t xml:space="preserve"> </w:t>
      </w:r>
      <w:r>
        <w:t>Cre/+</w:t>
      </w:r>
      <w:r>
        <w:t xml:space="preserve"> </w:t>
      </w:r>
      <w:r>
        <w:t>;</w:t>
      </w:r>
      <w:r>
        <w:t xml:space="preserve"> </w:t>
      </w:r>
      <w:r>
        <w:t>Wwtr1</w:t>
      </w:r>
      <w:r>
        <w:t xml:space="preserve"> </w:t>
      </w:r>
      <w:r>
        <w:t>-uKO) 导致小鼠妊娠失败，表现为滋养层细胞侵袭缺陷、早期胚胎降解和严重生育力低下。对TAZ缺陷子宫内膜的空间转录组学和组织学分析进一步揭示了蜕膜化、ECM重塑和血管化受损。因此，TAZ促进胎-母界面的时间性ECM重塑，确保功能性蜕膜区形成和健康的妊娠结局。</w:t>
      </w:r>
    </w:p>
    <w:p>
      <w:pPr>
        <w:spacing w:before="0" w:after="200" w:lineRule="auto" w:line="276"/>
      </w:pPr>
      <w:r>
        <w:rPr>
          <w:b/>
        </w:rPr>
        <w:t xml:space="preserve">Abstract (EN): </w:t>
      </w:r>
      <w:r>
        <w:t>The uterine microenvironment is critical for establishing pregnancy and sustaining embryonic development. Embryo attachment induces profound endometrial transformation, including stromal differentiation and vascularization, termed decidualization. This process, conserved in humans and rodents, supports the embryo even before placentation. Poorly formed decidua leads to fetal growth restriction or placental defects, yet underlying mechanisms remain unclear. Here, we used single-cell RNA-seq of mouse and human endometria, including patient samples, to uncover key regulators. We identified that collagen-related extracellular matrix (ECM) remodeling depends on TAZ, a central effector of Hippo signaling, and is essential for decidual formation. ECM pathways were enriched in differentiating stromal cells alongside upregulation of TAZ and associated transcription factors. Conditional uterine knockout of TAZ (</w:t>
      </w:r>
      <w:r>
        <w:t xml:space="preserve"> </w:t>
      </w:r>
      <w:r>
        <w:t>Wwtr1</w:t>
      </w:r>
      <w:r>
        <w:t xml:space="preserve"> </w:t>
      </w:r>
      <w:r>
        <w:t>flox/flox</w:t>
      </w:r>
      <w:r>
        <w:t xml:space="preserve"> </w:t>
      </w:r>
      <w:r>
        <w:t>Pgr</w:t>
      </w:r>
      <w:r>
        <w:t xml:space="preserve"> </w:t>
      </w:r>
      <w:r>
        <w:t>Cre/+</w:t>
      </w:r>
      <w:r>
        <w:t xml:space="preserve"> </w:t>
      </w:r>
      <w:r>
        <w:t>;</w:t>
      </w:r>
      <w:r>
        <w:t xml:space="preserve"> </w:t>
      </w:r>
      <w:r>
        <w:t>Wwtr1</w:t>
      </w:r>
      <w:r>
        <w:t xml:space="preserve"> </w:t>
      </w:r>
      <w:r>
        <w:t>-uKO) caused pregnancy failure in mice, marked by defective trophoblast invasion, early embryonic degradation, and severe subfertility. Spatial transcriptomic and histological analyses of TAZ-deficient endometria further revealed impaired decidualization, ECM remodeling, and vascularization. Thus, TAZ promotes temporal ECM remodeling at the feto–maternal interface, ensuring functional decidual zone formation and healthy pregnancy outcomes.</w:t>
      </w:r>
    </w:p>
    <w:p>
      <w:pPr>
        <w:spacing w:before="120" w:after="120"/>
      </w:pPr>
      <w:r>
        <w:rPr>
          <w:sz w:val="18"/>
        </w:rPr>
        <w:t>——————————————————————————————————————————————————————————————————————</w:t>
      </w:r>
    </w:p>
    <w:p>
      <w:pPr>
        <w:spacing w:before="160" w:after="40" w:line="240" w:lineRule="auto"/>
      </w:pPr>
      <w:r>
        <w:rPr>
          <w:b/>
        </w:rPr>
        <w:t xml:space="preserve">[199] </w:t>
      </w:r>
      <w:hyperlink r:id="rId595">
        <w:r>
          <w:rPr>
            <w:color w:val="1155CC"/>
            <w:u w:val="single"/>
          </w:rPr>
          <w:t>氧化还原和质子偶联的内膜转运蛋白介导铜输入细菌细胞质</w:t>
        </w:r>
      </w:hyperlink>
    </w:p>
    <w:p>
      <w:pPr>
        <w:spacing w:before="0" w:after="80"/>
      </w:pPr>
      <w:r>
        <w:rPr>
          <w:i/>
          <w:sz w:val="20"/>
        </w:rPr>
        <w:t>EN: A redox- and proton-coupled inner membrane transporter mediates copper import to the bacterial cytoplasm</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96">
        <w:r>
          <w:rPr>
            <w:color w:val="1155CC"/>
            <w:u w:val="single"/>
          </w:rPr>
          <w:t>10.1073/pnas.2601726123</w:t>
        </w:r>
      </w:hyperlink>
    </w:p>
    <w:p>
      <w:pPr>
        <w:spacing w:before="0" w:after="120"/>
      </w:pPr>
      <w:r>
        <w:rPr>
          <w:b/>
        </w:rPr>
        <w:t xml:space="preserve">Notes: </w:t>
      </w:r>
      <w:r>
        <w:t>abstract_source=crossref</w:t>
      </w:r>
    </w:p>
    <w:p>
      <w:pPr>
        <w:spacing w:before="0" w:after="80" w:lineRule="auto" w:line="276"/>
      </w:pPr>
      <w:r>
        <w:rPr>
          <w:b/>
        </w:rPr>
        <w:t xml:space="preserve">摘要（ZH）: </w:t>
      </w:r>
      <w:r>
        <w:t>细菌中的铜稳态需要严格调控的输入系统，以平衡铜的必需氧化还原功能与其固有的细胞毒性；然而，细胞质铜摄取的机制仍了解甚少。特别是，广泛存在的CopD家族跨膜蛋白在遗传学上与细胞质铜输入相关，但尚未进行机制性表征。在此，我们通过体内摄取测定、基于蛋白脂质体的实时铜转运动力学测量以及光谱和电化学分析，证明了来自甲烷氧化菌</w:t>
      </w:r>
      <w:r>
        <w:t xml:space="preserve"> </w:t>
      </w:r>
      <w:r>
        <w:t>Methylosinus trichosporium</w:t>
      </w:r>
      <w:r>
        <w:t xml:space="preserve"> </w:t>
      </w:r>
      <w:r>
        <w:t>OB3b的CopD作为Cu</w:t>
      </w:r>
      <w:r>
        <w:t xml:space="preserve"> </w:t>
      </w:r>
      <w:r>
        <w:t>+</w:t>
      </w:r>
      <w:r>
        <w:t xml:space="preserve"> </w:t>
      </w:r>
      <w:r>
        <w:t>/H</w:t>
      </w:r>
      <w:r>
        <w:t xml:space="preserve"> </w:t>
      </w:r>
      <w:r>
        <w:t>+</w:t>
      </w:r>
      <w:r>
        <w:t xml:space="preserve"> </w:t>
      </w:r>
      <w:r>
        <w:t>同向转运蛋白和Cu</w:t>
      </w:r>
      <w:r>
        <w:t xml:space="preserve"> </w:t>
      </w:r>
      <w:r>
        <w:t>2+</w:t>
      </w:r>
      <w:r>
        <w:t xml:space="preserve"> </w:t>
      </w:r>
      <w:r>
        <w:t>还原酶发挥作用。实时转运测量揭示了转运蛋白介导的饱和转运，具有微摩尔级Cu</w:t>
      </w:r>
      <w:r>
        <w:t xml:space="preserve"> </w:t>
      </w:r>
      <w:r>
        <w:t>+</w:t>
      </w:r>
      <w:r>
        <w:t xml:space="preserve"> </w:t>
      </w:r>
      <w:r>
        <w:t>亲和力和快速转运速率，这与促进扩散或潜在的次级主动转运一致；pH敏感荧光测定证实了与Cu</w:t>
      </w:r>
      <w:r>
        <w:t xml:space="preserve"> </w:t>
      </w:r>
      <w:r>
        <w:t>+</w:t>
      </w:r>
      <w:r>
        <w:t xml:space="preserve"> </w:t>
      </w:r>
      <w:r>
        <w:t>转运偶联的强制性质子共转运。三个保守残基，即两个组氨酸和一个色氨酸，预计分别位于周质和跨膜区域，被确定为铜摄取的关键决定因素，可能在底物配位和门控中发挥作用。值得注意的是，CopD包含一个C端周质细胞色素</w:t>
      </w:r>
      <w:r>
        <w:t xml:space="preserve"> </w:t>
      </w:r>
      <w:r>
        <w:t>c</w:t>
      </w:r>
    </w:p>
    <w:p>
      <w:pPr>
        <w:spacing w:before="0" w:after="200" w:lineRule="auto" w:line="276"/>
      </w:pPr>
      <w:r>
        <w:rPr>
          <w:b/>
        </w:rPr>
        <w:t xml:space="preserve">Abstract (EN): </w:t>
      </w:r>
      <w:r>
        <w:t>Copper homeostasis in bacteria requires tightly regulated import systems to balance copper’s essential redox functions with its inherent cytotoxicity; yet, the mechanisms of cytoplasmic copper uptake remain poorly understood. In particular, the widespread CopD family of transmembrane proteins has been linked genetically to cytoplasmic copper import, but has not been mechanistically characterized. Here, using in vivo uptake assays, proteoliposome-based, real-time copper translocation kinetic measurements, and spectroscopic and electrochemical analyses, we demonstrate that CopD from the methanotroph</w:t>
      </w:r>
      <w:r>
        <w:t xml:space="preserve"> </w:t>
      </w:r>
      <w:r>
        <w:t>Methylosinus trichosporium</w:t>
      </w:r>
      <w:r>
        <w:t xml:space="preserve"> </w:t>
      </w:r>
      <w:r>
        <w:t>OB3b functions as a Cu</w:t>
      </w:r>
      <w:r>
        <w:t xml:space="preserve"> </w:t>
      </w:r>
      <w:r>
        <w:t>+</w:t>
      </w:r>
      <w:r>
        <w:t xml:space="preserve"> </w:t>
      </w:r>
      <w:r>
        <w:t>/H</w:t>
      </w:r>
      <w:r>
        <w:t xml:space="preserve"> </w:t>
      </w:r>
      <w:r>
        <w:t>+</w:t>
      </w:r>
      <w:r>
        <w:t xml:space="preserve"> </w:t>
      </w:r>
      <w:r>
        <w:t>symporter and a Cu</w:t>
      </w:r>
      <w:r>
        <w:t xml:space="preserve"> </w:t>
      </w:r>
      <w:r>
        <w:t>2+</w:t>
      </w:r>
      <w:r>
        <w:t xml:space="preserve"> </w:t>
      </w:r>
      <w:r>
        <w:t>reductase. Real-time transport measurements reveal transporter-mediated saturable transport with micromolar Cu</w:t>
      </w:r>
      <w:r>
        <w:t xml:space="preserve"> </w:t>
      </w:r>
      <w:r>
        <w:t>+</w:t>
      </w:r>
      <w:r>
        <w:t xml:space="preserve"> </w:t>
      </w:r>
      <w:r>
        <w:t>affinity and rapid translocation rates consistent with facilitated diffusion or potential secondary active transport, and pH-sensitive fluorescence assays establish obligatory proton cotransport coupled to Cu</w:t>
      </w:r>
      <w:r>
        <w:t xml:space="preserve"> </w:t>
      </w:r>
      <w:r>
        <w:t>+</w:t>
      </w:r>
      <w:r>
        <w:t xml:space="preserve"> </w:t>
      </w:r>
      <w:r>
        <w:t>translocation. Three conserved residues, two histidines and a tryptophan, predicted to reside in the periplasmic and transmembrane regions, respectively, were identified as critical determinants of copper uptake, with likely roles in substrate coordination and gating. Notably, CopD contains a C-terminal periplasmic cytochrome</w:t>
      </w:r>
      <w:r>
        <w:t xml:space="preserve"> </w:t>
      </w:r>
      <w:r>
        <w:t>c</w:t>
      </w:r>
      <w:r>
        <w:t xml:space="preserve"> </w:t>
      </w:r>
      <w:r>
        <w:t>domain with a complex electron paramagnetic resonance spectrum dominated by a low-spin, six-coordinate heme with a midpoint potential of 138 ± 5 mV. Spectroscopic and electrochemical data show that this heme can reduce Cu</w:t>
      </w:r>
      <w:r>
        <w:t xml:space="preserve"> </w:t>
      </w:r>
      <w:r>
        <w:t>2+</w:t>
      </w:r>
      <w:r>
        <w:t xml:space="preserve"> </w:t>
      </w:r>
      <w:r>
        <w:t>to Cu</w:t>
      </w:r>
      <w:r>
        <w:t xml:space="preserve"> </w:t>
      </w:r>
      <w:r>
        <w:t>+</w:t>
      </w:r>
      <w:r>
        <w:t xml:space="preserve"> </w:t>
      </w:r>
      <w:r>
        <w:t>, both in solution and when copper is bound to the cognate</w:t>
      </w:r>
      <w:r>
        <w:t xml:space="preserve"> </w:t>
      </w:r>
      <w:r>
        <w:t>M. trichosporium</w:t>
      </w:r>
      <w:r>
        <w:t xml:space="preserve"> </w:t>
      </w:r>
      <w:r>
        <w:t>OB3b periplasmic chaperone CopC. These findings support a model in which CopD couples periplasmic Cu</w:t>
      </w:r>
      <w:r>
        <w:t xml:space="preserve"> </w:t>
      </w:r>
      <w:r>
        <w:t>2+</w:t>
      </w:r>
      <w:r>
        <w:t xml:space="preserve"> </w:t>
      </w:r>
      <w:r>
        <w:t>reduction to Cu</w:t>
      </w:r>
      <w:r>
        <w:t xml:space="preserve"> </w:t>
      </w:r>
      <w:r>
        <w:t>+</w:t>
      </w:r>
      <w:r>
        <w:t xml:space="preserve"> </w:t>
      </w:r>
      <w:r>
        <w:t>/H</w:t>
      </w:r>
      <w:r>
        <w:t xml:space="preserve"> </w:t>
      </w:r>
      <w:r>
        <w:t>+</w:t>
      </w:r>
      <w:r>
        <w:t xml:space="preserve"> </w:t>
      </w:r>
      <w:r>
        <w:t>symport across the inner membrane, establishing a new paradigm for bacterial copper import and metal transporter function.</w:t>
      </w:r>
    </w:p>
    <w:p>
      <w:pPr>
        <w:spacing w:before="120" w:after="120"/>
      </w:pPr>
      <w:r>
        <w:rPr>
          <w:sz w:val="18"/>
        </w:rPr>
        <w:t>——————————————————————————————————————————————————————————————————————</w:t>
      </w:r>
    </w:p>
    <w:p>
      <w:pPr>
        <w:spacing w:before="160" w:after="40" w:line="240" w:lineRule="auto"/>
      </w:pPr>
      <w:r>
        <w:rPr>
          <w:b/>
        </w:rPr>
        <w:t xml:space="preserve">[200] </w:t>
      </w:r>
      <w:hyperlink r:id="rId597">
        <w:r>
          <w:rPr>
            <w:color w:val="1155CC"/>
            <w:u w:val="single"/>
          </w:rPr>
          <w:t>Dand5的调控重布线驱动脊索动物左右组织者异位和器官不对称演化</w:t>
        </w:r>
      </w:hyperlink>
    </w:p>
    <w:p>
      <w:pPr>
        <w:spacing w:before="0" w:after="80"/>
      </w:pPr>
      <w:r>
        <w:rPr>
          <w:i/>
          <w:sz w:val="20"/>
        </w:rPr>
        <w:t>EN: Regulatory rewiring of Dand5 drove left–right organizer heterotopy and organ asymmetry evolution in chordates</w:t>
      </w:r>
    </w:p>
    <w:p>
      <w:pPr>
        <w:spacing w:before="0" w:after="120"/>
      </w:pPr>
      <w:r>
        <w:rPr>
          <w:b/>
        </w:rPr>
        <w:t xml:space="preserve">Source: </w:t>
      </w:r>
      <w:r>
        <w:t>Proceedings of the National Academy of Sciences: Keyword search for query</w:t>
      </w:r>
      <w:r>
        <w:t xml:space="preserve">    </w:t>
      </w:r>
      <w:r>
        <w:rPr>
          <w:b/>
        </w:rPr>
        <w:t xml:space="preserve">Pub date: </w:t>
      </w:r>
      <w:r>
        <w:t>2026-05-19 07:00:00+00:00</w:t>
      </w:r>
      <w:r>
        <w:t xml:space="preserve">    </w:t>
      </w:r>
      <w:r>
        <w:rPr>
          <w:b/>
        </w:rPr>
        <w:t xml:space="preserve">DOI: </w:t>
      </w:r>
      <w:hyperlink r:id="rId598">
        <w:r>
          <w:rPr>
            <w:color w:val="1155CC"/>
            <w:u w:val="single"/>
          </w:rPr>
          <w:t>10.1073/pnas.2531024123</w:t>
        </w:r>
      </w:hyperlink>
    </w:p>
    <w:p>
      <w:pPr>
        <w:spacing w:before="0" w:after="120"/>
      </w:pPr>
      <w:r>
        <w:rPr>
          <w:b/>
        </w:rPr>
        <w:t xml:space="preserve">Notes: </w:t>
      </w:r>
      <w:r>
        <w:t>abstract_source=crossref</w:t>
      </w:r>
    </w:p>
    <w:p>
      <w:pPr>
        <w:spacing w:before="0" w:after="80" w:lineRule="auto" w:line="276"/>
      </w:pPr>
      <w:r>
        <w:rPr>
          <w:b/>
        </w:rPr>
        <w:t xml:space="preserve">摘要（ZH）: </w:t>
      </w:r>
      <w:r>
        <w:t>异位性——发育过程的空间重定位——是驱动形态创新的关键机制，但其潜在的调控基础仍知之甚少。在脊索动物中，左右（L-R）组织者从文昌鱼所代表的前域转移到脊椎动物的后端，伴随着整个L-R基因调控网络（GRN）的协同重定位，包括Dand5及其下游基因Nodal、Lefty和Pitx。在此，我们剖析了文昌鱼Dand5的调控，并与脊椎动物进行了比较。我们发现文昌鱼Dand5的L-R不对称性是通过转录而非像脊椎动物那样通过转录后建立的。其转录直接由Hedgehog信号激活，并由Wnt信号抑制，独立于Brachyury以及Notch和Wnt信号的脊椎动物特异性输入。然而，脊椎动物Dand5不对称性转录后调控所需的关键元件，包括其3'-非翻译区（UTR）对Bicc1介导的RNA抑制的响应性以及Bicc1在胚胎后端的表达，似乎已存在于文昌鱼中。因此，我们的研究提供了经验证据，表明重新利用的调控序列可以驱动发育GRN的异位性，提供了一种机制。</w:t>
      </w:r>
    </w:p>
    <w:p>
      <w:pPr>
        <w:spacing w:before="0" w:after="200" w:lineRule="auto" w:line="276"/>
      </w:pPr>
      <w:r>
        <w:rPr>
          <w:b/>
        </w:rPr>
        <w:t xml:space="preserve">Abstract (EN): </w:t>
      </w:r>
      <w:r>
        <w:t>Heterotopy—the spatial relocation of developmental processes—is a key mechanism driving morphological innovation, yet its underlying regulatory basis remains poorly understood. In chordates, the left–right (L–R) organizer shifted from the anterior domain as represented by amphioxus to the posterior end in vertebrates, accompanied by a coordinated relocation of the entire L–R gene regulatory network (GRN), including</w:t>
      </w:r>
      <w:r>
        <w:t xml:space="preserve"> </w:t>
      </w:r>
      <w:r>
        <w:t>Dand5</w:t>
      </w:r>
      <w:r>
        <w:t xml:space="preserve"> </w:t>
      </w:r>
      <w:r>
        <w:t>and its downstream genes</w:t>
      </w:r>
      <w:r>
        <w:t xml:space="preserve"> </w:t>
      </w:r>
      <w:r>
        <w:t>Nodal</w:t>
      </w:r>
      <w:r>
        <w:t xml:space="preserve"> </w:t>
      </w:r>
      <w:r>
        <w:t>,</w:t>
      </w:r>
      <w:r>
        <w:t xml:space="preserve"> </w:t>
      </w:r>
      <w:r>
        <w:t>Lefty,</w:t>
      </w:r>
      <w:r>
        <w:t xml:space="preserve"> </w:t>
      </w:r>
      <w:r>
        <w:t>and</w:t>
      </w:r>
      <w:r>
        <w:t xml:space="preserve"> </w:t>
      </w:r>
      <w:r>
        <w:t>Pitx</w:t>
      </w:r>
      <w:r>
        <w:t xml:space="preserve"> </w:t>
      </w:r>
      <w:r>
        <w:t>. Here, we dissect the regulation of</w:t>
      </w:r>
      <w:r>
        <w:t xml:space="preserve"> </w:t>
      </w:r>
      <w:r>
        <w:t>Dand5</w:t>
      </w:r>
      <w:r>
        <w:t xml:space="preserve"> </w:t>
      </w:r>
      <w:r>
        <w:t>in amphioxus and compare it with vertebrates. We show that L–R asymmetry of amphioxus</w:t>
      </w:r>
      <w:r>
        <w:t xml:space="preserve"> </w:t>
      </w:r>
      <w:r>
        <w:t>Dand5</w:t>
      </w:r>
      <w:r>
        <w:t xml:space="preserve"> </w:t>
      </w:r>
      <w:r>
        <w:t>is established transcriptionally and not posttranscriptionally as in vertebrates. Its transcription is directly activated by Hedgehog signaling and repressed by Wnt signaling, independent of vertebrate-specific inputs from Brachyury, and Notch and Wnt signaling. However, key elements required for postregulation of vertebrate</w:t>
      </w:r>
      <w:r>
        <w:t xml:space="preserve"> </w:t>
      </w:r>
      <w:r>
        <w:t>Dand5</w:t>
      </w:r>
      <w:r>
        <w:t xml:space="preserve"> </w:t>
      </w:r>
      <w:r>
        <w:t>asymmetry, including the responsiveness of its 3’-untranslated region (UTR) to Bicc1-mediated RNA repression and</w:t>
      </w:r>
      <w:r>
        <w:t xml:space="preserve"> </w:t>
      </w:r>
      <w:r>
        <w:t>Bicc1</w:t>
      </w:r>
      <w:r>
        <w:t xml:space="preserve"> </w:t>
      </w:r>
      <w:r>
        <w:t>expression in embryonic posterior end, seem already present in amphioxus. Our study therefore provides empirical evidence that repurposed regulatory sequences can drive heterotopy of developmental GRNs, offering a mechanistic explanation for the evolutionary shift of the LR signaling center and a foundation for exploring the diversification of LR organs across chordates.</w:t>
      </w:r>
    </w:p>
    <w:p>
      <w:pPr>
        <w:spacing w:before="120" w:after="120"/>
      </w:pPr>
      <w:r>
        <w:rPr>
          <w:sz w:val="18"/>
        </w:rPr>
        <w:t>——————————————————————————————————————————————————————————————————————</w:t>
      </w:r>
    </w:p>
    <w:p>
      <w:pPr>
        <w:spacing w:before="160" w:after="40" w:line="240" w:lineRule="auto"/>
      </w:pPr>
      <w:r>
        <w:rPr>
          <w:b/>
        </w:rPr>
        <w:t xml:space="preserve">[201] </w:t>
      </w:r>
      <w:hyperlink r:id="rId599">
        <w:r>
          <w:rPr>
            <w:color w:val="1155CC"/>
            <w:u w:val="single"/>
          </w:rPr>
          <w:t>导电MOFs中分子筛分实现的甲醇-乙醇鉴别和选择性传感</w:t>
        </w:r>
      </w:hyperlink>
    </w:p>
    <w:p>
      <w:pPr>
        <w:spacing w:before="0" w:after="80"/>
      </w:pPr>
      <w:r>
        <w:rPr>
          <w:i/>
          <w:sz w:val="20"/>
        </w:rPr>
        <w:t>EN: Methanol‐Ethanol Discrimination and Selective Sensing Enabled by Molecular Sieving in Conductive MOFs</w:t>
      </w:r>
    </w:p>
    <w:p>
      <w:pPr>
        <w:spacing w:before="0" w:after="120"/>
      </w:pPr>
      <w:r>
        <w:rPr>
          <w:b/>
        </w:rPr>
        <w:t xml:space="preserve">Source: </w:t>
      </w:r>
      <w:r>
        <w:t>Wiley: Advanced Materials: Table of Contents</w:t>
      </w:r>
      <w:r>
        <w:t xml:space="preserve">    </w:t>
      </w:r>
      <w:r>
        <w:rPr>
          <w:b/>
        </w:rPr>
        <w:t xml:space="preserve">Pub date: </w:t>
      </w:r>
      <w:r>
        <w:t>2026-05-19 08:35:10+00:00</w:t>
      </w:r>
      <w:r>
        <w:t xml:space="preserve">    </w:t>
      </w:r>
      <w:r>
        <w:rPr>
          <w:b/>
        </w:rPr>
        <w:t xml:space="preserve">DOI: </w:t>
      </w:r>
      <w:hyperlink r:id="rId600">
        <w:r>
          <w:rPr>
            <w:color w:val="1155CC"/>
            <w:u w:val="single"/>
          </w:rPr>
          <w:t>10.1002/adma.73406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醇因其挥发性和毒性而构成重大的健康风险。它与乙醇的化学相似性高，增加了通过受污染饮料意外摄入的可能性。在此，我们报道了在环境条件下选择性区分甲醇和乙醇的化学电阻传感器。该传感器由单壁碳纳米管（CNTs）组成，其功能化了由2,3,7,8,12,13-六羟基四氮萘并四苯（HHTT）构建的导电金属有机框架（cMOFs）。位于HHTT基cMOFs蜂窝状通道内的三核孔内簇（IPCs）通过增加吸附位点密度和限制分子通过孔隙的扩散来调控甲醇传感。Mg-HHTT的孔隙主要被IPCs占据，增强了CNT@cMOF复合材料对甲醇的响应，同时抑制了乙醇和更大醇类的传输。相比之下，缺乏高密度IPCs的同构Ni-HHTT和Cu-HHTT类似物表现出显著较低的灵敏度和选择性。密度泛函理论和分子动力学模拟支持基于IPC介导的分子筛分传感机制。使用掺甲醇酒的传感器测试证明了在实际环境条件下复杂饮料基质中选择性甲醇检测。</w:t>
      </w:r>
    </w:p>
    <w:p>
      <w:pPr>
        <w:spacing w:before="0" w:after="200" w:lineRule="auto" w:line="276"/>
      </w:pPr>
      <w:r>
        <w:rPr>
          <w:b/>
        </w:rPr>
        <w:t xml:space="preserve">Abstract (EN): </w:t>
      </w:r>
      <w:r>
        <w:t>Methanol presents a significant health risk because of its volatility and toxicity. Its close chemical similarity to ethanol increases the likelihood of accidental ingestion through contaminated beverages. Here, we report chemiresistive sensors that selectively distinguish methanol from ethanol under ambient conditions. The sensors consist of single‐walled carbon nanotubes (CNTs) functionalized with conductive metal–organic frameworks (cMOFs) constructed from 2,3,7,8,12,13‐hexahydroxytetraazanaphthotetraphene (HHTT). Trinuclear intra‐pore clusters (IPCs) located within the honeycomb channels of HHTT‐based cMOFs govern methanol sensing by increasing the density of adsorption sites and constraining molecular diffusion through the pores. Mg‐HHTT, in which the pores are largely occupied by IPCs, enhances the methanol response of CNT@cMOF composites while suppressing transport of ethanol and larger alcohols. In contrast, isostructural Ni‐HHTT and Cu‐HHTT analogues, which lack a high density of IPCs, exhibit substantially lower sensitivity and selectivity. Density functional theory and molecular dynamics simulations support a sensing mechanism based on IPC‐mediated molecular sieving. Sensor tests using methanol‐spiked liquors demonstrate selective methanol detection in complex beverage matrices under practical ambient conditions.</w:t>
      </w:r>
    </w:p>
    <w:p>
      <w:pPr>
        <w:spacing w:before="120" w:after="120"/>
      </w:pPr>
      <w:r>
        <w:rPr>
          <w:sz w:val="18"/>
        </w:rPr>
        <w:t>——————————————————————————————————————————————————————————————————————</w:t>
      </w:r>
    </w:p>
    <w:p>
      <w:pPr>
        <w:spacing w:before="160" w:after="40" w:line="240" w:lineRule="auto"/>
      </w:pPr>
      <w:r>
        <w:rPr>
          <w:b/>
        </w:rPr>
        <w:t xml:space="preserve">[202] </w:t>
      </w:r>
      <w:hyperlink r:id="rId601">
        <w:r>
          <w:rPr>
            <w:color w:val="1155CC"/>
            <w:u w:val="single"/>
          </w:rPr>
          <w:t>硅烷改性生物质气凝胶的协同几何和界面调控，用于可持续、低阻力的颗粒物过滤</w:t>
        </w:r>
      </w:hyperlink>
    </w:p>
    <w:p>
      <w:pPr>
        <w:spacing w:before="0" w:after="80"/>
      </w:pPr>
      <w:r>
        <w:rPr>
          <w:i/>
          <w:sz w:val="20"/>
        </w:rPr>
        <w:t>EN: Synergistic Geometric and Interfacial Regulation of Silane‐Modified Biomass Aerogels for Sustainable, Low‐Resistance Particulate Filtration</w:t>
      </w:r>
    </w:p>
    <w:p>
      <w:pPr>
        <w:spacing w:before="0" w:after="120"/>
      </w:pPr>
      <w:r>
        <w:rPr>
          <w:b/>
        </w:rPr>
        <w:t xml:space="preserve">Source: </w:t>
      </w:r>
      <w:r>
        <w:t>Wiley: Advanced Materials: Table of Contents</w:t>
      </w:r>
      <w:r>
        <w:t xml:space="preserve">    </w:t>
      </w:r>
      <w:r>
        <w:rPr>
          <w:b/>
        </w:rPr>
        <w:t xml:space="preserve">Pub date: </w:t>
      </w:r>
      <w:r>
        <w:t>2026-05-19 08:36:57+00:00</w:t>
      </w:r>
      <w:r>
        <w:t xml:space="preserve">    </w:t>
      </w:r>
      <w:r>
        <w:rPr>
          <w:b/>
        </w:rPr>
        <w:t xml:space="preserve">DOI: </w:t>
      </w:r>
      <w:hyperlink r:id="rId602">
        <w:r>
          <w:rPr>
            <w:color w:val="1155CC"/>
            <w:u w:val="single"/>
          </w:rPr>
          <w:t>10.1002/adma.73423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颗粒物污染对公众健康构成威胁，因此需要开发高效、可持续的空气过滤器。细菌纤维素（BC）气凝胶是很有前景的候选材料；然而，实现高过滤效率可能会增加空气阻力。我们提出了一种表面功能化引导策略，用于精确调节气凝胶表面基团，以改变颗粒捕获行为并提高过滤性能。使用γ-氨丙基三乙氧基硅烷（KH550）作为模型硅烷前体，我们展示了增强的静电吸附和枝晶沉积模式的形成，从而改善了可吸入颗粒物（PM</w:t>
      </w:r>
      <w:r>
        <w:t xml:space="preserve"> </w:t>
      </w:r>
      <w:r>
        <w:t>2.5</w:t>
      </w:r>
      <w:r>
        <w:t xml:space="preserve"> </w:t>
      </w:r>
      <w:r>
        <w:t>）的捕获。BC-KH550气凝胶表现出卓越的过滤效率（&gt;99%），同时在潮湿条件下保持了坚固的机械性能和稳定性。理论模拟表明，表面改性后增强的静电相互作用显著影响了过滤性能，揭示了表面官能团与PM之间的协同效应。这促进了对改性BC气凝胶结构-功能关系的深入理解，并为设计具有可调表面的下一代可持续空气过滤器提供了蓝图。</w:t>
      </w:r>
    </w:p>
    <w:p>
      <w:pPr>
        <w:spacing w:before="0" w:after="200" w:lineRule="auto" w:line="276"/>
      </w:pPr>
      <w:r>
        <w:rPr>
          <w:b/>
        </w:rPr>
        <w:t xml:space="preserve">Abstract (EN): </w:t>
      </w:r>
      <w:r>
        <w:t>Particulate matter pollution poses a threat to public health, necessitating the development of high‐efficiency, sustainable air filters. Bacterial cellulose (BC) aerogels are promising candidates; however, achieving high filtration efficiency can increase air resistance. We present a surface functionalization‐guided strategy for the precise tuning of aerogel surface groups to alter particle capture behavior and improve filtration performance. Using γ‐aminopropyltriethoxysilane (KH550) as a model silane precursor, we demonstrated enhanced electrostatic adsorption and the formation of dendritic deposition patterns that improved the capture of inhalable particulate matter (PM</w:t>
      </w:r>
      <w:r>
        <w:t xml:space="preserve"> </w:t>
      </w:r>
      <w:r>
        <w:t>2.5</w:t>
      </w:r>
      <w:r>
        <w:t xml:space="preserve"> </w:t>
      </w:r>
      <w:r>
        <w:t>). The BC‐KH550 aerogels exhibited outstanding filtration efficiency (&amp;gt;99%) while maintaining robust mechanical properties and stability under humid conditions. Theoretical simulations revealed that the enhanced electrostatic interactions following surface modification significantly influenced filtration performance, revealing a synergistic effect between surface functional groups and PM. This advanced the fundamental understanding of the structure‐function relationship of modified BC aerogels and provided a blueprint for designing next‐generation sustainable air filters with tunable surfaces.</w:t>
      </w:r>
    </w:p>
    <w:p>
      <w:pPr>
        <w:spacing w:before="120" w:after="120"/>
      </w:pPr>
      <w:r>
        <w:rPr>
          <w:sz w:val="18"/>
        </w:rPr>
        <w:t>——————————————————————————————————————————————————————————————————————</w:t>
      </w:r>
    </w:p>
    <w:p>
      <w:pPr>
        <w:spacing w:before="160" w:after="40" w:line="240" w:lineRule="auto"/>
      </w:pPr>
      <w:r>
        <w:rPr>
          <w:b/>
        </w:rPr>
        <w:t xml:space="preserve">[203] </w:t>
      </w:r>
      <w:hyperlink r:id="rId603">
        <w:r>
          <w:rPr>
            <w:color w:val="1155CC"/>
            <w:u w:val="single"/>
          </w:rPr>
          <w:t>DNA诱导的熵增益触发热休克转录因子1生物分子凝聚的变构开关</w:t>
        </w:r>
      </w:hyperlink>
    </w:p>
    <w:p>
      <w:pPr>
        <w:spacing w:before="0" w:after="80"/>
      </w:pPr>
      <w:r>
        <w:rPr>
          <w:i/>
          <w:sz w:val="20"/>
        </w:rPr>
        <w:t>EN: DNA‐Induced Entropic Gain Triggers an Allosteric Switch for Biomolecular Condensation of Heat Shock Transcription Factor 1</w:t>
      </w:r>
    </w:p>
    <w:p>
      <w:pPr>
        <w:spacing w:before="0" w:after="120"/>
      </w:pPr>
      <w:r>
        <w:rPr>
          <w:b/>
        </w:rPr>
        <w:t xml:space="preserve">Source: </w:t>
      </w:r>
      <w:r>
        <w:t>Wiley: Angewandte Chemie International Edition: Table of Contents</w:t>
      </w:r>
      <w:r>
        <w:t xml:space="preserve">    </w:t>
      </w:r>
      <w:r>
        <w:rPr>
          <w:b/>
        </w:rPr>
        <w:t xml:space="preserve">Pub date: </w:t>
      </w:r>
      <w:r>
        <w:t>2026-05-19 13:16:34+00:00</w:t>
      </w:r>
      <w:r>
        <w:t xml:space="preserve">    </w:t>
      </w:r>
      <w:r>
        <w:rPr>
          <w:b/>
        </w:rPr>
        <w:t xml:space="preserve">DOI: </w:t>
      </w:r>
      <w:hyperlink r:id="rId604">
        <w:r>
          <w:rPr>
            <w:color w:val="1155CC"/>
            <w:u w:val="single"/>
          </w:rPr>
          <w:t>10.1002/anie.7340537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转录因子 (TF) 对位点特异性DNA识别如何转化为宏观蛋白质凝聚的分子逻辑，仍然是化学生物学中的一个基本难题。在此，我们揭示了TF的结构化DNA结合域 (DBD) 充当熵开关，调节内在无序区 (IDR) 的释放。利用高分辨率溶液核磁共振 (NMR) 光谱，我们证明DNA结合显著地将DBD的构象平衡推向高度动态的状态。这种构象转变通过变构作用触发IDR的释放，从而通过IDR与其他分子之间的多价相互作用促进宏观生物分子凝聚。我们的发现定义了一种熵驱动的变构机制，为DNA编码信息如何转化为宏观相行为提供了结构和热力学基础。</w:t>
      </w:r>
    </w:p>
    <w:p>
      <w:pPr>
        <w:spacing w:before="0" w:after="200" w:lineRule="auto" w:line="276"/>
      </w:pPr>
      <w:r>
        <w:rPr>
          <w:b/>
        </w:rPr>
        <w:t xml:space="preserve">Abstract (EN): </w:t>
      </w:r>
      <w:r>
        <w:t>The molecular logic of how site‐specific DNA recognition by a transcription factor (TF) is transduced into macroscopic protein condensation remains a fundamental puzzle in chemical biology. Here, we unveil that the structured DNA‐binding domain (DBD) of a TF acts as an entropic switch to regulate the release of the intrinsically disordered region (IDR). Using high‐resolution solution NMR spectroscopy, we demonstrate that DNA binding significantly shifts the conformational equilibrium of the DBD toward a highly dynamic state. This conformational shift allosterically triggers the release of the IDR, thereby promoting macroscopic biomolecular condensation via multivalent interactions between the IDR and other molecules. Our findings define a mechanism of entropy‐driven allostery, providing a structural and thermodynamic basis for how DNA‐encoded information is transduced into macroscopic phase behavior.</w:t>
      </w:r>
    </w:p>
    <w:p>
      <w:pPr>
        <w:spacing w:before="120" w:after="120"/>
      </w:pPr>
      <w:r>
        <w:rPr>
          <w:sz w:val="18"/>
        </w:rPr>
        <w:t>——————————————————————————————————————————————————————————————————————</w:t>
      </w:r>
    </w:p>
    <w:p>
      <w:pPr>
        <w:spacing w:before="160" w:after="40" w:line="240" w:lineRule="auto"/>
      </w:pPr>
      <w:r>
        <w:rPr>
          <w:b/>
        </w:rPr>
        <w:t xml:space="preserve">[204] </w:t>
      </w:r>
      <w:hyperlink r:id="rId605">
        <w:r>
          <w:rPr>
            <w:color w:val="1155CC"/>
            <w:u w:val="single"/>
          </w:rPr>
          <w:t>[ASAP] 光激活RPE65抑制剂实现按需视觉循环控制</w:t>
        </w:r>
      </w:hyperlink>
    </w:p>
    <w:p>
      <w:pPr>
        <w:spacing w:before="0" w:after="80"/>
      </w:pPr>
      <w:r>
        <w:rPr>
          <w:i/>
          <w:sz w:val="20"/>
        </w:rPr>
        <w:t>EN: [ASAP] Light-Activated RPE65 Inhibitors Enable On-Demand Visual Cycle Control</w:t>
      </w:r>
    </w:p>
    <w:p>
      <w:pPr>
        <w:spacing w:before="0" w:after="120"/>
      </w:pPr>
      <w:r>
        <w:rPr>
          <w:b/>
        </w:rPr>
        <w:t xml:space="preserve">Source: </w:t>
      </w:r>
      <w:r>
        <w:t>Journal of the American Chemical Society: Latest Articles (ACS Publications)</w:t>
      </w:r>
      <w:r>
        <w:t xml:space="preserve">    </w:t>
      </w:r>
      <w:r>
        <w:rPr>
          <w:b/>
        </w:rPr>
        <w:t xml:space="preserve">Pub date: </w:t>
      </w:r>
      <w:r>
        <w:t>2026-05-19 13:52:16+00:00</w:t>
      </w:r>
      <w:r>
        <w:t xml:space="preserve">    </w:t>
      </w:r>
      <w:r>
        <w:rPr>
          <w:b/>
        </w:rPr>
        <w:t xml:space="preserve">DOI: </w:t>
      </w:r>
      <w:hyperlink r:id="rId606">
        <w:r>
          <w:rPr>
            <w:color w:val="1155CC"/>
            <w:u w:val="single"/>
          </w:rPr>
          <w:t>10.1021/jacs.6c02962</w:t>
        </w:r>
      </w:hyperlink>
    </w:p>
    <w:p>
      <w:pPr>
        <w:spacing w:before="0" w:after="120"/>
      </w:pPr>
      <w:r>
        <w:rPr>
          <w:b/>
        </w:rPr>
        <w:t xml:space="preserve">Notes: </w:t>
      </w:r>
      <w:r>
        <w:t>abstract_source=pubmed</w:t>
      </w:r>
    </w:p>
    <w:p>
      <w:pPr>
        <w:spacing w:before="0" w:after="80" w:lineRule="auto" w:line="276"/>
      </w:pPr>
      <w:r>
        <w:rPr>
          <w:b/>
        </w:rPr>
        <w:t xml:space="preserve">摘要（ZH）: </w:t>
      </w:r>
      <w:r>
        <w:t>光启动视觉感知，但它也加剧了一部分致盲性疾病，其中视觉（类视色素）循环代谢中间体导致病理生理学。小分子视觉循环调节剂 (VCMs) 在临床前模型中显示出疗效，但在临床上受到慢性、无差别视觉循环抑制的限制，导致包括人类受试者夜盲症在内的副作用。在此，我们展示了通过眼睛内的可见光对含偶氮苯的VCM进行Z→E光异构化而激活的VCM。其中一种VCM光开关，(Z)-9，是视觉循环异构水解酶RPE65的弱抑制剂，当被可见光光异构化为E构型时，能提供强效、快速和按需抑制。(E)-9保护视网膜免受视觉循环毒性，口服给药后，通过视网膜电图测量显示其药效持续时间比emixustat短。这些结果建立了后段光药理学，并为光激活疗法描绘了蓝图，以减轻白天毒性同时保留夜间视力。</w:t>
      </w:r>
    </w:p>
    <w:p>
      <w:pPr>
        <w:spacing w:before="0" w:after="200" w:lineRule="auto" w:line="276"/>
      </w:pPr>
      <w:r>
        <w:rPr>
          <w:b/>
        </w:rPr>
        <w:t xml:space="preserve">Abstract (EN): </w:t>
      </w:r>
      <w:r>
        <w:t>Light initiates visual perception, but it also exacerbates a subset of blinding diseases in which visual (retinoid) cycle metabolic intermediates contribute to pathophysiology. Small molecule visual cycle modulators (VCMs) have demonstrated efficacy in preclinical models, but have been limited clinically by chronic, indiscriminate visual cycle suppression leading to side effects including night blindness in human subjects. Here, we demonstrate VCMs that are activated via a Z→E photoisomerization of an azobenzene-containing VCM by visible light within the eye. One such VCM photoswitch, (Z)-9, is a weak inhibitor of the visual cycle isomerohydrolase, RPE65, that affords potent, rapid, and on-demand inhibition when photoisomerized to the E-configuration by visible light. (E)-9 protects the retina from visual cycle toxicity and, after oral administration, shows a shorter pharmacodynamic duration than emixustat as measured by electroretinography. These results establish posterior-segment photopharmacology and outline a blueprint for light-activated therapies that mitigate daytime toxicity while sparing night vision.</w:t>
      </w:r>
    </w:p>
    <w:p>
      <w:pPr>
        <w:spacing w:before="120" w:after="120"/>
      </w:pPr>
      <w:r>
        <w:rPr>
          <w:sz w:val="18"/>
        </w:rPr>
        <w:t>——————————————————————————————————————————————————————————————————————</w:t>
      </w:r>
    </w:p>
    <w:p>
      <w:pPr>
        <w:spacing w:before="160" w:after="40" w:line="240" w:lineRule="auto"/>
      </w:pPr>
      <w:r>
        <w:rPr>
          <w:b/>
        </w:rPr>
        <w:t xml:space="preserve">[205] </w:t>
      </w:r>
      <w:hyperlink r:id="rId607">
        <w:r>
          <w:rPr>
            <w:color w:val="1155CC"/>
            <w:u w:val="single"/>
          </w:rPr>
          <w:t>[ASAP] X射线发射光谱揭示扭转有序化是沸石结晶的先决条件</w:t>
        </w:r>
      </w:hyperlink>
    </w:p>
    <w:p>
      <w:pPr>
        <w:spacing w:before="0" w:after="80"/>
      </w:pPr>
      <w:r>
        <w:rPr>
          <w:i/>
          <w:sz w:val="20"/>
        </w:rPr>
        <w:t>EN: [ASAP] Torsional Ordering as a Prerequisite for Zeolite Crystallization Revealed by X-ray Emission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2026-05-19 13:52:58+00:00</w:t>
      </w:r>
      <w:r>
        <w:t xml:space="preserve">    </w:t>
      </w:r>
      <w:r>
        <w:rPr>
          <w:b/>
        </w:rPr>
        <w:t xml:space="preserve">DOI: </w:t>
      </w:r>
      <w:hyperlink r:id="rId608">
        <w:r>
          <w:rPr>
            <w:color w:val="1155CC"/>
            <w:u w:val="single"/>
          </w:rPr>
          <w:t>10.1021/jacs.6c03877</w:t>
        </w:r>
      </w:hyperlink>
    </w:p>
    <w:p>
      <w:pPr>
        <w:spacing w:before="0" w:after="120"/>
      </w:pPr>
      <w:r>
        <w:rPr>
          <w:b/>
        </w:rPr>
        <w:t xml:space="preserve">Notes: </w:t>
      </w:r>
      <w:r>
        <w:t>abstract_source=pubmed</w:t>
      </w:r>
    </w:p>
    <w:p>
      <w:pPr>
        <w:spacing w:before="0" w:after="80" w:lineRule="auto" w:line="276"/>
      </w:pPr>
      <w:r>
        <w:rPr>
          <w:b/>
        </w:rPr>
        <w:t xml:space="preserve">摘要（ZH）: </w:t>
      </w:r>
      <w:r>
        <w:t>了解有序晶体如何从无序前驱体中形成是材料科学中的一个重大挑战。解决这个问题对于调整网络材料的性能至关重要，特别是沸石硅酸盐，它们在能源和环境催化中不可或缺。这一挑战尤为严峻，因为硅酸盐网络关键的三维 (3D) 有序化在实验上一直无法触及。然而，对结晶过程的详细了解将有助于调整关键性能以改进应用。在这里，我们利用 O 1s X射线发射光谱 (XES) 作为 3D 网络几何结构的谱学标尺，直接观察了这一过程。在从头算模拟的支持下，我们的结果揭示了 MWW 型沸石结晶过程中 O-Si-O-Si 扭转角的系统演变。我们发现，这些角度逐渐有序化为交错构象是一个决定性的早期事件，它先于晶体骨架的形成。这项工作确立了 O 1s XES 作为探测局部网络拓扑结构的强大工具，能够定量获取 3D 硅酸盐网络的关键几何参数，包括键距、键角和扭转角。这揭示了一个基本原理：拓扑有序化是一个独特的、前驱性的事件，发生在长程晶体有序化出现之前。这种“拓扑优先”的见解从根本上推动了沸石和其他复杂网络材料的原子级精确合理设计。</w:t>
      </w:r>
    </w:p>
    <w:p>
      <w:pPr>
        <w:spacing w:before="0" w:after="200" w:lineRule="auto" w:line="276"/>
      </w:pPr>
      <w:r>
        <w:rPr>
          <w:b/>
        </w:rPr>
        <w:t xml:space="preserve">Abstract (EN): </w:t>
      </w:r>
      <w:r>
        <w:t>Understanding how ordered crystals emerge from disordered precursors is a grand challenge in materials science. Resolving this question is critical for tailoring the properties of network materials, particularly zeolitic silicates, which are indispensable in energy and environmental catalysis. This challenge has been particularly acute as the key three-dimensional (3D) ordering of the silicate network has remained experimentally inaccessible. However, detailed knowledge of crystallization would enable tailoring of key properties for improved applications. Here, we provide direct observation of this process using O 1s X-ray emission spectroscopy (XES) as a spectroscopic ruler for the 3D network geometry. Supported by ab initio simulations, our results reveal the systematic evolution of the O-Si-O-Si torsion angles during the crystallization of an MWW-type zeolite. We discovered that the progressive ordering of these angles into a staggered conformation is a decisive early-stage event that precedes the formation of the crystalline framework. This work establishes O 1s XES as a powerful tool for probing local network topology, enabling quantitative access to key geometric parameters of 3D silicate networks, including bond distances, bond angles, and torsion angles. This reveals a fundamental principle: topological ordering is a distinct, precursorial event that occurs prior to the emergence of long-range crystalline order. This "topology-first" insight fundamentally advances the rational design of zeolites and other complex network materials with atomic-level precision.</w:t>
      </w:r>
    </w:p>
    <w:p>
      <w:pPr>
        <w:spacing w:before="120" w:after="120"/>
      </w:pPr>
      <w:r>
        <w:rPr>
          <w:sz w:val="18"/>
        </w:rPr>
        <w:t>——————————————————————————————————————————————————————————————————————</w:t>
      </w:r>
    </w:p>
    <w:p>
      <w:pPr>
        <w:spacing w:before="160" w:after="40" w:line="240" w:lineRule="auto"/>
      </w:pPr>
      <w:r>
        <w:rPr>
          <w:b/>
        </w:rPr>
        <w:t xml:space="preserve">[206] </w:t>
      </w:r>
      <w:hyperlink r:id="rId609">
        <w:r>
          <w:rPr>
            <w:color w:val="1155CC"/>
            <w:u w:val="single"/>
          </w:rPr>
          <w:t>[ASAP] ProTide荧光探针的固相合成实现羧肽酶活性的系统分析</w:t>
        </w:r>
      </w:hyperlink>
    </w:p>
    <w:p>
      <w:pPr>
        <w:spacing w:before="0" w:after="80"/>
      </w:pPr>
      <w:r>
        <w:rPr>
          <w:i/>
          <w:sz w:val="20"/>
        </w:rPr>
        <w:t>EN: [ASAP] Solid-Phase Synthesis of ProTide Fluorogenic Probes Enables Systematic Profiling of Carboxypeptidase Activity</w:t>
      </w:r>
    </w:p>
    <w:p>
      <w:pPr>
        <w:spacing w:before="0" w:after="120"/>
      </w:pPr>
      <w:r>
        <w:rPr>
          <w:b/>
        </w:rPr>
        <w:t xml:space="preserve">Source: </w:t>
      </w:r>
      <w:r>
        <w:t>Journal of the American Chemical Society: Latest Articles (ACS Publications)</w:t>
      </w:r>
      <w:r>
        <w:t xml:space="preserve">    </w:t>
      </w:r>
      <w:r>
        <w:rPr>
          <w:b/>
        </w:rPr>
        <w:t xml:space="preserve">Pub date: </w:t>
      </w:r>
      <w:r>
        <w:t>2026-05-19 15:01:33+00:00</w:t>
      </w:r>
      <w:r>
        <w:t xml:space="preserve">    </w:t>
      </w:r>
      <w:r>
        <w:rPr>
          <w:b/>
        </w:rPr>
        <w:t xml:space="preserve">DOI: </w:t>
      </w:r>
      <w:hyperlink r:id="rId610">
        <w:r>
          <w:rPr>
            <w:color w:val="1155CC"/>
            <w:u w:val="single"/>
          </w:rPr>
          <w:t>10.1021/jacs.6c05335</w:t>
        </w:r>
      </w:hyperlink>
    </w:p>
    <w:p>
      <w:pPr>
        <w:spacing w:before="0" w:after="120"/>
      </w:pPr>
      <w:r>
        <w:rPr>
          <w:b/>
        </w:rPr>
        <w:t xml:space="preserve">Notes: </w:t>
      </w:r>
      <w:r>
        <w:t>abstract_source=pubmed</w:t>
      </w:r>
    </w:p>
    <w:p>
      <w:pPr>
        <w:spacing w:before="0" w:after="80" w:lineRule="auto" w:line="276"/>
      </w:pPr>
      <w:r>
        <w:rPr>
          <w:b/>
        </w:rPr>
        <w:t xml:space="preserve">摘要（ZH）: </w:t>
      </w:r>
      <w:r>
        <w:t>羧肽酶在生理和病理过程中发挥着多种作用，然而，在复杂生物样本中全面分析其活性仍然具有挑战性。在这里，我们报告了一种基于固相合成策略的荧光 ProTide 探针，该探针能够根据明确的 C 端氨基酸基序系统地分析羧肽酶活性。通过二肽-荧光团偶联物的模块化合成，我们生成了一组聚焦探针，揭示了羧肽酶（包括羧肽酶 A 和 B 家族酶）之间独特的底物偏好。将这些探针与单分子酶活性测定相结合，实现了对人血样本中循环羧肽酶活性的超灵敏检测。将该平台应用于临床样本表明，与健康对照组相比，胰腺癌 (PC) 患者体内特定羧肽酶活性升高，而密切相关的酶则显示出有限的诊断价值。这些结果建立了一种可扩展的基于活性的外肽酶分析化学策略，并强调循环羧肽酶活性作为与 PC 相关的功能性酶学特征。</w:t>
      </w:r>
    </w:p>
    <w:p>
      <w:pPr>
        <w:spacing w:before="0" w:after="200" w:lineRule="auto" w:line="276"/>
      </w:pPr>
      <w:r>
        <w:rPr>
          <w:b/>
        </w:rPr>
        <w:t xml:space="preserve">Abstract (EN): </w:t>
      </w:r>
      <w:r>
        <w:t>Carboxypeptidases play diverse roles in physiological and pathological processes, yet comprehensive analysis of their activities in complex biological samples remains challenging. Here, we report a solid-phase synthesis strategy for fluorogenic ProTide-based probes that enables systematic profiling of carboxypeptidase activities based on defined C-terminal amino acid motifs. By modular synthesis of dipeptide-fluorophore conjugates, we generated a focused probe set that revealed distinct substrate preferences among carboxypeptidases, including carboxypeptidase A and B family enzymes. Integration of these probes with a single-molecule enzyme activity assay allowed ultrasensitive detection of circulating carboxypeptidase activities in human blood samples. Application of this platform to clinical specimens demonstrated that specific carboxypeptidase activities are elevated in patients with pancreatic cancer (PC) compared with healthy controls, whereas closely related enzymes showed limited diagnostic value. These results establish a scalable chemical strategy for activity-based profiling of exopeptidases and highlight circulating carboxypeptidase activity as a functional enzymatic signature associated with PC.</w:t>
      </w:r>
    </w:p>
    <w:p>
      <w:pPr>
        <w:spacing w:before="120" w:after="120"/>
      </w:pPr>
      <w:r>
        <w:rPr>
          <w:sz w:val="18"/>
        </w:rPr>
        <w:t>——————————————————————————————————————————————————————————————————————</w:t>
      </w:r>
    </w:p>
    <w:p>
      <w:pPr>
        <w:spacing w:before="160" w:after="40" w:line="240" w:lineRule="auto"/>
      </w:pPr>
      <w:r>
        <w:rPr>
          <w:b/>
        </w:rPr>
        <w:t xml:space="preserve">[207] </w:t>
      </w:r>
      <w:hyperlink r:id="rId611">
        <w:r>
          <w:rPr>
            <w:color w:val="1155CC"/>
            <w:u w:val="single"/>
          </w:rPr>
          <w:t>[ASAP] “将Cu2-xS纳米晶体转化为CuGaS2纳米棒的同步晶种生长和阳离子交换动力学”勘误</w:t>
        </w:r>
      </w:hyperlink>
    </w:p>
    <w:p>
      <w:pPr>
        <w:spacing w:before="0" w:after="80"/>
      </w:pPr>
      <w:r>
        <w:rPr>
          <w:i/>
          <w:sz w:val="20"/>
        </w:rPr>
        <w:t>EN: [ASAP] Correction to “Kinetics of Concurrent Seed Growth and Cation Exchange in Transforming Cu2-xS Nanocrystals to CuGaS2 Nanorods”</w:t>
      </w:r>
    </w:p>
    <w:p>
      <w:pPr>
        <w:spacing w:before="0" w:after="120"/>
      </w:pPr>
      <w:r>
        <w:rPr>
          <w:b/>
        </w:rPr>
        <w:t xml:space="preserve">Source: </w:t>
      </w:r>
      <w:r>
        <w:t>Journal of the American Chemical Society: Latest Articles (ACS Publications)</w:t>
      </w:r>
      <w:r>
        <w:t xml:space="preserve">    </w:t>
      </w:r>
      <w:r>
        <w:rPr>
          <w:b/>
        </w:rPr>
        <w:t xml:space="preserve">Pub date: </w:t>
      </w:r>
      <w:r>
        <w:t>2026-05-19 15:52:02+00:00</w:t>
      </w:r>
      <w:r>
        <w:t xml:space="preserve">    </w:t>
      </w:r>
      <w:r>
        <w:rPr>
          <w:b/>
        </w:rPr>
        <w:t xml:space="preserve">DOI: </w:t>
      </w:r>
      <w:hyperlink r:id="rId612">
        <w:r>
          <w:rPr>
            <w:color w:val="1155CC"/>
            <w:u w:val="single"/>
          </w:rPr>
          <w:t>10.1021/jacs.6c09612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[208] </w:t>
      </w:r>
      <w:hyperlink r:id="rId613">
        <w:r>
          <w:rPr>
            <w:color w:val="1155CC"/>
            <w:u w:val="single"/>
          </w:rPr>
          <w:t>[ASAP] 一种具有分级微孔的疏水性铁基金属有机框架用于吸附室内痕量VOCs</w:t>
        </w:r>
      </w:hyperlink>
    </w:p>
    <w:p>
      <w:pPr>
        <w:spacing w:before="0" w:after="80"/>
      </w:pPr>
      <w:r>
        <w:rPr>
          <w:i/>
          <w:sz w:val="20"/>
        </w:rPr>
        <w:t>EN: [ASAP] A Hydrophobic Fe-Based Metal–Organic Framework with Hierarchical Micropores for Adsorption of Indoor Trace VOCs</w:t>
      </w:r>
    </w:p>
    <w:p>
      <w:pPr>
        <w:spacing w:before="0" w:after="120"/>
      </w:pPr>
      <w:r>
        <w:rPr>
          <w:b/>
        </w:rPr>
        <w:t xml:space="preserve">Source: </w:t>
      </w:r>
      <w:r>
        <w:t>Journal of the American Chemical Society: Latest Articles (ACS Publications)</w:t>
      </w:r>
      <w:r>
        <w:t xml:space="preserve">    </w:t>
      </w:r>
      <w:r>
        <w:rPr>
          <w:b/>
        </w:rPr>
        <w:t xml:space="preserve">Pub date: </w:t>
      </w:r>
      <w:r>
        <w:t>2026-05-19 16:08:17+00:00</w:t>
      </w:r>
      <w:r>
        <w:t xml:space="preserve">    </w:t>
      </w:r>
      <w:r>
        <w:rPr>
          <w:b/>
        </w:rPr>
        <w:t xml:space="preserve">DOI: </w:t>
      </w:r>
      <w:hyperlink r:id="rId614">
        <w:r>
          <w:rPr>
            <w:color w:val="1155CC"/>
            <w:u w:val="single"/>
          </w:rPr>
          <w:t>10.1021/jacs.6c02368</w:t>
        </w:r>
      </w:hyperlink>
    </w:p>
    <w:p>
      <w:pPr>
        <w:spacing w:before="0" w:after="120"/>
      </w:pPr>
      <w:r>
        <w:rPr>
          <w:b/>
        </w:rPr>
        <w:t xml:space="preserve">Notes: </w:t>
      </w:r>
      <w:r>
        <w:t>abstract_source=pubmed</w:t>
      </w:r>
    </w:p>
    <w:p>
      <w:pPr>
        <w:spacing w:before="0" w:after="80" w:lineRule="auto" w:line="276"/>
      </w:pPr>
      <w:r>
        <w:rPr>
          <w:b/>
        </w:rPr>
        <w:t xml:space="preserve">摘要（ZH）: </w:t>
      </w:r>
      <w:r>
        <w:t>室内挥发性有机化合物 (VOCs) 动力学直径 (2.5 ∼ 8.0 Å) 通常以痕量浓度共存，但对人体健康构成严重威胁。使用多孔吸附剂进行吸附是一种很有前景的VOC去除方法，尤其是在吸附剂孔径与VOC分子尺寸匹配时。然而，活性炭等传统吸附剂通常具有宽孔径分布，大部分孔径小于或远大于VOC分子，而大多数具有均匀窄微孔的新型吸附剂无法匹配各种VOC尺寸。此外，在高湿度条件下，水分子竞争严重限制了VOC的吸附。在此，合成了一种新型疏水性铁基金属有机框架 (MOF) ZJU-700-P，其具有交叉螺旋层结构，形成3.58 ± 0.30、4.58 ± 0.45、5.01 ± 0.45、5.73 ± 0.59和8.20 ± 1.02 Å的分级微孔，以匹配共存的室内VOC分子在高湿度下的吸附。ZJU-700-P的比表面积为1056 m2/g，水接触角为134.9°，在1 ppm和298 K下对甲醛 (28.6 mg/g)、丙酮 (29.8 mg/g)、苯 (60.3 mg/g)、甲苯 (37.1 mg/g) 和间二甲苯 (10.1 mg/g) 表现出优异的吸附性能。值得注意的是，即使在相对湿度高达90%的情况下，ZJU-700-P对VOC的吸附仍能保持84-93%。密度泛函理论模拟表明，ZJU-700-P对VOC的结合位点位于交叉螺旋层结构中的分级微孔处，这归因于孔径匹配效应。因此，ZJU-700-P是一种很有前景的物理吸附剂。</w:t>
      </w:r>
    </w:p>
    <w:p>
      <w:pPr>
        <w:spacing w:before="0" w:after="200" w:lineRule="auto" w:line="276"/>
      </w:pPr>
      <w:r>
        <w:rPr>
          <w:b/>
        </w:rPr>
        <w:t xml:space="preserve">Abstract (EN): </w:t>
      </w:r>
      <w:r>
        <w:t>Indoor volatile organic compounds (VOCs) with kinetic diameters (2.5 ∼ 8.0 Å) commonly coexist at trace concentrations but pose serious threat to human health. Adsorption using porous adsorbents is a promising method for VOC removal especially at the adsorbent pore size matching the VOC molecule size. However, conventional adsorbents such as activated carbons are common with broad pore size distributions showing most pores smaller or much larger than VOC molecules, while most novel adsorbents with uniform narrow micropores cannot match the varied VOC sizes. Moreover, adsorption of VOCs is largely limited at high humidity by the competition of water molecules. Herein, a novel hydrophobic Fe-based metal-organic framework (MOF), ZJU-700-P, having a cross-helicoidal layer structure to form hierarchical micropores of 3.58 ± 0.30, 4.58 ± 0.45, 5.01 ± 0.45, 5.73 ± 0.59, and 8.20 ± 1.02 Å, was synthesized to match the coexisting indoor VOC molecules for adsorption at high humidity. ZJU-700-P has a specific surface area of 1056 m2/g and a water contact angle of 134.9°, showing excellent adsorption for formaldehyde (28.6 mg/g), acetone (29.8 mg/g), benzene (60.3 mg/g), toluene (37.1 mg/g), and m-xylene (10.1 mg/g) at 1 ppm and 298 K. Notably, adsorption of VOCs by ZJU-700-P retains 84-93% even at relative humidity up to 90%. Density functional theory simulation indicates that the binding sites of ZJU-700-P for VOCs are located at the hierarchical micropores in the cross-helicoidal layer structure due to the pore size matching effects. Therefore, ZJU-700-P is a promising physisorbent for trace indoor VOC capture.</w:t>
      </w:r>
    </w:p>
    <w:p>
      <w:pPr>
        <w:spacing w:before="120" w:after="120"/>
      </w:pPr>
      <w:r>
        <w:rPr>
          <w:sz w:val="18"/>
        </w:rPr>
        <w:t>——————————————————————————————————————————————————————————————————————</w:t>
      </w:r>
    </w:p>
    <w:p>
      <w:pPr>
        <w:spacing w:before="160" w:after="40" w:line="240" w:lineRule="auto"/>
      </w:pPr>
      <w:r>
        <w:rPr>
          <w:b/>
        </w:rPr>
        <w:t xml:space="preserve">[209] </w:t>
      </w:r>
      <w:hyperlink r:id="rId615">
        <w:r>
          <w:rPr>
            <w:color w:val="1155CC"/>
            <w:u w:val="single"/>
          </w:rPr>
          <w:t>通过温度梯度辅助解聚选择性合成7‐/14‐元环状碳酸酯，并通过可控开环聚合制备高性能脂肪族聚碳酸酯</w:t>
        </w:r>
      </w:hyperlink>
    </w:p>
    <w:p>
      <w:pPr>
        <w:spacing w:before="0" w:after="80"/>
      </w:pPr>
      <w:r>
        <w:rPr>
          <w:i/>
          <w:sz w:val="20"/>
        </w:rPr>
        <w:t>EN: Selective Synthesis of 7‐/14‐membered Cyclic Carbonates by Temperature Gradient‐Assisted Depolymerization and Preparing High‐Performance Aliphatic Polycarbonate via Controlled Ring‐Opening Polymerization</w:t>
      </w:r>
    </w:p>
    <w:p>
      <w:pPr>
        <w:spacing w:before="0" w:after="120"/>
      </w:pPr>
      <w:r>
        <w:rPr>
          <w:b/>
        </w:rPr>
        <w:t xml:space="preserve">Source: </w:t>
      </w:r>
      <w:r>
        <w:t>Wiley: Angewandte Chemie International Edition: Table of Contents</w:t>
      </w:r>
      <w:r>
        <w:t xml:space="preserve">    </w:t>
      </w:r>
      <w:r>
        <w:rPr>
          <w:b/>
        </w:rPr>
        <w:t xml:space="preserve">Pub date: </w:t>
      </w:r>
      <w:r>
        <w:t>2026-05-19 16:14:59+00:00</w:t>
      </w:r>
      <w:r>
        <w:t xml:space="preserve">    </w:t>
      </w:r>
      <w:r>
        <w:rPr>
          <w:b/>
        </w:rPr>
        <w:t xml:space="preserve">DOI: </w:t>
      </w:r>
      <w:hyperlink r:id="rId616">
        <w:r>
          <w:rPr>
            <w:color w:val="1155CC"/>
            <w:u w:val="single"/>
          </w:rPr>
          <w:t>10.1002/anie.8645967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w:t>
      </w:r>
      <w:r>
        <w:rPr>
          <w:vertAlign w:val="subscript"/>
        </w:rPr>
        <w:t>2</w:t>
      </w:r>
      <w:r>
        <w:t>/环氧化物共聚和6元环状碳酸酯的开环聚合 (ROP) 已被广泛用于制备分别具有2碳和3碳间隔基的脂肪族聚碳酸酯 (APCs)。然而，具有更长链内脂肪族间隔基 (≥ 4碳) 的APCs主要通过逐步缩聚法制备，该方法通常存在反应条件苛刻以及对分子量和链微结构控制程度低的问题。在此，我们提出了一种“温度梯度辅助”解聚策略，用于选择性合成7元环状1,4-丁烯碳酸酯 (7-CBC) 及其14元二聚体 (7-CBC)</w:t>
      </w:r>
      <w:r>
        <w:rPr>
          <w:vertAlign w:val="subscript"/>
        </w:rPr>
        <w:t>2</w:t>
      </w:r>
      <w:r>
        <w:t>。通过使用高活性的 (酰胺烷基)吡啶-酚盐铝作为催化剂，7-CBC和 (7-CBC)</w:t>
      </w:r>
      <w:r>
        <w:rPr>
          <w:vertAlign w:val="subscript"/>
        </w:rPr>
        <w:t>2</w:t>
      </w:r>
      <w:r>
        <w:t>均发生快速开环聚合，得到具有可控分子量 (从27.3 kDa到208.4 kDa) 的聚(1,4-丁烯碳酸酯) (PBC)，这为系统研究分子量对结晶度、热学、力学和流变学性能的影响提供了机会。与高密度聚乙烯 (HDPE)、低密度聚乙烯 (LDPE) 和聚(</w:t>
      </w:r>
      <w:r>
        <w:t xml:space="preserve"> </w:t>
      </w:r>
      <w:r>
        <w:t>ε</w:t>
      </w:r>
      <w:r>
        <w:t xml:space="preserve"> </w:t>
      </w:r>
      <w:r>
        <w:t>-己内酯) (PCL) 相比，PBC表现出更优异的机械强度和气体阻隔性能。这项工作解决了传统逐步缩聚中的合成挑战，并为开发高性能材料提供了强大的工具箱。</w:t>
      </w:r>
    </w:p>
    <w:p>
      <w:pPr>
        <w:spacing w:before="0" w:after="200" w:lineRule="auto" w:line="276"/>
      </w:pPr>
      <w:r>
        <w:rPr>
          <w:b/>
        </w:rPr>
        <w:t xml:space="preserve">Abstract (EN): </w:t>
      </w:r>
      <w:r>
        <w:t>CO</w:t>
      </w:r>
      <w:r>
        <w:rPr>
          <w:vertAlign w:val="subscript"/>
        </w:rPr>
        <w:t>2</w:t>
      </w:r>
      <w:r>
        <w:t>/epoxide copolymerization and ring‐opening polymerization (ROP) of 6‐membered cyclic carbonate have been widely used to prepare aliphatic polycarbonates (APCs) featuring 2‐ and 3‐carbon spacer, respectively. However, the APCs with longer in‐chain aliphatic spacer (≥ 4‐carbon) were mainly prepared by step‐growth‐polycondensation, which generally suffered from harsh reaction conditions and low degree of control over molecular weight and chain microstructure. Herein, we presented a “temperature gradient‐assisted” depolymerization strategy for selective synthesis of 7‐membered cyclic 1,4‐butylene carbonate (7‐CBC) and its 14‐membered dimer (7‐CBC)</w:t>
      </w:r>
      <w:r>
        <w:rPr>
          <w:vertAlign w:val="subscript"/>
        </w:rPr>
        <w:t>2</w:t>
      </w:r>
      <w:r>
        <w:t>. By using a highly active (amidoalkyl)pyridine–phenolate aluminum as catalsyt, both 7‐CBC and (7‐CBC)</w:t>
      </w:r>
      <w:r>
        <w:rPr>
          <w:vertAlign w:val="subscript"/>
        </w:rPr>
        <w:t>2</w:t>
      </w:r>
      <w:r>
        <w:t>underwent rapid ring‐opening polymerization to afford poly(1,4‐butylene carbonate) (PBC) with tailored molecular weight (from 27.3 kDa to 208.4 kDa), providing the opportunity to systematically investigate the effects of molecular weight on crystallinity, thermal, mechanical and rheology properties. PBC exhibited much superior mechanical strength and gas barrier property compared to high‐density polyethylene (HDPE), low‐density polyethylene (LDPE), and poly(</w:t>
      </w:r>
      <w:r>
        <w:t xml:space="preserve"> </w:t>
      </w:r>
      <w:r>
        <w:t>ε</w:t>
      </w:r>
      <w:r>
        <w:t xml:space="preserve"> </w:t>
      </w:r>
      <w:r>
        <w:t>‐caprolactone) (PCL). This work resolved the synthetic challenges in the traditional step‐growth‐polycondensation and provided a powerful toolbox for developing high‐performance aliphatic polycarbonates.</w:t>
      </w:r>
    </w:p>
    <w:p>
      <w:pPr>
        <w:spacing w:before="120" w:after="120"/>
      </w:pPr>
      <w:r>
        <w:rPr>
          <w:sz w:val="18"/>
        </w:rPr>
        <w:t>——————————————————————————————————————————————————————————————————————</w:t>
      </w:r>
    </w:p>
    <w:p>
      <w:pPr>
        <w:spacing w:before="160" w:after="40" w:line="240" w:lineRule="auto"/>
      </w:pPr>
      <w:r>
        <w:rPr>
          <w:b/>
        </w:rPr>
        <w:t xml:space="preserve">[210] </w:t>
      </w:r>
      <w:hyperlink r:id="rId617">
        <w:r>
          <w:rPr>
            <w:color w:val="1155CC"/>
            <w:u w:val="single"/>
          </w:rPr>
          <w:t>超越对位和间位取代：富含硫族元素的硫杂双环[3.1.1]庚烷作为芳基硫醚衍生物的生物等排体的合成与生物学验证</w:t>
        </w:r>
      </w:hyperlink>
    </w:p>
    <w:p>
      <w:pPr>
        <w:spacing w:before="0" w:after="80"/>
      </w:pPr>
      <w:r>
        <w:rPr>
          <w:i/>
          <w:sz w:val="20"/>
        </w:rPr>
        <w:t>EN: Beyond para‐ and meta‐Substitution: Synthesis and Biological Validation of Chalcogen‐Rich Thiabicyclo[3.1.1]heptanes as Bioisosteres of Aryl Thioether Derivatives</w:t>
      </w:r>
    </w:p>
    <w:p>
      <w:pPr>
        <w:spacing w:before="0" w:after="120"/>
      </w:pPr>
      <w:r>
        <w:rPr>
          <w:b/>
        </w:rPr>
        <w:t xml:space="preserve">Source: </w:t>
      </w:r>
      <w:r>
        <w:t>Wiley: Angewandte Chemie International Edition: Table of Contents</w:t>
      </w:r>
      <w:r>
        <w:t xml:space="preserve">    </w:t>
      </w:r>
      <w:r>
        <w:rPr>
          <w:b/>
        </w:rPr>
        <w:t xml:space="preserve">Pub date: </w:t>
      </w:r>
      <w:r>
        <w:t>2026-05-19 16:16:48+00:00</w:t>
      </w:r>
      <w:r>
        <w:t xml:space="preserve">    </w:t>
      </w:r>
      <w:r>
        <w:rPr>
          <w:b/>
        </w:rPr>
        <w:t xml:space="preserve">DOI: </w:t>
      </w:r>
      <w:hyperlink r:id="rId618">
        <w:r>
          <w:rPr>
            <w:color w:val="1155CC"/>
            <w:u w:val="single"/>
          </w:rPr>
          <w:t>10.1002/anie.5228347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尽管双环[3.1.1]庚烷 (BCHeps) 和氧杂/氮杂-BCHeps 已成为有价值的芳烃生物等排体，但相应的硫杂类似物仍有待开发。值得注意的是，合成芳基硫醚模拟物的努力主要集中在[1.1.1]螺桨烷或[3.1.1]螺桨烷的应变释放硫官能化，以获得对位和间位取代的替代物，而邻位和1,2,4-三取代芳基硫醚的三维类似物仍然难以获得。在此，我们报道了一种一锅分步方案，其特点是双环[1.1.0]丁烷 (BCBs) 的反式硫(硒)磺酰化/环化反应，从而在温和条件下可规模化制备功能化的2-硫杂双环[3.1.1]庚烷 (thia-BCHeps)。通过这些thia-BCHeps结构单元的多样化衍生化以及便捷制备邻位、间位和1,2,4-三取代芳基硫醚衍生物（例如，芳基砜和芳基亚磺酰亚胺）的生物等排体，进一步证明了其合成应用价值。DFT计算表明，该反应通过极性加成途径进行，涉及甲磺酸铯对BCB的亲核攻击。观察到的非对映选择性源于有利的π–π堆积相互作用对反式加成过渡态的稳定作用。</w:t>
      </w:r>
    </w:p>
    <w:p>
      <w:pPr>
        <w:spacing w:before="0" w:after="200" w:lineRule="auto" w:line="276"/>
      </w:pPr>
      <w:r>
        <w:rPr>
          <w:b/>
        </w:rPr>
        <w:t xml:space="preserve">Abstract (EN): </w:t>
      </w:r>
      <w:r>
        <w:t>While bicyclo[3.1.1]heptanes (BCHeps) and oxa‐/aza‐BCHeps have emerged as valuable arene bioisosteres, the corresponding thia‐analogs remain underdeveloped. Notably, synthetic efforts to access aryl thioether mimetics have focused predominantly on strain‐release thiofunctionalization of [1.1.1]propellane or [3.1.1]propellane to access</w:t>
      </w:r>
      <w:r>
        <w:t xml:space="preserve"> </w:t>
      </w:r>
      <w:r>
        <w:t>para</w:t>
      </w:r>
      <w:r>
        <w:t xml:space="preserve"> </w:t>
      </w:r>
      <w:r>
        <w:t>‐ and</w:t>
      </w:r>
      <w:r>
        <w:t xml:space="preserve"> </w:t>
      </w:r>
      <w:r>
        <w:t>meta</w:t>
      </w:r>
      <w:r>
        <w:t xml:space="preserve"> </w:t>
      </w:r>
      <w:r>
        <w:t>‐substituted surrogates, whereas three‐dimensional analogs of</w:t>
      </w:r>
      <w:r>
        <w:t xml:space="preserve"> </w:t>
      </w:r>
      <w:r>
        <w:t>ortho</w:t>
      </w:r>
      <w:r>
        <w:t xml:space="preserve"> </w:t>
      </w:r>
      <w:r>
        <w:t>‐ and 1,2,4‐trisubstituted aryl thioethers remain elusive. Herein, we report a one‐pot stepwise protocol featuring</w:t>
      </w:r>
      <w:r>
        <w:t xml:space="preserve"> </w:t>
      </w:r>
      <w:r>
        <w:t>anti</w:t>
      </w:r>
      <w:r>
        <w:t xml:space="preserve"> </w:t>
      </w:r>
      <w:r>
        <w:t>‐thio(seleno)sulfonylation/annulation of bicyclo[1.1.0]butanes (BCBs) to enable scalable access to functionalized 2‐thiabicyclo[3.1.1]heptanes (thia‐BCHeps) under mild conditions. The synthetic utility is further demonstrated by diverse derivatization of these thia‐BCHeps building blocks and facile access to bioisosteres of</w:t>
      </w:r>
      <w:r>
        <w:t xml:space="preserve"> </w:t>
      </w:r>
      <w:r>
        <w:t>ortho</w:t>
      </w:r>
      <w:r>
        <w:t xml:space="preserve"> </w:t>
      </w:r>
      <w:r>
        <w:t>‐,</w:t>
      </w:r>
      <w:r>
        <w:t xml:space="preserve"> </w:t>
      </w:r>
      <w:r>
        <w:t>meta</w:t>
      </w:r>
      <w:r>
        <w:t xml:space="preserve"> </w:t>
      </w:r>
      <w:r>
        <w:t>‐, and 1,2,4‐trisubstituted aryl thioether derivatives (e.g., aryl sulfones and aryl sulfoximines). DFT calculations revealed that the reaction proceeded via a polar addition pathway, involving nucleophilic attack of cesium methanesulfinate with BCB. The observed diastereoselectivity originates from the stabilization of the</w:t>
      </w:r>
      <w:r>
        <w:t xml:space="preserve"> </w:t>
      </w:r>
      <w:r>
        <w:t>anti</w:t>
      </w:r>
      <w:r>
        <w:t xml:space="preserve"> </w:t>
      </w:r>
      <w:r>
        <w:t>‐addition transition state by a favorable π–π stacking interaction between two phenyl rings. Crystallographic analysis revealed that these thia‐BCHeps display geometric properties almost identical to those of</w:t>
      </w:r>
      <w:r>
        <w:t xml:space="preserve"> </w:t>
      </w:r>
      <w:r>
        <w:t>ortho‐</w:t>
      </w:r>
      <w:r>
        <w:t xml:space="preserve"> </w:t>
      </w:r>
      <w:r>
        <w:t>,</w:t>
      </w:r>
      <w:r>
        <w:t xml:space="preserve"> </w:t>
      </w:r>
      <w:r>
        <w:t>meta‐</w:t>
      </w:r>
      <w:r>
        <w:t xml:space="preserve"> </w:t>
      </w:r>
      <w:r>
        <w:t>, and 1,2,4‐trisubstituted aryl thioethers. Physicochemical studies and biological evaluation further validated these thia‐BCHeps as a new generation of saturated bioisosteres for aryl thioethers.</w:t>
      </w:r>
    </w:p>
    <w:p>
      <w:pPr>
        <w:spacing w:before="120" w:after="120"/>
      </w:pPr>
      <w:r>
        <w:rPr>
          <w:sz w:val="18"/>
        </w:rPr>
        <w:t>——————————————————————————————————————————————————————————————————————</w:t>
      </w:r>
    </w:p>
    <w:p>
      <w:pPr>
        <w:spacing w:before="160" w:after="40" w:line="240" w:lineRule="auto"/>
      </w:pPr>
      <w:r>
        <w:rPr>
          <w:b/>
        </w:rPr>
        <w:t xml:space="preserve">[211] </w:t>
      </w:r>
      <w:hyperlink r:id="rId619">
        <w:r>
          <w:rPr>
            <w:color w:val="1155CC"/>
            <w:u w:val="single"/>
          </w:rPr>
          <w:t>用于癌症诊疗一体化的层状纳米材料工程化：当前进展与未来机遇</w:t>
        </w:r>
      </w:hyperlink>
    </w:p>
    <w:p>
      <w:pPr>
        <w:spacing w:before="0" w:after="80"/>
      </w:pPr>
      <w:r>
        <w:rPr>
          <w:i/>
          <w:sz w:val="20"/>
        </w:rPr>
        <w:t>EN: Engineering Layered Nanomaterials for Cancer Theranostics: Current Progress and Future Opportunities</w:t>
      </w:r>
    </w:p>
    <w:p>
      <w:pPr>
        <w:spacing w:before="0" w:after="120"/>
      </w:pPr>
      <w:r>
        <w:rPr>
          <w:b/>
        </w:rPr>
        <w:t xml:space="preserve">Source: </w:t>
      </w:r>
      <w:r>
        <w:t>Wiley: Angewandte Chemie International Edition: Table of Contents</w:t>
      </w:r>
      <w:r>
        <w:t xml:space="preserve">    </w:t>
      </w:r>
      <w:r>
        <w:rPr>
          <w:b/>
        </w:rPr>
        <w:t xml:space="preserve">Pub date: </w:t>
      </w:r>
      <w:r>
        <w:t>2026-05-19 16:19:30+00:00</w:t>
      </w:r>
      <w:r>
        <w:t xml:space="preserve">    </w:t>
      </w:r>
      <w:r>
        <w:rPr>
          <w:b/>
        </w:rPr>
        <w:t xml:space="preserve">DOI: </w:t>
      </w:r>
      <w:hyperlink r:id="rId620">
        <w:r>
          <w:rPr>
            <w:color w:val="1155CC"/>
            <w:u w:val="single"/>
          </w:rPr>
          <w:t>10.1002/anie.1634100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原子级结构工程代表了一种强大的范式，用于定制层状纳米材料 (LNs) 以实现先进的癌症诊疗一体化，从而精确控制物理化学性质，克服传统纳米平台的局限性。本综述全面概述了工程化LNs的最新进展，包括层状金属氧化物、层状双氢氧化物、过渡金属二硫属化物、石墨烯、层状硅酸盐、石墨相氮化碳、金属碳化物和氮化物以及其他用于癌症诊断和治疗的层状骨架。讨论了五种代表性的原子级工程策略，包括晶相工程、缺陷工程、异质原子掺杂、层间距工程和晶态-非晶态相工程。对于每种策略，批判性地讨论了其潜在机制、代表性合成方法以及它们在优化诊疗性能（如光热转换、活性氧生成和多模态成像）中的作用。至关重要的是，对这些工程策略的优点和固有局限性进行了比较评估，以提供对其实际适用性的平衡视角。最后，着重强调了临床转化面临的关键挑战，包括结构稳定性、生物安全性和可扩展性。为开发用于精准肿瘤学的智能、自适应和个性化LN基纳米药物提出了未来发展方向。</w:t>
      </w:r>
    </w:p>
    <w:p>
      <w:pPr>
        <w:spacing w:before="0" w:after="200" w:lineRule="auto" w:line="276"/>
      </w:pPr>
      <w:r>
        <w:rPr>
          <w:b/>
        </w:rPr>
        <w:t xml:space="preserve">Abstract (EN): </w:t>
      </w:r>
      <w:r>
        <w:t>Atomic‐level structural engineering represents a powerful paradigm for tailoring layered nanomaterials (LNs) toward advanced cancer theranostics, enabling precise control of physicochemical properties to overcome the limitations of conventional nanoplatforms. This review provides a comprehensive overview of the latest advances in engineering LNs, including layered metal oxides, layered double hydroxides, transition metal dichalcogenides, graphene, layered silicates, graphitic carbon nitride, metal carbides and nitrides, and other layered frameworks for cancer diagnosis and therapy. Five representative atomic‐level engineering strategies are discussed, including crystal phase engineering, defect engineering, heteroatom doping, interlayer spacing engineering, and crystalline‐to‐amorphous phase engineering. For each strategy, the underlying mechanisms, representative synthetic approaches, and their roles in optimizing theranostic performance, such as photothermal conversion, reactive oxygen species generation, and multimodal imaging, are critically discussed. Crucially, the advantages and inherent limitations of these engineering strategies are comparatively evaluated to provide a balanced perspective on their practical applicability. Finally, key challenges toward clinical translation, including structural stability, biosafety, and scalability, are highlighted. Future directions are proposed for developing intelligent, adaptive, and personalized LN‐based nanomedicines for precision oncology.</w:t>
      </w:r>
    </w:p>
    <w:p>
      <w:pPr>
        <w:spacing w:before="120" w:after="120"/>
      </w:pPr>
      <w:r>
        <w:rPr>
          <w:sz w:val="18"/>
        </w:rPr>
        <w:t>——————————————————————————————————————————————————————————————————————</w:t>
      </w:r>
    </w:p>
    <w:p>
      <w:pPr>
        <w:spacing w:before="160" w:after="40" w:line="240" w:lineRule="auto"/>
      </w:pPr>
      <w:r>
        <w:rPr>
          <w:b/>
        </w:rPr>
        <w:t xml:space="preserve">[212] </w:t>
      </w:r>
      <w:hyperlink r:id="rId621">
        <w:r>
          <w:rPr>
            <w:color w:val="1155CC"/>
            <w:u w:val="single"/>
          </w:rPr>
          <w:t>[ASAP] 来自固态195Pt NMR信号的Pt(0)配合物和原子级精确团簇的电子结构</w:t>
        </w:r>
      </w:hyperlink>
    </w:p>
    <w:p>
      <w:pPr>
        <w:spacing w:before="0" w:after="80"/>
      </w:pPr>
      <w:r>
        <w:rPr>
          <w:i/>
          <w:sz w:val="20"/>
        </w:rPr>
        <w:t>EN: [ASAP] Electronic Structures of Pt(0) Complexes and Atomically Precise Clusters from Solid-State 195Pt NMR Signatures</w:t>
      </w:r>
    </w:p>
    <w:p>
      <w:pPr>
        <w:spacing w:before="0" w:after="120"/>
      </w:pPr>
      <w:r>
        <w:rPr>
          <w:b/>
        </w:rPr>
        <w:t xml:space="preserve">Source: </w:t>
      </w:r>
      <w:r>
        <w:t>Journal of the American Chemical Society: Latest Articles (ACS Publications)</w:t>
      </w:r>
      <w:r>
        <w:t xml:space="preserve">    </w:t>
      </w:r>
      <w:r>
        <w:rPr>
          <w:b/>
        </w:rPr>
        <w:t xml:space="preserve">Pub date: </w:t>
      </w:r>
      <w:r>
        <w:t>2026-05-19 16:19:33+00:00</w:t>
      </w:r>
      <w:r>
        <w:t xml:space="preserve">    </w:t>
      </w:r>
      <w:r>
        <w:rPr>
          <w:b/>
        </w:rPr>
        <w:t xml:space="preserve">DOI: </w:t>
      </w:r>
      <w:hyperlink r:id="rId622">
        <w:r>
          <w:rPr>
            <w:color w:val="1155CC"/>
            <w:u w:val="single"/>
          </w:rPr>
          <w:t>10.1021/jacs.6c01642</w:t>
        </w:r>
      </w:hyperlink>
    </w:p>
    <w:p>
      <w:pPr>
        <w:spacing w:before="0" w:after="120"/>
      </w:pPr>
      <w:r>
        <w:rPr>
          <w:b/>
        </w:rPr>
        <w:t xml:space="preserve">Notes: </w:t>
      </w:r>
      <w:r>
        <w:t>abstract_source=pubmed</w:t>
      </w:r>
    </w:p>
    <w:p>
      <w:pPr>
        <w:spacing w:before="0" w:after="80" w:lineRule="auto" w:line="276"/>
      </w:pPr>
      <w:r>
        <w:rPr>
          <w:b/>
        </w:rPr>
        <w:t xml:space="preserve">摘要（ZH）: </w:t>
      </w:r>
      <w:r>
        <w:t>金属团簇因其独特的性能在各个领域引起了广泛关注，使其适用于各种应用；此外，它们在原子层面提供了对延伸金属体系的结构、键合和反应性的基本理解。对金属团簇的开创性研究旨在从对称性考虑和计算出发，合理化其（电子）结构。然而，将这些理论模型与金属团簇的特定光谱特征及其（电子）结构联系起来的需求尚未得到解决。在这项工作中，我们研究了一系列结构相关的Ptn(0)物种，它们具有不同的核数（高达15）；我们能够展示195Pt固态核磁共振如何作为一种通用工具来区分金属团簇中的金属位点，以及如何通过分析其核磁共振指纹来实验验证其计算的分子轨道图。我们将这种方法应用于已知的Pt膦/羰基“Chini”团簇以及前所未有的Pt5方锥团簇。我们提出，这种方法可以扩展到其他几类含有核磁共振活性中心的金属团簇，以及（非）负载型金属基纳米结构。</w:t>
      </w:r>
    </w:p>
    <w:p>
      <w:pPr>
        <w:spacing w:before="0" w:after="200" w:lineRule="auto" w:line="276"/>
      </w:pPr>
      <w:r>
        <w:rPr>
          <w:b/>
        </w:rPr>
        <w:t xml:space="preserve">Abstract (EN): </w:t>
      </w:r>
      <w:r>
        <w:t>Metal clusters are of broad interest across fields in that they possess unique properties making them appealing for a variety of applications; additionally, they provide fundamental understanding of the structure, bonding, and reactivity of the extended metal systems at an atomic level. Pioneering studies on metal clusters were directed toward the rationalization of their (electronic) structure from symmetry considerations and computations. The need to relate these theoretical models to specific spectroscopic signatures of metal clusters in relation to their (electronic) structure has not yet been addressed. In this work, we studied a family of structurally related Ptn(0) species with different nuclearities (up to 15); we were able to show how 195Pt solid-state NMR can be used as a general tool to distinguish among metal sites in metal clusters and how their computed MO diagrams can be validated experimentally through the analysis of their NMR fingerprints. We applied this approach to known Pt phosphine/carbonyl 'Chini' clusters as well as to an unprecedented Pt5 square-pyramidal cluster. We propose that this approach can be extended to several other classes of metal clusters containing NMR-active centers, as well as (un)supported metal-based nanostructures.</w:t>
      </w:r>
    </w:p>
    <w:p>
      <w:pPr>
        <w:spacing w:before="120" w:after="120"/>
      </w:pPr>
      <w:r>
        <w:rPr>
          <w:sz w:val="18"/>
        </w:rPr>
        <w:t>——————————————————————————————————————————————————————————————————————</w:t>
      </w:r>
    </w:p>
    <w:p>
      <w:pPr>
        <w:spacing w:before="160" w:after="40" w:line="240" w:lineRule="auto"/>
      </w:pPr>
      <w:r>
        <w:rPr>
          <w:b/>
        </w:rPr>
        <w:t xml:space="preserve">[213] </w:t>
      </w:r>
      <w:hyperlink r:id="rId623">
        <w:r>
          <w:rPr>
            <w:color w:val="1155CC"/>
            <w:u w:val="single"/>
          </w:rPr>
          <w:t>钯碳酰胺封端试剂用于碳同位素标记和药物多样化</w:t>
        </w:r>
      </w:hyperlink>
    </w:p>
    <w:p>
      <w:pPr>
        <w:spacing w:before="0" w:after="80"/>
      </w:pPr>
      <w:r>
        <w:rPr>
          <w:i/>
          <w:sz w:val="20"/>
        </w:rPr>
        <w:t>EN: Palladacarboxamide Capping Reagents for Carbon Isotope Labeling and Pharmaceutical Diversification</w:t>
      </w:r>
    </w:p>
    <w:p>
      <w:pPr>
        <w:spacing w:before="0" w:after="120"/>
      </w:pPr>
      <w:r>
        <w:rPr>
          <w:b/>
        </w:rPr>
        <w:t xml:space="preserve">Source: </w:t>
      </w:r>
      <w:r>
        <w:t>Wiley: Angewandte Chemie International Edition: Table of Contents</w:t>
      </w:r>
      <w:r>
        <w:t xml:space="preserve">    </w:t>
      </w:r>
      <w:r>
        <w:rPr>
          <w:b/>
        </w:rPr>
        <w:t xml:space="preserve">Pub date: </w:t>
      </w:r>
      <w:r>
        <w:t>2026-05-19 16:25:14+00:00</w:t>
      </w:r>
      <w:r>
        <w:t xml:space="preserve">    </w:t>
      </w:r>
      <w:r>
        <w:rPr>
          <w:b/>
        </w:rPr>
        <w:t xml:space="preserve">DOI: </w:t>
      </w:r>
      <w:hyperlink r:id="rId624">
        <w:r>
          <w:rPr>
            <w:color w:val="1155CC"/>
            <w:u w:val="single"/>
          </w:rPr>
          <w:t>10.1002/anie.1188892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活性分子的放射性标记对于阐明其药代动力学和药效学特性至关重要。芳基甲酰胺是广泛存在于多种药物中的常见组分。在此，我们提出了一种直接对该官能团进行14C标记的方法，该方法由基于钯的有机金属甲酰胺封端试剂促进。接近化学计量量的14CO易于从14CO替代物生成，并用于组装一系列钯氧化加成配合物。当在铃木偶联条件下与硼酸或硼酸酯反应时，可以直接获得结构多样的高价值芳基甲酰胺。该方案的稳健性通过对显示胺的小分子药物进行后期修饰并引入14C得到证明。由于有机金属甲酰胺配合物在空气中稳定，该方案提供了一种简单直接的碳同位素标记方法，可轻松应用于药物开发项目。</w:t>
      </w:r>
    </w:p>
    <w:p>
      <w:pPr>
        <w:spacing w:before="0" w:after="200" w:lineRule="auto" w:line="276"/>
      </w:pPr>
      <w:r>
        <w:rPr>
          <w:b/>
        </w:rPr>
        <w:t xml:space="preserve">Abstract (EN): </w:t>
      </w:r>
      <w:r>
        <w:t>Radiolabeling of bioactive molecules is essential for elucidating their pharmacokinetic and pharmacodynamic properties. Aryl carboxamides represent common constituents in a wide number of pharmaceuticals. Herein, we present a direct approach for the</w:t>
      </w:r>
      <w:r>
        <w:rPr>
          <w:vertAlign w:val="subscript"/>
        </w:rPr>
        <w:t>14</w:t>
      </w:r>
      <w:r>
        <w:t>C‐labeling of this functional group facilitated by organometallic carboxamide capping reagents, based on palladium. Near stoichiometric amounts of</w:t>
      </w:r>
      <w:r>
        <w:rPr>
          <w:vertAlign w:val="subscript"/>
        </w:rPr>
        <w:t>14</w:t>
      </w:r>
      <w:r>
        <w:t>CO are readily generated from a</w:t>
      </w:r>
      <w:r>
        <w:rPr>
          <w:vertAlign w:val="subscript"/>
        </w:rPr>
        <w:t>14</w:t>
      </w:r>
      <w:r>
        <w:t>CO surrogate and exploited to assemble a range of palladium oxidative addition complexes. When subjected to Suzuki cross‐coupling conditions with boronic acids or esters, structurally diverse high‐value aryl carboxamides can be accessed directly. The protocol's robustness is demonstrated by late‐stage modification of amine‐displaying small drug molecules with</w:t>
      </w:r>
      <w:r>
        <w:rPr>
          <w:vertAlign w:val="subscript"/>
        </w:rPr>
        <w:t>14</w:t>
      </w:r>
      <w:r>
        <w:t>C‐incorporation. Since the organometallic carboxamide complexes are air stable, this protocol provides a simple and direct means for carbon isotope labeling, which can easily be adapted to drug development programs.</w:t>
      </w:r>
    </w:p>
    <w:p>
      <w:pPr>
        <w:spacing w:before="120" w:after="120"/>
      </w:pPr>
      <w:r>
        <w:rPr>
          <w:sz w:val="18"/>
        </w:rPr>
        <w:t>——————————————————————————————————————————————————————————————————————</w:t>
      </w:r>
    </w:p>
    <w:p>
      <w:pPr>
        <w:spacing w:before="160" w:after="40" w:line="240" w:lineRule="auto"/>
      </w:pPr>
      <w:r>
        <w:rPr>
          <w:b/>
        </w:rPr>
        <w:t xml:space="preserve">[214] </w:t>
      </w:r>
      <w:hyperlink r:id="rId625">
        <w:r>
          <w:rPr>
            <w:color w:val="1155CC"/>
            <w:u w:val="single"/>
          </w:rPr>
          <w:t>通过界面化学调控聚合物刷的溶胀行为</w:t>
        </w:r>
      </w:hyperlink>
    </w:p>
    <w:p>
      <w:pPr>
        <w:spacing w:before="0" w:after="80"/>
      </w:pPr>
      <w:r>
        <w:rPr>
          <w:i/>
          <w:sz w:val="20"/>
        </w:rPr>
        <w:t>EN: Modulating the Swelling Behavior of Polymer Brushes via Interfacial Chemistry</w:t>
      </w:r>
    </w:p>
    <w:p>
      <w:pPr>
        <w:spacing w:before="0" w:after="120"/>
      </w:pPr>
      <w:r>
        <w:rPr>
          <w:b/>
        </w:rPr>
        <w:t xml:space="preserve">Source: </w:t>
      </w:r>
      <w:r>
        <w:t>Wiley: Angewandte Chemie International Edition: Table of Contents</w:t>
      </w:r>
      <w:r>
        <w:t xml:space="preserve">    </w:t>
      </w:r>
      <w:r>
        <w:rPr>
          <w:b/>
        </w:rPr>
        <w:t xml:space="preserve">Pub date: </w:t>
      </w:r>
      <w:r>
        <w:t>2026-05-19 16:26:50+00:00</w:t>
      </w:r>
      <w:r>
        <w:t xml:space="preserve">    </w:t>
      </w:r>
      <w:r>
        <w:rPr>
          <w:b/>
        </w:rPr>
        <w:t xml:space="preserve">DOI: </w:t>
      </w:r>
      <w:hyperlink r:id="rId626">
        <w:r>
          <w:rPr>
            <w:color w:val="1155CC"/>
            <w:u w:val="single"/>
          </w:rPr>
          <w:t>10.1002/anie.202507712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密集接枝的末端固定聚合物链组成的聚合物刷通常在溶剂溶胀状态下使用，例如作为边界润滑剂或防污表面涂层。对于特定溶剂体系中的给定聚合物刷，接枝密度和聚合物分子量是调节溶胀行为的主要结构参数。本报告将基底表面化学作为控制通过表面引发原子转移自由基聚合 (SI-ATRP) 生成的聚合物刷溶胀性能的额外参数。为了揭示基底表面化学的影响，我们从呈现二肽和烷基间隔物连接的ATRP引发剂且水接触角范围为48°–78°的基底上接枝了疏水性聚(甲基丙烯酸叔丁酯) (PtBMA) 和亲水性聚(甲基丙烯酸二甲氨基乙酯) (PDMAEMA) 刷。研究发现，PtBMA刷在良溶剂 (THF) 中的溶胀受聚合物-溶剂相互作用控制，基底效应可忽略不计。相反，在含有少量聚合物非溶剂的混合溶剂中，基底表面化学确实影响溶胀，并且发现与呈现二肽ATRP引发剂的基底的极性相关。亲水性刷在水中溶胀行为的分析结果也表明基底表面化学的影响。</w:t>
      </w:r>
    </w:p>
    <w:p>
      <w:pPr>
        <w:spacing w:before="0" w:after="200" w:lineRule="auto" w:line="276"/>
      </w:pPr>
      <w:r>
        <w:rPr>
          <w:b/>
        </w:rPr>
        <w:t xml:space="preserve">Abstract (EN): </w:t>
      </w:r>
      <w:r>
        <w:t>Polymer brushes composed of densely grafted end‐tethered polymer chains are often used in the solvent‐swollen state, for example, as boundary lubricants or non‐fouling surface coatings. For a given polymer brush in a specific solvent system, grafting density and polymer molecular weight are the principal structural parameters to tune swelling behavior. This report presents substrate surface chemistry as an additional parameter to control the swelling properties of polymer brushes generated via surface‐initiated atom transfer radical polymerization (SI‐ATRP). To uncover the impact of substrate surface chemistry, hydrophobic poly(tert‐butyl methacrylate) (PtBMA), and hydrophilic poly(2‐(dimethylamino)ethyl methacrylate) (PDMAEMA) brushes were grafted from substrates, which presented dipeptide and alkyl spacer tethered ATRP initiators and displayed water contact angles ranging from 48°–78°. Swelling of PtBMA brushes in a good solvent (THF) was found to be governed by polymer—solvent interactions, and substrate effects are negligible. In mixed solvents with a minority component that is a non‐solvent for the polymer, in contrast, substrate surface chemistry does influence swelling, and was found to correlate with the polarity of the dipeptide ATRP initiator presenting substrate. Results of the analysis of the swelling behavior of hydrophilic brushes in water also point toward an impact of substrate surface chemistry.</w:t>
      </w:r>
    </w:p>
    <w:p>
      <w:pPr>
        <w:spacing w:before="120" w:after="120"/>
      </w:pPr>
      <w:r>
        <w:rPr>
          <w:sz w:val="18"/>
        </w:rPr>
        <w:t>——————————————————————————————————————————————————————————————————————</w:t>
      </w:r>
    </w:p>
    <w:p>
      <w:pPr>
        <w:spacing w:before="160" w:after="40" w:line="240" w:lineRule="auto"/>
      </w:pPr>
      <w:r>
        <w:rPr>
          <w:b/>
        </w:rPr>
        <w:t xml:space="preserve">[215] </w:t>
      </w:r>
      <w:hyperlink r:id="rId627">
        <w:r>
          <w:rPr>
            <w:color w:val="1155CC"/>
            <w:u w:val="single"/>
          </w:rPr>
          <w:t>通过叠氮硼烯光解分离高活性CBNC杂累烯：简便制备结晶二氧硼烷</w:t>
        </w:r>
      </w:hyperlink>
    </w:p>
    <w:p>
      <w:pPr>
        <w:spacing w:before="0" w:after="80"/>
      </w:pPr>
      <w:r>
        <w:rPr>
          <w:i/>
          <w:sz w:val="20"/>
        </w:rPr>
        <w:t>EN: Isolation of a Highly Reactive CBNC Heterocumulene via Azidoborylene Photolysis: Facile Access to a Crystalline Dioxaborirane</w:t>
      </w:r>
    </w:p>
    <w:p>
      <w:pPr>
        <w:spacing w:before="0" w:after="120"/>
      </w:pPr>
      <w:r>
        <w:rPr>
          <w:b/>
        </w:rPr>
        <w:t xml:space="preserve">Source: </w:t>
      </w:r>
      <w:r>
        <w:t>Wiley: Angewandte Chemie International Edition: Table of Contents</w:t>
      </w:r>
      <w:r>
        <w:t xml:space="preserve">    </w:t>
      </w:r>
      <w:r>
        <w:rPr>
          <w:b/>
        </w:rPr>
        <w:t xml:space="preserve">Pub date: </w:t>
      </w:r>
      <w:r>
        <w:t>2026-05-19 16:27:52+00:00</w:t>
      </w:r>
      <w:r>
        <w:t xml:space="preserve">    </w:t>
      </w:r>
      <w:r>
        <w:rPr>
          <w:b/>
        </w:rPr>
        <w:t xml:space="preserve">DOI: </w:t>
      </w:r>
      <w:hyperlink r:id="rId628">
        <w:r>
          <w:rPr>
            <w:color w:val="1155CC"/>
            <w:u w:val="single"/>
          </w:rPr>
          <w:t>10.1002/anie.6216599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形式硼(0)配合物 MeCAAC2B 在叠氮化四丁基铵存在下氧化，导致形成带有 N3− 阴离子的形式硼(I)物种——叠氮基硼烯。用 UV-C 光照射该配合物，导致 N2 的损失，并选择性形成反应性 C═B═N═C 杂累烯。电子结构分析揭示了该物种中强的多重键合，反应性研究表明硼中心具有显著的两亲性。发现该配合物在累烯领域表现出前所未有的反应性，包括二氢的断裂，腈插入 B═C 键形成扩展的 CCNBNC π 共轭体系，以及活化双氧形成三元 ─B─O─O─ 环——二氧杂硼烷。通过 DFT 计算阐明了每种转化的合理机制，这些计算表明在二氧杂硼烷的形成中存在一个三线态 Criegee 中间体，该中间体在自旋交叉后迅速环化。</w:t>
      </w:r>
    </w:p>
    <w:p>
      <w:pPr>
        <w:spacing w:before="0" w:after="200" w:lineRule="auto" w:line="276"/>
      </w:pPr>
      <w:r>
        <w:rPr>
          <w:b/>
        </w:rPr>
        <w:t xml:space="preserve">Abstract (EN): </w:t>
      </w:r>
      <w:r>
        <w:t>Oxidation of the formal boron(0) complex</w:t>
      </w:r>
      <w:r>
        <w:t xml:space="preserve"> </w:t>
      </w:r>
      <w:r>
        <w:t>Me</w:t>
      </w:r>
      <w:r>
        <w:t xml:space="preserve"> </w:t>
      </w:r>
      <w:r>
        <w:t>CAAC</w:t>
      </w:r>
      <w:r>
        <w:rPr>
          <w:vertAlign w:val="subscript"/>
        </w:rPr>
        <w:t>2</w:t>
      </w:r>
      <w:r>
        <w:t>B in the presence of tetrabutylammonium azide leads to the formation of a formal boron(I) species bearing an N</w:t>
      </w:r>
      <w:r>
        <w:rPr>
          <w:vertAlign w:val="subscript"/>
        </w:rPr>
        <w:t>3</w:t>
      </w:r>
      <w:r>
        <w:t>−</w:t>
      </w:r>
      <w:r>
        <w:t>anion—an azidoborylene. Irradiation of this complex with UV‐C light results in the loss of N</w:t>
      </w:r>
      <w:r>
        <w:rPr>
          <w:vertAlign w:val="subscript"/>
        </w:rPr>
        <w:t>2</w:t>
      </w:r>
      <w:r>
        <w:t>and the selective formation of a reactive C═B═N═C heterocumulene. Electronic structure analysis reveals strong multiple bonding in this species, and reactivity studies indicate pronounced ambiphilicity at the boron center. This complex was found to exhibit unprecedented reactivity within the realm of cumulenes including the scission of dihydrogen, the insertion of nitrile into the B═C bond forming an extended CCNBNC π‐conjugated system, as well as the activation of dioxygen to form a three‐membered ─B─O─O─ ring—a dioxaborirane. Plausible mechanisms for each transformation have been elucidated via DFT calculations, which have indicated a triplet Criegee intermediate in the formation of the dioxaborirane that rapidly cyclizes upon spin‐crossover.</w:t>
      </w:r>
    </w:p>
    <w:p>
      <w:pPr>
        <w:spacing w:before="120" w:after="120"/>
      </w:pPr>
      <w:r>
        <w:rPr>
          <w:sz w:val="18"/>
        </w:rPr>
        <w:t>——————————————————————————————————————————————————————————————————————</w:t>
      </w:r>
    </w:p>
    <w:p>
      <w:pPr>
        <w:spacing w:before="160" w:after="40" w:line="240" w:lineRule="auto"/>
      </w:pPr>
      <w:r>
        <w:rPr>
          <w:b/>
        </w:rPr>
        <w:t xml:space="preserve">[216] </w:t>
      </w:r>
      <w:hyperlink r:id="rId629">
        <w:r>
          <w:rPr>
            <w:color w:val="1155CC"/>
            <w:u w:val="single"/>
          </w:rPr>
          <w:t>2D氢键协同作用实现Mn(III)基自旋交叉材料中跨越室温的破纪录大于100 K的不对称滞后宽度</w:t>
        </w:r>
      </w:hyperlink>
    </w:p>
    <w:p>
      <w:pPr>
        <w:spacing w:before="0" w:after="80"/>
      </w:pPr>
      <w:r>
        <w:rPr>
          <w:i/>
          <w:sz w:val="20"/>
        </w:rPr>
        <w:t>EN: Record‐Breaking Asymmetric Hysteresis Width Greater Than 100 K Spanning Room Temperature in Mn(III)‐Based Spin‐Crossover Materials Enabled by 2D Hydrogen‐Bonding Cooperativity</w:t>
      </w:r>
    </w:p>
    <w:p>
      <w:pPr>
        <w:spacing w:before="0" w:after="120"/>
      </w:pPr>
      <w:r>
        <w:rPr>
          <w:b/>
        </w:rPr>
        <w:t xml:space="preserve">Source: </w:t>
      </w:r>
      <w:r>
        <w:t>Wiley: Angewandte Chemie International Edition: Table of Contents</w:t>
      </w:r>
      <w:r>
        <w:t xml:space="preserve">    </w:t>
      </w:r>
      <w:r>
        <w:rPr>
          <w:b/>
        </w:rPr>
        <w:t xml:space="preserve">Pub date: </w:t>
      </w:r>
      <w:r>
        <w:t>2026-05-19 16:28:54+00:00</w:t>
      </w:r>
      <w:r>
        <w:t xml:space="preserve">    </w:t>
      </w:r>
      <w:r>
        <w:rPr>
          <w:b/>
        </w:rPr>
        <w:t xml:space="preserve">DOI: </w:t>
      </w:r>
      <w:hyperlink r:id="rId630">
        <w:r>
          <w:rPr>
            <w:color w:val="1155CC"/>
            <w:u w:val="single"/>
          </w:rPr>
          <w:t>10.1002/anie.8070182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能够在室温附近表现出宽热滞回线的自旋交叉 (SCO) 材料对于分子开关、存储器件和传感器来说是极其理想的。虽然这种行为已在 Fe(II)、Fe(III) 和 Co(II) 配合物中得到广泛研究，但由于通常偏爱高自旋态以及伴随自旋态转换的微小结构变化，Mn(III) 基体系中的例子仍然有限。在此，我们报道了一种 Mn(III) 基自旋交叉配合物 [Mn(3-MeO-5-Me-sal2-323)]·BF4 (1)，它表现出破纪录的超过 100 K 的不对称热滞回宽度，涵盖室温。详细的磁学、量热学和晶体学研究表明，这种卓越的协同性是由配合物阳离子和有序 BF4– 抗衡离子之间形成的史无前例的二维 (2D) 氢键网络驱动的。高分辨率透射电子显微镜 (HRTEM) 揭示了局部有序的纳米级畴，证实了超分子堆叠基序在纳米尺度上的保留，这与单晶 X 射线分析获得的晶面间距一致。变温拉曼光谱通过自旋态依赖的金属-配体振动特征进一步证实了 Mn(III) 自旋交叉。总的来说，本报告展示了维度在其中起到的关键作用</w:t>
      </w:r>
    </w:p>
    <w:p>
      <w:pPr>
        <w:spacing w:before="0" w:after="200" w:lineRule="auto" w:line="276"/>
      </w:pPr>
      <w:r>
        <w:rPr>
          <w:b/>
        </w:rPr>
        <w:t xml:space="preserve">Abstract (EN): </w:t>
      </w:r>
      <w:r>
        <w:t>Spin crossover (SCO) materials capable of exhibiting wide thermal hysteresis loops near room temperature are highly desirable for molecular switches, memory devices, and sensors. While such behavior has been extensively studied in Fe(II), Fe(III), and Co(II) complexes, examples in Mn(III)‐based systems remain limited due to the typically favored high‐spin state and subtle structural changes accompanying spin‐state switching. Herein, we report a Mn(III)‐based spin‐crossover complex [Mn(3‐MeO‐5‐Me‐sal</w:t>
      </w:r>
      <w:r>
        <w:rPr>
          <w:vertAlign w:val="subscript"/>
        </w:rPr>
        <w:t>2</w:t>
      </w:r>
      <w:r>
        <w:t>‐323)]·BF</w:t>
      </w:r>
      <w:r>
        <w:rPr>
          <w:vertAlign w:val="subscript"/>
        </w:rPr>
        <w:t>4</w:t>
      </w:r>
      <w:r>
        <w:t>(</w:t>
      </w:r>
      <w:r>
        <w:rPr>
          <w:vertAlign w:val="subscript"/>
        </w:rPr>
        <w:t>1</w:t>
      </w:r>
      <w:r>
        <w:t>), which exhibits a record‐breaking asymmetric thermal hysteresis width exceeding 100 K, spanning room temperature. Detailed magnetic, calorimetric, and crystallographic studies reveal that this exceptional cooperativity is driven by an unprecedented two‐dimensional (2D) hydrogen‐bonding network formed between the complex cations and ordered BF</w:t>
      </w:r>
      <w:r>
        <w:rPr>
          <w:vertAlign w:val="subscript"/>
        </w:rPr>
        <w:t>4</w:t>
      </w:r>
      <w:r>
        <w:t>–</w:t>
      </w:r>
      <w:r>
        <w:t xml:space="preserve"> </w:t>
      </w:r>
      <w:r>
        <w:t>counterions. High‐resolution transmission electron microscopy (HRTEM) reveals locally ordered nanoscale domains, confirming retention of the supramolecular stacking motif at the nanoscale, consistent with the interplanar spacings obtained from single‐crystal x‐ray analysis. Variable‐temperature Raman spectroscopy further corroborates Mn(III) spin crossover via spin‐state‐dependent metal–ligand vibrational signatures. Overall, the present report demonstrates the critical role of dimensionality in supramolecular hydrogen‐bonding cooperativity in governing bistability in Mn(III)‐SCO systems, offering a powerful design strategy for developing next‐generation switchable materials.</w:t>
      </w:r>
    </w:p>
    <w:p>
      <w:pPr>
        <w:spacing w:before="120" w:after="120"/>
      </w:pPr>
      <w:r>
        <w:rPr>
          <w:sz w:val="18"/>
        </w:rPr>
        <w:t>——————————————————————————————————————————————————————————————————————</w:t>
      </w:r>
    </w:p>
    <w:p>
      <w:pPr>
        <w:spacing w:before="160" w:after="40" w:line="240" w:lineRule="auto"/>
      </w:pPr>
      <w:r>
        <w:rPr>
          <w:b/>
        </w:rPr>
        <w:t xml:space="preserve">[217] </w:t>
      </w:r>
      <w:hyperlink r:id="rId631">
        <w:r>
          <w:rPr>
            <w:color w:val="1155CC"/>
            <w:u w:val="single"/>
          </w:rPr>
          <w:t>酰胺的催化选择性脱氧和脱胺制备烯烃</w:t>
        </w:r>
      </w:hyperlink>
    </w:p>
    <w:p>
      <w:pPr>
        <w:spacing w:before="0" w:after="80"/>
      </w:pPr>
      <w:r>
        <w:rPr>
          <w:i/>
          <w:sz w:val="20"/>
        </w:rPr>
        <w:t>EN: Catalytic Selective Deoxygenation and Deamination of Amides to Access Alkenes</w:t>
      </w:r>
    </w:p>
    <w:p>
      <w:pPr>
        <w:spacing w:before="0" w:after="120"/>
      </w:pPr>
      <w:r>
        <w:rPr>
          <w:b/>
        </w:rPr>
        <w:t xml:space="preserve">Source: </w:t>
      </w:r>
      <w:r>
        <w:t>Wiley: Angewandte Chemie International Edition: Table of Contents</w:t>
      </w:r>
      <w:r>
        <w:t xml:space="preserve">    </w:t>
      </w:r>
      <w:r>
        <w:rPr>
          <w:b/>
        </w:rPr>
        <w:t xml:space="preserve">Pub date: </w:t>
      </w:r>
      <w:r>
        <w:t>2026-05-19 16:30:58+00:00</w:t>
      </w:r>
      <w:r>
        <w:t xml:space="preserve">    </w:t>
      </w:r>
      <w:r>
        <w:rPr>
          <w:b/>
        </w:rPr>
        <w:t xml:space="preserve">DOI: </w:t>
      </w:r>
      <w:hyperlink r:id="rId632">
        <w:r>
          <w:rPr>
            <w:color w:val="1155CC"/>
            <w:u w:val="single"/>
          </w:rPr>
          <w:t>10.1002/anie.4999077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酰胺衍生化是有机化学中重要且有用的转化，因为酰胺易于获得。然而，迄今为止报道的方法学仅限于脱氧或脱胺途径；酰胺直接、一步转化为烃类的方法仍然难以实现。在这项工作中，通过使用 9‐硼双环[3.3.1]壬烷 (9‐BBN) 作为还原剂和 Cp</w:t>
      </w:r>
      <w:r>
        <w:rPr>
          <w:vertAlign w:val="subscript"/>
        </w:rPr>
        <w:t>2</w:t>
      </w:r>
      <w:r>
        <w:t>ZrCl</w:t>
      </w:r>
      <w:r>
        <w:rPr>
          <w:vertAlign w:val="subscript"/>
        </w:rPr>
        <w:t>2</w:t>
      </w:r>
      <w:r>
        <w:t>作为预催化剂，我们证明了酰胺可以在简单温和的条件下高效转化为烯烃，这代表了继脱氧和脱胺之后的第三种酰胺衍生化模式。机制研究表明，9‐BBN 对于串联 C─O 和 C─N 键断裂至关重要。这种转化将两种基本官能团联系起来，从而将酰胺逆合成的丰富性应用于烯烃。</w:t>
      </w:r>
    </w:p>
    <w:p>
      <w:pPr>
        <w:spacing w:before="0" w:after="200" w:lineRule="auto" w:line="276"/>
      </w:pPr>
      <w:r>
        <w:rPr>
          <w:b/>
        </w:rPr>
        <w:t xml:space="preserve">Abstract (EN): </w:t>
      </w:r>
      <w:r>
        <w:t>Amide derivatizations are important and useful transformations in organic chemistry, owing to the ready accessibility of amides. However, reported methodologies to date have been limited to either deoxygenative or deaminative pathways; the direct, single‐step conversion of amides into hydrocarbons has remained elusive. In this work, by employing 9‐borabicyclo[3.3.1]nonane (9‐BBN) as the reductant and Cp</w:t>
      </w:r>
      <w:r>
        <w:rPr>
          <w:vertAlign w:val="subscript"/>
        </w:rPr>
        <w:t>2</w:t>
      </w:r>
      <w:r>
        <w:t>ZrCl</w:t>
      </w:r>
      <w:r>
        <w:rPr>
          <w:vertAlign w:val="subscript"/>
        </w:rPr>
        <w:t>2</w:t>
      </w:r>
      <w:r>
        <w:t>as a precatalyst, we demonstrate that amides can be efficiently converted to alkenes under simple and mild conditions, which represents the third mode of amide derivatization after deoxygenation and deamination. Mechanistic investigations reveal that 9‐BBN is crucial for the tandem C─O and C─N cleavage. This transformation links the two fundamental functional groups such that the richness of amide retrosynthesis is applied to alkenes.</w:t>
      </w:r>
    </w:p>
    <w:p>
      <w:pPr>
        <w:spacing w:before="120" w:after="120"/>
      </w:pPr>
      <w:r>
        <w:rPr>
          <w:sz w:val="18"/>
        </w:rPr>
        <w:t>——————————————————————————————————————————————————————————————————————</w:t>
      </w:r>
    </w:p>
    <w:p>
      <w:pPr>
        <w:spacing w:before="160" w:after="40" w:line="240" w:lineRule="auto"/>
      </w:pPr>
      <w:r>
        <w:rPr>
          <w:b/>
        </w:rPr>
        <w:t xml:space="preserve">[218] </w:t>
      </w:r>
      <w:hyperlink r:id="rId633">
        <w:r>
          <w:rPr>
            <w:color w:val="1155CC"/>
            <w:u w:val="single"/>
          </w:rPr>
          <w:t>界面电荷转移的时间分辨映射用于实时观察微观化学反应</w:t>
        </w:r>
      </w:hyperlink>
    </w:p>
    <w:p>
      <w:pPr>
        <w:spacing w:before="0" w:after="80"/>
      </w:pPr>
      <w:r>
        <w:rPr>
          <w:i/>
          <w:sz w:val="20"/>
        </w:rPr>
        <w:t>EN: Time‐Resolved Mapping of Interface Charge Transfer for Real‐Time Observation of Microscopic Chemical Reactions</w:t>
      </w:r>
    </w:p>
    <w:p>
      <w:pPr>
        <w:spacing w:before="0" w:after="120"/>
      </w:pPr>
      <w:r>
        <w:rPr>
          <w:b/>
        </w:rPr>
        <w:t xml:space="preserve">Source: </w:t>
      </w:r>
      <w:r>
        <w:t>Wiley: Angewandte Chemie International Edition: Table of Contents</w:t>
      </w:r>
      <w:r>
        <w:t xml:space="preserve">    </w:t>
      </w:r>
      <w:r>
        <w:rPr>
          <w:b/>
        </w:rPr>
        <w:t xml:space="preserve">Pub date: </w:t>
      </w:r>
      <w:r>
        <w:t>2026-05-19 16:32:48+00:00</w:t>
      </w:r>
      <w:r>
        <w:t xml:space="preserve">    </w:t>
      </w:r>
      <w:r>
        <w:rPr>
          <w:b/>
        </w:rPr>
        <w:t xml:space="preserve">DOI: </w:t>
      </w:r>
      <w:hyperlink r:id="rId634">
        <w:r>
          <w:rPr>
            <w:color w:val="1155CC"/>
            <w:u w:val="single"/>
          </w:rPr>
          <w:t>10.1002/anie.1249028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时监测微观化学反应为理解反应机制、中间物种和所涉及的反应动力学提供了宝贵的见解。主流的电化学和色谱技术通常复杂、灵敏度低，无法捕捉瞬态现象或区分反应中相似的化学物种，限制了它们在实时和持续监测中的可及性。在此，我们利用液固接触起电产生的高分辨率界面电荷转移映射（ICTM）进行原位连续监测反应中潜在的化学变化。当液体反应物随时间沿绝缘倾斜平面逐滴滑动时，记录沿样品轨迹随时间变化的ICTM，并用于分析反应中的化学变化。通过在静态带电介电表面进行时间分辨ICTM测量，我们以秒级时间分辨率探测了氧化还原反应的动态演变，跟踪了有机催化反应，并评估了金属催化剂的团聚状态。</w:t>
      </w:r>
    </w:p>
    <w:p>
      <w:pPr>
        <w:spacing w:before="0" w:after="200" w:lineRule="auto" w:line="276"/>
      </w:pPr>
      <w:r>
        <w:rPr>
          <w:b/>
        </w:rPr>
        <w:t xml:space="preserve">Abstract (EN): </w:t>
      </w:r>
      <w:r>
        <w:t>Real‐time monitoring of microscopic chemical reactions offers valuable insight into reaction mechanisms, intermediate species, and the reaction kinetics involved. Mainstream electrochemical and chromatographic techniques are often complex, low‐sensitivity, failing to capture transient phenomena or distinguish similar chemical species within the reaction, limiting their accessibility for real‐time and continuing monitoring. Here, high‐resolution interface charge transfer mapping (ICTM) generated by liquid–solid contact electrification is used in situ for continuously monitoring potential chemical changes in the reactions. As liquid reactants slide dropwise over time along an insulating reclined plane, the ICTMs along the sample trajectory over time are recorded and is used to analysis chemical changes within the reactions. By means of time‐resolved ICTM measurements at statically charged dielectric surface, we have probed the dynamic evolution of redox reactions, tracked the organocatalytic reactions, and evaluated the agglomeration state of metal catalysts with a time resolution on the scale of seconds.</w:t>
      </w:r>
    </w:p>
    <w:p>
      <w:pPr>
        <w:spacing w:before="120" w:after="120"/>
      </w:pPr>
      <w:r>
        <w:rPr>
          <w:sz w:val="18"/>
        </w:rPr>
        <w:t>——————————————————————————————————————————————————————————————————————</w:t>
      </w:r>
    </w:p>
    <w:p>
      <w:pPr>
        <w:spacing w:before="160" w:after="40" w:line="240" w:lineRule="auto"/>
      </w:pPr>
      <w:r>
        <w:rPr>
          <w:b/>
        </w:rPr>
        <w:t xml:space="preserve">[219] </w:t>
      </w:r>
      <w:hyperlink r:id="rId635">
        <w:r>
          <w:rPr>
            <w:color w:val="1155CC"/>
            <w:u w:val="single"/>
          </w:rPr>
          <w:t>使用自组装[2]索烃单元简便制备聚[2]索烃网络</w:t>
        </w:r>
      </w:hyperlink>
    </w:p>
    <w:p>
      <w:pPr>
        <w:spacing w:before="0" w:after="80"/>
      </w:pPr>
      <w:r>
        <w:rPr>
          <w:i/>
          <w:sz w:val="20"/>
        </w:rPr>
        <w:t>EN: Facile Preparation of a Poly[2]Catenane Network Using Self‐Assembled [2]Catenane Unit</w:t>
      </w:r>
    </w:p>
    <w:p>
      <w:pPr>
        <w:spacing w:before="0" w:after="120"/>
      </w:pPr>
      <w:r>
        <w:rPr>
          <w:b/>
        </w:rPr>
        <w:t xml:space="preserve">Source: </w:t>
      </w:r>
      <w:r>
        <w:t>Wiley: Angewandte Chemie International Edition: Table of Contents</w:t>
      </w:r>
      <w:r>
        <w:t xml:space="preserve">    </w:t>
      </w:r>
      <w:r>
        <w:rPr>
          <w:b/>
        </w:rPr>
        <w:t xml:space="preserve">Pub date: </w:t>
      </w:r>
      <w:r>
        <w:t>2026-05-19 16:34:08+00:00</w:t>
      </w:r>
      <w:r>
        <w:t xml:space="preserve">    </w:t>
      </w:r>
      <w:r>
        <w:rPr>
          <w:b/>
        </w:rPr>
        <w:t xml:space="preserve">DOI: </w:t>
      </w:r>
      <w:hyperlink r:id="rId636">
        <w:r>
          <w:rPr>
            <w:color w:val="1155CC"/>
            <w:u w:val="single"/>
          </w:rPr>
          <w:t>10.1002/anie.1024712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聚索烃是一类新兴的通过互锁环连接的聚合物材料，具有更高的构象自由度和流动性。然而，对其研究的数量远低于其他动态聚合物。这可能反映了聚索烃的制备涉及复杂的共价索烃化（闭环）步骤的合成。在此，我们报告了一种自组装方法，可以方便地制备具有良好材料性能的聚[2]索烃网络。首先，通过两个用烯烃基团修饰的间苯二甲酰双（二胺）亚基之间的氢键相互作用驱动的自发自组装过程，生成了一种夹子型自缔合二聚体。接下来，通过硫醇-烯烃点击反应进行聚合，以生产基于氢键的聚合物网络。最后，利用涉及动态亚胺键形成的闭环反应，创建了一系列含聚[2]索烃的网络。所得聚合物网络不仅表现出优异的机械性能和刺激响应性，而且还具有良好的可降解性。我们相信这项工作将显著加速聚索烃材料的发展。</w:t>
      </w:r>
    </w:p>
    <w:p>
      <w:pPr>
        <w:spacing w:before="0" w:after="200" w:lineRule="auto" w:line="276"/>
      </w:pPr>
      <w:r>
        <w:rPr>
          <w:b/>
        </w:rPr>
        <w:t xml:space="preserve">Abstract (EN): </w:t>
      </w:r>
      <w:r>
        <w:t>Polycatenanes are an emerging class of polymeric materials linked through interlocked rings, possessing a higher degree of conformational freedom and mobility. However, the number of its studies is far lower than that of other dynamic polymers. This may reflect the fact that the preparation of polycatenanes involves the complicated synthesis of a covalent catenation (ring closing) step. Here we report a self‐assembly approach that allows the facile preparation of a poly[2]catenane network with good material properties. First, a clip‐type self‐associated dimer is generated through a spontaneous self‐assembly process driven by hydrogen bonding interactions between two individual isophthaloyl bis(diamine) subunits modified with olefin groups. Next, polymerization via a thiol‐alkene click reaction is used to produce an H‐bond‐based polymer network. Finally, ring closure involving the formation of dynamic imine bonds was used to create a series of poly[2]catenane‐containing networks. The resulting polymer networks not only demonstrated excellent mechanical features and stimuli‐responsiveness but also proved ready degradability. We believe that this work will significantly accelerate the development of polycatenane materials.</w:t>
      </w:r>
    </w:p>
    <w:p>
      <w:pPr>
        <w:spacing w:before="120" w:after="120"/>
      </w:pPr>
      <w:r>
        <w:rPr>
          <w:sz w:val="18"/>
        </w:rPr>
        <w:t>——————————————————————————————————————————————————————————————————————</w:t>
      </w:r>
    </w:p>
    <w:p>
      <w:pPr>
        <w:spacing w:before="160" w:after="40" w:line="240" w:lineRule="auto"/>
      </w:pPr>
      <w:r>
        <w:rPr>
          <w:b/>
        </w:rPr>
        <w:t xml:space="preserve">[220] </w:t>
      </w:r>
      <w:hyperlink r:id="rId637">
        <w:r>
          <w:rPr>
            <w:color w:val="1155CC"/>
            <w:u w:val="single"/>
          </w:rPr>
          <w:t>复合自组装单分子层中的分子钉扎效应实现高效钙钛矿/TOPCon叠层太阳能电池</w:t>
        </w:r>
      </w:hyperlink>
    </w:p>
    <w:p>
      <w:pPr>
        <w:spacing w:before="0" w:after="80"/>
      </w:pPr>
      <w:r>
        <w:rPr>
          <w:i/>
          <w:sz w:val="20"/>
        </w:rPr>
        <w:t>EN: Molecular Pinning Effect in Composite Self‐Assembled Monolayers Enabling Efficient Perovskite/TOPCon Tandem Solar Cells</w:t>
      </w:r>
    </w:p>
    <w:p>
      <w:pPr>
        <w:spacing w:before="0" w:after="120"/>
      </w:pPr>
      <w:r>
        <w:rPr>
          <w:b/>
        </w:rPr>
        <w:t xml:space="preserve">Source: </w:t>
      </w:r>
      <w:r>
        <w:t>Wiley: Angewandte Chemie International Edition: Table of Contents</w:t>
      </w:r>
      <w:r>
        <w:t xml:space="preserve">    </w:t>
      </w:r>
      <w:r>
        <w:rPr>
          <w:b/>
        </w:rPr>
        <w:t xml:space="preserve">Pub date: </w:t>
      </w:r>
      <w:r>
        <w:t>2026-05-19 16:35:52+00:00</w:t>
      </w:r>
      <w:r>
        <w:t xml:space="preserve">    </w:t>
      </w:r>
      <w:r>
        <w:rPr>
          <w:b/>
        </w:rPr>
        <w:t xml:space="preserve">DOI: </w:t>
      </w:r>
      <w:hyperlink r:id="rId638">
        <w:r>
          <w:rPr>
            <w:color w:val="1155CC"/>
            <w:u w:val="single"/>
          </w:rPr>
          <w:t>10.1002/anie.5162616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基于自组装单分子层 (SAMs) 的钙钛矿单结和叠层太阳能电池 (TSCs) 仍然面临与成膜过程中润湿性差、钙钛矿缺陷态以及器件亚最佳能级对准相关的界面损失。在此，我们提出了一种基于四面体对称驱动的 4,4′,4″,4‴-甲烷四基四苯甲酸 (4MA) 与 Me-4PACz 分子钉扎效应的复合 SAM (Co-SAM) 策略，用于高效耐用的宽带隙钙钛矿太阳能电池 (WBG PSCs) 和钙钛矿/TOPCon TSCs。这种设计增强了 NiO</w:t>
      </w:r>
      <w:r>
        <w:t xml:space="preserve"> </w:t>
      </w:r>
      <w:r>
        <w:t>x</w:t>
      </w:r>
      <w:r>
        <w:t xml:space="preserve"> </w:t>
      </w:r>
      <w:r>
        <w:t>上的单分子层均匀性，改善了衬底的润湿性，并通过 Pb-O 配位和氢键调节结晶，从而钝化了埋藏界面缺陷并优化了能级对准。结果，倒置 1.68 eV WBG PSCs 实现了 23.52% 的最高效率，并展现出令人印象深刻的稳定性，在 N</w:t>
      </w:r>
      <w:r>
        <w:rPr>
          <w:vertAlign w:val="subscript"/>
        </w:rPr>
        <w:t>2</w:t>
      </w:r>
      <w:r>
        <w:t>气氛中 85°C 热老化 1000 小时后仍保持 80% 以上。此外，Co-SAM 策略展现出优异的普适性，将 1 cm</w:t>
      </w:r>
      <w:r>
        <w:rPr>
          <w:vertAlign w:val="subscript"/>
        </w:rPr>
        <w:t>2</w:t>
      </w:r>
      <w:r>
        <w:t>TSCs 的效率提升至 32.26% (认证值为 32.10%)。这项工作为实现高效、稳定和可扩展的钙钛矿光伏器件提供了一种多功能界面工程方法。</w:t>
      </w:r>
    </w:p>
    <w:p>
      <w:pPr>
        <w:spacing w:before="0" w:after="200" w:lineRule="auto" w:line="276"/>
      </w:pPr>
      <w:r>
        <w:rPr>
          <w:b/>
        </w:rPr>
        <w:t xml:space="preserve">Abstract (EN): </w:t>
      </w:r>
      <w:r>
        <w:t>Perovskite‐based single junction and tandem solar cells (TSCs) based on self‐assembled monolayers (SAMs) still suffer from interfacial losses related to poor wettability during film formation, defect states of perovskites, and suboptimal energy‐level alignment of devices. Herein, we propose a composite SAM (Co‐SAM) strategy based on tetrahedral‐symmetry‐driven molecular pinning effect of 4,4′,4″,4‴‐methanetetrayltetrabenzoic acid (4MA) with Me‐4PACz for efficient and durable wide bandgap perovskite solar cells (WBG PSCs) and perovskite/TOPCon TSCs. This design enhances monolayer uniformity on NiO</w:t>
      </w:r>
      <w:r>
        <w:t xml:space="preserve"> </w:t>
      </w:r>
      <w:r>
        <w:t>x</w:t>
      </w:r>
      <w:r>
        <w:t xml:space="preserve"> </w:t>
      </w:r>
      <w:r>
        <w:t>, improves wettability of substrates, and regulates crystallization through Pb‐O coordination and hydrogen bonding, thereby passivating buried‐interface defects and optimizing energy‐level alignment. As a result, inverted 1.68 eV WBG PSCs achieve a champion efficiency of 23.52%, along with impressive stability, retaining over 80% after 1000 h of thermal aging at 85°C in an N</w:t>
      </w:r>
      <w:r>
        <w:rPr>
          <w:vertAlign w:val="subscript"/>
        </w:rPr>
        <w:t>2</w:t>
      </w:r>
      <w:r>
        <w:t>atmosphere. Furthermore, the Co‐SAM strategy demonstrates excellent generality, boosting the efficiency of 1 cm</w:t>
      </w:r>
      <w:r>
        <w:rPr>
          <w:vertAlign w:val="subscript"/>
        </w:rPr>
        <w:t>2</w:t>
      </w:r>
      <w:r>
        <w:t>TSCs to 32.26% (certified 32.10%). This work offers a versatile interfacial engineering approach toward highly efficient, stable, and scalable perovskite photovoltaics.</w:t>
      </w:r>
    </w:p>
    <w:p>
      <w:pPr>
        <w:spacing w:before="120" w:after="120"/>
      </w:pPr>
      <w:r>
        <w:rPr>
          <w:sz w:val="18"/>
        </w:rPr>
        <w:t>——————————————————————————————————————————————————————————————————————</w:t>
      </w:r>
    </w:p>
    <w:p>
      <w:pPr>
        <w:spacing w:before="160" w:after="40" w:line="240" w:lineRule="auto"/>
      </w:pPr>
      <w:r>
        <w:rPr>
          <w:b/>
        </w:rPr>
        <w:t xml:space="preserve">[221] </w:t>
      </w:r>
      <w:hyperlink r:id="rId639">
        <w:r>
          <w:rPr>
            <w:color w:val="1155CC"/>
            <w:u w:val="single"/>
          </w:rPr>
          <w:t>重新设计蛋白酶抑制剂以破坏Hsp70伴侣功能</w:t>
        </w:r>
      </w:hyperlink>
    </w:p>
    <w:p>
      <w:pPr>
        <w:spacing w:before="0" w:after="80"/>
      </w:pPr>
      <w:r>
        <w:rPr>
          <w:i/>
          <w:sz w:val="20"/>
        </w:rPr>
        <w:t>EN: Reengineering Protease Inhibitors to Disrupt Hsp70 Chaperone Function</w:t>
      </w:r>
    </w:p>
    <w:p>
      <w:pPr>
        <w:spacing w:before="0" w:after="120"/>
      </w:pPr>
      <w:r>
        <w:rPr>
          <w:b/>
        </w:rPr>
        <w:t xml:space="preserve">Source: </w:t>
      </w:r>
      <w:r>
        <w:t>Wiley: Angewandte Chemie International Edition: Table of Contents</w:t>
      </w:r>
      <w:r>
        <w:t xml:space="preserve">    </w:t>
      </w:r>
      <w:r>
        <w:rPr>
          <w:b/>
        </w:rPr>
        <w:t xml:space="preserve">Pub date: </w:t>
      </w:r>
      <w:r>
        <w:t>2026-05-19 16:38:36+00:00</w:t>
      </w:r>
      <w:r>
        <w:t xml:space="preserve">    </w:t>
      </w:r>
      <w:r>
        <w:rPr>
          <w:b/>
        </w:rPr>
        <w:t xml:space="preserve">DOI: </w:t>
      </w:r>
      <w:hyperlink r:id="rId640">
        <w:r>
          <w:rPr>
            <w:color w:val="1155CC"/>
            <w:u w:val="single"/>
          </w:rPr>
          <w:t>10.1002/anie.1777033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热休克蛋白70 (Hsp70) 家族由ATP驱动的分子伴侣组成，对于维持所有细胞类型的蛋白质稳态 (proteostasis) 至关重要，然而，通过小分子调节伴侣活性仍然具有挑战性。在细菌中，一种主要的Hsp70，称为DnaK，代表了一个推定的抗菌靶点，因为它在生长、抗生素耐药性和应激反应中发挥着关键作用。虽然Hsp70抑制剂正在开发中，作为人类潜在的癌症和神经退行性疾病治疗药物，但我们缺乏针对跨物种Hsp70的通用方法。在此，我们探讨了旨在抑制蛋白酶的肽模拟物骨架（以药物telaprevir为例）如何与两种不同的细菌DnaK相互作用以破坏伴侣功能。我们对telaprevir类似物针对DnaK进行了广泛的结构-功能研究，以指导设计具有一系列抑制效力的合成非天然肽序列。telaprevir和几种合成肽模拟物的X射线晶体学分析揭示了它们通过配体侧链识别与DnaK的底物结合域相互作用，这类似于在蛋白酶活性位点观察到的情况，但以两种取向存在。这些共复合物启发了更短肽模拟物的合成，这些肽模拟物能够变构抑制DnaK的ATPase活性。总的来说，这项工作表明，为蛋白酶抑制而设计的化学骨架可以被修饰以破坏Hsp70伴侣活性。</w:t>
      </w:r>
    </w:p>
    <w:p>
      <w:pPr>
        <w:spacing w:before="0" w:after="200" w:lineRule="auto" w:line="276"/>
      </w:pPr>
      <w:r>
        <w:rPr>
          <w:b/>
        </w:rPr>
        <w:t xml:space="preserve">Abstract (EN): </w:t>
      </w:r>
      <w:r>
        <w:t>The heat shock protein 70 (Hsp70) family consists of ATP‐driven molecular chaperones essential for maintaining protein homeostasis (proteostasis) across all cell types, however, modulation of chaperone activity by small molecules remains challenging. In bacteria, a major Hsp70 called DnaK represents a putative antibacterial target, as it plays essential roles in growth, antibiotic resistance, and stress response. While Hsp70 inhibitors are in development as potential cancer and neurodegenerative disease treatments in humans, we lack generalizable methods to target Hsp70s across species. Here, we address how peptidomimetic scaffolds designed to inhibit proteases, exemplified by the drug telaprevir, interact with two different bacterial DnaKs to disrupt chaperone function. We perform extensive structure‐function studies of telaprevir analogs against DnaK to inform the design of synthetic unnatural peptide sequences with a range of inhibitory potencies. X‐ray crystallography analysis of telaprevir and several synthetic peptidomimetics reveal interactions with DnaK's substrate binding domain via ligand side chain recognition reminiscent of that observed in protease active sites, but in two orientations. These co‐complexes inspire the synthesis of shorter peptidomimetics capable of allosterically inhibiting DnaK's ATPase activity. Overall, this work demonstrates that chemical scaffolds devised for protease inhibition may be modified to disrupt Hsp70 chaperone activities.</w:t>
      </w:r>
    </w:p>
    <w:p>
      <w:pPr>
        <w:spacing w:before="120" w:after="120"/>
      </w:pPr>
      <w:r>
        <w:rPr>
          <w:sz w:val="18"/>
        </w:rPr>
        <w:t>——————————————————————————————————————————————————————————————————————</w:t>
      </w:r>
    </w:p>
    <w:p>
      <w:pPr>
        <w:spacing w:before="160" w:after="40" w:line="240" w:lineRule="auto"/>
      </w:pPr>
      <w:r>
        <w:rPr>
          <w:b/>
        </w:rPr>
        <w:t xml:space="preserve">[222] </w:t>
      </w:r>
      <w:hyperlink r:id="rId641">
        <w:r>
          <w:rPr>
            <w:color w:val="1155CC"/>
            <w:u w:val="single"/>
          </w:rPr>
          <w:t>[ASAP] 利用表面原子分散的钨酸盐物种促进多相镍催化</w:t>
        </w:r>
      </w:hyperlink>
    </w:p>
    <w:p>
      <w:pPr>
        <w:spacing w:before="0" w:after="80"/>
      </w:pPr>
      <w:r>
        <w:rPr>
          <w:i/>
          <w:sz w:val="20"/>
        </w:rPr>
        <w:t>EN: [ASAP] Promoting Heterogeneous Nickel Catalysis with Surface-Atomically Dispersed Tungstate Species</w:t>
      </w:r>
    </w:p>
    <w:p>
      <w:pPr>
        <w:spacing w:before="0" w:after="120"/>
      </w:pPr>
      <w:r>
        <w:rPr>
          <w:b/>
        </w:rPr>
        <w:t xml:space="preserve">Source: </w:t>
      </w:r>
      <w:r>
        <w:t>Journal of the American Chemical Society: Latest Articles (ACS Publications)</w:t>
      </w:r>
      <w:r>
        <w:t xml:space="preserve">    </w:t>
      </w:r>
      <w:r>
        <w:rPr>
          <w:b/>
        </w:rPr>
        <w:t xml:space="preserve">Pub date: </w:t>
      </w:r>
      <w:r>
        <w:t>2026-05-19 16:53:28+00:00</w:t>
      </w:r>
      <w:r>
        <w:t xml:space="preserve">    </w:t>
      </w:r>
      <w:r>
        <w:rPr>
          <w:b/>
        </w:rPr>
        <w:t xml:space="preserve">DOI: </w:t>
      </w:r>
      <w:hyperlink r:id="rId642">
        <w:r>
          <w:rPr>
            <w:color w:val="1155CC"/>
            <w:u w:val="single"/>
          </w:rPr>
          <w:t>10.1021/jacs.5c23410</w:t>
        </w:r>
      </w:hyperlink>
    </w:p>
    <w:p>
      <w:pPr>
        <w:spacing w:before="0" w:after="120"/>
      </w:pPr>
      <w:r>
        <w:rPr>
          <w:b/>
        </w:rPr>
        <w:t xml:space="preserve">Notes: </w:t>
      </w:r>
      <w:r>
        <w:t>abstract_source=pubmed</w:t>
      </w:r>
    </w:p>
    <w:p>
      <w:pPr>
        <w:spacing w:before="0" w:after="80" w:lineRule="auto" w:line="276"/>
      </w:pPr>
      <w:r>
        <w:rPr>
          <w:b/>
        </w:rPr>
        <w:t xml:space="preserve">摘要（ZH）: </w:t>
      </w:r>
      <w:r>
        <w:t>使用非贵金属催化剂进行高选择性还原胺化是合成特种功能胺的重要方法。然而，由于非贵金属固有的电子结构，它们的实际应用常面临活性低、选择性差和稳定性不足（例如，易受氧化）等挑战。在这项工作中，通过利用非贵金属与氧原子之间的强相互作用，我们开发了有效的策略，包括原位水解和热分解，以实现在Ni表面上沉积单核[WO4]2-物种。系统研究表明，单核[WO4]2-物种独特的酸碱和氧化还原性质有效促进了质子和电子转移，从而显著提高了醛和酮还原胺化生成功能胺的催化活性和选择性。这项工作成功地创造了地球储量丰富的催化剂，在相同反应条件下其性能优于贵金属催化剂，催化性能比先前报道的催化剂高出几个数量级。此外，这些催化剂在广泛的药物和工业精细化学品生产中表现出卓越的适用性，在广泛的工业应用中具有巨大前景。</w:t>
      </w:r>
    </w:p>
    <w:p>
      <w:pPr>
        <w:spacing w:before="0" w:after="200" w:lineRule="auto" w:line="276"/>
      </w:pPr>
      <w:r>
        <w:rPr>
          <w:b/>
        </w:rPr>
        <w:t xml:space="preserve">Abstract (EN): </w:t>
      </w:r>
      <w:r>
        <w:t>Highly selective reductive amination using nonprecious metal catalysts is an important approach for the synthesis of specialty functional amines. However, due to the inherent electronic structure of nonprecious metals, their practical applications often face challenges such as low activity, poor selectivity, and insufficient stability (e.g., susceptibility to oxidation). In this work, by leveraging the strong interaction between nonprecious metals and oxygen atoms, we developed effective strategies, including in situ hydrolysis and thermal decomposition, to achieve the deposition of mononuclear [WO4]2- species on the Ni surface. Systematic studies reveal that the unique acid-base and redox properties of the mononuclear [WO4]2- species effectively promote proton and electron transfer, thereby significantly enhancing the catalytic activity and selectivity in the reductive amination of aldehydes and ketones to produce functional amines. This work successfully creates earth-abundant catalysts that outperform noble metal catalysts under identical reaction conditions, exhibiting catalytic performance several orders of magnitude higher than previously reported catalysts. Moreover, these catalysts demonstrate exceptional applicability in the production of a wide range of pharmaceuticals and industrial fine chemicals, holding great promise for broad industrial adoption.</w:t>
      </w:r>
    </w:p>
    <w:p>
      <w:pPr>
        <w:spacing w:before="120" w:after="120"/>
      </w:pPr>
      <w:r>
        <w:rPr>
          <w:sz w:val="18"/>
        </w:rPr>
        <w:t>——————————————————————————————————————————————————————————————————————</w:t>
      </w:r>
    </w:p>
    <w:p>
      <w:pPr>
        <w:spacing w:before="160" w:after="40" w:line="240" w:lineRule="auto"/>
      </w:pPr>
      <w:r>
        <w:rPr>
          <w:b/>
        </w:rPr>
        <w:t xml:space="preserve">[223] </w:t>
      </w:r>
      <w:hyperlink r:id="rId643">
        <w:r>
          <w:rPr>
            <w:color w:val="1155CC"/>
            <w:u w:val="single"/>
          </w:rPr>
          <w:t>[ASAP] 瞬态三酰胺胺镎(V)–单(亚胺)配合物：由有效核电荷驱动的C–H活化和氢原子转移</w:t>
        </w:r>
      </w:hyperlink>
    </w:p>
    <w:p>
      <w:pPr>
        <w:spacing w:before="0" w:after="80"/>
      </w:pPr>
      <w:r>
        <w:rPr>
          <w:i/>
          <w:sz w:val="20"/>
        </w:rPr>
        <w:t>EN: [ASAP] Transient Triamidoamine Neptunium(V)–Mono(Imido) Complexes: C–H Activations and Hydrogen Atom Transfer Driven by Effective Nuclear Charge</w:t>
      </w:r>
    </w:p>
    <w:p>
      <w:pPr>
        <w:spacing w:before="0" w:after="120"/>
      </w:pPr>
      <w:r>
        <w:rPr>
          <w:b/>
        </w:rPr>
        <w:t xml:space="preserve">Source: </w:t>
      </w:r>
      <w:r>
        <w:t>Journal of the American Chemical Society: Latest Articles (ACS Publications)</w:t>
      </w:r>
      <w:r>
        <w:t xml:space="preserve">    </w:t>
      </w:r>
      <w:r>
        <w:rPr>
          <w:b/>
        </w:rPr>
        <w:t xml:space="preserve">Pub date: </w:t>
      </w:r>
      <w:r>
        <w:t>2026-05-19 17:05:50+00:00</w:t>
      </w:r>
      <w:r>
        <w:t xml:space="preserve">    </w:t>
      </w:r>
      <w:r>
        <w:rPr>
          <w:b/>
        </w:rPr>
        <w:t xml:space="preserve">DOI: </w:t>
      </w:r>
      <w:hyperlink r:id="rId644">
        <w:r>
          <w:rPr>
            <w:color w:val="1155CC"/>
            <w:u w:val="single"/>
          </w:rPr>
          <w:t>10.1021/jacs.6c00505</w:t>
        </w:r>
      </w:hyperlink>
    </w:p>
    <w:p>
      <w:pPr>
        <w:spacing w:before="0" w:after="120"/>
      </w:pPr>
      <w:r>
        <w:rPr>
          <w:b/>
        </w:rPr>
        <w:t xml:space="preserve">Notes: </w:t>
      </w:r>
      <w:r>
        <w:t>abstract_source=pubmed</w:t>
      </w:r>
    </w:p>
    <w:p>
      <w:pPr>
        <w:spacing w:before="0" w:after="80" w:lineRule="auto" w:line="276"/>
      </w:pPr>
      <w:r>
        <w:rPr>
          <w:b/>
        </w:rPr>
        <w:t xml:space="preserve">摘要（ZH）: </w:t>
      </w:r>
      <w:r>
        <w:t>金属-单(亚胺基)键合已存在七十年，它们存在于过渡金属、主族、镧系、钍和铀配合物中。然而，超铀-单(亚胺基)配合物在任何情况下仍是未知的。在此，我们提供了瞬态镎(V)-单(亚胺基)配合物的证据。用N3R (R = SiMe3; 1-金刚烷基, Ad) 处理 [NpIII(TrenTIPS)] (1, TrenTIPS = {N(CH2CH2NSiPri3)3}3-) 会导致N2释放和深紫色溶液的形成，这与 [NpV(TrenTIPS)(NR)] (3NpNR) 的形成一致。然而，3NpNR溶液迅速变为橙色，其中当R = SiMe3时，分离得到的1:1产物是 [NpIV(TrenTIPS){N(H)SiMe3}] (4a) 和 [NpIV(TrenTIPS-2H){N(H)SiMe3}] (4b, TrenTIPS-2H = {N(CH2CH2NSiPri3)2(NCH2CH2NSiPri2C[Me]=CH2)}3-)。后者含有一个脱氢的Pri乙烯基官能团，解释了两个酰胺基H原子的来源。R = Ad的反应类似地进行，但只有 [NpIV(TrenTIPS){N(H)Ad}] (5a) 能够被明确证实，尽管其分离表明了亚胺基到酰胺基官能团转化的普遍性。配合物4a/4b表现出磁化强度的缓慢弛豫，增加了超铀单离子磁体的数量。实验和计算分析表明，酰胺基产物是通过C-H活化和两个连续的氢原子转移反应形成的，其中涉及一个三步质子耦合电子转移序列：H•自由基夺取、电子转移，然后是另一个H•自由基夺取步骤。与瞬态3NpNR相反，5f2铀(IV)-亚胺基配合物 [K(2.2.2-c</w:t>
      </w:r>
    </w:p>
    <w:p>
      <w:pPr>
        <w:spacing w:before="0" w:after="200" w:lineRule="auto" w:line="276"/>
      </w:pPr>
      <w:r>
        <w:rPr>
          <w:b/>
        </w:rPr>
        <w:t xml:space="preserve">Abstract (EN): </w:t>
      </w:r>
      <w:r>
        <w:t>Metal-mono(imido) linkages have been known for seven decades, and they are found in transition metal, main group, lanthanide, thorium, and uranium complexes. However, transuranium-mono(imido) complexes remain unknown in any scenario. Here, we present evidence for transient neptunium(V)-mono(imido) complexes. Treatment of [NpIII(TrenTIPS)] (1, TrenTIPS = {N(CH2CH2NSiPri3)3}3-) with N3R (R = SiMe3; 1-adamantyl, Ad) results in N2 evolution and dark purple solutions consistent with the formation of [NpV(TrenTIPS)(NR)] (3NpNR). However, solutions of 3NpNR rapidly turn orange, where for R = SiMe3 the isolated 1:1 products are [NpIV(TrenTIPS){N(H)SiMe3}] (4a) and [NpIV(TrenTIPS-2H){N(H)SiMe3}] (4b, TrenTIPS-2H = {N(CH2CH2NSiPri3)2(NCH2CH2NSiPri2C[Me]=CH2)}3-). The latter contains a dehydrogenated-Pri vinyl functionality accounting for the source of the two amido H atoms. The reaction for R = Ad proceeds similarly, but only [NpIV(TrenTIPS){N(H)Ad}] (5a) could be unequivocally confirmed, though its isolation suggests generality of the imido-to-amido functional group transformation. Complexes 4a/4b exhibit slow relaxation of their magnetization, adding to the small number of transuranium single ion magnets. Experimental and computational analysis suggests that the amido products are formed by C-H activation and two sequential hydrogen atom transfer reactions involving a three-step proton-coupled electron-transfer sequence of H• radical abstraction, electron transfer, then another H• radical abstraction step. In contrast to transient 3NpNR, the 5f2 uranium(IV)-imido complex [K(2.2.2-cryptand)][UIV(TrenTIPS)(NSiMe3)] (8UNSiMe3) is robust, even in boiling THF, suggesting the transience of 5f2 3NpNR is not due to the 5fn-count but the increased effective nuclear charge of neptunium vs uranium. This work highlights divergence of uranium- and neptunium-imido stabilities, emphasizing that the latter is an inherently challenging synthetic target.</w:t>
      </w:r>
    </w:p>
    <w:p>
      <w:pPr>
        <w:spacing w:before="120" w:after="120"/>
      </w:pPr>
      <w:r>
        <w:rPr>
          <w:sz w:val="18"/>
        </w:rPr>
        <w:t>——————————————————————————————————————————————————————————————————————</w:t>
      </w:r>
    </w:p>
    <w:p>
      <w:pPr>
        <w:spacing w:before="160" w:after="40" w:line="240" w:lineRule="auto"/>
      </w:pPr>
      <w:r>
        <w:rPr>
          <w:b/>
        </w:rPr>
        <w:t xml:space="preserve">[224] </w:t>
      </w:r>
      <w:hyperlink r:id="rId645">
        <w:r>
          <w:rPr>
            <w:color w:val="1155CC"/>
            <w:u w:val="single"/>
          </w:rPr>
          <w:t>[ASAP] 从头设计的卷曲螺旋系统中的无酶磷酸化与动力学门控</w:t>
        </w:r>
      </w:hyperlink>
    </w:p>
    <w:p>
      <w:pPr>
        <w:spacing w:before="0" w:after="80"/>
      </w:pPr>
      <w:r>
        <w:rPr>
          <w:i/>
          <w:sz w:val="20"/>
        </w:rPr>
        <w:t>EN: [ASAP] Enzyme-Free Phosphorylation with Kinetic Gating in a De Novo Coiled-Coil System</w:t>
      </w:r>
    </w:p>
    <w:p>
      <w:pPr>
        <w:spacing w:before="0" w:after="120"/>
      </w:pPr>
      <w:r>
        <w:rPr>
          <w:b/>
        </w:rPr>
        <w:t xml:space="preserve">Source: </w:t>
      </w:r>
      <w:r>
        <w:t>Journal of the American Chemical Society: Latest Articles (ACS Publications)</w:t>
      </w:r>
      <w:r>
        <w:t xml:space="preserve">    </w:t>
      </w:r>
      <w:r>
        <w:rPr>
          <w:b/>
        </w:rPr>
        <w:t xml:space="preserve">Pub date: </w:t>
      </w:r>
      <w:r>
        <w:t>2026-05-19 17:31:37+00:00</w:t>
      </w:r>
      <w:r>
        <w:t xml:space="preserve">    </w:t>
      </w:r>
      <w:r>
        <w:rPr>
          <w:b/>
        </w:rPr>
        <w:t xml:space="preserve">DOI: </w:t>
      </w:r>
      <w:hyperlink r:id="rId646">
        <w:r>
          <w:rPr>
            <w:color w:val="1155CC"/>
            <w:u w:val="single"/>
          </w:rPr>
          <w:t>10.1021/jacs.6c02162</w:t>
        </w:r>
      </w:hyperlink>
    </w:p>
    <w:p>
      <w:pPr>
        <w:spacing w:before="0" w:after="120"/>
      </w:pPr>
      <w:r>
        <w:rPr>
          <w:b/>
        </w:rPr>
        <w:t xml:space="preserve">Notes: </w:t>
      </w:r>
      <w:r>
        <w:t>abstract_source=pubmed</w:t>
      </w:r>
    </w:p>
    <w:p>
      <w:pPr>
        <w:spacing w:before="0" w:after="80" w:lineRule="auto" w:line="276"/>
      </w:pPr>
      <w:r>
        <w:rPr>
          <w:b/>
        </w:rPr>
        <w:t xml:space="preserve">摘要（ZH）: </w:t>
      </w:r>
      <w:r>
        <w:t>磷酸化是生物系统中最为普遍和重要的翻译后修饰之一。它由高度复杂的酶网络调控。在此，我们探索了设计肽系统中的无酶磷酸化。具体而言，我们利用磷酸化来调节卷曲螺旋 (CC) 的组装和动力学。这利用了一个非生物反应循环来磷酸化和去磷酸化α-螺旋中的组氨酸残基，从而实现或禁用与第二个螺旋的CC形成。去磷酸化是动力学门控的——在CC中比非组装状态快25倍。因此，磷酸化、CC形成、去磷酸化和CC解体的循环是棘轮式的。最小的合成磷酸化循环提供了设计原则，并满足了模仿分子马达、步行器和泵功能的要求。</w:t>
      </w:r>
    </w:p>
    <w:p>
      <w:pPr>
        <w:spacing w:before="0" w:after="200" w:lineRule="auto" w:line="276"/>
      </w:pPr>
      <w:r>
        <w:rPr>
          <w:b/>
        </w:rPr>
        <w:t xml:space="preserve">Abstract (EN): </w:t>
      </w:r>
      <w:r>
        <w:t>Phosphorylation is among the most ubiquitous and essential posttranslational modifications in biological systems. It is regulated by highly complex enzymatic networks. Here, we explore enzyme-free phosphorylation in a designed peptide system. Specifically, we use phosphorylation to modulate coiled-coil (CC) assembly and dynamics. This exploits a nonbiological reaction cycle to phosphorylate and dephosphorylate a histidine residue in an α-helix, enabling or disabling CC formation with a second helix. Dephosphorylation is kinetically gated─it is 25× faster in the CC compared to the nonassembled state. As a result, the cycle of phosphorylation, CC formation, dephosphorylation, and CC disassembly is ratcheted. The minimal synthetic phosphorylation cycle provides design principles and fulfills requirements to perform work mimicking the function of molecular motors, walkers, and pumps.</w:t>
      </w:r>
    </w:p>
    <w:p>
      <w:pPr>
        <w:spacing w:before="120" w:after="120"/>
      </w:pPr>
      <w:r>
        <w:rPr>
          <w:sz w:val="18"/>
        </w:rPr>
        <w:t>——————————————————————————————————————————————————————————————————————</w:t>
      </w:r>
    </w:p>
    <w:p>
      <w:pPr>
        <w:spacing w:before="160" w:after="40" w:line="240" w:lineRule="auto"/>
      </w:pPr>
      <w:r>
        <w:rPr>
          <w:b/>
        </w:rPr>
        <w:t xml:space="preserve">[225] </w:t>
      </w:r>
      <w:hyperlink r:id="rId647">
        <w:r>
          <w:rPr>
            <w:color w:val="1155CC"/>
            <w:u w:val="single"/>
          </w:rPr>
          <w:t>钾-配体协同促进化学键活化和催化加氢</w:t>
        </w:r>
      </w:hyperlink>
    </w:p>
    <w:p>
      <w:pPr>
        <w:spacing w:before="0" w:after="80"/>
      </w:pPr>
      <w:r>
        <w:rPr>
          <w:i/>
          <w:sz w:val="20"/>
        </w:rPr>
        <w:t>EN: Potassium‐Ligand Cooperation Facilitated Chemical Bond Activation and Catalytic Hydrogenation</w:t>
      </w:r>
    </w:p>
    <w:p>
      <w:pPr>
        <w:spacing w:before="0" w:after="120"/>
      </w:pPr>
      <w:r>
        <w:rPr>
          <w:b/>
        </w:rPr>
        <w:t xml:space="preserve">Source: </w:t>
      </w:r>
      <w:r>
        <w:t>Wiley: Angewandte Chemie International Edition: Table of Contents</w:t>
      </w:r>
      <w:r>
        <w:t xml:space="preserve">    </w:t>
      </w:r>
      <w:r>
        <w:rPr>
          <w:b/>
        </w:rPr>
        <w:t xml:space="preserve">Pub date: </w:t>
      </w:r>
      <w:r>
        <w:t>2026-05-19 17:40:14+00:00</w:t>
      </w:r>
      <w:r>
        <w:t xml:space="preserve">    </w:t>
      </w:r>
      <w:r>
        <w:rPr>
          <w:b/>
        </w:rPr>
        <w:t xml:space="preserve">DOI: </w:t>
      </w:r>
      <w:hyperlink r:id="rId648">
        <w:r>
          <w:rPr>
            <w:color w:val="1155CC"/>
            <w:u w:val="single"/>
          </w:rPr>
          <w:t>10.1002/anie.7267440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用主族元素取代传统过渡金属进行化学键活化和催化越来越受到关注，然而，碱金属在此背景下仍未得到充分探索。在此，我们介绍了一种基于配体去芳构化-芳构化驱动的金属-配体协同作用 (MLC) 的碱金属介导催化新策略。合成了带有去芳构化吡啶甲基配体的钾钳形配合物，并显示其能够活化多种分子，包括CO2、CS2、苯基异(硫)氰酸酯、酮和H2，从而实现了碱金属催化的设计。值得注意的是，一种去芳构化钾配合物有效地催化了酮和C─C多重键的氢化反应，这些反应在碱金属催化中仍然具有挑战性。密度泛函理论 (DFT) 计算阐明了所得配合物的电子结构和键合特性，并提供了对转化机理的深入见解。这项工作建立了碱金属化学的新范式，并拓宽了MLC在键活化和催化方面的应用范围。</w:t>
      </w:r>
    </w:p>
    <w:p>
      <w:pPr>
        <w:spacing w:before="0" w:after="200" w:lineRule="auto" w:line="276"/>
      </w:pPr>
      <w:r>
        <w:rPr>
          <w:b/>
        </w:rPr>
        <w:t xml:space="preserve">Abstract (EN): </w:t>
      </w:r>
      <w:r>
        <w:t>Replacing conventional transition metals with main‐group elements for chemical bond activation and catalysis is of increasing interest, yet alkali metals remain largely underexplored in this context. Herein, we introduce a new strategy for alkali metal‐mediated catalysis based on metal–ligand cooperation (MLC) driven by dearomatization–aromatization of the ligand. Potassium pincer complexes bearing dearomatized picolyl ligands were synthesized and shown to activate a variety of molecules, including CO</w:t>
      </w:r>
      <w:r>
        <w:rPr>
          <w:vertAlign w:val="subscript"/>
        </w:rPr>
        <w:t>2</w:t>
      </w:r>
      <w:r>
        <w:t>, CS</w:t>
      </w:r>
      <w:r>
        <w:rPr>
          <w:vertAlign w:val="subscript"/>
        </w:rPr>
        <w:t>2</w:t>
      </w:r>
      <w:r>
        <w:t>, phenyl iso(thio)cyanates, ketones, and H</w:t>
      </w:r>
      <w:r>
        <w:rPr>
          <w:vertAlign w:val="subscript"/>
        </w:rPr>
        <w:t>2</w:t>
      </w:r>
      <w:r>
        <w:t>, thereby enabling the design of alkali metal catalysis. Notably, a dearomatized potassium complex efficiently catalyzed the hydrogenation of ketones and C─C multiple bonds, reactions that remain challenging in alkali metal catalysis. Density functional theory (DFT) calculations elucidated the electronic structures and bonding characteristics of the obtained complexes and provided mechanistic insight into the transformations. This work establishes a new paradigm in alkali metal chemistry and broadens the scope of MLC for bond activation and catalysis.</w:t>
      </w:r>
    </w:p>
    <w:p>
      <w:pPr>
        <w:spacing w:before="120" w:after="120"/>
      </w:pPr>
      <w:r>
        <w:rPr>
          <w:sz w:val="18"/>
        </w:rPr>
        <w:t>——————————————————————————————————————————————————————————————————————</w:t>
      </w:r>
    </w:p>
    <w:p>
      <w:pPr>
        <w:spacing w:before="160" w:after="40" w:line="240" w:lineRule="auto"/>
      </w:pPr>
      <w:r>
        <w:rPr>
          <w:b/>
        </w:rPr>
        <w:t xml:space="preserve">[226] </w:t>
      </w:r>
      <w:hyperlink r:id="rId649">
        <w:r>
          <w:rPr>
            <w:color w:val="1155CC"/>
            <w:u w:val="single"/>
          </w:rPr>
          <w:t>硒原子增强的MR‐TADF光催化剂中的三重态激子动力学用于超快、高分辨率和开放空气3D打印</w:t>
        </w:r>
      </w:hyperlink>
    </w:p>
    <w:p>
      <w:pPr>
        <w:spacing w:before="0" w:after="80"/>
      </w:pPr>
      <w:r>
        <w:rPr>
          <w:i/>
          <w:sz w:val="20"/>
        </w:rPr>
        <w:t>EN: Selenium‐Atom‐Enhanced Triplet Exciton Kinetics in MR‐TADF Photocatalysts for Ultrafast, High‐Resolution, and Open‐Air 3D Printing</w:t>
      </w:r>
    </w:p>
    <w:p>
      <w:pPr>
        <w:spacing w:before="0" w:after="120"/>
      </w:pPr>
      <w:r>
        <w:rPr>
          <w:b/>
        </w:rPr>
        <w:t xml:space="preserve">Source: </w:t>
      </w:r>
      <w:r>
        <w:t>Wiley: Angewandte Chemie International Edition: Table of Contents</w:t>
      </w:r>
      <w:r>
        <w:t xml:space="preserve">    </w:t>
      </w:r>
      <w:r>
        <w:rPr>
          <w:b/>
        </w:rPr>
        <w:t xml:space="preserve">Pub date: </w:t>
      </w:r>
      <w:r>
        <w:t>2026-05-19 17:41:44+00:00</w:t>
      </w:r>
      <w:r>
        <w:t xml:space="preserve">    </w:t>
      </w:r>
      <w:r>
        <w:rPr>
          <w:b/>
        </w:rPr>
        <w:t xml:space="preserve">DOI: </w:t>
      </w:r>
      <w:hyperlink r:id="rId650">
        <w:r>
          <w:rPr>
            <w:color w:val="1155CC"/>
            <w:u w:val="single"/>
          </w:rPr>
          <w:t>10.1002/anie.8320434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光引发体系是决定数字光处理 (DLP) 3D 打印速度、分辨率和操作鲁棒性的决定性因素。然而，大多数现有体系依赖于惰性气氛、高辐照强度或长时间曝光，严重限制了打印效率和实际应用性。在此，我们报告了一种分子设计范式，通过硒原子工程，从根本上重新定义了多共振热活化延迟荧光 (MR‐TADF) 材料的功能作用，将其从高效发光体转变为高活性三重态光催化剂。通过将羰基辅助的 n–π*/π–π* 态耦合与硒诱导的自旋轨道增强相结合，所得光催化剂 QPSO 实现了接近统一的系间窜越量子产率以及异常大的正向与反向系间窜越速率常数比，从而有效地将激子通量导入长寿命、氧化还原活性的三重态。当与高价碘鎓共引发剂结合时，该体系能够在环境空气中利用低强度蓝光实现快速光聚合。结果，单层固化在宽厚度范围内仅需 1.5–2 s 即可完成，打印分辨率可达 10 µm，在 400 µm 层厚度下，构建速度高达 72 cm h−1，创历史新高。该平台支持复杂分层结构的制造，同时...</w:t>
      </w:r>
    </w:p>
    <w:p>
      <w:pPr>
        <w:spacing w:before="0" w:after="200" w:lineRule="auto" w:line="276"/>
      </w:pPr>
      <w:r>
        <w:rPr>
          <w:b/>
        </w:rPr>
        <w:t xml:space="preserve">Abstract (EN): </w:t>
      </w:r>
      <w:r>
        <w:t>The photoinitiating system is a decisive factor governing the speed, resolution, and operational robustness of digital light processing (DLP) 3D printing. However, most existing systems rely on inert atmospheres, high irradiation intensities, or prolonged exposure times, severely limiting printing efficiency and practical applicability. Here we report a molecular design paradigm that fundamentally redefines the functional role of multiple‐resonance thermally activated delayed fluorescence (MR‐TADF) materials, transforming them from efficient light emitters into highly active triplet photocatalysts through selenium‐atom engineering. By integrating carbonyl‐assisted n–π*/π–π* state coupling with selenium‐induced spin‐orbit enhancement, the resulting photocatalyst</w:t>
      </w:r>
      <w:r>
        <w:t xml:space="preserve"> </w:t>
      </w:r>
      <w:r>
        <w:t>QPSO</w:t>
      </w:r>
      <w:r>
        <w:t xml:space="preserve"> </w:t>
      </w:r>
      <w:r>
        <w:t>achieves a near‐unity intersystem crossing quantum yield together with an exceptionally large forward‐to‐reverse intersystem crossing rate constant ratio, thus efficiently channeling exciton flux into long‐lived, redox‐active triplet states. When combined with a hypervalent iodonium co‐initiator, this system enables rapid photopolymerization in ambient air using low‐intensity blue light. As a result, single‐layer curing is completed within only 1.5–2 s across a broad thickness range, affording a printing resolution down to 10 µm and a record‐high build speed of up to 72 cm h</w:t>
      </w:r>
      <w:r>
        <w:t xml:space="preserve"> </w:t>
      </w:r>
      <w:r>
        <w:t>−1</w:t>
      </w:r>
      <w:r>
        <w:t xml:space="preserve"> </w:t>
      </w:r>
      <w:r>
        <w:t>at 400 µm layer thickness. The platform supports the fabrication of complex hierarchical architectures while exhibiting excellent biocompatibility.</w:t>
      </w:r>
    </w:p>
    <w:p>
      <w:pPr>
        <w:spacing w:before="120" w:after="120"/>
      </w:pPr>
      <w:r>
        <w:rPr>
          <w:sz w:val="18"/>
        </w:rPr>
        <w:t>——————————————————————————————————————————————————————————————————————</w:t>
      </w:r>
    </w:p>
    <w:p>
      <w:pPr>
        <w:spacing w:before="160" w:after="40" w:line="240" w:lineRule="auto"/>
      </w:pPr>
      <w:r>
        <w:rPr>
          <w:b/>
        </w:rPr>
        <w:t xml:space="preserve">[227] </w:t>
      </w:r>
      <w:hyperlink r:id="rId651">
        <w:r>
          <w:rPr>
            <w:color w:val="1155CC"/>
            <w:u w:val="single"/>
          </w:rPr>
          <w:t>[ASAP] 对“从β-硼基酰胺催化立体特异性构建氨基环丙烷”的更正</w:t>
        </w:r>
      </w:hyperlink>
    </w:p>
    <w:p>
      <w:pPr>
        <w:spacing w:before="0" w:after="80"/>
      </w:pPr>
      <w:r>
        <w:rPr>
          <w:i/>
          <w:sz w:val="20"/>
        </w:rPr>
        <w:t>EN: [ASAP] Correction to “Catalytic Stereospecific Construction of Aminocyclopropanes from β-Boryl Amides”</w:t>
      </w:r>
    </w:p>
    <w:p>
      <w:pPr>
        <w:spacing w:before="0" w:after="120"/>
      </w:pPr>
      <w:r>
        <w:rPr>
          <w:b/>
        </w:rPr>
        <w:t xml:space="preserve">Source: </w:t>
      </w:r>
      <w:r>
        <w:t>Journal of the American Chemical Society: Latest Articles (ACS Publications)</w:t>
      </w:r>
      <w:r>
        <w:t xml:space="preserve">    </w:t>
      </w:r>
      <w:r>
        <w:rPr>
          <w:b/>
        </w:rPr>
        <w:t xml:space="preserve">Pub date: </w:t>
      </w:r>
      <w:r>
        <w:t>2026-05-19 18:04:24+00:00</w:t>
      </w:r>
      <w:r>
        <w:t xml:space="preserve">    </w:t>
      </w:r>
      <w:r>
        <w:rPr>
          <w:b/>
        </w:rPr>
        <w:t xml:space="preserve">DOI: </w:t>
      </w:r>
      <w:hyperlink r:id="rId652">
        <w:r>
          <w:rPr>
            <w:color w:val="1155CC"/>
            <w:u w:val="single"/>
          </w:rPr>
          <w:t>10.1021/jacs.6c08654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[228] </w:t>
      </w:r>
      <w:hyperlink r:id="rId653">
        <w:r>
          <w:rPr>
            <w:color w:val="1155CC"/>
            <w:u w:val="single"/>
          </w:rPr>
          <w:t>[ASAP] 手性磺酰亚胺基自由基的高保真转移</w:t>
        </w:r>
      </w:hyperlink>
    </w:p>
    <w:p>
      <w:pPr>
        <w:spacing w:before="0" w:after="80"/>
      </w:pPr>
      <w:r>
        <w:rPr>
          <w:i/>
          <w:sz w:val="20"/>
        </w:rPr>
        <w:t>EN: [ASAP] High-Fidelity Transfer of Chiral Sulfonimidoyl Radicals</w:t>
      </w:r>
    </w:p>
    <w:p>
      <w:pPr>
        <w:spacing w:before="0" w:after="120"/>
      </w:pPr>
      <w:r>
        <w:rPr>
          <w:b/>
        </w:rPr>
        <w:t xml:space="preserve">Source: </w:t>
      </w:r>
      <w:r>
        <w:t>Journal of the American Chemical Society: Latest Articles (ACS Publications)</w:t>
      </w:r>
      <w:r>
        <w:t xml:space="preserve">    </w:t>
      </w:r>
      <w:r>
        <w:rPr>
          <w:b/>
        </w:rPr>
        <w:t xml:space="preserve">Pub date: </w:t>
      </w:r>
      <w:r>
        <w:t>2026-05-19 19:39:41+00:00</w:t>
      </w:r>
      <w:r>
        <w:t xml:space="preserve">    </w:t>
      </w:r>
      <w:r>
        <w:rPr>
          <w:b/>
        </w:rPr>
        <w:t xml:space="preserve">DOI: </w:t>
      </w:r>
      <w:hyperlink r:id="rId654">
        <w:r>
          <w:rPr>
            <w:color w:val="1155CC"/>
            <w:u w:val="single"/>
          </w:rPr>
          <w:t>10.1021/jacs.6c06952</w:t>
        </w:r>
      </w:hyperlink>
    </w:p>
    <w:p>
      <w:pPr>
        <w:spacing w:before="0" w:after="120"/>
      </w:pPr>
      <w:r>
        <w:rPr>
          <w:b/>
        </w:rPr>
        <w:t xml:space="preserve">Notes: </w:t>
      </w:r>
      <w:r>
        <w:t>abstract_source=pubmed</w:t>
      </w:r>
    </w:p>
    <w:p>
      <w:pPr>
        <w:spacing w:before="0" w:after="80" w:lineRule="auto" w:line="276"/>
      </w:pPr>
      <w:r>
        <w:rPr>
          <w:b/>
        </w:rPr>
        <w:t xml:space="preserve">摘要（ZH）: </w:t>
      </w:r>
      <w:r>
        <w:t>具有固有手性中心和自由基中心的自由基为合成化学提供了一个有前景但尚未充分探索的平台。我们报道了一类手性磺酰亚胺基自由基，它们通过使用我们实验室稳定的试剂实现了立体保持的自由基转移。这种方法开启了可切换、模块化地获得富对映体磺酰亚胺或亚磺酰胺的途径，避免了使用强氧化剂和有机金属亲核试剂。此外，机理研究和计算研究为这些未充分探索的手性磺酰亚胺基自由基物种所观察到的高保真度提供了深刻而合理的解释。</w:t>
      </w:r>
    </w:p>
    <w:p>
      <w:pPr>
        <w:spacing w:before="0" w:after="200" w:lineRule="auto" w:line="276"/>
      </w:pPr>
      <w:r>
        <w:rPr>
          <w:b/>
        </w:rPr>
        <w:t xml:space="preserve">Abstract (EN): </w:t>
      </w:r>
      <w:r>
        <w:t>Radicals with intrinsic stereogenic and radical centers offer a promising yet largely unexplored platform for synthetic chemistry. We reported a family of chiral sulfonimidoyl radicals that enable stereoretentive radical transfer by using our bench-stable reagents. This approach unlocked switchable, modular access to enantioenriched sulfoximines or sulfinamides, avoiding the use of strong oxidants and organometallic nucleophiles. Additionally, mechanistic studies and computational investigations provide insightful and plausible explanations for the observed high fidelity of these underexplored chiral sulfonimidoyl radical species.</w:t>
      </w:r>
    </w:p>
    <w:p>
      <w:pPr>
        <w:spacing w:before="120" w:after="120"/>
      </w:pPr>
      <w:r>
        <w:rPr>
          <w:sz w:val="18"/>
        </w:rPr>
        <w:t>——————————————————————————————————————————————————————————————————————</w:t>
      </w:r>
    </w:p>
    <w:p>
      <w:pPr>
        <w:spacing w:before="160" w:after="40" w:line="240" w:lineRule="auto"/>
      </w:pPr>
      <w:r>
        <w:rPr>
          <w:b/>
        </w:rPr>
        <w:t xml:space="preserve">[229] </w:t>
      </w:r>
      <w:hyperlink r:id="rId655">
        <w:r>
          <w:rPr>
            <w:color w:val="1155CC"/>
            <w:u w:val="single"/>
          </w:rPr>
          <w:t>城市风暴对流、锋面和热带系统的差异性响应</w:t>
        </w:r>
      </w:hyperlink>
    </w:p>
    <w:p>
      <w:pPr>
        <w:spacing w:before="0" w:after="80"/>
      </w:pPr>
      <w:r>
        <w:rPr>
          <w:i/>
          <w:sz w:val="20"/>
        </w:rPr>
        <w:t>EN: Divergent urban storm response to convective, frontal and tropical systems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56">
        <w:r>
          <w:rPr>
            <w:color w:val="1155CC"/>
            <w:u w:val="single"/>
          </w:rPr>
          <w:t>10.1038/s41586-026-10479-7</w:t>
        </w:r>
      </w:hyperlink>
    </w:p>
    <w:p>
      <w:pPr>
        <w:spacing w:before="0" w:after="120"/>
      </w:pPr>
      <w:r>
        <w:rPr>
          <w:b/>
        </w:rPr>
        <w:t xml:space="preserve">Notes: </w:t>
      </w:r>
      <w:r>
        <w:t>abstract_source=nature_html</w:t>
      </w:r>
    </w:p>
    <w:p>
      <w:pPr>
        <w:spacing w:before="0" w:after="80" w:lineRule="auto" w:line="276"/>
      </w:pPr>
      <w:r>
        <w:rPr>
          <w:b/>
        </w:rPr>
        <w:t xml:space="preserve">摘要（ZH）: </w:t>
      </w:r>
      <w:r>
        <w:t>城市化改变降水1,2，然而此前的研究报告了不一致的结果，一些城市降雨量增加，另一些则显示减少3。为了调和这些差异，我们采用基于事件的分析方法，研究城市影响如何因风暴类型而异。利用三维雷达反射率数据（1995–2017），我们识别了德克萨斯州四个城市（达拉斯、奥斯汀、圣安东尼奥和休斯顿）的40,000多个暖季风暴。本研究表明，将风暴分为五种类型揭示了与风暴尺度和动力学相关的独特城市影响。由大气不稳定驱动的局地尺度单体风暴和孤立风暴的频率增加（7–31%），尤其是在夜间。天气尺度锋面风暴的发生频率未变，但强度响应却截然不同：冷锋在城市上空减弱16–28%，这可能归因于热力和粗糙度效应，而暖锋则表现出增强的反射率。热带系统在频率或强度上没有一致的变化，但在城市区域上空，高反射率网格单元向较低海拔移动。鉴于德克萨斯州多样的气候和地理，这项工作为理解其他地区的城市-风暴相互作用提供了一个可转移的框架。这些发现超越了传统的“城市湿岛或干岛”模型，增进了我们对城市化如何调节极端降水的理解，并为气候建模4,5和快速增长城市的韧性规划6,7提供了信息。</w:t>
      </w:r>
    </w:p>
    <w:p>
      <w:pPr>
        <w:spacing w:before="0" w:after="200" w:lineRule="auto" w:line="276"/>
      </w:pPr>
      <w:r>
        <w:rPr>
          <w:b/>
        </w:rPr>
        <w:t xml:space="preserve">Abstract (EN): </w:t>
      </w:r>
      <w:r>
        <w:t>Urbanization modifies precipitation1,2, yet previous studies have reported inconsistent results, with some cities experiencing rainfall enhancement and others showing suppression3. To reconcile these discrepancies, we examine how urban impacts vary across storm types using an event-based analysis. With three-dimensional radar reflectivity data (1995–2017), we identify more than 40,000 warm-season storms across four Texas cities (Dallas, Austin, San Antonio and Houston). Here we show that classifying storms into five types reveals distinct urban influences linked to storm scales and dynamics. Local-scale single-cell and isolated storms, driven by atmospheric instability, increase in frequency (7–31%), particularly at night. Synoptic-scale frontal storms show unchanged occurrence but contrasting intensity responses: cold fronts weaken over cities by 16–28%, probably because of thermal and roughness effects, whereas warm fronts exhibit enhanced reflectivity. Tropical systems show no consistent change in frequency or intensity but exhibit a shift of high-reflectivity grid cells towards lower altitudes over urban areas. Given the diverse climate and geography of Texas, this work provides a transferable framework for understanding urban–storm interactions in other regions. These findings move beyond the traditional ‘urban wet or dry islands’ model, advancing our understanding of how urbanization modulates extreme precipitation and informing climate modelling4,5 and resilience planning for rapidly growing cities6,7.</w:t>
      </w:r>
    </w:p>
    <w:p>
      <w:pPr>
        <w:spacing w:before="120" w:after="120"/>
      </w:pPr>
      <w:r>
        <w:rPr>
          <w:sz w:val="18"/>
        </w:rPr>
        <w:t>——————————————————————————————————————————————————————————————————————</w:t>
      </w:r>
    </w:p>
    <w:p>
      <w:pPr>
        <w:spacing w:before="160" w:after="40" w:line="240" w:lineRule="auto"/>
      </w:pPr>
      <w:r>
        <w:rPr>
          <w:b/>
        </w:rPr>
        <w:t xml:space="preserve">[230] </w:t>
      </w:r>
      <w:hyperlink r:id="rId657">
        <w:r>
          <w:rPr>
            <w:color w:val="1155CC"/>
            <w:u w:val="single"/>
          </w:rPr>
          <w:t>早期化石真核生物是底栖好氧生物</w:t>
        </w:r>
      </w:hyperlink>
    </w:p>
    <w:p>
      <w:pPr>
        <w:spacing w:before="0" w:after="80"/>
      </w:pPr>
      <w:r>
        <w:rPr>
          <w:i/>
          <w:sz w:val="20"/>
        </w:rPr>
        <w:t>EN: Early fossil eukaryotes were benthic aerobes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58">
        <w:r>
          <w:rPr>
            <w:color w:val="1155CC"/>
            <w:u w:val="single"/>
          </w:rPr>
          <w:t>10.1038/s41586-026-10533-4</w:t>
        </w:r>
      </w:hyperlink>
    </w:p>
    <w:p>
      <w:pPr>
        <w:spacing w:before="0" w:after="120"/>
      </w:pPr>
      <w:r>
        <w:rPr>
          <w:b/>
        </w:rPr>
        <w:t xml:space="preserve">Notes: </w:t>
      </w:r>
      <w:r>
        <w:t>abstract_source=nature_html</w:t>
      </w:r>
    </w:p>
    <w:p>
      <w:pPr>
        <w:spacing w:before="0" w:after="80" w:lineRule="auto" w:line="276"/>
      </w:pPr>
      <w:r>
        <w:rPr>
          <w:b/>
        </w:rPr>
        <w:t xml:space="preserve">摘要（ZH）: </w:t>
      </w:r>
      <w:r>
        <w:t>真核细胞的演化为地球上所有复杂生命的出现铺平了道路。尽管其意义重大，但早期真核生物演化的环境背景在很大程度上仍是未知1,2。在本研究中，我们利用地质记录重建了已知最古老的化石真核生物（约1.75–14亿年前）的栖息地。我们的综合古生物学、沉积学和地球化学分析表明，尽管化石真核生物存在于从沿海到近海等多种环境中沉积的样本中，但它们几乎完全局限于底水富氧的环境。这种分布表明这些生物是好氧生物（专性、兼性或微好氧），并且考虑到它们的尺寸和形态复杂性，可能拥有线粒体。此外，它们几乎不存在于其他富含化石的缺氧样本中，这表明它们是底栖生物，因为浮游真核生物预计会存在于富氧和缺氧样本中。我们提出，在元古宙的大部分时间里，真核生物主要局限于富氧的底栖栖息地，直到新元古宙（10–5.4亿年前）才扩展到浮游栖息地。这种晚期的生态扩张可以解释真核生物实体化石出现与分子生物标志物3之间的不匹配，并解释了新元古宙真核生物多样性的逐步增加4。</w:t>
      </w:r>
    </w:p>
    <w:p>
      <w:pPr>
        <w:spacing w:before="0" w:after="200" w:lineRule="auto" w:line="276"/>
      </w:pPr>
      <w:r>
        <w:rPr>
          <w:b/>
        </w:rPr>
        <w:t xml:space="preserve">Abstract (EN): </w:t>
      </w:r>
      <w:r>
        <w:t>The evolution of the eukaryotic cell paved the way for the emergence of all complex life on Earth. Despite its significance, the environmental context of early eukaryote evolution is largely unknown1,2. Here we use the geological record to reconstruct the habitats of the oldest known fossil eukaryotes, approximately 1.75–1.4 billion years old. Our integrated palaeontological, sedimentological and geochemical analyses show that although fossil eukaryotes are found in samples deposited in a range of environments from coastal to offshore, they are almost entirely restricted to those from settings with oxygenated bottom waters. This distribution suggests these organisms were aerobes (obligate, facultative and/or microaerophilic) and, given their size and morphological complexity, probably possessed mitochondria. Furthermore, their near absence from otherwise fossiliferous anoxic samples suggests a benthic habit, as planktonic eukaryotes would be expected to be present in both oxic and anoxic samples. We propose that eukaryotes were largely restricted to oxic benthic habitats for much of the Proterozoic eon, only expanding into planktonic habitats during the Neoproterozoic era (1–0.54 billion years ago). This late ecological expansion could account for the mismatch between the appearance of eukaryotic body fossils and molecular biomarkers3 and explain the stepwise increase in eukaryote diversity during the Neoproterozoic era4.</w:t>
      </w:r>
    </w:p>
    <w:p>
      <w:pPr>
        <w:spacing w:before="120" w:after="120"/>
      </w:pPr>
      <w:r>
        <w:rPr>
          <w:sz w:val="18"/>
        </w:rPr>
        <w:t>——————————————————————————————————————————————————————————————————————</w:t>
      </w:r>
    </w:p>
    <w:p>
      <w:pPr>
        <w:spacing w:before="160" w:after="40" w:line="240" w:lineRule="auto"/>
      </w:pPr>
      <w:r>
        <w:rPr>
          <w:b/>
        </w:rPr>
        <w:t xml:space="preserve">[231] </w:t>
      </w:r>
      <w:hyperlink r:id="rId659">
        <w:r>
          <w:rPr>
            <w:color w:val="1155CC"/>
            <w:u w:val="single"/>
          </w:rPr>
          <w:t>一个SAUR基因通过促进花丝伸长增强玉米抗旱性</w:t>
        </w:r>
      </w:hyperlink>
    </w:p>
    <w:p>
      <w:pPr>
        <w:spacing w:before="0" w:after="80"/>
      </w:pPr>
      <w:r>
        <w:rPr>
          <w:i/>
          <w:sz w:val="20"/>
        </w:rPr>
        <w:t>EN: A SAUR gene enhances maize drought resilience by promoting silk elongation</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60">
        <w:r>
          <w:rPr>
            <w:color w:val="1155CC"/>
            <w:u w:val="single"/>
          </w:rPr>
          <w:t>10.1038/s41586-026-10566-9</w:t>
        </w:r>
      </w:hyperlink>
    </w:p>
    <w:p>
      <w:pPr>
        <w:spacing w:before="0" w:after="120"/>
      </w:pPr>
      <w:r>
        <w:rPr>
          <w:b/>
        </w:rPr>
        <w:t xml:space="preserve">Notes: </w:t>
      </w:r>
      <w:r>
        <w:t>abstract_source=nature_html</w:t>
      </w:r>
    </w:p>
    <w:p>
      <w:pPr>
        <w:spacing w:before="0" w:after="80" w:lineRule="auto" w:line="276"/>
      </w:pPr>
      <w:r>
        <w:rPr>
          <w:b/>
        </w:rPr>
        <w:t xml:space="preserve">摘要（ZH）: </w:t>
      </w:r>
      <w:r>
        <w:t>干旱对世界粮食安全构成重大威胁1,2。玉米（Zea mays）是一种主要的粮食和饲料作物，在开花期特别容易受到干旱影响3,4。作为一种雌雄同株植物，干旱会导致玉米植株雄花序和雌花序的异步成熟，从而延长花粉散布（开花）与花丝（伸长的柱头和花柱）暴露（吐丝）之间的时间间隔5,6。这种干旱诱导的开花-吐丝间隔（ASI）从根本上损害了玉米的产量稳定性，但ASI的遗传控制机制在很大程度上仍是未知。在本研究中，我们报告克隆了一个数量性状基因座，抗旱9（qDR9），它能缩短干旱增加的ASI并提高干旱条件下的产量稳定性。qDR9的致病基因编码一种小生长素上调RNA（SAUR）蛋白（ZmSAUR72），该蛋白在玉米花丝中高表达，但在干旱条件下表达下调。ZmSAUR72抑制一种位于质膜的蛋白磷酸酶，从而增加H+-ATPase活性并促进花丝生长。有利的ZmSAUR72等位基因——其启动子中缺少转座子样插入——驱动更高的表达，在干旱条件下缩短ASI，稳定产量，并且在正常条件下不产生产量损失。因此，我们的发现为干旱条件下玉米ASI提供了新见解，并为培育在缺水条件下具有增强产量稳定性的玉米品种提供了有力的候选基因。</w:t>
      </w:r>
    </w:p>
    <w:p>
      <w:pPr>
        <w:spacing w:before="0" w:after="200" w:lineRule="auto" w:line="276"/>
      </w:pPr>
      <w:r>
        <w:rPr>
          <w:b/>
        </w:rPr>
        <w:t xml:space="preserve">Abstract (EN): </w:t>
      </w:r>
      <w:r>
        <w:t>Drought poses a substantial threat to world food security1,2. Maize (Zea mays) is a major crop for food and forage, and is particularly susceptible to drought during flowering3,4. As a monoecious plant species, drought induces asynchronous maturation of male and female inflorescences in maize plants, leading to an increased interval between pollen shedding (anthesis) and silk (elongated stigma and style) exposure (silking)5,6. This drought-induced anthesis–silking interval (ASI) fundamentally undermines maize yield stability, but the genetic control of the ASI remains largely unknown. Here we report cloning of a quantitative trait locus, Drought Resistance 9 (qDR9), that shortens the drought-increased ASI and enhances the yield stability under drought conditions. The causal gene underlying qDR9 encodes a Small Auxin Up RNA (SAUR) protein (ZmSAUR72) that is highly expressed in maize silks but downregulated under drought. ZmSAUR72 inhibits a plasma membrane-localized protein phosphatase, thereby increasing H+-ATPase activity and promoting silk growth. The favourable ZmSAUR72 allele—which lacks a transposon-like insertion in its promoter—drives higher expression, shortens ASI under drought, stabilizes yield and imposes no yield penalty under normal conditions. Thus, our findings offer new insights into maize ASI under drought and provide strong candidate genes to breed maize cultivars with enhanced yield stability under water-deficit conditions.</w:t>
      </w:r>
    </w:p>
    <w:p>
      <w:pPr>
        <w:spacing w:before="120" w:after="120"/>
      </w:pPr>
      <w:r>
        <w:rPr>
          <w:sz w:val="18"/>
        </w:rPr>
        <w:t>——————————————————————————————————————————————————————————————————————</w:t>
      </w:r>
    </w:p>
    <w:p>
      <w:pPr>
        <w:spacing w:before="160" w:after="40" w:line="240" w:lineRule="auto"/>
      </w:pPr>
      <w:r>
        <w:rPr>
          <w:b/>
        </w:rPr>
        <w:t xml:space="preserve">[232] </w:t>
      </w:r>
      <w:hyperlink r:id="rId661">
        <w:r>
          <w:rPr>
            <w:color w:val="1155CC"/>
            <w:u w:val="single"/>
          </w:rPr>
          <w:t>解码蛋白质修饰的立体特异性代谢调控</w:t>
        </w:r>
      </w:hyperlink>
    </w:p>
    <w:p>
      <w:pPr>
        <w:spacing w:before="0" w:after="80"/>
      </w:pPr>
      <w:r>
        <w:rPr>
          <w:i/>
          <w:sz w:val="20"/>
        </w:rPr>
        <w:t>EN: Decoding stereospecific metabolic regulation of protein modifications</w:t>
      </w:r>
    </w:p>
    <w:p>
      <w:pPr>
        <w:spacing w:before="0" w:after="120"/>
      </w:pPr>
      <w:r>
        <w:rPr>
          <w:b/>
        </w:rPr>
        <w:t xml:space="preserve">Source: </w:t>
      </w:r>
      <w:r>
        <w:t>Nature Chemistry</w:t>
      </w:r>
      <w:r>
        <w:t xml:space="preserve">    </w:t>
      </w:r>
      <w:r>
        <w:rPr>
          <w:b/>
        </w:rPr>
        <w:t xml:space="preserve">Pub date: </w:t>
      </w:r>
      <w:r>
        <w:t>2026-05-20 00:00:00+00:00</w:t>
      </w:r>
      <w:r>
        <w:t xml:space="preserve">    </w:t>
      </w:r>
      <w:r>
        <w:rPr>
          <w:b/>
        </w:rPr>
        <w:t xml:space="preserve">DOI: </w:t>
      </w:r>
      <w:hyperlink r:id="rId662">
        <w:r>
          <w:rPr>
            <w:color w:val="1155CC"/>
            <w:u w:val="single"/>
          </w:rPr>
          <w:t>10.1038/s41557-026-02157-y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[233] </w:t>
      </w:r>
      <w:hyperlink r:id="rId663">
        <w:r>
          <w:rPr>
            <w:color w:val="1155CC"/>
            <w:u w:val="single"/>
          </w:rPr>
          <w:t>严苛的同行评审过程？你的论文最终可能会获得更高的引用量</w:t>
        </w:r>
      </w:hyperlink>
    </w:p>
    <w:p>
      <w:pPr>
        <w:spacing w:before="0" w:after="80"/>
      </w:pPr>
      <w:r>
        <w:rPr>
          <w:i/>
          <w:sz w:val="20"/>
        </w:rPr>
        <w:t>EN: Tough peer-review process? Your paper might end up being more highly cited</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64">
        <w:r>
          <w:rPr>
            <w:color w:val="1155CC"/>
            <w:u w:val="single"/>
          </w:rPr>
          <w:t>10.1038/d41586-026-01615-4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[234] </w:t>
      </w:r>
      <w:hyperlink r:id="rId665">
        <w:r>
          <w:rPr>
            <w:color w:val="1155CC"/>
            <w:u w:val="single"/>
          </w:rPr>
          <w:t>大陆和季风系统的演化：访谈Gilles Ramstein</w:t>
        </w:r>
      </w:hyperlink>
    </w:p>
    <w:p>
      <w:pPr>
        <w:spacing w:before="0" w:after="80"/>
      </w:pPr>
      <w:r>
        <w:rPr>
          <w:i/>
          <w:sz w:val="20"/>
        </w:rPr>
        <w:t>EN: Evolution of continents and the monsoon system: an interview with Gilles Ramstein</w:t>
      </w:r>
    </w:p>
    <w:p>
      <w:pPr>
        <w:spacing w:before="0" w:after="120"/>
      </w:pPr>
      <w:r>
        <w:rPr>
          <w:b/>
        </w:rPr>
        <w:t xml:space="preserve">Source: </w:t>
      </w:r>
      <w:r>
        <w:t>National Science Review Advance Access</w:t>
      </w:r>
      <w:r>
        <w:t xml:space="preserve">    </w:t>
      </w:r>
      <w:r>
        <w:rPr>
          <w:b/>
        </w:rPr>
        <w:t xml:space="preserve">Pub date: </w:t>
      </w:r>
      <w:r>
        <w:t>2026-05-20 00:00:00+00:00</w:t>
      </w:r>
      <w:r>
        <w:t xml:space="preserve">    </w:t>
      </w:r>
      <w:r>
        <w:rPr>
          <w:b/>
        </w:rPr>
        <w:t xml:space="preserve">DOI: </w:t>
      </w:r>
      <w:hyperlink r:id="rId666">
        <w:r>
          <w:rPr>
            <w:color w:val="1155CC"/>
            <w:u w:val="single"/>
          </w:rPr>
          <w:t>10.1093/nsr/nwag294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[235] </w:t>
      </w:r>
      <w:hyperlink r:id="rId667">
        <w:r>
          <w:rPr>
            <w:color w:val="1155CC"/>
            <w:u w:val="single"/>
          </w:rPr>
          <w:t>块状铁电体中的内禀负泊松比压电性</w:t>
        </w:r>
      </w:hyperlink>
    </w:p>
    <w:p>
      <w:pPr>
        <w:spacing w:before="0" w:after="80"/>
      </w:pPr>
      <w:r>
        <w:rPr>
          <w:i/>
          <w:sz w:val="20"/>
        </w:rPr>
        <w:t>EN: Intrinsic Auxetic piezoelectricity piezoelectricity in bulk ferroelectrics</w:t>
      </w:r>
    </w:p>
    <w:p>
      <w:pPr>
        <w:spacing w:before="0" w:after="120"/>
      </w:pPr>
      <w:r>
        <w:rPr>
          <w:b/>
        </w:rPr>
        <w:t xml:space="preserve">Source: </w:t>
      </w:r>
      <w:r>
        <w:t>National Science Review Advance Access</w:t>
      </w:r>
      <w:r>
        <w:t xml:space="preserve">    </w:t>
      </w:r>
      <w:r>
        <w:rPr>
          <w:b/>
        </w:rPr>
        <w:t xml:space="preserve">Pub date: </w:t>
      </w:r>
      <w:r>
        <w:t>2026-05-20 00:00:00+00:00</w:t>
      </w:r>
      <w:r>
        <w:t xml:space="preserve">    </w:t>
      </w:r>
      <w:r>
        <w:rPr>
          <w:b/>
        </w:rPr>
        <w:t xml:space="preserve">DOI: </w:t>
      </w:r>
      <w:hyperlink r:id="rId668">
        <w:r>
          <w:rPr>
            <w:color w:val="1155CC"/>
            <w:u w:val="single"/>
          </w:rPr>
          <w:t>10.1093/nsr/nwag295</w:t>
        </w:r>
      </w:hyperlink>
    </w:p>
    <w:p>
      <w:pPr>
        <w:spacing w:before="0" w:after="120"/>
      </w:pPr>
      <w:r>
        <w:rPr>
          <w:b/>
        </w:rPr>
        <w:t xml:space="preserve">Notes: </w:t>
      </w:r>
      <w:r>
        <w:t>abstract_source=rss_oup</w:t>
      </w:r>
    </w:p>
    <w:p>
      <w:pPr>
        <w:spacing w:before="0" w:after="80" w:lineRule="auto" w:line="276"/>
      </w:pPr>
      <w:r>
        <w:rPr>
          <w:b/>
        </w:rPr>
        <w:t xml:space="preserve">摘要（ZH）: </w:t>
      </w:r>
      <w:r>
        <w:t>压电材料在电场作用下会发生形变，其纵向和横向压电系数通常符号相反。当这两个系数符号相同时，便能实现“拉胀压电效应”，即材料在所有方向上同时膨胀或收缩。尽管这种非传统效应最近已在精心设计的单晶异质结构中沿特定晶向观察到，但一种结合拉胀响应和高温稳定性的低成本本征块状多晶材料仍难以实现。在此，我们首次预测并实验证明了一系列表现出这种反直觉的本征拉胀压电效应的块状材料，即Aurivillius铁电体。理论分析表明，这种效应源于其层状结构中带不同电荷的结构单元之间的相对滑动变形，并且在宽温度范围（5–1000 K）内保持稳定。此外，我们发现块状Aurivillius陶瓷的拉胀特性可用于将有效纵向压电响应提高一个数量级，从而实现强压电性和高工作温度的共存。这项工作将Aurivillius铁电体确立为拉胀压电材料的平台，并为先进机电设备开辟了途径。</w:t>
      </w:r>
    </w:p>
    <w:p>
      <w:pPr>
        <w:spacing w:before="0" w:after="200" w:lineRule="auto" w:line="276"/>
      </w:pPr>
      <w:r>
        <w:rPr>
          <w:b/>
        </w:rPr>
        <w:t xml:space="preserve">Abstract (EN): </w:t>
      </w:r>
      <w:r>
        <w:t>Piezoelectric materials deform under an electric field, typically exhibiting opposite signs in their longitudinal and transverse piezoelectric coefficients. Achieving the same sign for both coefficients enables the ‘auxetic piezoelectric effect’, where the material expands or contracts simultaneously in all directions. Although this unconventional effect has recently been observed in carefully engineered single-crystal heterostructures along specific crystallographic directions, a low-cost intrinsic bulk polycrystalline material that combines auxetic response with high-temperature stability has remained elusive. Here, we first predict and experimentally demonstrate a catalog of bulk materials exhibiting this counterintuitive intrinsic auxetic piezoelectric effect, namely the Aurivillius ferroelectrics. Theoretical analyses reveal that this effect originates from the relative sliding deformation between differently charged structural units within their layered architecture, and that it remains robust over a broad temperature range (5–1000 K). Furthermore, we show that the auxetic nature of bulk Aurivillius ceramics can be exploited to enhance the effective longitudinal piezoelectric response by an order of magnitude, achieving coexistence of strong piezoelectricity and high operating temperature. This work establishes Aurivillius ferroelectrics as a platform for auxetic piezoelectrics and opens avenues for advanced electromechanical devices.</w:t>
      </w:r>
    </w:p>
    <w:p>
      <w:pPr>
        <w:spacing w:before="120" w:after="120"/>
      </w:pPr>
      <w:r>
        <w:rPr>
          <w:sz w:val="18"/>
        </w:rPr>
        <w:t>——————————————————————————————————————————————————————————————————————</w:t>
      </w:r>
    </w:p>
    <w:p>
      <w:pPr>
        <w:spacing w:before="160" w:after="40" w:line="240" w:lineRule="auto"/>
      </w:pPr>
      <w:r>
        <w:rPr>
          <w:b/>
        </w:rPr>
        <w:t xml:space="preserve">[236] </w:t>
      </w:r>
      <w:hyperlink r:id="rId669">
        <w:r>
          <w:rPr>
            <w:color w:val="1155CC"/>
            <w:u w:val="single"/>
          </w:rPr>
          <w:t>线粒体l-2-羟基戊二酸是一种生理信号代谢物</w:t>
        </w:r>
      </w:hyperlink>
    </w:p>
    <w:p>
      <w:pPr>
        <w:spacing w:before="0" w:after="80"/>
      </w:pPr>
      <w:r>
        <w:rPr>
          <w:i/>
          <w:sz w:val="20"/>
        </w:rPr>
        <w:t>EN: Mitochondrial l-2-hydroxyglutarate is a physiological signalling metabolite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70">
        <w:r>
          <w:rPr>
            <w:color w:val="1155CC"/>
            <w:u w:val="single"/>
          </w:rPr>
          <w:t>10.1038/s41586-026-10564-x</w:t>
        </w:r>
      </w:hyperlink>
    </w:p>
    <w:p>
      <w:pPr>
        <w:spacing w:before="0" w:after="120"/>
      </w:pPr>
      <w:r>
        <w:rPr>
          <w:b/>
        </w:rPr>
        <w:t xml:space="preserve">Notes: </w:t>
      </w:r>
      <w:r>
        <w:t>abstract_source=nature_html</w:t>
      </w:r>
    </w:p>
    <w:p>
      <w:pPr>
        <w:spacing w:before="0" w:after="80" w:lineRule="auto" w:line="276"/>
      </w:pPr>
      <w:r>
        <w:rPr>
          <w:b/>
        </w:rPr>
        <w:t xml:space="preserve">摘要（ZH）: </w:t>
      </w:r>
      <w:r>
        <w:t>l-2-羟基戊二酸 (l-2-HG) 在哺乳动物中是一种低丰度代谢物，因为线粒体酶l-2-HG脱氢酶 (L2HGDH) 会将l-2-HG氧化为2-氧代戊二酸 (2-OG) 以防止其积累1。在人类中，L2HGDH活性缺乏会导致l-2-HG积累并引起l-2-羟基戊二酸尿症2。因此，l-2-HG常被归类为有毒代谢物2,3,4,5。然而，l-2-HG是否具有任何生理功能尚不清楚。在此，我们通过测试三个标准来研究l-2-HG是否符合生理信号代谢物的条件：受调控的水平、明确的分子靶点和可测量的生理功能。我们报告称，线粒体NADH/NAD+比率的增加驱动苹果酸脱氢酶2 (MDH2) 将2-OG还原为l-2-HG。此外，L2HGDH在线粒体基质中将l-2-HG氧化回2-OG，而无需功能性电子传递链。通过蛋白质组整体溶解度变化分析，我们发现KDM4家族的H3K9去甲基化酶是l-2-HG响应靶点。l-2-HG抑制小鼠胚胎干细胞中特定基因的新生转录，并增加这些位点的H3K9me3（一种抑制性组蛋白标记）。在体内，小鼠早期胚胎L2HGDH过表达会全身性降低l-2-HG水平，损害出生后生长，导致死亡，并产生选择性功能和组织学肾脏脆弱性。在出生后肾脏中，l-2-HG的这种降低导致L1MdTf逆转录转座子上的H3K9me3丢失及其去抑制，这与整合应激反应和炎症的激活同时发生。</w:t>
      </w:r>
    </w:p>
    <w:p>
      <w:pPr>
        <w:spacing w:before="0" w:after="200" w:lineRule="auto" w:line="276"/>
      </w:pPr>
      <w:r>
        <w:rPr>
          <w:b/>
        </w:rPr>
        <w:t xml:space="preserve">Abstract (EN): </w:t>
      </w:r>
      <w:r>
        <w:t>l-2-Hydroxyglutarate (l-2-HG) is a low-abundance metabolite in mammals because the mitochondrial enzyme l-2-HG dehydrogenase (L2HGDH) oxidizes l-2-HG to 2-oxoglutarate (2-OG) to prevent its accumulation1. In humans, a lack of L2HGDH activity leads to l-2-HG accumulation and causes l-2-hydroxyglutaric aciduria2. Thus, l-2-HG is often classified as a toxic metabolite2,3,4,5. However, whether l-2-HG has any physiological function is unclear. Here we investigate whether l-2-HG qualifies as a physiological signalling metabolite by testing three criteria: regulated levels, defined molecular targets and a measurable physiological function. We report that an increase in mitochondrial NADH/NAD+ ratio drives malate dehydrogenase 2 (MDH2) to reduce 2-OG into l-2-HG. Moreover, L2HGDH oxidizes l-2-HG back to 2-OG in the mitochondrial matrix without requiring a functional electron transport chain. Through proteome integral solubility alteration assays, we show that the KDM4 family of H3K9 demethylases are l-2-HG-responsive targets. l-2-HG represses the nascent transcription of specific genes in mouse embryonic stem cells and increases H3K9me3 (a repressive histone mark) at these loci. In vivo, early embryonic L2HGDH overexpression in mice systemically reduces l-2-HG levels, impairs postnatal growth, causes mortality and produces selective functional and histological renal vulnerabilities. In postnatal kidneys, this reduction in l-2-HG causes H3K9me3 loss at L1MdTf retrotransposons and their derepression, which coincides with the activation of the integrated stress response and inflammation pathways. Our findings establish mitochondrial l-2-HG as a physiological signalling metabolite and indicate that metabolites previously regarded as toxic may also have crucial physiological functions.</w:t>
      </w:r>
    </w:p>
    <w:p>
      <w:pPr>
        <w:spacing w:before="120" w:after="120"/>
      </w:pPr>
      <w:r>
        <w:rPr>
          <w:sz w:val="18"/>
        </w:rPr>
        <w:t>——————————————————————————————————————————————————————————————————————</w:t>
      </w:r>
    </w:p>
    <w:p>
      <w:pPr>
        <w:spacing w:before="160" w:after="40" w:line="240" w:lineRule="auto"/>
      </w:pPr>
      <w:r>
        <w:rPr>
          <w:b/>
        </w:rPr>
        <w:t xml:space="preserve">[237] </w:t>
      </w:r>
      <w:hyperlink r:id="rId671">
        <w:r>
          <w:rPr>
            <w:color w:val="1155CC"/>
            <w:u w:val="single"/>
          </w:rPr>
          <w:t>通过粘塑性中间层紧密封装非平面电极</w:t>
        </w:r>
      </w:hyperlink>
    </w:p>
    <w:p>
      <w:pPr>
        <w:spacing w:before="0" w:after="80"/>
      </w:pPr>
      <w:r>
        <w:rPr>
          <w:i/>
          <w:sz w:val="20"/>
        </w:rPr>
        <w:t>EN: Intimate encapsulation of non-planar electrodes via a viscoplastic interlayer</w:t>
      </w:r>
    </w:p>
    <w:p>
      <w:pPr>
        <w:spacing w:before="0" w:after="120"/>
      </w:pPr>
      <w:r>
        <w:rPr>
          <w:b/>
        </w:rPr>
        <w:t xml:space="preserve">Source: </w:t>
      </w:r>
      <w:r>
        <w:t>National Science Review Advance Access</w:t>
      </w:r>
      <w:r>
        <w:t xml:space="preserve">    </w:t>
      </w:r>
      <w:r>
        <w:rPr>
          <w:b/>
        </w:rPr>
        <w:t xml:space="preserve">Pub date: </w:t>
      </w:r>
      <w:r>
        <w:t>2026-05-20 00:00:00+00:00</w:t>
      </w:r>
      <w:r>
        <w:t xml:space="preserve">    </w:t>
      </w:r>
      <w:r>
        <w:rPr>
          <w:b/>
        </w:rPr>
        <w:t xml:space="preserve">DOI: </w:t>
      </w:r>
      <w:hyperlink r:id="rId672">
        <w:r>
          <w:rPr>
            <w:color w:val="1155CC"/>
            <w:u w:val="single"/>
          </w:rPr>
          <w:t>10.1093/nsr/nwag297</w:t>
        </w:r>
      </w:hyperlink>
    </w:p>
    <w:p>
      <w:pPr>
        <w:spacing w:before="0" w:after="120"/>
      </w:pPr>
      <w:r>
        <w:rPr>
          <w:b/>
        </w:rPr>
        <w:t xml:space="preserve">Notes: </w:t>
      </w:r>
      <w:r>
        <w:t>abstract_source=rss_oup</w:t>
      </w:r>
    </w:p>
    <w:p>
      <w:pPr>
        <w:spacing w:before="0" w:after="80" w:lineRule="auto" w:line="276"/>
      </w:pPr>
      <w:r>
        <w:rPr>
          <w:b/>
        </w:rPr>
        <w:t xml:space="preserve">摘要（ZH）: </w:t>
      </w:r>
      <w:r>
        <w:t>植入式电子产品通常采用非平面电极来解决导电性和可变形性之间的矛盾。由于弹性接触引起的界面空隙以及随之而来的流体渗入，这些电极的封装成为传统弹性密封的关键挑战。在此，我们提出了一种粘塑性中间层，它能够适应非平面电极的三维结构，从而实现紧密接触和密封封装。该中间层是一种聚合物复合材料，由作为基质的长链聚异丁烯、作为增塑剂的短链聚异丁烯以及作为异相区域的马来酸酐接枝聚丙烯组成。其粘塑性源于长链聚异丁烯的链滑移和永久解缠结，分别由增塑剂和限制域促进。当与共价键协同作用时，该中间层在密封弹性体和各种非平面电极（如微导线、微柱和蛇形电极）之间形成了无缺陷界面。这种紧密封装在酸性、中性和碱性溶液中使机电设备的信噪比稳定了50周，并将可拉伸生物电子产品信号保真度的体内持续时间延长至创纪录的45周。这种粘塑性中间层为提高植入式生物电子产品的长期稳定性提供了重要的启示。</w:t>
      </w:r>
    </w:p>
    <w:p>
      <w:pPr>
        <w:spacing w:before="0" w:after="200" w:lineRule="auto" w:line="276"/>
      </w:pPr>
      <w:r>
        <w:rPr>
          <w:b/>
        </w:rPr>
        <w:t xml:space="preserve">Abstract (EN): </w:t>
      </w:r>
      <w:r>
        <w:t>Implantable electronics often adopt non-planar electrodes to resolve the conflict between conductivity and deformability. Encapsulation of these electrodes becomes a critical challenge for conventional elastic seals due to the elastic-contact-induced interfacial voids and consequential fluid ingress. Here, we present a viscoplastic interlayer that can adapt to the three-dimensional structures of non-planar electrodes, resulting in intimate contact and hermetic encapsulation. This interlayer is a polymeric composite that consists of a long-chain polyisobutylene as the matrix, a short-chain polyisobutylene as the plasticizer, and maleic anhydride-grafted polypropylene as the foreign domains. Its viscoplasticity originates from the chain slippage and permanent disentanglement of the long-chain polyisobutylene, promoted by the plasticizers and confining domains, respectively. When synergized with covalent bonding, the interlayer derives defect-free interfaces between the sealing elastomer and various non-planar electrodes, such as microwires, micropillars, and serpentine electrodes. This intimate encapsulation stabilizes the signal-to-noise ratio of an electromechanical device for 50 weeks in acidic, neutral, and alkaline solutions and extends the in vivo duration of signal fidelity for stretchable bioelectronics to a record 45 weeks. This viscoplastic interlayer provides fruitful implications for improving the long-term stability of implantable bioelectronics.</w:t>
      </w:r>
    </w:p>
    <w:p>
      <w:pPr>
        <w:spacing w:before="120" w:after="120"/>
      </w:pPr>
      <w:r>
        <w:rPr>
          <w:sz w:val="18"/>
        </w:rPr>
        <w:t>——————————————————————————————————————————————————————————————————————</w:t>
      </w:r>
    </w:p>
    <w:p>
      <w:pPr>
        <w:spacing w:before="160" w:after="40" w:line="240" w:lineRule="auto"/>
      </w:pPr>
      <w:r>
        <w:rPr>
          <w:b/>
        </w:rPr>
        <w:t xml:space="preserve">[238] </w:t>
      </w:r>
      <w:hyperlink r:id="rId673">
        <w:r>
          <w:rPr>
            <w:color w:val="1155CC"/>
            <w:u w:val="single"/>
          </w:rPr>
          <w:t>大脑编码似乎处于不断变化中。神经科学家们感到困惑</w:t>
        </w:r>
      </w:hyperlink>
    </w:p>
    <w:p>
      <w:pPr>
        <w:spacing w:before="0" w:after="80"/>
      </w:pPr>
      <w:r>
        <w:rPr>
          <w:i/>
          <w:sz w:val="20"/>
        </w:rPr>
        <w:t>EN: The brain’s code seems to be in constant flux. Neuroscientists are baffled</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74">
        <w:r>
          <w:rPr>
            <w:color w:val="1155CC"/>
            <w:u w:val="single"/>
          </w:rPr>
          <w:t>10.1038/d41586-026-01554-0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[239] </w:t>
      </w:r>
      <w:hyperlink r:id="rId675">
        <w:r>
          <w:rPr>
            <w:color w:val="1155CC"/>
            <w:u w:val="single"/>
          </w:rPr>
          <w:t>CAPTCHA协议</w:t>
        </w:r>
      </w:hyperlink>
    </w:p>
    <w:p>
      <w:pPr>
        <w:spacing w:before="0" w:after="80"/>
      </w:pPr>
      <w:r>
        <w:rPr>
          <w:i/>
          <w:sz w:val="20"/>
        </w:rPr>
        <w:t>EN: The CAPTCHA protocol</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76">
        <w:r>
          <w:rPr>
            <w:color w:val="1155CC"/>
            <w:u w:val="single"/>
          </w:rPr>
          <w:t>10.1038/d41586-026-01085-8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[240] </w:t>
      </w:r>
      <w:hyperlink r:id="rId677">
        <w:r>
          <w:rPr>
            <w:color w:val="1155CC"/>
            <w:u w:val="single"/>
          </w:rPr>
          <w:t>量子光源推动阿秒科学</w:t>
        </w:r>
      </w:hyperlink>
    </w:p>
    <w:p>
      <w:pPr>
        <w:spacing w:before="0" w:after="80"/>
      </w:pPr>
      <w:r>
        <w:rPr>
          <w:i/>
          <w:sz w:val="20"/>
        </w:rPr>
        <w:t>EN: Quantum light source boosts attosecond science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78">
        <w:r>
          <w:rPr>
            <w:color w:val="1155CC"/>
            <w:u w:val="single"/>
          </w:rPr>
          <w:t>10.1038/d41586-026-01324-y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[241] </w:t>
      </w:r>
      <w:hyperlink r:id="rId679">
        <w:r>
          <w:rPr>
            <w:color w:val="1155CC"/>
            <w:u w:val="single"/>
          </w:rPr>
          <w:t>一次会议让我明白，科学家和记者必须携手合作以保护研究</w:t>
        </w:r>
      </w:hyperlink>
    </w:p>
    <w:p>
      <w:pPr>
        <w:spacing w:before="0" w:after="80"/>
      </w:pPr>
      <w:r>
        <w:rPr>
          <w:i/>
          <w:sz w:val="20"/>
        </w:rPr>
        <w:t>EN: A conference taught me that scientists and journalists must work together to protect research</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80">
        <w:r>
          <w:rPr>
            <w:color w:val="1155CC"/>
            <w:u w:val="single"/>
          </w:rPr>
          <w:t>10.1038/d41586-026-00824-1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[242] </w:t>
      </w:r>
      <w:hyperlink r:id="rId681">
        <w:r>
          <w:rPr>
            <w:color w:val="1155CC"/>
            <w:u w:val="single"/>
          </w:rPr>
          <w:t>三位科学家推动化学走向新方向</w:t>
        </w:r>
      </w:hyperlink>
    </w:p>
    <w:p>
      <w:pPr>
        <w:spacing w:before="0" w:after="80"/>
      </w:pPr>
      <w:r>
        <w:rPr>
          <w:i/>
          <w:sz w:val="20"/>
        </w:rPr>
        <w:t>EN: Three scientists pushing chemistry in new directions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82">
        <w:r>
          <w:rPr>
            <w:color w:val="1155CC"/>
            <w:u w:val="single"/>
          </w:rPr>
          <w:t>10.1038/d41586-026-00430-1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[243] </w:t>
      </w:r>
      <w:hyperlink r:id="rId683">
        <w:r>
          <w:rPr>
            <w:color w:val="1155CC"/>
            <w:u w:val="single"/>
          </w:rPr>
          <w:t>睡眠过少或过多与全身更快的衰老相关</w:t>
        </w:r>
      </w:hyperlink>
    </w:p>
    <w:p>
      <w:pPr>
        <w:spacing w:before="0" w:after="80"/>
      </w:pPr>
      <w:r>
        <w:rPr>
          <w:i/>
          <w:sz w:val="20"/>
        </w:rPr>
        <w:t>EN: Too little or too much sleep is linked to faster ageing throughout the body</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84">
        <w:r>
          <w:rPr>
            <w:color w:val="1155CC"/>
            <w:u w:val="single"/>
          </w:rPr>
          <w:t>10.1038/d41586-026-01564-y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[244] </w:t>
      </w:r>
      <w:hyperlink r:id="rId685">
        <w:r>
          <w:rPr>
            <w:color w:val="1155CC"/>
            <w:u w:val="single"/>
          </w:rPr>
          <w:t>《自然指数》指南</w:t>
        </w:r>
      </w:hyperlink>
    </w:p>
    <w:p>
      <w:pPr>
        <w:spacing w:before="0" w:after="80"/>
      </w:pPr>
      <w:r>
        <w:rPr>
          <w:i/>
          <w:sz w:val="20"/>
        </w:rPr>
        <w:t>EN: A guide to the Nature Index</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86">
        <w:r>
          <w:rPr>
            <w:color w:val="1155CC"/>
            <w:u w:val="single"/>
          </w:rPr>
          <w:t>10.1038/d41586-026-00432-z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[245] </w:t>
      </w:r>
      <w:hyperlink r:id="rId687">
        <w:r>
          <w:rPr>
            <w:color w:val="1155CC"/>
            <w:u w:val="single"/>
          </w:rPr>
          <w:t>为何PFASs如此难以替代？</w:t>
        </w:r>
      </w:hyperlink>
    </w:p>
    <w:p>
      <w:pPr>
        <w:spacing w:before="0" w:after="80"/>
      </w:pPr>
      <w:r>
        <w:rPr>
          <w:i/>
          <w:sz w:val="20"/>
        </w:rPr>
        <w:t>EN: Why are PFASs so hard to replace?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88">
        <w:r>
          <w:rPr>
            <w:color w:val="1155CC"/>
            <w:u w:val="single"/>
          </w:rPr>
          <w:t>10.1038/d41586-026-00429-8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[246] </w:t>
      </w:r>
      <w:hyperlink r:id="rId689">
        <w:r>
          <w:rPr>
            <w:color w:val="1155CC"/>
            <w:u w:val="single"/>
          </w:rPr>
          <w:t>极端天气条件下暂态能量调度的两阶段不确定性建模</w:t>
        </w:r>
      </w:hyperlink>
    </w:p>
    <w:p>
      <w:pPr>
        <w:spacing w:before="0" w:after="80"/>
      </w:pPr>
      <w:r>
        <w:rPr>
          <w:i/>
          <w:sz w:val="20"/>
        </w:rPr>
        <w:t>EN: Two-stage uncertainty modeling for temporal energy scheduling during extreme weather conditions</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[247] </w:t>
      </w:r>
      <w:hyperlink r:id="rId690">
        <w:r>
          <w:rPr>
            <w:color w:val="1155CC"/>
            <w:u w:val="single"/>
          </w:rPr>
          <w:t>通过考虑退化的技术经济和环境优化可持续车到户（V2H）混合可再生能源系统，实现澳大利亚偏远社区电气化</w:t>
        </w:r>
      </w:hyperlink>
    </w:p>
    <w:p>
      <w:pPr>
        <w:spacing w:before="0" w:after="80"/>
      </w:pPr>
      <w:r>
        <w:rPr>
          <w:i/>
          <w:sz w:val="20"/>
        </w:rPr>
        <w:t>EN: Electrification of Australian remote communities through degradation-aware techno-economic and environmental optimization of sustainable vehicle-to-home enabled hybrid renewable energy systems</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[248] </w:t>
      </w:r>
      <w:hyperlink r:id="rId691">
        <w:r>
          <w:rPr>
            <w:color w:val="1155CC"/>
            <w:u w:val="single"/>
          </w:rPr>
          <w:t>动态需求响应的跨周期优化策略：通过提前和延迟调度缓解双向偏差</w:t>
        </w:r>
      </w:hyperlink>
    </w:p>
    <w:p>
      <w:pPr>
        <w:spacing w:before="0" w:after="80"/>
      </w:pPr>
      <w:r>
        <w:rPr>
          <w:i/>
          <w:sz w:val="20"/>
        </w:rPr>
        <w:t>EN: A cross-period optimization strategy for dynamic demand response: mitigating bidirectional deviations via advanced and delayed dispatching</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[249] </w:t>
      </w:r>
      <w:hyperlink r:id="rId692">
        <w:r>
          <w:rPr>
            <w:color w:val="1155CC"/>
            <w:u w:val="single"/>
          </w:rPr>
          <w:t>成为母亲留下持久的分子记忆</w:t>
        </w:r>
      </w:hyperlink>
    </w:p>
    <w:p>
      <w:pPr>
        <w:spacing w:before="0" w:after="80"/>
      </w:pPr>
      <w:r>
        <w:rPr>
          <w:i/>
          <w:sz w:val="20"/>
        </w:rPr>
        <w:t>EN: Becoming a mother leaves long-lasting molecular memories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93">
        <w:r>
          <w:rPr>
            <w:color w:val="1155CC"/>
            <w:u w:val="single"/>
          </w:rPr>
          <w:t>10.1038/d41586-026-01327-9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[250] </w:t>
      </w:r>
      <w:hyperlink r:id="rId694">
        <w:r>
          <w:rPr>
            <w:color w:val="1155CC"/>
            <w:u w:val="single"/>
          </w:rPr>
          <w:t>星形胶质细胞糖皮质激素受体信号传导限制神经元可塑性</w:t>
        </w:r>
      </w:hyperlink>
    </w:p>
    <w:p>
      <w:pPr>
        <w:spacing w:before="0" w:after="80"/>
      </w:pPr>
      <w:r>
        <w:rPr>
          <w:i/>
          <w:sz w:val="20"/>
        </w:rPr>
        <w:t>EN: Astrocyte glucocorticoid receptor signalling restricts neuronal plasticity</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95">
        <w:r>
          <w:rPr>
            <w:color w:val="1155CC"/>
            <w:u w:val="single"/>
          </w:rPr>
          <w:t>10.1038/s41586-026-10512-9</w:t>
        </w:r>
      </w:hyperlink>
    </w:p>
    <w:p>
      <w:pPr>
        <w:spacing w:before="0" w:after="120"/>
      </w:pPr>
      <w:r>
        <w:rPr>
          <w:b/>
        </w:rPr>
        <w:t xml:space="preserve">Notes: </w:t>
      </w:r>
      <w:r>
        <w:t>abstract_source=nature_html</w:t>
      </w:r>
    </w:p>
    <w:p>
      <w:pPr>
        <w:spacing w:before="0" w:after="80" w:lineRule="auto" w:line="276"/>
      </w:pPr>
      <w:r>
        <w:rPr>
          <w:b/>
        </w:rPr>
        <w:t xml:space="preserve">摘要（ZH）: </w:t>
      </w:r>
      <w:r>
        <w:t>感觉经验在出生后发育的关键时期精炼神经网络1,2,3。尽管已知神经元活动能协调这一过程中的回路连接4,5，但随着动物成熟而限制发育可塑性的环境线索尚不清楚。在此，我们利用配对的单细胞转录组学和染色质可及性测序，研究了小鼠初级视觉皮层在出生后发育过程中经验依赖性的成熟。除了识别每种皮层细胞类型中出现的活动依赖性基因程序外，我们还发现光照通过细胞类型特异性地招募糖皮质激素受体（由Nr3c1编码）到染色质来驱动星形胶质细胞的成熟。星形胶质细胞糖皮质激素受体信号激活了一个广泛的基因调控程序，该程序在人类大脑发育中部分保守，并促进可能调节关键期关闭的成熟过程。总的来说，这些发现揭示了星形胶质细胞糖皮质激素受体信号限制了神经元可塑性。糖皮质激素对星形胶质细胞成熟的调节也可能导致早期生活压力对大脑的影响，而这一过程的破坏可能会增加对神经精神疾病的易感性。</w:t>
      </w:r>
    </w:p>
    <w:p>
      <w:pPr>
        <w:spacing w:before="0" w:after="200" w:lineRule="auto" w:line="276"/>
      </w:pPr>
      <w:r>
        <w:rPr>
          <w:b/>
        </w:rPr>
        <w:t xml:space="preserve">Abstract (EN): </w:t>
      </w:r>
      <w:r>
        <w:t>Sensory experience refines neural circuits during critical periods of postnatal development1,2,3. Although neuronal activity is known to orchestrate the circuit wiring that underlies this process4,5, the environmental cues that restrain developmental plasticity as animals mature are less clear. Here we examine the experience-dependent maturation of the mouse primary visual cortex across postnatal development using paired single-cell transcriptomic and chromatin accessibility sequencing. In addition to identifying the activity-dependent gene programs that emerge within each cortical cell type, we find that light exposure drives astrocyte maturation through cell-type-specific recruitment of the glucocorticoid receptor (encoded by Nr3c1) to chromatin. Astrocyte glucocorticoid receptor signalling activates an extensive gene regulatory program that is partially conserved in human brain development and promotes maturation processes that may regulate critical period closure. Collectively, these findings reveal that astrocyte glucocorticoid receptor signalling restricts neuronal plasticity. Glucocorticoid regulation of astrocyte maturation may also contribute to the effects of early-life stress across the brain, and the disruption of this process may increase susceptibility to neuropsychiatric disease.</w:t>
      </w:r>
    </w:p>
    <w:p>
      <w:pPr>
        <w:spacing w:before="120" w:after="120"/>
      </w:pPr>
      <w:r>
        <w:rPr>
          <w:sz w:val="18"/>
        </w:rPr>
        <w:t>——————————————————————————————————————————————————————————————————————</w:t>
      </w:r>
    </w:p>
    <w:p>
      <w:pPr>
        <w:spacing w:before="160" w:after="40" w:line="240" w:lineRule="auto"/>
      </w:pPr>
      <w:r>
        <w:rPr>
          <w:b/>
        </w:rPr>
        <w:t xml:space="preserve">[251] </w:t>
      </w:r>
      <w:hyperlink r:id="rId696">
        <w:r>
          <w:rPr>
            <w:color w:val="1155CC"/>
            <w:u w:val="single"/>
          </w:rPr>
          <w:t>多孔材料中客体物种的高保真识别</w:t>
        </w:r>
      </w:hyperlink>
    </w:p>
    <w:p>
      <w:pPr>
        <w:spacing w:before="0" w:after="80"/>
      </w:pPr>
      <w:r>
        <w:rPr>
          <w:i/>
          <w:sz w:val="20"/>
        </w:rPr>
        <w:t>EN: High-fidelity identification of guest species in porous materials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97">
        <w:r>
          <w:rPr>
            <w:color w:val="1155CC"/>
            <w:u w:val="single"/>
          </w:rPr>
          <w:t>10.1038/s41586-026-10527-2</w:t>
        </w:r>
      </w:hyperlink>
    </w:p>
    <w:p>
      <w:pPr>
        <w:spacing w:before="0" w:after="120"/>
      </w:pPr>
      <w:r>
        <w:rPr>
          <w:b/>
        </w:rPr>
        <w:t xml:space="preserve">Notes: </w:t>
      </w:r>
      <w:r>
        <w:t>abstract_source=nature_html</w:t>
      </w:r>
    </w:p>
    <w:p>
      <w:pPr>
        <w:spacing w:before="0" w:after="80" w:lineRule="auto" w:line="276"/>
      </w:pPr>
      <w:r>
        <w:rPr>
          <w:b/>
        </w:rPr>
        <w:t xml:space="preserve">摘要（ZH）: </w:t>
      </w:r>
      <w:r>
        <w:t>微孔晶体中的主客体化学是催化1、分离2和传感3等关键应用的基础，然而，在主体骨架内明确识别客体物种仍然是一个核心挑战。低剂量相衬电子显微镜的最新进展使得客体部分的实空间成像成为可能，并改变了这一领域4,5。然而，在此我们展示，这些技术的标准实施方案由于非理想的衬度传递，可能会产生假性的孔内衬度，从而损害客体识别的可靠性。我们通过一种基于高斯切趾单边带电子叠层衍射术的重建方法来解决这一局限性，该方法能抑制此类伪影并产生化学可解释的相位图像。我们将此方法应用于一个重要的催化体系，实现了在微孔沸石主体中对客体金属-氧簇的无偏识别。我们的结果得到了互补衍射和光谱学的支持。除了揭示沸石中以前未报道的骨架限制金属活性位点外，该方法还有望实现对晶体多孔材料中各种局部不均匀性的高保真可视化。</w:t>
      </w:r>
    </w:p>
    <w:p>
      <w:pPr>
        <w:spacing w:before="0" w:after="200" w:lineRule="auto" w:line="276"/>
      </w:pPr>
      <w:r>
        <w:rPr>
          <w:b/>
        </w:rPr>
        <w:t xml:space="preserve">Abstract (EN): </w:t>
      </w:r>
      <w:r>
        <w:t>Host–guest chemistry in microporous crystals underpins key applications in catalysis1, separation2 and sensing3, yet the unambiguous identification of guest species within host frameworks remains a central challenge. Recent advances in low-dose phase-contrast electron microscopy have enabled real-space imaging of guest moieties and transformed this field4,5. Here, however, we show that standard implementations of these techniques can generate artefactual in-pore contrast owing to non-ideal contrast transfer, thus compromising the reliability of guest identification. We address this limitation with a reconstruction method based on Gaussian-apodized single-sideband electron ptychography, which suppresses such artefacts and yields chemically interpretable phase images. We apply this method to an important catalytic system, achieving unbiased identification of guest metal–oxo clusters within microporous zeolite hosts. Our results are supported by complementary diffraction and spectroscopy. Beyond revealing previously unreported framework-confined metal active sites in zeolites, this method is expected to enable high-fidelity visualization of a broad range of local inhomogeneities across crystalline porous materials.</w:t>
      </w:r>
    </w:p>
    <w:p>
      <w:pPr>
        <w:spacing w:before="120" w:after="120"/>
      </w:pPr>
      <w:r>
        <w:rPr>
          <w:sz w:val="18"/>
        </w:rPr>
        <w:t>——————————————————————————————————————————————————————————————————————</w:t>
      </w:r>
    </w:p>
    <w:p>
      <w:pPr>
        <w:spacing w:before="160" w:after="40" w:line="240" w:lineRule="auto"/>
      </w:pPr>
      <w:r>
        <w:rPr>
          <w:b/>
        </w:rPr>
        <w:t xml:space="preserve">[252] </w:t>
      </w:r>
      <w:hyperlink r:id="rId698">
        <w:r>
          <w:rPr>
            <w:color w:val="1155CC"/>
            <w:u w:val="single"/>
          </w:rPr>
          <w:t>“绘画”猴子揭示了编码可组合动作的神经元群体</w:t>
        </w:r>
      </w:hyperlink>
    </w:p>
    <w:p>
      <w:pPr>
        <w:spacing w:before="0" w:after="80"/>
      </w:pPr>
      <w:r>
        <w:rPr>
          <w:i/>
          <w:sz w:val="20"/>
        </w:rPr>
        <w:t>EN: Monkeys that ‘draw’ reveal a neuronal population that encodes combinable actions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699">
        <w:r>
          <w:rPr>
            <w:color w:val="1155CC"/>
            <w:u w:val="single"/>
          </w:rPr>
          <w:t>10.1038/d41586-026-00928-8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[253] </w:t>
      </w:r>
      <w:hyperlink r:id="rId700">
        <w:r>
          <w:rPr>
            <w:color w:val="1155CC"/>
            <w:u w:val="single"/>
          </w:rPr>
          <w:t>NoTrue、Silence 和 Rubbish Communications：讽刺性期刊为中国学者提供一个减压阀</w:t>
        </w:r>
      </w:hyperlink>
    </w:p>
    <w:p>
      <w:pPr>
        <w:spacing w:before="0" w:after="80"/>
      </w:pPr>
      <w:r>
        <w:rPr>
          <w:i/>
          <w:sz w:val="20"/>
        </w:rPr>
        <w:t>EN: NoTrue, Silence and Rubbish Communications: satirical journals give Chinese academics a pressure valve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01">
        <w:r>
          <w:rPr>
            <w:color w:val="1155CC"/>
            <w:u w:val="single"/>
          </w:rPr>
          <w:t>10.1038/d41586-026-01548-y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702">
        <w:r>
          <w:rPr>
            <w:color w:val="1155CC"/>
            <w:u w:val="single"/>
          </w:rPr>
          <w:t>霍尔木兹海峡关闭加剧欧洲天然气三重困境</w:t>
        </w:r>
      </w:hyperlink>
    </w:p>
    <w:p>
      <w:pPr>
        <w:spacing w:before="0" w:after="80"/>
      </w:pPr>
      <w:r>
        <w:rPr>
          <w:i/>
          <w:sz w:val="20"/>
        </w:rPr>
        <w:t>EN: Closure of the Strait of Hormuz fuels Europe’s natural-gas trilemma</w:t>
      </w:r>
    </w:p>
    <w:p>
      <w:pPr>
        <w:spacing w:before="0" w:after="120"/>
      </w:pPr>
      <w:r>
        <w:rPr>
          <w:b/>
        </w:rPr>
        <w:t xml:space="preserve">Source: </w:t>
      </w:r>
      <w:r>
        <w:t>One Earth</w:t>
      </w:r>
      <w:r>
        <w:t xml:space="preserve">    </w:t>
      </w:r>
      <w:r>
        <w:rPr>
          <w:b/>
        </w:rPr>
        <w:t xml:space="preserve">Pub date: </w:t>
      </w:r>
      <w:r>
        <w:t>2026-05-20 00:00:00+00:00</w:t>
      </w:r>
      <w:r>
        <w:t xml:space="preserve">    </w:t>
      </w:r>
      <w:r>
        <w:rPr>
          <w:b/>
        </w:rPr>
        <w:t xml:space="preserve">DOI: </w:t>
      </w:r>
      <w:hyperlink r:id="rId703">
        <w:r>
          <w:rPr>
            <w:color w:val="1155CC"/>
            <w:u w:val="single"/>
          </w:rPr>
          <w:t>10.1016/j.oneear.2026.101717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[255] </w:t>
      </w:r>
      <w:hyperlink r:id="rId704">
        <w:r>
          <w:rPr>
            <w:color w:val="1155CC"/>
            <w:u w:val="single"/>
          </w:rPr>
          <w:t>AI“科学家”有望加速研究——它们如何运作？</w:t>
        </w:r>
      </w:hyperlink>
    </w:p>
    <w:p>
      <w:pPr>
        <w:spacing w:before="0" w:after="80"/>
      </w:pPr>
      <w:r>
        <w:rPr>
          <w:i/>
          <w:sz w:val="20"/>
        </w:rPr>
        <w:t>EN: AI ‘scientists’ promise to accelerate research — how do they work?</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05">
        <w:r>
          <w:rPr>
            <w:color w:val="1155CC"/>
            <w:u w:val="single"/>
          </w:rPr>
          <w:t>10.1038/d41586-026-01627-0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[256] </w:t>
      </w:r>
      <w:hyperlink r:id="rId706">
        <w:r>
          <w:rPr>
            <w:color w:val="1155CC"/>
            <w:u w:val="single"/>
          </w:rPr>
          <w:t>单组分准对称蛋白质纳米笼的设计</w:t>
        </w:r>
      </w:hyperlink>
    </w:p>
    <w:p>
      <w:pPr>
        <w:spacing w:before="0" w:after="80"/>
      </w:pPr>
      <w:r>
        <w:rPr>
          <w:i/>
          <w:sz w:val="20"/>
        </w:rPr>
        <w:t>EN: Design of one-component quasisymmetric protein nanocages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07">
        <w:r>
          <w:rPr>
            <w:color w:val="1155CC"/>
            <w:u w:val="single"/>
          </w:rPr>
          <w:t>10.1038/s41586-026-10554-z</w:t>
        </w:r>
      </w:hyperlink>
    </w:p>
    <w:p>
      <w:pPr>
        <w:spacing w:before="0" w:after="120"/>
      </w:pPr>
      <w:r>
        <w:rPr>
          <w:b/>
        </w:rPr>
        <w:t xml:space="preserve">Notes: </w:t>
      </w:r>
      <w:r>
        <w:t>abstract_source=nature_html</w:t>
      </w:r>
    </w:p>
    <w:p>
      <w:pPr>
        <w:spacing w:before="0" w:after="80" w:lineRule="auto" w:line="276"/>
      </w:pPr>
      <w:r>
        <w:rPr>
          <w:b/>
        </w:rPr>
        <w:t xml:space="preserve">摘要（ZH）: </w:t>
      </w:r>
      <w:r>
        <w:t>尽管由单个构建块构建的最大完全对称封闭组装体是60亚基二十面体1，但病毒可以通过准对称性形成由数百到数千个相同亚基组成的衣壳组装体——即在组装体中对称非等效位置使用相同的亚基2,3,4,5。准对称单组分组装体在生物制剂递送方面可能具有显著优势，因为仅使用单个构建块即可实现大的内部体积，但这些结构的设计具有挑战性，因为设计化学上相同的亚基以在不同的对称非等效位置采用不同构象并产生不同相互作用本身就具有复杂性。在此，我们推测准对称性可能源于具有预设曲率的强相互作用构建块系统中的自发对称破缺，并表明这一原理，结合一种将笼状结构参数化表示与RoseTTAFold扩散生成建模相结合的设计方法，可以生成丰富多样的准对称组装体。电子显微镜证实了设计的3 ≤ T ≤ 36笼状结构，它们具有180–2,160个亚基，直径从68 nm到220 nm，设计的T=3结构源于设计亚基界面中的对称破缺。我们的结果表明，通过设计整体系统属性可以控制复杂系统的详细结构，我们的方法为设计大型准对称组装体提供了路线图。</w:t>
      </w:r>
    </w:p>
    <w:p>
      <w:pPr>
        <w:spacing w:before="0" w:after="200" w:lineRule="auto" w:line="276"/>
      </w:pPr>
      <w:r>
        <w:rPr>
          <w:b/>
        </w:rPr>
        <w:t xml:space="preserve">Abstract (EN): </w:t>
      </w:r>
      <w:r>
        <w:t>Although the largest completely symmetric closed assembly that can be built from a single building block is the 60-subunit icosahedron1, viruses can form capsid assemblies with hundreds to thousands of identical subunits through quasisymmetry—using the same subunit in symmetrically non-equivalent locations in the assembly2,3,4,5. Quasisymmetric one-component assemblies could have considerable advantages for delivery of biologics because of the large internal volume achieved using only a single building block, but the design of these structures is challenging because of the inherent complexity of designing chemically identical subunits to both adopt different conformations and make different interactions in the distinct symmetrically non-equivalent locations. Here we conjectured that quasisymmetry could arise from spontaneous symmetry breaking in a system of strongly interacting building blocks with programmed curvatures and show that this principle, coupled with a design approach combining a parametric representation of cage architecture with RoseTTAFold diffusion generative modelling, can generate a rich array of quasisymmetric assemblies. Electron microscopy confirmed the structures of designed 3 ≤ T ≤ 36 cages with 180–2,160 subunits and diameters from 68 nm to 220 nm, and designed 1 T T = 3 architecture arises from symmetry breaking in the designed subunit interface. Our results indicate how the detailed architecture of complex systems can be controlled by designing overall system properties, and our approach provides a roadmap for designing large quasisymmetric assemblies for biologics delivery and other applications.</w:t>
      </w:r>
    </w:p>
    <w:p>
      <w:pPr>
        <w:spacing w:before="120" w:after="120"/>
      </w:pPr>
      <w:r>
        <w:rPr>
          <w:sz w:val="18"/>
        </w:rPr>
        <w:t>——————————————————————————————————————————————————————————————————————</w:t>
      </w:r>
    </w:p>
    <w:p>
      <w:pPr>
        <w:spacing w:before="160" w:after="40" w:line="240" w:lineRule="auto"/>
      </w:pPr>
      <w:r>
        <w:rPr>
          <w:b/>
        </w:rPr>
        <w:t xml:space="preserve">[257] </w:t>
      </w:r>
      <w:hyperlink r:id="rId708">
        <w:r>
          <w:rPr>
            <w:color w:val="1155CC"/>
            <w:u w:val="single"/>
          </w:rPr>
          <w:t>棘轮式离子传输</w:t>
        </w:r>
      </w:hyperlink>
    </w:p>
    <w:p>
      <w:pPr>
        <w:spacing w:before="0" w:after="80"/>
      </w:pPr>
      <w:r>
        <w:rPr>
          <w:i/>
          <w:sz w:val="20"/>
        </w:rPr>
        <w:t>EN: Ratcheting ion transport</w:t>
      </w:r>
    </w:p>
    <w:p>
      <w:pPr>
        <w:spacing w:before="0" w:after="120"/>
      </w:pPr>
      <w:r>
        <w:rPr>
          <w:b/>
        </w:rPr>
        <w:t xml:space="preserve">Source: </w:t>
      </w:r>
      <w:r>
        <w:t>Nature Chemical Engineering</w:t>
      </w:r>
      <w:r>
        <w:t xml:space="preserve">    </w:t>
      </w:r>
      <w:r>
        <w:rPr>
          <w:b/>
        </w:rPr>
        <w:t xml:space="preserve">Pub date: </w:t>
      </w:r>
      <w:r>
        <w:t>2026-05-20 00:00:00+00:00</w:t>
      </w:r>
      <w:r>
        <w:t xml:space="preserve">    </w:t>
      </w:r>
      <w:r>
        <w:rPr>
          <w:b/>
        </w:rPr>
        <w:t xml:space="preserve">DOI: </w:t>
      </w:r>
      <w:hyperlink r:id="rId709">
        <w:r>
          <w:rPr>
            <w:color w:val="1155CC"/>
            <w:u w:val="single"/>
          </w:rPr>
          <w:t>10.1038/s44286-026-00398-9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[258] </w:t>
      </w:r>
      <w:hyperlink r:id="rId710">
        <w:r>
          <w:rPr>
            <w:color w:val="1155CC"/>
            <w:u w:val="single"/>
          </w:rPr>
          <w:t>尖点奇异性增强的科里奥利效应用于灵敏芯片级陀螺仪</w:t>
        </w:r>
      </w:hyperlink>
    </w:p>
    <w:p>
      <w:pPr>
        <w:spacing w:before="0" w:after="80"/>
      </w:pPr>
      <w:r>
        <w:rPr>
          <w:i/>
          <w:sz w:val="20"/>
        </w:rPr>
        <w:t>EN: Cusp-singularity-enhanced Coriolis effect for sensitive chip-scale gyroscopes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11">
        <w:r>
          <w:rPr>
            <w:color w:val="1155CC"/>
            <w:u w:val="single"/>
          </w:rPr>
          <w:t>10.1038/s41586-026-10565-w</w:t>
        </w:r>
      </w:hyperlink>
    </w:p>
    <w:p>
      <w:pPr>
        <w:spacing w:before="0" w:after="120"/>
      </w:pPr>
      <w:r>
        <w:rPr>
          <w:b/>
        </w:rPr>
        <w:t xml:space="preserve">Notes: </w:t>
      </w:r>
      <w:r>
        <w:t>abstract_source=nature_html</w:t>
      </w:r>
    </w:p>
    <w:p>
      <w:pPr>
        <w:spacing w:before="0" w:after="80" w:lineRule="auto" w:line="276"/>
      </w:pPr>
      <w:r>
        <w:rPr>
          <w:b/>
        </w:rPr>
        <w:t xml:space="preserve">摘要（ZH）: </w:t>
      </w:r>
      <w:r>
        <w:t>陀螺仪作为基本的惯性传感器，对于消费电子、汽车和航空航天工业中的旋转测量至关重要，其中最广泛使用的一种依赖于科里奥利效应1,2,3,4,5,6。芯片级科里奥利振动陀螺仪（CVG）显示出尺寸、重量和成本的降低1,2，但其性能远低于传统的宏观CVG3,4,5,6，因为微弱的固有科里奥利因子对微芯片中相对于宏观芯片固有的更强布朗噪声的灵敏度缩放设定了基本限制。在此，为了克服这一物理限制，我们提出并实验证明了利用片上CVG相位跟踪振荡中尖点突变内的三阶奇点，以促进科里奥利效应引起的频率调制的立方根缩放。利用这一效应，我们将科里奥利因子提高了三个数量级，使信噪比提高了253倍，精度提高了297倍。此外，尖点奇点实现了以前无法达到的超灵敏相位调制亚线性测量，使硅芯片陀螺仪的信噪比性能达到了创纪录水平。这些发现不仅通过填补观察和控制奇点增强科里奥利效应的空白，为陀螺仪技术带来了革命性进展，而且也为其他超灵敏传感应用提供了新思路。</w:t>
      </w:r>
    </w:p>
    <w:p>
      <w:pPr>
        <w:spacing w:before="0" w:after="200" w:lineRule="auto" w:line="276"/>
      </w:pPr>
      <w:r>
        <w:rPr>
          <w:b/>
        </w:rPr>
        <w:t xml:space="preserve">Abstract (EN): </w:t>
      </w:r>
      <w:r>
        <w:t>Gyroscopes, as fundamental inertial sensors, are crucial for rotation measurements in the consumer electronics, automotive and aerospace industries, with the most widely used kind relying on the Coriolis effect1,2,3,4,5,6. The chip-scale Coriolis vibratory gyroscopes (CVGs) show reduced size, weight and cost1,2 but have far lower performance than traditional macroscale CVGs3,4,5,6, as the weak intrinsic Coriolis factor sets a fundamental limit on scaling the sensitivity against the inherently louder Brownian noise in microchips compared with the macroscale ones. Here, to overcome this physical limit, we propose and experimentally demonstrate the use of third-order singularities lying within cusp catastrophes in the phase-tracked oscillations of an on-chip CVG to facilitate a cubic-root scaling of the Coriolis-effect-induced frequency modulation. Using this effect, we achieve a three-orders-of-magnitude enhancement in the Coriolis factor, yielding a 253-fold improvement in the signal-to-noise ratio and a 297-fold increase in precision. Moreover, the cusp singularity enables a previously unattainable ultrasensitive phase-modulated sublinear measurement, achieving record signal-to-noise ratio performance for silicon-chip gyroscopes. These findings not only provide revolutionary advancements in gyroscope technologies, by filling the gap in observing and controlling the singularity-enhanced Coriolis effect, but also shed new light on other ultrasensitive sensing applications.</w:t>
      </w:r>
    </w:p>
    <w:p>
      <w:pPr>
        <w:spacing w:before="120" w:after="120"/>
      </w:pPr>
      <w:r>
        <w:rPr>
          <w:sz w:val="18"/>
        </w:rPr>
        <w:t>——————————————————————————————————————————————————————————————————————</w:t>
      </w:r>
    </w:p>
    <w:p>
      <w:pPr>
        <w:spacing w:before="160" w:after="40" w:line="240" w:lineRule="auto"/>
      </w:pPr>
      <w:r>
        <w:rPr>
          <w:b/>
        </w:rPr>
        <w:t xml:space="preserve">[259] </w:t>
      </w:r>
      <w:hyperlink r:id="rId712">
        <w:r>
          <w:rPr>
            <w:color w:val="1155CC"/>
            <w:u w:val="single"/>
          </w:rPr>
          <w:t>准对称双组分蛋白质笼的从头设计</w:t>
        </w:r>
      </w:hyperlink>
    </w:p>
    <w:p>
      <w:pPr>
        <w:spacing w:before="0" w:after="80"/>
      </w:pPr>
      <w:r>
        <w:rPr>
          <w:i/>
          <w:sz w:val="20"/>
        </w:rPr>
        <w:t>EN: De novo design of quasisymmetric two-component protein cages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13">
        <w:r>
          <w:rPr>
            <w:color w:val="1155CC"/>
            <w:u w:val="single"/>
          </w:rPr>
          <w:t>10.1038/s41586-026-10464-0</w:t>
        </w:r>
      </w:hyperlink>
    </w:p>
    <w:p>
      <w:pPr>
        <w:spacing w:before="0" w:after="120"/>
      </w:pPr>
      <w:r>
        <w:rPr>
          <w:b/>
        </w:rPr>
        <w:t xml:space="preserve">Notes: </w:t>
      </w:r>
      <w:r>
        <w:t>abstract_source=nature_html</w:t>
      </w:r>
    </w:p>
    <w:p>
      <w:pPr>
        <w:spacing w:before="0" w:after="80" w:lineRule="auto" w:line="276"/>
      </w:pPr>
      <w:r>
        <w:rPr>
          <w:b/>
        </w:rPr>
        <w:t xml:space="preserve">摘要（ZH）: </w:t>
      </w:r>
      <w:r>
        <w:t>准对称二十面体病毒衣壳通过使用单个亚基在对称非等效位置采用不同构象来镶嵌五边形和六边形，从而实现比严格对称二十面体更大的尺寸1,2。通过计算设计重现这种准对称结构是纳米材料工程中的一个巨大挑战。在此，我们介绍了一种基于几何挫折的计算设计策略，以生成具有可定制特性的双组分准对称蛋白质笼。我们设计了互补的三聚体和二聚体蛋白质组分，它们共同组装成正弯曲的局部六边形结构。六边形晶格无法铺满球形表面；相反，这些组分通过引入诱导曲率的五边形缺陷形成封闭的球形笼状组装体，这已通过电子显微镜证实。通过设计编码不同局部曲率的二聚体，我们编程了直径从40 nm到200 nm以上、分子量从2 MDa到50 MDa以上的笼状结构，与天然病毒衣壳相当。我们进一步用额外的蛋白质结构域对这些大型笼进行功能化，以实现核糖核蛋白货物的装载和细胞摄取。在哺乳动物细胞中表达的荧光标记笼状组装体作为流变探针和货物招募剂，从而能够系统研究尺寸依赖性细胞质扩散和蛋白质定位。因此，长期以来令结构生物学家着迷的准对称性现在可以通过计算方法实现。</w:t>
      </w:r>
    </w:p>
    <w:p>
      <w:pPr>
        <w:spacing w:before="0" w:after="200" w:lineRule="auto" w:line="276"/>
      </w:pPr>
      <w:r>
        <w:rPr>
          <w:b/>
        </w:rPr>
        <w:t xml:space="preserve">Abstract (EN): </w:t>
      </w:r>
      <w:r>
        <w:t>Quasisymmetric icosahedral viral capsids achieve larger sizes than possible with strictly symmetric icosahedra by tessellating pentagons and hexagons using a single subunit that adopts different conformations in symmetrically non-equivalent locations1,2. Recapitulating such quasisymmetric architectures through computational design is a considerable challenge in nanomaterials engineering. Here we introduce a computational design strategy based on geometric frustration to generate two-component, quasisymmetric protein cages with customizable properties. We designed complementary trimeric and dimeric protein components that co-assemble into positively curved local hexagonal assemblies. Hexagonal lattices cannot tile spherical surfaces; instead, the components form closed sphere-like cage assemblies through incorporation of curvature-inducing pentagonal defects, as evidenced by electron microscopy. By designing dimers that encode different local curvatures, we programmed cage dimensions ranging from 40 to over 200 nm in diameter and with molecular weights from 2 MDa to over 50 MDa, comparable with natural virus capsids. We further functionalized these large cages with additional protein domains to enable ribonucleoprotein cargo loading and cellular uptake. Fluorescently labelled cage assemblies expressed in mammalian cells function as rheological probes and cargo recruiters, enabling a systematic study of size-dependent cytoplasmic diffusion and protein localization. Thus, the quasi-symmetry that has long fascinated structural biologists can now be achieved by computational protein design, with immediate applications to biologics delivery and molecular cell biology.</w:t>
      </w:r>
    </w:p>
    <w:p>
      <w:pPr>
        <w:spacing w:before="120" w:after="120"/>
      </w:pPr>
      <w:r>
        <w:rPr>
          <w:sz w:val="18"/>
        </w:rPr>
        <w:t>——————————————————————————————————————————————————————————————————————</w:t>
      </w:r>
    </w:p>
    <w:p>
      <w:pPr>
        <w:spacing w:before="160" w:after="40" w:line="240" w:lineRule="auto"/>
      </w:pPr>
      <w:r>
        <w:rPr>
          <w:b/>
        </w:rPr>
        <w:t xml:space="preserve">[260] </w:t>
      </w:r>
      <w:hyperlink r:id="rId714">
        <w:r>
          <w:rPr>
            <w:color w:val="1155CC"/>
            <w:u w:val="single"/>
          </w:rPr>
          <w:t>可穿戴机器人增强脊髓性肌萎缩症儿童的力量</w:t>
        </w:r>
      </w:hyperlink>
    </w:p>
    <w:p>
      <w:pPr>
        <w:spacing w:before="0" w:after="80"/>
      </w:pPr>
      <w:r>
        <w:rPr>
          <w:i/>
          <w:sz w:val="20"/>
        </w:rPr>
        <w:t>EN: Wearable robot boosts strength of children with spinal muscular atrophy</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15">
        <w:r>
          <w:rPr>
            <w:color w:val="1155CC"/>
            <w:u w:val="single"/>
          </w:rPr>
          <w:t>10.1038/d41586-026-01573-x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[261] </w:t>
      </w:r>
      <w:hyperlink r:id="rId716">
        <w:r>
          <w:rPr>
            <w:color w:val="1155CC"/>
            <w:u w:val="single"/>
          </w:rPr>
          <w:t>明亮压缩真空增强的非线性原子隧穿</w:t>
        </w:r>
      </w:hyperlink>
    </w:p>
    <w:p>
      <w:pPr>
        <w:spacing w:before="0" w:after="80"/>
      </w:pPr>
      <w:r>
        <w:rPr>
          <w:i/>
          <w:sz w:val="20"/>
        </w:rPr>
        <w:t>EN: Nonlinear atomic tunnelling boosted by bright squeezed vacuum</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17">
        <w:r>
          <w:rPr>
            <w:color w:val="1155CC"/>
            <w:u w:val="single"/>
          </w:rPr>
          <w:t>10.1038/s41586-026-10485-9</w:t>
        </w:r>
      </w:hyperlink>
    </w:p>
    <w:p>
      <w:pPr>
        <w:spacing w:before="0" w:after="120"/>
      </w:pPr>
      <w:r>
        <w:rPr>
          <w:b/>
        </w:rPr>
        <w:t xml:space="preserve">Notes: </w:t>
      </w:r>
      <w:r>
        <w:t>abstract_source=nature_html</w:t>
      </w:r>
    </w:p>
    <w:p>
      <w:pPr>
        <w:spacing w:before="0" w:after="80" w:lineRule="auto" w:line="276"/>
      </w:pPr>
      <w:r>
        <w:rPr>
          <w:b/>
        </w:rPr>
        <w:t xml:space="preserve">摘要（ZH）: </w:t>
      </w:r>
      <w:r>
        <w:t>由多光子相互作用而非单光子响应介导的非线性光学过程，被常规利用以在设备和应用中实现一系列基于光的功能。非线性效应通过更高强度的场增强，但这是一种限制性策略，因为存在潜在的辐射损伤。另一种策略依赖于量子光1,2,3,4典型的涨落再分配，但在最基本层面的实验验证一直有限。在此，我们报告了孤立原子的实验性非线性隧穿电离，这是一个驱动高次谐波产生并构成阿秒科学基础的关键非线性过程，由量子光——亮压缩真空 (BSV) 增强。具有300 nJ平均脉冲能量的BSV光实现了相当于7.1 μJ相干光的有效强度，证明了BSV光在非线性效应中超过20倍的量子增强。这种增强通过角条纹测量法，将BSV和相干光产生的光电子动量谱的峰值进行匹配来揭示。此外，我们通过在固定平均脉冲能量下调整相关函数，展示了对BSV有效强度的控制，建立了一种通过量子统计而非经典强度标度来定制非线性过程的稳健方法。这些发现可能促进利用定制量子光源开发量子控制的强场动力学。</w:t>
      </w:r>
    </w:p>
    <w:p>
      <w:pPr>
        <w:spacing w:before="0" w:after="200" w:lineRule="auto" w:line="276"/>
      </w:pPr>
      <w:r>
        <w:rPr>
          <w:b/>
        </w:rPr>
        <w:t xml:space="preserve">Abstract (EN): </w:t>
      </w:r>
      <w:r>
        <w:t>Nonlinear optical processes, mediated by multiphoton interactions rather than single-photon response, are routinely exploited to enable a range of light-based functionalities in devices and applications. Nonlinear effects are enhanced by higher-intensity fields, which is a limiting strategy owing to potential radiation damage. An alternative strategy relies on the fluctuation redistribution typical of quantum light1,2,3,4, but experimental demonstrations at the most fundamental level have been limited. Here we report experimental nonlinear tunnelling ionization of isolated atoms, a pivotal nonlinear process that drives high-harmonic generation and forms the basis of attosecond science, boosted by quantum light—bright squeezed vacuum (BSV). A BSV light with an average pulse energy of 300 nJ achieves an effective intensity equivalent to that of a coherent light with 7.1 μJ, demonstrating a more than 20-fold quantum boost in the nonlinear effect from BSV light. This boost is revealed by matching the peaks of the photoelectron momentum spectra produced by the BSV and coherent light as measured by angular streaking. Furthermore, we demonstrate control of the effective intensity of the BSV by tuning the correlation function at fixed average pulse energy, establishing a robust method to tailor nonlinear processes by quantum statistics rather than classical intensity scaling. These findings may facilitate the development of quantum-controlled strong-field dynamics using tailored quantum light sources.</w:t>
      </w:r>
    </w:p>
    <w:p>
      <w:pPr>
        <w:spacing w:before="120" w:after="120"/>
      </w:pPr>
      <w:r>
        <w:rPr>
          <w:sz w:val="18"/>
        </w:rPr>
        <w:t>——————————————————————————————————————————————————————————————————————</w:t>
      </w:r>
    </w:p>
    <w:p>
      <w:pPr>
        <w:spacing w:before="160" w:after="40" w:line="240" w:lineRule="auto"/>
      </w:pPr>
      <w:r>
        <w:rPr>
          <w:b/>
        </w:rPr>
        <w:t xml:space="preserve">[262] </w:t>
      </w:r>
      <w:hyperlink r:id="rId718">
        <w:r>
          <w:rPr>
            <w:color w:val="1155CC"/>
            <w:u w:val="single"/>
          </w:rPr>
          <w:t>岛屿国家的弹性电力基础设施和能源转型</w:t>
        </w:r>
      </w:hyperlink>
    </w:p>
    <w:p>
      <w:pPr>
        <w:spacing w:before="0" w:after="80"/>
      </w:pPr>
      <w:r>
        <w:rPr>
          <w:i/>
          <w:sz w:val="20"/>
        </w:rPr>
        <w:t>EN: Resilient electricity infrastructure and energy transitions in island states</w:t>
      </w:r>
    </w:p>
    <w:p>
      <w:pPr>
        <w:spacing w:before="0" w:after="120"/>
      </w:pPr>
      <w:r>
        <w:rPr>
          <w:b/>
        </w:rPr>
        <w:t xml:space="preserve">Source: </w:t>
      </w:r>
      <w:r>
        <w:t>Nature Energy</w:t>
      </w:r>
      <w:r>
        <w:t xml:space="preserve">    </w:t>
      </w:r>
      <w:r>
        <w:rPr>
          <w:b/>
        </w:rPr>
        <w:t xml:space="preserve">Pub date: </w:t>
      </w:r>
      <w:r>
        <w:t>2026-05-20 00:00:00+00:00</w:t>
      </w:r>
      <w:r>
        <w:t xml:space="preserve">    </w:t>
      </w:r>
      <w:r>
        <w:rPr>
          <w:b/>
        </w:rPr>
        <w:t xml:space="preserve">DOI: </w:t>
      </w:r>
      <w:hyperlink r:id="rId719">
        <w:r>
          <w:rPr>
            <w:color w:val="1155CC"/>
            <w:u w:val="single"/>
          </w:rPr>
          <w:t>10.1038/s41560-026-02065-y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[263] </w:t>
      </w:r>
      <w:hyperlink r:id="rId720">
        <w:r>
          <w:rPr>
            <w:color w:val="1155CC"/>
            <w:u w:val="single"/>
          </w:rPr>
          <w:t>多巴胺驱动母体大脑的持续重塑</w:t>
        </w:r>
      </w:hyperlink>
    </w:p>
    <w:p>
      <w:pPr>
        <w:spacing w:before="0" w:after="80"/>
      </w:pPr>
      <w:r>
        <w:rPr>
          <w:i/>
          <w:sz w:val="20"/>
        </w:rPr>
        <w:t>EN: Dopamine drives persistent remodelling of the maternal brain</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21">
        <w:r>
          <w:rPr>
            <w:color w:val="1155CC"/>
            <w:u w:val="single"/>
          </w:rPr>
          <w:t>10.1038/s41586-026-10509-4</w:t>
        </w:r>
      </w:hyperlink>
    </w:p>
    <w:p>
      <w:pPr>
        <w:spacing w:before="0" w:after="120"/>
      </w:pPr>
      <w:r>
        <w:rPr>
          <w:b/>
        </w:rPr>
        <w:t xml:space="preserve">Notes: </w:t>
      </w:r>
      <w:r>
        <w:t>abstract_source=nature_html</w:t>
      </w:r>
    </w:p>
    <w:p>
      <w:pPr>
        <w:spacing w:before="0" w:after="80" w:lineRule="auto" w:line="276"/>
      </w:pPr>
      <w:r>
        <w:rPr>
          <w:b/>
        </w:rPr>
        <w:t xml:space="preserve">摘要（ZH）: </w:t>
      </w:r>
      <w:r>
        <w:t>怀孕和产后经历代表着变革性的生理状态，对母体身体和大脑施加持久的需求，导致终生神经适应1,2,3,4,5,6。然而，驱动这些持久性改变的精确分子机制仍知之甚少。在此，我们利用全脑转录组分析来定义生殖经历诱导的神经可塑性的分子图景，确定背侧海马结构 (dHF) 为转录重塑的关键位点。将单细胞RNA测序与母婴分离范式相结合，我们还发现慢性产后应激通过改变多巴胺动力学显著扰乱dHF适应，导致多巴胺依赖性组蛋白翻译后修饰H3多巴胺化发生变化，这因果性地介导了下游基因表达和行为的改变。在人背侧下托（dHF内的一个脑结构）中，我们发现了H3多巴胺化和转录中与产次相关的保守改变模式。我们进一步证实了多巴胺调节在调控这些适应中的充分性，通过化学遗传学抑制多巴胺释放到dHF中，这再现了未产雌性小鼠生殖经历的关键表观基因组和行为特征。总之，我们的发现确立了多巴胺作为人类和小鼠产次诱导神经适应的中心调节因子，揭示了雌性生殖经历重塑大脑以维持长期适应的基本转录机制。</w:t>
      </w:r>
    </w:p>
    <w:p>
      <w:pPr>
        <w:spacing w:before="0" w:after="200" w:lineRule="auto" w:line="276"/>
      </w:pPr>
      <w:r>
        <w:rPr>
          <w:b/>
        </w:rPr>
        <w:t xml:space="preserve">Abstract (EN): </w:t>
      </w:r>
      <w:r>
        <w:t>Pregnancy and postpartum experiences represent transformative physiological states that impose lasting demands on the maternal body and brain, resulting in lifelong neural adaptations1,2,3,4,5,6. However, the precise molecular mechanisms that drive these persistent alterations remain poorly understood. Here we used brain-wide transcriptomic profiling to define the molecular landscape of neuroplasticity induced by reproductive experience, identifying the dorsal hippocampal formation (dHF) as a key site of transcriptional remodelling. Combining single-cell RNA sequencing with a maternal–pup separation paradigm, we additionally found that chronic postpartum stress significantly disrupts dHF adaptations by altering dopamine dynamics, leading to changes in the dopamine-dependent histone post-translational modification, H3 dopaminylation, which causally mediates downstream alterations in gene expression and behaviour. In human dorsal subiculum, a brain structure within the dHF, we uncovered conserved patterns of parity-dependent alterations in H3 dopaminylation and transcription. We further established the sufficiency of dopamine modulation in regulating these adaptations via chemogenetic suppression of dopamine release into the dHF, which recapitulated key epigenomic and behavioural features of reproductive experience in virgin female mice. In sum, our findings establish dopamine as a central regulator of parity-induced neuroadaptations in humans and mice, revealing a fundamental transcriptional mechanism by which female reproductive experience remodels the brain to sustain long-term behavioural adaptations.</w:t>
      </w:r>
    </w:p>
    <w:p>
      <w:pPr>
        <w:spacing w:before="120" w:after="120"/>
      </w:pPr>
      <w:r>
        <w:rPr>
          <w:sz w:val="18"/>
        </w:rPr>
        <w:t>——————————————————————————————————————————————————————————————————————</w:t>
      </w:r>
    </w:p>
    <w:p>
      <w:pPr>
        <w:spacing w:before="160" w:after="40" w:line="240" w:lineRule="auto"/>
      </w:pPr>
      <w:r>
        <w:rPr>
          <w:b/>
        </w:rPr>
        <w:t xml:space="preserve">[264] </w:t>
      </w:r>
      <w:hyperlink r:id="rId722">
        <w:r>
          <w:rPr>
            <w:color w:val="1155CC"/>
            <w:u w:val="single"/>
          </w:rPr>
          <w:t>外侧隔核中特征特异性威胁编码指导防御行为</w:t>
        </w:r>
      </w:hyperlink>
    </w:p>
    <w:p>
      <w:pPr>
        <w:spacing w:before="0" w:after="80"/>
      </w:pPr>
      <w:r>
        <w:rPr>
          <w:i/>
          <w:sz w:val="20"/>
        </w:rPr>
        <w:t>EN: Feature-specific threat coding in lateral septum guides defensive action</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23">
        <w:r>
          <w:rPr>
            <w:color w:val="1155CC"/>
            <w:u w:val="single"/>
          </w:rPr>
          <w:t>10.1038/s41586-026-10520-9</w:t>
        </w:r>
      </w:hyperlink>
    </w:p>
    <w:p>
      <w:pPr>
        <w:spacing w:before="0" w:after="120"/>
      </w:pPr>
      <w:r>
        <w:rPr>
          <w:b/>
        </w:rPr>
        <w:t xml:space="preserve">Notes: </w:t>
      </w:r>
      <w:r>
        <w:t>abstract_source=nature_html</w:t>
      </w:r>
    </w:p>
    <w:p>
      <w:pPr>
        <w:spacing w:before="0" w:after="80" w:lineRule="auto" w:line="276"/>
      </w:pPr>
      <w:r>
        <w:rPr>
          <w:b/>
        </w:rPr>
        <w:t xml:space="preserve">摘要（ZH）: </w:t>
      </w:r>
      <w:r>
        <w:t>快速检测和评估潜在威胁的能力对于生存至关重要，这需要将感觉信息与内部状态和过往经验相结合。外侧隔核 (LS)——边缘前脑中的一个抑制性结构——被认为整合这些高阶认知信号以调节防御反应1,2。然而，该过程的细胞、回路和计算机制仍不清楚。在此，我们关注表达2型CRH受体 (LSCrhr2) 的LS神经元群，该神经元亚群在小鼠中被证明对状态依赖性行为改变和威胁反应性3,4,5,6,7至关重要。我们结合使用单细胞钙成像、分子测序和回路解剖，以揭示所涉及细胞类型的空间和功能组织、它们执行的计算以及其上游激活器传递的信息。我们确定LSCrhr2群体活动通过快速动态编码预测行为结果的威胁表征，从而对线索驱动的防御行为至关重要。我们发现这些威胁表征是通过不同LSCrhr2亚类差异性表示的各种信号的汇聚而形成的，这些亚类由其分子特征、空间位置和输入结构定义。值得注意的是，这些反应分别反映了来自海马体和下丘脑的特定传入，它们优先传递线索相关和行动相关的信号。这些发现建立了一个多特征的组织原则，该原则</w:t>
      </w:r>
    </w:p>
    <w:p>
      <w:pPr>
        <w:spacing w:before="0" w:after="200" w:lineRule="auto" w:line="276"/>
      </w:pPr>
      <w:r>
        <w:rPr>
          <w:b/>
        </w:rPr>
        <w:t xml:space="preserve">Abstract (EN): </w:t>
      </w:r>
      <w:r>
        <w:t>The ability to rapidly detect and evaluate potential threats is essential for survival and requires the integration of sensory information with internal state and previous experience. The lateral septum (LS)—an inhibitory structure in the limbic forebrain—is thought to integrate these higher-order cognitive signals to regulate defensive responses1,2. However, the cellular, circuit and computational mechanisms fundamental to this process remain unknown. Here we focus on the population of LS neurons that express the type 2 CRH receptor (LSCrhr2), a neuronal subset shown to be critical for state-dependent behavioural changes and threat responsivity3,4,5,6,7 in mice. We use a combination of single-cell calcium imaging, molecular sequencing and circuit dissection to reveal the spatial and functional organization of the cell types involved, the computations they perform and the information relayed by their upstream activators. We determine that LSCrhr2 population activity is required for cue-driven defensive actions by rapidly and dynamically encoding threat representations that predict behavioural outcomes. We find that these threat representations are formed through the convergence of various signals differentially represented by distinct LSCrhr2 subclasses, which are defined by their molecular features, spatial locations and input architectures. Notably, these responses reflect specific afferents from the hippocampus and hypothalamus that preferentially impart cue- and action-related signals, respectively. These findings establish a multifeatured organizational principle that underlies how the LS mediates motivated behaviours in response to environmental challenges.</w:t>
      </w:r>
    </w:p>
    <w:p>
      <w:pPr>
        <w:spacing w:before="120" w:after="120"/>
      </w:pPr>
      <w:r>
        <w:rPr>
          <w:sz w:val="18"/>
        </w:rPr>
        <w:t>——————————————————————————————————————————————————————————————————————</w:t>
      </w:r>
    </w:p>
    <w:p>
      <w:pPr>
        <w:spacing w:before="160" w:after="40" w:line="240" w:lineRule="auto"/>
      </w:pPr>
      <w:r>
        <w:rPr>
          <w:b/>
        </w:rPr>
        <w:t xml:space="preserve">[265] </w:t>
      </w:r>
      <w:hyperlink r:id="rId724">
        <w:r>
          <w:rPr>
            <w:color w:val="1155CC"/>
            <w:u w:val="single"/>
          </w:rPr>
          <w:t>生物神经网络的关键初始化</w:t>
        </w:r>
      </w:hyperlink>
    </w:p>
    <w:p>
      <w:pPr>
        <w:spacing w:before="0" w:after="80"/>
      </w:pPr>
      <w:r>
        <w:rPr>
          <w:i/>
          <w:sz w:val="20"/>
        </w:rPr>
        <w:t>EN: A critical initialization for biological neural networks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25">
        <w:r>
          <w:rPr>
            <w:color w:val="1155CC"/>
            <w:u w:val="single"/>
          </w:rPr>
          <w:t>10.1038/s41586-026-10528-1</w:t>
        </w:r>
      </w:hyperlink>
    </w:p>
    <w:p>
      <w:pPr>
        <w:spacing w:before="0" w:after="120"/>
      </w:pPr>
      <w:r>
        <w:rPr>
          <w:b/>
        </w:rPr>
        <w:t xml:space="preserve">Notes: </w:t>
      </w:r>
      <w:r>
        <w:t>abstract_source=nature_html</w:t>
      </w:r>
    </w:p>
    <w:p>
      <w:pPr>
        <w:spacing w:before="0" w:after="80" w:lineRule="auto" w:line="276"/>
      </w:pPr>
      <w:r>
        <w:rPr>
          <w:b/>
        </w:rPr>
        <w:t xml:space="preserve">摘要（ZH）: </w:t>
      </w:r>
      <w:r>
        <w:t>内源性产生的全脑神经活动在大量神经元群体中表现出宏观协调，这种协调持续时间超出了单个神经元的生物物理时间尺度1,2,3。目前尚不清楚这些宏观行为是如何从神经元对之间微观、短暂的相互作用中产生的。在此，我们展示了小鼠大规模神经记录的特征值谱和动力学特性与由临界归一化的随机对称矩阵控制的线性动力学所产生的特性相似。海马CA1区域的群体活动是一个例外，它类似于一种高效、不相关的神经编码，可能针对信息存储容量进行了优化。高维、全局活动模式出现在临界归一化的人工网络中，并在稀疏、聚类或空间连接下持续存在。这些动力学对于解决时间依赖性任务（例如零样本工作记忆任务）非常有用。</w:t>
      </w:r>
    </w:p>
    <w:p>
      <w:pPr>
        <w:spacing w:before="0" w:after="200" w:lineRule="auto" w:line="276"/>
      </w:pPr>
      <w:r>
        <w:rPr>
          <w:b/>
        </w:rPr>
        <w:t xml:space="preserve">Abstract (EN): </w:t>
      </w:r>
      <w:r>
        <w:t>Intrinsically generated, brainwide neural activity displays macroscopic coordination among large populations of neurons that persists beyond the biophysical timescales of individual neurons1,2,3. It is not well understood how these macroscopic behaviours arise from microscopic, short-lived interactions between pairs of neurons. Here we show that the eigenvalue spectrum and dynamical properties of large-scale neural recordings in mice are similar to those produced by linear dynamics governed by a random symmetric matrix that is critically normalized. An exception was population activity in hippocampal area CA1, which resembled an efficient, uncorrelated neural code that may be optimized for information storage capacity. High-dimensional, global activity modes emerged in critically normalized artificial networks and persisted under sparse, clustered or spatial connectivity. These dynamics were useful for solving time-dependent tasks such as a zero-shot working memory task.</w:t>
      </w:r>
    </w:p>
    <w:p>
      <w:pPr>
        <w:spacing w:before="120" w:after="120"/>
      </w:pPr>
      <w:r>
        <w:rPr>
          <w:sz w:val="18"/>
        </w:rPr>
        <w:t>——————————————————————————————————————————————————————————————————————</w:t>
      </w:r>
    </w:p>
    <w:p>
      <w:pPr>
        <w:spacing w:before="160" w:after="40" w:line="240" w:lineRule="auto"/>
      </w:pPr>
      <w:r>
        <w:rPr>
          <w:b/>
        </w:rPr>
        <w:t xml:space="preserve">[266] </w:t>
      </w:r>
      <w:hyperlink r:id="rId726">
        <w:r>
          <w:rPr>
            <w:color w:val="1155CC"/>
            <w:u w:val="single"/>
          </w:rPr>
          <w:t>灵长类动物额叶皮层中动作符号的神经表征</w:t>
        </w:r>
      </w:hyperlink>
    </w:p>
    <w:p>
      <w:pPr>
        <w:spacing w:before="0" w:after="80"/>
      </w:pPr>
      <w:r>
        <w:rPr>
          <w:i/>
          <w:sz w:val="20"/>
        </w:rPr>
        <w:t>EN: Neural representation of action symbols in primate frontal cortex</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27">
        <w:r>
          <w:rPr>
            <w:color w:val="1155CC"/>
            <w:u w:val="single"/>
          </w:rPr>
          <w:t>10.1038/s41586-026-10297-x</w:t>
        </w:r>
      </w:hyperlink>
    </w:p>
    <w:p>
      <w:pPr>
        <w:spacing w:before="0" w:after="120"/>
      </w:pPr>
      <w:r>
        <w:rPr>
          <w:b/>
        </w:rPr>
        <w:t xml:space="preserve">Notes: </w:t>
      </w:r>
      <w:r>
        <w:t>abstract_source=nature_html</w:t>
      </w:r>
    </w:p>
    <w:p>
      <w:pPr>
        <w:spacing w:before="0" w:after="80" w:lineRule="auto" w:line="276"/>
      </w:pPr>
      <w:r>
        <w:rPr>
          <w:b/>
        </w:rPr>
        <w:t xml:space="preserve">摘要（ZH）: </w:t>
      </w:r>
      <w:r>
        <w:t>智力的一个标志是熟练解决新问题，包括那些与以往问题显著不同的问题。问题解决反过来依赖于目标导向地产生新颖的想法和行为1，这被认为涉及离散单元（或符号）的内部表征，这些单元可以重组为无数可能的复合表征1,2,3,4,5,6,7。尽管这种观点在行为的认知层面解释中具有影响力，但符号神经底物的确凿证据仍然难以捉摸。在此，我们识别出额叶皮层特定区域中编码动作符号——可重组的离散运动行为单元表征——的神经元群体。在执行类似绘画任务的猕猴中，我们发现了行为证据表明动作元素（笔画）表现出三个关键特征，这些特征表明存在潜在的符号表征：(1) 对低级运动参数的不变性；(2) 反映离散动作类型的分类结构；以及 (3) 重组为新颖序列。基于对运动皮层、前运动皮层和前额叶皮层八个区域的同步神经记录，我们特别在前运动皮层腹侧区域识别出群体活动，该活动以同样反映不变性、分类结构和重组的方式编码计划的动作。这些发现揭示了定位于前运动皮层腹侧的动作符号神经表征，以及符号操作的推定神经底物。</w:t>
      </w:r>
    </w:p>
    <w:p>
      <w:pPr>
        <w:spacing w:before="0" w:after="200" w:lineRule="auto" w:line="276"/>
      </w:pPr>
      <w:r>
        <w:rPr>
          <w:b/>
        </w:rPr>
        <w:t xml:space="preserve">Abstract (EN): </w:t>
      </w:r>
      <w:r>
        <w:t>A hallmark of intelligence is proficiency in solving new problems, including those that substantially differ from previously seen problems. Problem solving in turn depends on the goal-directed generation of novel ideas and behaviours1, which has been proposed to involve internal representations of discrete units (or symbols) that can be recombined into numerous possible composite representations1,2,3,4,5,6,7. Although this view has been influential in cognitive-level explanations of behaviour, definitive evidence for a neuronal substrate of symbols has remained elusive. Here we identify a neural population that encodes action symbols—recombinable representations of discrete units of motor behaviour—in a specific area of the frontal cortex. In macaque monkeys performing a drawing-like task, we found behavioural evidence that action elements (strokes) exhibit three crucial features that indicate an underlying symbolic representation: (1) invariance over low-level motor parameters; (2) categorical structure, which reflects discrete action types; and (3) recombination into novel sequences. Based on simultaneous neural recordings across eight regions of the motor, premotor and prefrontal cortex, we identified population activity specifically in the ventral premotor cortex that encodes planned actions in a manner that also reflects invariance, categorical structure and recombination. These findings reveal a neural representation of action symbols localized to the ventral premotor cortex and a putative neural substrate for symbolic operations.</w:t>
      </w:r>
    </w:p>
    <w:p>
      <w:pPr>
        <w:spacing w:before="120" w:after="120"/>
      </w:pPr>
      <w:r>
        <w:rPr>
          <w:sz w:val="18"/>
        </w:rPr>
        <w:t>——————————————————————————————————————————————————————————————————————</w:t>
      </w:r>
    </w:p>
    <w:p>
      <w:pPr>
        <w:spacing w:before="160" w:after="40" w:line="240" w:lineRule="auto"/>
      </w:pPr>
      <w:r>
        <w:rPr>
          <w:b/>
        </w:rPr>
        <w:t xml:space="preserve">[267] </w:t>
      </w:r>
      <w:hyperlink r:id="rId728">
        <w:r>
          <w:rPr>
            <w:color w:val="1155CC"/>
            <w:u w:val="single"/>
          </w:rPr>
          <w:t>深度学习框架揭示细胞水平上的全身扰动</w:t>
        </w:r>
      </w:hyperlink>
    </w:p>
    <w:p>
      <w:pPr>
        <w:spacing w:before="0" w:after="80"/>
      </w:pPr>
      <w:r>
        <w:rPr>
          <w:i/>
          <w:sz w:val="20"/>
        </w:rPr>
        <w:t>EN: A deep-learning framework reveals whole-body perturbations at cell level</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29">
        <w:r>
          <w:rPr>
            <w:color w:val="1155CC"/>
            <w:u w:val="single"/>
          </w:rPr>
          <w:t>10.1038/s41586-026-10535-2</w:t>
        </w:r>
      </w:hyperlink>
    </w:p>
    <w:p>
      <w:pPr>
        <w:spacing w:before="0" w:after="120"/>
      </w:pPr>
      <w:r>
        <w:rPr>
          <w:b/>
        </w:rPr>
        <w:t xml:space="preserve">Notes: </w:t>
      </w:r>
      <w:r>
        <w:t>abstract_source=nature_html</w:t>
      </w:r>
    </w:p>
    <w:p>
      <w:pPr>
        <w:spacing w:before="0" w:after="80" w:lineRule="auto" w:line="276"/>
      </w:pPr>
      <w:r>
        <w:rPr>
          <w:b/>
        </w:rPr>
        <w:t xml:space="preserve">摘要（ZH）: </w:t>
      </w:r>
      <w:r>
        <w:t>许多疾病，包括肥胖症，都具有全身性效应，会扰乱全身多个器官系统1,2。然而，一直缺乏用于对全身范围内的疾病相关变化进行全面、高分辨率分析的工具。在此，我们开发了 MouseMapper，这是一套基于基础模型的深度学习算法，能够对整个小鼠身体的疾病进行多系统分析。MouseMapper 能够对神经和免疫细胞进行全身定量分析，解析精细的轴突分支和免疫细胞簇，同时自动分割 31 个器官和组织。我们使用 MouseMapper 研究了饮食诱导的肥胖症，并发现了三叉神经节眶下支的结构改变。眶下神经的这种结构损伤与胡须感应的功能性感觉缺陷相关。此外，我们还发现小鼠和人类三叉神经节中影响轴突重塑和补体通路的蛋白质组学变化。MouseMapper 还通过表征跨组织的免疫细胞簇组成，生成了详细的三维炎症图。MouseMapper 框架在不同的成像分辨率和数据集之间表现出强大的泛化能力。我们的研究提供了一种强大、可扩展的方法，用于识别和量化全身性病理，将动物模型的分子见解与人类疾病联系起来。</w:t>
      </w:r>
    </w:p>
    <w:p>
      <w:pPr>
        <w:spacing w:before="0" w:after="200" w:lineRule="auto" w:line="276"/>
      </w:pPr>
      <w:r>
        <w:rPr>
          <w:b/>
        </w:rPr>
        <w:t xml:space="preserve">Abstract (EN): </w:t>
      </w:r>
      <w:r>
        <w:t>Many diseases, including obesity, have systemic effects that perturb multiple organ systems throughout the body1,2. However, tools for comprehensive, high-resolution analysis of disease-associated changes at the whole-body scale have been lacking. Here we developed MouseMapper, a suite of foundation-model-based deep-learning algorithms enabling multi-system analysis of disease across the entire mouse body. MouseMapper enables whole-body quantitative analysis of nerves and immune cells, resolving fine axonal branches and immune-cell clusters while automatically segmenting 31 organs and tissues. We used MouseMapper to study diet-induced obesity, and identified structural alterations of the infraorbital branch of the trigeminal ganglia. This structural impairment in infraorbital nerves was associated with functional sensory deficits in whisker sensing. Furthermore, we identified proteomic changes in the trigeminal ganglion affecting axon remodelling and complement pathways both in mice and humans. MouseMapper also generated detailed three-dimensional inflammation maps by characterizing immune cell cluster compositions across tissues. The MouseMapper framework demonstrates robust generalizability across different imaging resolutions and datasets. Our study provides a powerful, scalable approach for identifying and quantifying systemic pathologies, bridging molecular insights from animal models to human conditions.</w:t>
      </w:r>
    </w:p>
    <w:p>
      <w:pPr>
        <w:spacing w:before="120" w:after="120"/>
      </w:pPr>
      <w:r>
        <w:rPr>
          <w:sz w:val="18"/>
        </w:rPr>
        <w:t>——————————————————————————————————————————————————————————————————————</w:t>
      </w:r>
    </w:p>
    <w:p>
      <w:pPr>
        <w:spacing w:before="160" w:after="40" w:line="240" w:lineRule="auto"/>
      </w:pPr>
      <w:r>
        <w:rPr>
          <w:b/>
        </w:rPr>
        <w:t xml:space="preserve">[268] </w:t>
      </w:r>
      <w:hyperlink r:id="rId730">
        <w:r>
          <w:rPr>
            <w:color w:val="1155CC"/>
            <w:u w:val="single"/>
          </w:rPr>
          <w:t>通过能源互补性推进中国太阳能和风能渗透</w:t>
        </w:r>
      </w:hyperlink>
    </w:p>
    <w:p>
      <w:pPr>
        <w:spacing w:before="0" w:after="80"/>
      </w:pPr>
      <w:r>
        <w:rPr>
          <w:i/>
          <w:sz w:val="20"/>
        </w:rPr>
        <w:t>EN: Advancing solar and wind penetration in China through energy complementarity</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31">
        <w:r>
          <w:rPr>
            <w:color w:val="1155CC"/>
            <w:u w:val="single"/>
          </w:rPr>
          <w:t>10.1038/s41586-026-10570-z</w:t>
        </w:r>
      </w:hyperlink>
    </w:p>
    <w:p>
      <w:pPr>
        <w:spacing w:before="0" w:after="120"/>
      </w:pPr>
      <w:r>
        <w:rPr>
          <w:b/>
        </w:rPr>
        <w:t xml:space="preserve">Notes: </w:t>
      </w:r>
      <w:r>
        <w:t>abstract_source=nature_html</w:t>
      </w:r>
    </w:p>
    <w:p>
      <w:pPr>
        <w:spacing w:before="0" w:after="80" w:lineRule="auto" w:line="276"/>
      </w:pPr>
      <w:r>
        <w:rPr>
          <w:b/>
        </w:rPr>
        <w:t xml:space="preserve">摘要（ZH）: </w:t>
      </w:r>
      <w:r>
        <w:t>太阳能和风能固有的波动性，加上其快速扩张，加剧了电力弃用挑战1,2。尽管这些资源之间的时空互补性被广泛认为是增强可再生能源整合和减少平衡需求的一条途径3,4,5,6,7,8,9,10,11,12,13,14,15,16，但现有评估主要基于假设部署17,18,19,20,21,22,23,24。因此，太阳能-风能互补性在现实世界基础设施下如何体现并影响系统级整合结果仍不清楚。在此，我们开发了一个统一的国家清单，以实现对太阳能-风能互补性的数据驱动评估。该清单涵盖了 2022 年的 319,972 个太阳能光伏设施和 91,609 台风力涡轮机，这些设施和涡轮机是使用基于深度学习的框架从亚米级卫星图像中识别出来的。利用该数据集，我们表明太阳能-风能互补性显著降低了发电波动性，并且随着配对地理范围的扩大，其有效性也随之提高。在系统层面，全国范围内的省际协调使 80% 可调度灵活性系统中的有效可再生能源渗透率提高了 99.88 TWh，相当于太阳能和风能总发电量的 9.1%，或全国平均负荷的约 120 小时。这些发现表明，能源互补性是一种可扩展的、系统范围的机制，可促进太阳能和风能的渗透，为区域间协调在大型电力系统中增强可再生能源整合的作用提供了广泛适用的见解。</w:t>
      </w:r>
    </w:p>
    <w:p>
      <w:pPr>
        <w:spacing w:before="0" w:after="200" w:lineRule="auto" w:line="276"/>
      </w:pPr>
      <w:r>
        <w:rPr>
          <w:b/>
        </w:rPr>
        <w:t xml:space="preserve">Abstract (EN): </w:t>
      </w:r>
      <w:r>
        <w:t>The intrinsic variability of solar and wind energy, compounded by their rapid expansion, has intensified power curtailment challenges1,2. Although spatiotemporal complementarity between these resources is widely recognized as a pathway to enhance renewable integration and reduce balancing requirements3,4,5,6,7,8,9,10,11,12,13,14,15,16, existing assessments are largely based on hypothetical deployments17,18,19,20,21,22,23,24. Consequently, how solar–wind complementarity manifests under real-world infrastructure and shapes system-level integration outcomes remains unclear. Here we develop a unified national inventory to enable a data-driven assessment of solar–wind complementarity. The inventory covers 319,972 solar photovoltaic facilities and 91,609 wind turbines in 2022, identified from sub-metre satellite imagery using a deep-learning-based framework. Using this dataset, we show that solar–wind complementarity substantially reduces generation variability, with effectiveness increasing as the geographic scope of pairing expands. At the system level, nationwide inter-provincial coordination raises effective renewable penetration by 99.88 TWh in an 80% dispatchable-flexibility system, corresponding to 9.1% of total solar and wind generation, or approximately 120 h of national average load. These findings demonstrate that energy complementarity is a scalable, system-wide mechanism for advancing solar and wind penetration, offering broadly applicable insights into the role of inter-regional coordination in enhancing renewable integration in large power systems.</w:t>
      </w:r>
    </w:p>
    <w:p>
      <w:pPr>
        <w:spacing w:before="120" w:after="120"/>
      </w:pPr>
      <w:r>
        <w:rPr>
          <w:sz w:val="18"/>
        </w:rPr>
        <w:t>——————————————————————————————————————————————————————————————————————</w:t>
      </w:r>
    </w:p>
    <w:p>
      <w:pPr>
        <w:spacing w:before="160" w:after="40" w:line="240" w:lineRule="auto"/>
      </w:pPr>
      <w:r>
        <w:rPr>
          <w:b/>
        </w:rPr>
        <w:t xml:space="preserve">[269] </w:t>
      </w:r>
      <w:hyperlink r:id="rId732">
        <w:r>
          <w:rPr>
            <w:color w:val="1155CC"/>
            <w:u w:val="single"/>
          </w:rPr>
          <w:t>通过运动诱导采样使用消费级LiDAR对隐藏物体进行成像</w:t>
        </w:r>
      </w:hyperlink>
    </w:p>
    <w:p>
      <w:pPr>
        <w:spacing w:before="0" w:after="80"/>
      </w:pPr>
      <w:r>
        <w:rPr>
          <w:i/>
          <w:sz w:val="20"/>
        </w:rPr>
        <w:t>EN: Imaging hidden objects with consumer LiDAR via motion-induced sampling</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33">
        <w:r>
          <w:rPr>
            <w:color w:val="1155CC"/>
            <w:u w:val="single"/>
          </w:rPr>
          <w:t>10.1038/s41586-026-10502-x</w:t>
        </w:r>
      </w:hyperlink>
    </w:p>
    <w:p>
      <w:pPr>
        <w:spacing w:before="0" w:after="120"/>
      </w:pPr>
      <w:r>
        <w:rPr>
          <w:b/>
        </w:rPr>
        <w:t xml:space="preserve">Notes: </w:t>
      </w:r>
      <w:r>
        <w:t>abstract_source=nature_html</w:t>
      </w:r>
    </w:p>
    <w:p>
      <w:pPr>
        <w:spacing w:before="0" w:after="80" w:lineRule="auto" w:line="276"/>
      </w:pPr>
      <w:r>
        <w:rPr>
          <w:b/>
        </w:rPr>
        <w:t xml:space="preserve">摘要（ZH）: </w:t>
      </w:r>
      <w:r>
        <w:t>光探测与测距 (LiDAR) 正越来越多地应用于手持、可穿戴和机器人等消费成像领域1,2,3,4。这些传感器以皮秒级分辨率测量光的飞行时间，这使得它们能够对视场之外的隐藏物体进行成像。尽管此类非视距 (NLOS) 成像能力已在研究级 LiDAR 设备上得到展示，但由于激光功率低、空间分辨率低以及物体和相机运动导致的信号质量差，在消费设备上实现这些功能仍然具有挑战性。在此，我们提出了一种多帧融合策略来克服这些挑战，并在消费级 LiDAR 上展示了 NLOS 成像。我们引入了运动诱导孔径采样模型，以在单一测量模型下统一物体形状、物体运动和相机运动的影响。利用该模型，我们在智能手机级 LiDAR 上展示了几种 NLOS 功能：(1) 三维重建；(2) 单目标和多目标跟踪；以及 (3) 使用隐藏物体进行相机定位。此前，NLOS 成像能力仅限于笨重且昂贵的研究级硬件，需要大量的设置和校准。我们的结果代表了向即插即用 NLOS 成像的转变，任何人都可以使用现成的硬件（低于 US$100）对隐藏物体进行成像，无需额外设置。我们相信，这些功能的普及将推动 NLOS 成像的消费应用。</w:t>
      </w:r>
    </w:p>
    <w:p>
      <w:pPr>
        <w:spacing w:before="0" w:after="200" w:lineRule="auto" w:line="276"/>
      </w:pPr>
      <w:r>
        <w:rPr>
          <w:b/>
        </w:rPr>
        <w:t xml:space="preserve">Abstract (EN): </w:t>
      </w:r>
      <w:r>
        <w:t>Light-detection and ranging (LiDAR) is being increasingly deployed for consumer imaging across handheld, wearable and robotic applications1,2,3,4. These sensors measure the time-of-flight of light at picosecond resolution, which could enable them to image objects hidden from their field of view. Although such non-line-of-sight (NLOS) imaging capabilities have been shown on research-grade LiDAR devices, they remain challenging to achieve on consumer devices due to poor signal quality resulting from low laser power, low spatial resolution, and object and camera motion. Here we propose a multi-frame fusion strategy to overcome these challenges and demonstrate NLOS imaging on consumer LiDAR. We introduce the motion-induced aperture sampling model to unify the effects of object shape, object motion and camera motion under a single measurement model. Using this model, we demonstrate several NLOS capabilities on a smartphone-grade LiDAR: (1) three-dimensional reconstruction; (2) single- and multi-object tracking; and (3) camera localization using hidden objects. Previously, NLOS imaging capabilities were restricted to bulky and expensive research-grade hardware that requires extensive set-up and calibration. Our results represent a shift towards plug-and-play NLOS imaging, where anyone can image hidden objects with off-the-shelf hardware (for less than US$100) and no additional set-up. We believe democratization of such capabilities will advance consumer applications of NLOS imaging.</w:t>
      </w:r>
    </w:p>
    <w:p>
      <w:pPr>
        <w:spacing w:before="120" w:after="120"/>
      </w:pPr>
      <w:r>
        <w:rPr>
          <w:sz w:val="18"/>
        </w:rPr>
        <w:t>——————————————————————————————————————————————————————————————————————</w:t>
      </w:r>
    </w:p>
    <w:p>
      <w:pPr>
        <w:spacing w:before="160" w:after="40" w:line="240" w:lineRule="auto"/>
      </w:pPr>
      <w:r>
        <w:rPr>
          <w:b/>
        </w:rPr>
        <w:t xml:space="preserve">[270] </w:t>
      </w:r>
      <w:hyperlink r:id="rId734">
        <w:r>
          <w:rPr>
            <w:color w:val="1155CC"/>
            <w:u w:val="single"/>
          </w:rPr>
          <w:t>分泌到水稻中的病原体lncRNA隔离宿主miRNA以增强毒力</w:t>
        </w:r>
      </w:hyperlink>
    </w:p>
    <w:p>
      <w:pPr>
        <w:spacing w:before="0" w:after="80"/>
      </w:pPr>
      <w:r>
        <w:rPr>
          <w:i/>
          <w:sz w:val="20"/>
        </w:rPr>
        <w:t>EN: A pathogen lncRNA secreted into rice sequesters a host miRNA for virulence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35">
        <w:r>
          <w:rPr>
            <w:color w:val="1155CC"/>
            <w:u w:val="single"/>
          </w:rPr>
          <w:t>10.1038/s41586-026-10572-x</w:t>
        </w:r>
      </w:hyperlink>
    </w:p>
    <w:p>
      <w:pPr>
        <w:spacing w:before="0" w:after="120"/>
      </w:pPr>
      <w:r>
        <w:rPr>
          <w:b/>
        </w:rPr>
        <w:t xml:space="preserve">Notes: </w:t>
      </w:r>
      <w:r>
        <w:t>abstract_source=nature_html</w:t>
      </w:r>
    </w:p>
    <w:p>
      <w:pPr>
        <w:spacing w:before="0" w:after="80" w:lineRule="auto" w:line="276"/>
      </w:pPr>
      <w:r>
        <w:rPr>
          <w:b/>
        </w:rPr>
        <w:t xml:space="preserve">摘要（ZH）: </w:t>
      </w:r>
      <w:r>
        <w:t>植物和动物通过模式识别受体和Nod样受体蛋白对病原体作出反应1。病原体通常利用蛋白质效应子抑制宿主免疫以实现成功感染2。然而，非蛋白质效应子类别的存在相对而言仍未得到充分研究。在此，我们报告了一种调控病原体-宿主相互作用的RNA-RNA识别机制，该机制由一段编码调控RNA的DNA序列介导，该序列分别产生两种互补的调控RNA。具体而言，在真菌病原体稻瘟病菌（Magnaporthe oryzae）中，从该DNA区域转录的一种长非编码RNA易位进入宿主水稻细胞，并螯合一种来自不同宿主DNA区域的互补微RNA（miRNA），从而破坏宿主免疫。反过来，这种水稻来源的miRNA通过抑制PKR1（一个编码宿主免疫负调控因子的基因）的表达来促进抗病性。真菌长非编码RNA对宿主miRNA的螯合释放了PKR1的表达，从而促进真菌感染。我们发现，这种编码调控RNA的DNA序列可能广泛存在于多种生命物种中，介导病原体与其植物宿主之间的相互作用。总之，我们的发现为利用源自这一重要DNA区域的miRNA进行有效疾病控制提供了一种方法。</w:t>
      </w:r>
    </w:p>
    <w:p>
      <w:pPr>
        <w:spacing w:before="0" w:after="200" w:lineRule="auto" w:line="276"/>
      </w:pPr>
      <w:r>
        <w:rPr>
          <w:b/>
        </w:rPr>
        <w:t xml:space="preserve">Abstract (EN): </w:t>
      </w:r>
      <w:r>
        <w:t>Plants and animals respond to pathogens through pattern recognition receptor and Nod-like receptor proteins1. Pathogens commonly use protein effectors to suppress host immunity for successful infection2. However, the existence of non-protein effector classes remains comparatively understudied. Here we report an RNA–RNA recognition mechanism governing pathogen–host interaction, mediated by a regulatory RNA-encoding DNA sequence that separately generates two complementary regulatory RNAs. Specifically, a long non-coding RNA transcribed from this DNA region in the fungal pathogen Magnaporthe oryzae translocates into host rice cells and sequesters a complementary microRNA (miRNA), derived from a distinct host DNA region, thereby subverting host immunity. In turn, this rice-derived miRNA promotes disease resistance by repressing the expression of PKR1, a gene that encodes a negative regulator of host immunity. Sequestration of the host miRNA by the fungal long non-coding RNA releases PKR1 expression to facilitate fungal infection. We discovered that this regulatory RNA-encoding DNA sequence is probably widely present across diverse life species, mediating interactions between pathogens and their plant hosts. Collectively, our findings provide an approach for effective disease control using miRNAs derived from this important DNA region.</w:t>
      </w:r>
    </w:p>
    <w:p>
      <w:pPr>
        <w:spacing w:before="120" w:after="120"/>
      </w:pPr>
      <w:r>
        <w:rPr>
          <w:sz w:val="18"/>
        </w:rPr>
        <w:t>——————————————————————————————————————————————————————————————————————</w:t>
      </w:r>
    </w:p>
    <w:p>
      <w:pPr>
        <w:spacing w:before="160" w:after="40" w:line="240" w:lineRule="auto"/>
      </w:pPr>
      <w:r>
        <w:rPr>
          <w:b/>
        </w:rPr>
        <w:t xml:space="preserve">[271] </w:t>
      </w:r>
      <w:hyperlink r:id="rId736">
        <w:r>
          <w:rPr>
            <w:color w:val="1155CC"/>
            <w:u w:val="single"/>
          </w:rPr>
          <w:t>将通信可靠性整合到多社区分层储能共享中以提高运行效率和可行性</w:t>
        </w:r>
      </w:hyperlink>
    </w:p>
    <w:p>
      <w:pPr>
        <w:spacing w:before="0" w:after="80"/>
      </w:pPr>
      <w:r>
        <w:rPr>
          <w:i/>
          <w:sz w:val="20"/>
        </w:rPr>
        <w:t>EN: Integrating communication reliability into multi-community hierarchical energy storage sharing for enhanced operational efficiency and viability</w:t>
      </w:r>
    </w:p>
    <w:p>
      <w:pPr>
        <w:spacing w:before="0" w:after="120"/>
      </w:pPr>
      <w:r>
        <w:rPr>
          <w:b/>
        </w:rPr>
        <w:t xml:space="preserve">Source: </w:t>
      </w:r>
      <w:r>
        <w:t>ScienceDirect Publication: Applied Energy</w:t>
      </w:r>
      <w:r>
        <w:t xml:space="preserve">    </w:t>
      </w:r>
      <w:r>
        <w:rPr>
          <w:b/>
        </w:rPr>
        <w:t xml:space="preserve">Pub date: </w:t>
      </w:r>
      <w:r>
        <w:t>2026-05-20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[272] </w:t>
      </w:r>
      <w:hyperlink r:id="rId737">
        <w:r>
          <w:rPr>
            <w:color w:val="1155CC"/>
            <w:u w:val="single"/>
          </w:rPr>
          <w:t>619,372名个体循环代谢性状的遗传分析</w:t>
        </w:r>
      </w:hyperlink>
    </w:p>
    <w:p>
      <w:pPr>
        <w:spacing w:before="0" w:after="80"/>
      </w:pPr>
      <w:r>
        <w:rPr>
          <w:i/>
          <w:sz w:val="20"/>
        </w:rPr>
        <w:t>EN: Genetic analysis of circulating metabolic traits in 619,372 individuals</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38">
        <w:r>
          <w:rPr>
            <w:color w:val="1155CC"/>
            <w:u w:val="single"/>
          </w:rPr>
          <w:t>10.1038/s41586-026-10532-5</w:t>
        </w:r>
      </w:hyperlink>
    </w:p>
    <w:p>
      <w:pPr>
        <w:spacing w:before="0" w:after="120"/>
      </w:pPr>
      <w:r>
        <w:rPr>
          <w:b/>
        </w:rPr>
        <w:t xml:space="preserve">Notes: </w:t>
      </w:r>
      <w:r>
        <w:t>abstract_source=nature_html</w:t>
      </w:r>
    </w:p>
    <w:p>
      <w:pPr>
        <w:spacing w:before="0" w:after="80" w:lineRule="auto" w:line="276"/>
      </w:pPr>
      <w:r>
        <w:rPr>
          <w:b/>
        </w:rPr>
        <w:t xml:space="preserve">摘要（ZH）: </w:t>
      </w:r>
      <w:r>
        <w:t>通过更深入地了解遗传变异的分子后果，可以改进对遗传变异与复杂性状关联的解释。尽管针对复杂疾病的全基因组关联研究（GWAS）通常对超过一百万个体进行分析1,2,3,4,5，但对分子性状的研究却相对滞后。在此，我们对爱沙尼亚生物样本库和英国生物样本库中多达619,372个个体进行了249种循环代谢性状的GWAS荟萃分析。我们从8,398个位点中识别出88,127个常见和低频的位点-性状关联，这些关联汇聚于共享基因和通路。利用统计精细定位、系统性表型组范围共定位和顺式孟德尔随机化，我们探索了代谢性状与疾病结局之间推定的因果关系。我们预测，尽管观察性研究6,7已将血浆支链氨基酸（BCAAs）与2型糖尿病关联起来，但通过靶向BCAA分解代谢途径来降低BCAA水平不太可能降低2型糖尿病风险。凭借我们庞大的样本量和高质量的基因型填充，我们发现19.4%的可靠精细定位变异的次要等位基因频率在0.1%到1%之间，并且这些变异在预测的错义和剪接改变变异中富集了两倍。我们的结果强调了将低频变异整合到遗传关联研究中的价值。</w:t>
      </w:r>
    </w:p>
    <w:p>
      <w:pPr>
        <w:spacing w:before="0" w:after="200" w:lineRule="auto" w:line="276"/>
      </w:pPr>
      <w:r>
        <w:rPr>
          <w:b/>
        </w:rPr>
        <w:t xml:space="preserve">Abstract (EN): </w:t>
      </w:r>
      <w:r>
        <w:t>Interpreting the association of genetic variants with complex traits can be improved by gaining a greater understanding of the molecular consequences of these variants. Although genome-wide association studies (GWAS) for complex diseases routinely profile over one million individuals1,2,3,4,5, studies of molecular traits have lagged behind. Here we performed a GWAS meta-analysis for 249 circulating metabolic traits in the Estonian Biobank and the UK Biobank in up to 619,372 individuals. We identified 88,127 common and low-frequency locus–trait associations from 8,398 loci that converged on shared genes and pathways. Using statistical fine mapping, systematic phenome-wide colocalization and cis-Mendelian randomization, we explored putative causal links between metabolic traits and disease outcomes. We predict that although plasma branched-chain amino acids (BCAAs) have been associated with type 2 diabetes in observational studies6,7, lowering BCAA levels by targeting the BCAA catabolism pathway is unlikely to reduce type 2 diabetes risk. Leveraging our large sample size and high-quality genotype imputation, we found that 19.4% of the confidently fine-mapped variants had minor allele frequencies between 0.1 and 1%, and these variants were twofold enriched for predicted missense and splice-altering variants. Our results highlight the value of integrating low-frequency variants into genetic association studies.</w:t>
      </w:r>
    </w:p>
    <w:p>
      <w:pPr>
        <w:spacing w:before="120" w:after="120"/>
      </w:pPr>
      <w:r>
        <w:rPr>
          <w:sz w:val="18"/>
        </w:rPr>
        <w:t>——————————————————————————————————————————————————————————————————————</w:t>
      </w:r>
    </w:p>
    <w:p>
      <w:pPr>
        <w:spacing w:before="160" w:after="40" w:line="240" w:lineRule="auto"/>
      </w:pPr>
      <w:r>
        <w:rPr>
          <w:b/>
        </w:rPr>
        <w:t xml:space="preserve">[273] </w:t>
      </w:r>
      <w:hyperlink r:id="rId739">
        <w:r>
          <w:rPr>
            <w:color w:val="1155CC"/>
            <w:u w:val="single"/>
          </w:rPr>
          <w:t>用于体表边缘计算的大规模可拉伸神经拟态电路</w:t>
        </w:r>
      </w:hyperlink>
    </w:p>
    <w:p>
      <w:pPr>
        <w:spacing w:before="0" w:after="80"/>
      </w:pPr>
      <w:r>
        <w:rPr>
          <w:i/>
          <w:sz w:val="20"/>
        </w:rPr>
        <w:t>EN: A large-scale stretchable neuromorphic circuit for on-body edge computing</w:t>
      </w:r>
    </w:p>
    <w:p>
      <w:pPr>
        <w:spacing w:before="0" w:after="120"/>
      </w:pPr>
      <w:r>
        <w:rPr>
          <w:b/>
        </w:rPr>
        <w:t xml:space="preserve">Source: </w:t>
      </w:r>
      <w:r>
        <w:t>Nature Electronics</w:t>
      </w:r>
      <w:r>
        <w:t xml:space="preserve">    </w:t>
      </w:r>
      <w:r>
        <w:rPr>
          <w:b/>
        </w:rPr>
        <w:t xml:space="preserve">Pub date: </w:t>
      </w:r>
      <w:r>
        <w:t>2026-05-20 00:00:00+00:00</w:t>
      </w:r>
      <w:r>
        <w:t xml:space="preserve">    </w:t>
      </w:r>
      <w:r>
        <w:rPr>
          <w:b/>
        </w:rPr>
        <w:t xml:space="preserve">DOI: </w:t>
      </w:r>
      <w:hyperlink r:id="rId740">
        <w:r>
          <w:rPr>
            <w:color w:val="1155CC"/>
            <w:u w:val="single"/>
          </w:rPr>
          <w:t>10.1038/s41928-026-01639-8</w:t>
        </w:r>
      </w:hyperlink>
    </w:p>
    <w:p>
      <w:pPr>
        <w:spacing w:before="0" w:after="120"/>
      </w:pPr>
      <w:r>
        <w:rPr>
          <w:b/>
        </w:rPr>
        <w:t xml:space="preserve">Notes: </w:t>
      </w:r>
      <w:r>
        <w:t>abstract_source=nature_html</w:t>
      </w:r>
    </w:p>
    <w:p>
      <w:pPr>
        <w:spacing w:before="0" w:after="80" w:lineRule="auto" w:line="276"/>
      </w:pPr>
      <w:r>
        <w:rPr>
          <w:b/>
        </w:rPr>
        <w:t xml:space="preserve">摘要（ZH）: </w:t>
      </w:r>
      <w:r>
        <w:t>本征可拉伸电子器件可用于制造可收集大量多模态传感数据的可穿戴设备。这导致了对能够处理此类数据的增强型近传感器计算能力的需求。一种潜在的解决方案是使用可拉伸有机电化学晶体管实现的神经形态边缘计算，但这些晶体管缺乏可扩展的制造方法限制了系统的尺寸和复杂性。在此，我们报告了大规模、本征可拉伸有机电化学晶体管阵列的制造，其密度高达每平方厘米10,000个晶体管。这些晶体管表现出良好的突触性能，包括线性、精确的电导编程和良好的保持性。阵列的性能均匀性使得可拉伸人工神经网络的硬件实现成为可能，用于处理健康数据，包括心脏病发作风险评估和用于定位传播波前的核卷积。我们还探讨了在神经形态电路上实现强化学习算法用于软体机器人的潜力。</w:t>
      </w:r>
    </w:p>
    <w:p>
      <w:pPr>
        <w:spacing w:before="0" w:after="200" w:lineRule="auto" w:line="276"/>
      </w:pPr>
      <w:r>
        <w:rPr>
          <w:b/>
        </w:rPr>
        <w:t xml:space="preserve">Abstract (EN): </w:t>
      </w:r>
      <w:r>
        <w:t>Intrinsically stretchable electronics can be used to make wearable devices that collect large amounts of multimodal sensory data. This has led to a demand for enhanced near-sensor computing capabilities that can process such data. One potential solution is neuromorphic edge computing implemented using stretchable organic electrochemical transistors, but the lack of a scalable fabrication method for these transistors has limited the size and complexity of the systems. Here we report the fabrication of large-scale, intrinsically stretchable organic electrochemical transistor arrays with a density up to 10,000 transistors per square centimetre. The transistors exhibit good synaptic performance, including linear, precise conductance programming and good retention. The performance uniformity of the array enables the hardware implementation of a stretchable artificial neural network for processing health data, including heart attack risk assessment and kernel convolution for locating propagation wavefronts. We also explore the potential of implementing reinforcement learning algorithms on the neuromorphic circuits for use in soft robotics.</w:t>
      </w:r>
    </w:p>
    <w:p>
      <w:pPr>
        <w:spacing w:before="120" w:after="120"/>
      </w:pPr>
      <w:r>
        <w:rPr>
          <w:sz w:val="18"/>
        </w:rPr>
        <w:t>——————————————————————————————————————————————————————————————————————</w:t>
      </w:r>
    </w:p>
    <w:p>
      <w:pPr>
        <w:spacing w:before="160" w:after="40" w:line="240" w:lineRule="auto"/>
      </w:pPr>
      <w:r>
        <w:rPr>
          <w:b/>
        </w:rPr>
        <w:t xml:space="preserve">[274] </w:t>
      </w:r>
      <w:hyperlink r:id="rId741">
        <w:r>
          <w:rPr>
            <w:color w:val="1155CC"/>
            <w:u w:val="single"/>
          </w:rPr>
          <w:t>由分子摩尔斯电码指导的程序化分子自组装</w:t>
        </w:r>
      </w:hyperlink>
    </w:p>
    <w:p>
      <w:pPr>
        <w:spacing w:before="0" w:after="80"/>
      </w:pPr>
      <w:r>
        <w:rPr>
          <w:i/>
          <w:sz w:val="20"/>
        </w:rPr>
        <w:t>EN: Programmed molecular self-organization directed by molecular Morse code</w:t>
      </w:r>
    </w:p>
    <w:p>
      <w:pPr>
        <w:spacing w:before="0" w:after="120"/>
      </w:pPr>
      <w:r>
        <w:rPr>
          <w:b/>
        </w:rPr>
        <w:t xml:space="preserve">Source: </w:t>
      </w:r>
      <w:r>
        <w:t>Chem</w:t>
      </w:r>
      <w:r>
        <w:t xml:space="preserve">    </w:t>
      </w:r>
      <w:r>
        <w:rPr>
          <w:b/>
        </w:rPr>
        <w:t xml:space="preserve">Pub date: </w:t>
      </w:r>
      <w:r>
        <w:t>2026-05-20 00:00:00+00:00</w:t>
      </w:r>
      <w:r>
        <w:t xml:space="preserve">    </w:t>
      </w:r>
      <w:r>
        <w:rPr>
          <w:b/>
        </w:rPr>
        <w:t xml:space="preserve">DOI: </w:t>
      </w:r>
      <w:hyperlink r:id="rId742">
        <w:r>
          <w:rPr>
            <w:color w:val="1155CC"/>
            <w:u w:val="single"/>
          </w:rPr>
          <w:t>10.1016/j.chempr.2026.103068</w:t>
        </w:r>
      </w:hyperlink>
    </w:p>
    <w:p>
      <w:pPr>
        <w:spacing w:before="0" w:after="120"/>
      </w:pPr>
      <w:r>
        <w:rPr>
          <w:b/>
        </w:rPr>
        <w:t xml:space="preserve">Notes: </w:t>
      </w:r>
      <w:r>
        <w:t>abstract_source=rss_cell</w:t>
      </w:r>
    </w:p>
    <w:p>
      <w:pPr>
        <w:spacing w:before="0" w:after="80" w:lineRule="auto" w:line="276"/>
      </w:pPr>
      <w:r>
        <w:rPr>
          <w:b/>
        </w:rPr>
        <w:t xml:space="preserve">摘要（ZH）: </w:t>
      </w:r>
      <w:r>
        <w:t>一种在肽中编码可传递信息的系统采用 α-和 β-氨基酸，这些氨基酸能形成链，如果序列匹配，这些链会组装成反平行 β 折叠。它已被用于控制发夹肽的构象，并指导水凝胶纤维中的自排序。该方案可以为生命起源的“淀粉样世界”假说提供信息存储和传输的手段。</w:t>
      </w:r>
    </w:p>
    <w:p>
      <w:pPr>
        <w:spacing w:before="0" w:after="200" w:lineRule="auto" w:line="276"/>
      </w:pPr>
      <w:r>
        <w:rPr>
          <w:b/>
        </w:rPr>
        <w:t xml:space="preserve">Abstract (EN): </w:t>
      </w:r>
      <w:r>
        <w:t>A system for coding transmissible information in peptides employs α- and β-amino acids, which yield strands that assemble into antiparallel β sheets if sequences match. It has been used to control conformations in hairpin peptides and to direct self-sorting in hydrogel fibers. The scheme could provide a means of information storage and transfer in the “amyloid world” hypothesis for the origin of life.</w:t>
      </w:r>
    </w:p>
    <w:p>
      <w:pPr>
        <w:spacing w:before="120" w:after="120"/>
      </w:pPr>
      <w:r>
        <w:rPr>
          <w:sz w:val="18"/>
        </w:rPr>
        <w:t>——————————————————————————————————————————————————————————————————————</w:t>
      </w:r>
    </w:p>
    <w:p>
      <w:pPr>
        <w:spacing w:before="160" w:after="40" w:line="240" w:lineRule="auto"/>
      </w:pPr>
      <w:r>
        <w:rPr>
          <w:b/>
        </w:rPr>
        <w:t xml:space="preserve">[275] </w:t>
      </w:r>
      <w:hyperlink r:id="rId743">
        <w:r>
          <w:rPr>
            <w:color w:val="1155CC"/>
            <w:u w:val="single"/>
          </w:rPr>
          <w:t>城市对小型和大型风暴的影响不同</w:t>
        </w:r>
      </w:hyperlink>
    </w:p>
    <w:p>
      <w:pPr>
        <w:spacing w:before="0" w:after="80"/>
      </w:pPr>
      <w:r>
        <w:rPr>
          <w:i/>
          <w:sz w:val="20"/>
        </w:rPr>
        <w:t>EN: Cities affect small and large storms differently</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44">
        <w:r>
          <w:rPr>
            <w:color w:val="1155CC"/>
            <w:u w:val="single"/>
          </w:rPr>
          <w:t>10.1038/d41586-026-01323-z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[276] </w:t>
      </w:r>
      <w:hyperlink r:id="rId745">
        <w:r>
          <w:rPr>
            <w:color w:val="1155CC"/>
            <w:u w:val="single"/>
          </w:rPr>
          <w:t>使用便携式等速训练机器人进行脊髓神经运动康复</w:t>
        </w:r>
      </w:hyperlink>
    </w:p>
    <w:p>
      <w:pPr>
        <w:spacing w:before="0" w:after="80"/>
      </w:pPr>
      <w:r>
        <w:rPr>
          <w:i/>
          <w:sz w:val="20"/>
        </w:rPr>
        <w:t>EN: Spinal neuromotor rehabilitation using a portable isokinetic training robot</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46">
        <w:r>
          <w:rPr>
            <w:color w:val="1155CC"/>
            <w:u w:val="single"/>
          </w:rPr>
          <w:t>10.1038/s41586-026-10642-0</w:t>
        </w:r>
      </w:hyperlink>
    </w:p>
    <w:p>
      <w:pPr>
        <w:spacing w:before="0" w:after="120"/>
      </w:pPr>
      <w:r>
        <w:rPr>
          <w:b/>
        </w:rPr>
        <w:t xml:space="preserve">Notes: </w:t>
      </w:r>
      <w:r>
        <w:t>abstract_source=nature_html</w:t>
      </w:r>
    </w:p>
    <w:p>
      <w:pPr>
        <w:spacing w:before="0" w:after="80" w:lineRule="auto" w:line="276"/>
      </w:pPr>
      <w:r>
        <w:rPr>
          <w:b/>
        </w:rPr>
        <w:t xml:space="preserve">摘要（ZH）: </w:t>
      </w:r>
      <w:r>
        <w:t>大多数下肢辅助机器人旨在主动辅助步态1-7，而未考虑长期的神经肌肉适应8-11。在本研究中，我们提出了一种轻量级 (0.96 kg) 机器人，该机器人可在移除后进行等速阻力训练以维持神经肌肉康复。该设备将可变刚度机制与可反向驱动的阻尼电机相结合，为患有 II 型脊髓性肌萎缩症 (SMA) 的青少年提供安全、便携和可定制的阻力训练。在一项涉及 6 名此类青少年参与者的研究中，在临床试验 (NCT06648486) 中进行 6 周的机器人辅助训练后，观察到下肢运动能力显著改善。参与者获得了在膝盖上放手但无外部支撑的情况下完成坐站转换的能力，平均坐姿膝关节屈曲角度从 111° 改善到 104°，比干预前提高了 7°。这种改善伴随着双侧膝关节功能的显著增强（峰值扭矩：+130%；运动范围：+51%；功：+97%）。观察到显著的生理性股四头肌肥大（解剖横截面积：+12%；体积：+19%；生理横截面积：+21%），同时股神经传导增强（复合肌肉动作电位：+19%），这些生理变化与观察到的功能改善一致。重要的是，参与者在停止等速训练并恢复常规物理治疗后仍能保持其获得的改善。这些结果</w:t>
      </w:r>
    </w:p>
    <w:p>
      <w:pPr>
        <w:spacing w:before="0" w:after="200" w:lineRule="auto" w:line="276"/>
      </w:pPr>
      <w:r>
        <w:rPr>
          <w:b/>
        </w:rPr>
        <w:t xml:space="preserve">Abstract (EN): </w:t>
      </w:r>
      <w:r>
        <w:t>Most lower-extremity assistive robots are designed to actively assist gait1-7 without considering long-term neuromuscular adaptations8-11. In this study, we present a lightweight (0.96 kg) robot that administers isokinetic resistance training to sustain neuromuscular rehabilitation after removal. The device integrates a variable stiffness mechanism with a back-drivable damping motor to make available safe, portable, and customizable resistance training to juveniles with Spinal Muscular Atrophy (SMA) type II. In a study involving 6 such juvenile participants, significant improvements in lower-extremity motor ability were observed after 6 weeks of robot-assisted training in a clinical trial (NCT06648486). Participants gained the ability to perform sit-to-stand transitions with hands on knees but without external support from an average seated knee flexion angle of 111° to 104°, representing a 7° improvement from pre-intervention. This improvement was accompanied by significantly increased bilateral knee joint function (peak torque: +130%; range of motion: +51%; work: +97%). Significant physiological quadriceps muscle hypertrophy was observed (anatomical cross-sectional area: +12%; volume: +19%; physiological cross-sectional area: +21%) alongside enhanced femoral nerve conduction (compound muscle action potential: +19%), representing physiological changes consistent with the observed functional improvements. Importantly, participants were able to retain their gains after discontinuing isokinetic training and returning to their conventional physiotherapy routines. These results suggest that even temporary exposure to isokinetic resistance training through wearable robotics may facilitate enduring neuromuscular recovery.</w:t>
      </w:r>
    </w:p>
    <w:p>
      <w:pPr>
        <w:spacing w:before="120" w:after="120"/>
      </w:pPr>
      <w:r>
        <w:rPr>
          <w:sz w:val="18"/>
        </w:rPr>
        <w:t>——————————————————————————————————————————————————————————————————————</w:t>
      </w:r>
    </w:p>
    <w:p>
      <w:pPr>
        <w:spacing w:before="160" w:after="40" w:line="240" w:lineRule="auto"/>
      </w:pPr>
      <w:r>
        <w:rPr>
          <w:b/>
        </w:rPr>
        <w:t xml:space="preserve">[277] </w:t>
      </w:r>
      <w:hyperlink r:id="rId747">
        <w:r>
          <w:rPr>
            <w:color w:val="1155CC"/>
            <w:u w:val="single"/>
          </w:rPr>
          <w:t>生物神经网络与三维设备的接口连接</w:t>
        </w:r>
      </w:hyperlink>
    </w:p>
    <w:p>
      <w:pPr>
        <w:spacing w:before="0" w:after="80"/>
      </w:pPr>
      <w:r>
        <w:rPr>
          <w:i/>
          <w:sz w:val="20"/>
        </w:rPr>
        <w:t>EN: Interfacing biological neural networks with three-dimensional devices</w:t>
      </w:r>
    </w:p>
    <w:p>
      <w:pPr>
        <w:spacing w:before="0" w:after="120"/>
      </w:pPr>
      <w:r>
        <w:rPr>
          <w:b/>
        </w:rPr>
        <w:t xml:space="preserve">Source: </w:t>
      </w:r>
      <w:r>
        <w:t>Nature Electronics</w:t>
      </w:r>
      <w:r>
        <w:t xml:space="preserve">    </w:t>
      </w:r>
      <w:r>
        <w:rPr>
          <w:b/>
        </w:rPr>
        <w:t xml:space="preserve">Pub date: </w:t>
      </w:r>
      <w:r>
        <w:t>2026-05-20 00:00:00+00:00</w:t>
      </w:r>
      <w:r>
        <w:t xml:space="preserve">    </w:t>
      </w:r>
      <w:r>
        <w:rPr>
          <w:b/>
        </w:rPr>
        <w:t xml:space="preserve">DOI: </w:t>
      </w:r>
      <w:hyperlink r:id="rId748">
        <w:r>
          <w:rPr>
            <w:color w:val="1155CC"/>
            <w:u w:val="single"/>
          </w:rPr>
          <w:t>10.1038/s41928-026-01616-1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[278] </w:t>
      </w:r>
      <w:hyperlink r:id="rId749">
        <w:r>
          <w:rPr>
            <w:color w:val="1155CC"/>
            <w:u w:val="single"/>
          </w:rPr>
          <w:t>全球近一半的《自然指数》化学研究现已在中国完成</w:t>
        </w:r>
      </w:hyperlink>
    </w:p>
    <w:p>
      <w:pPr>
        <w:spacing w:before="0" w:after="80"/>
      </w:pPr>
      <w:r>
        <w:rPr>
          <w:i/>
          <w:sz w:val="20"/>
        </w:rPr>
        <w:t>EN: Nearly half of the world’s Nature Index chemistry research is now done in China</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50">
        <w:r>
          <w:rPr>
            <w:color w:val="1155CC"/>
            <w:u w:val="single"/>
          </w:rPr>
          <w:t>10.1038/d41586-026-00431-0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[279] </w:t>
      </w:r>
      <w:hyperlink r:id="rId751">
        <w:r>
          <w:rPr>
            <w:color w:val="1155CC"/>
            <w:u w:val="single"/>
          </w:rPr>
          <w:t>红光疗法：炒作背后的科学</w:t>
        </w:r>
      </w:hyperlink>
    </w:p>
    <w:p>
      <w:pPr>
        <w:spacing w:before="0" w:after="80"/>
      </w:pPr>
      <w:r>
        <w:rPr>
          <w:i/>
          <w:sz w:val="20"/>
        </w:rPr>
        <w:t>EN: Red light therapy: the science behind the hype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52">
        <w:r>
          <w:rPr>
            <w:color w:val="1155CC"/>
            <w:u w:val="single"/>
          </w:rPr>
          <w:t>10.1038/d41586-026-01643-0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[280] </w:t>
      </w:r>
      <w:hyperlink r:id="rId753">
        <w:r>
          <w:rPr>
            <w:color w:val="1155CC"/>
            <w:u w:val="single"/>
          </w:rPr>
          <w:t>中国在化学领域的崛起对世界其他地区意味着什么</w:t>
        </w:r>
      </w:hyperlink>
    </w:p>
    <w:p>
      <w:pPr>
        <w:spacing w:before="0" w:after="80"/>
      </w:pPr>
      <w:r>
        <w:rPr>
          <w:i/>
          <w:sz w:val="20"/>
        </w:rPr>
        <w:t>EN: What China’s rise in chemistry means for the rest of the world</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54">
        <w:r>
          <w:rPr>
            <w:color w:val="1155CC"/>
            <w:u w:val="single"/>
          </w:rPr>
          <w:t>10.1038/d41586-026-00428-9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[281] </w:t>
      </w:r>
      <w:hyperlink r:id="rId755">
        <w:r>
          <w:rPr>
            <w:color w:val="1155CC"/>
            <w:u w:val="single"/>
          </w:rPr>
          <w:t>高性能p型单层二硒化钨晶体管</w:t>
        </w:r>
      </w:hyperlink>
    </w:p>
    <w:p>
      <w:pPr>
        <w:spacing w:before="0" w:after="80"/>
      </w:pPr>
      <w:r>
        <w:rPr>
          <w:i/>
          <w:sz w:val="20"/>
        </w:rPr>
        <w:t>EN: High-performance p-type monolayer tungsten diselenide transistors</w:t>
      </w:r>
    </w:p>
    <w:p>
      <w:pPr>
        <w:spacing w:before="0" w:after="120"/>
      </w:pPr>
      <w:r>
        <w:rPr>
          <w:b/>
        </w:rPr>
        <w:t xml:space="preserve">Source: </w:t>
      </w:r>
      <w:r>
        <w:t>Nature Electronics</w:t>
      </w:r>
      <w:r>
        <w:t xml:space="preserve">    </w:t>
      </w:r>
      <w:r>
        <w:rPr>
          <w:b/>
        </w:rPr>
        <w:t xml:space="preserve">Pub date: </w:t>
      </w:r>
      <w:r>
        <w:t>2026-05-20 00:00:00+00:00</w:t>
      </w:r>
      <w:r>
        <w:t xml:space="preserve">    </w:t>
      </w:r>
      <w:r>
        <w:rPr>
          <w:b/>
        </w:rPr>
        <w:t xml:space="preserve">DOI: </w:t>
      </w:r>
      <w:hyperlink r:id="rId756">
        <w:r>
          <w:rPr>
            <w:color w:val="1155CC"/>
            <w:u w:val="single"/>
          </w:rPr>
          <w:t>10.1038/s41928-026-01637-w</w:t>
        </w:r>
      </w:hyperlink>
    </w:p>
    <w:p>
      <w:pPr>
        <w:spacing w:before="0" w:after="120"/>
      </w:pPr>
      <w:r>
        <w:rPr>
          <w:b/>
        </w:rPr>
        <w:t xml:space="preserve">Notes: </w:t>
      </w:r>
      <w:r>
        <w:t>abstract_source=nature_html</w:t>
      </w:r>
    </w:p>
    <w:p>
      <w:pPr>
        <w:spacing w:before="0" w:after="80" w:lineRule="auto" w:line="276"/>
      </w:pPr>
      <w:r>
        <w:rPr>
          <w:b/>
        </w:rPr>
        <w:t xml:space="preserve">摘要（ZH）: </w:t>
      </w:r>
      <w:r>
        <w:t>二维半导体因其高载流子迁移率和对短沟道效应的强免疫力，是未来尺寸缩小的互补晶体管技术的潜在沟道材料。然而，p型晶体管的电学性能仍远低于其n型对应物。在此，我们报道了高性能p型单层二硒化钨晶体管，其空穴迁移率为137 cm2 V−1 s−1，室温下接触电阻约为560 Ω µm。我们的方法采用了一种工业兼容且可调的掺氧技术来修复缺陷态。一个沟道长度为45 nm的尺寸缩小的p型单层二硒化钨晶体管表现出1,245 μA μm−1的通态电流和约109的开关比。</w:t>
      </w:r>
    </w:p>
    <w:p>
      <w:pPr>
        <w:spacing w:before="0" w:after="200" w:lineRule="auto" w:line="276"/>
      </w:pPr>
      <w:r>
        <w:rPr>
          <w:b/>
        </w:rPr>
        <w:t xml:space="preserve">Abstract (EN): </w:t>
      </w:r>
      <w:r>
        <w:t>Two-dimensional semiconductors are potential channel materials for future scaled complementary transistor technologies due to their high carrier mobility and strong immunity to the short-channel effect. However, the electrical performance of p-type transistors is still far below that of their n-type counterparts. Here we report high-performance p-type monolayer tungsten diselenide transistors with a hole mobility of 137 cm2 V−1 s−1 and a contact resistance of approximately 560 Ω µm at room temperature. Our approach uses an industry-compatible and tunable oxygen-incorporated technique to heal the defect states. A scaled p-type monolayer tungsten diselenide transistor with a channel length of 45 nm exhibits an on-state current of 1,245 μA μm−1 and an on/off ratio of ~109.</w:t>
      </w:r>
    </w:p>
    <w:p>
      <w:pPr>
        <w:spacing w:before="120" w:after="120"/>
      </w:pPr>
      <w:r>
        <w:rPr>
          <w:sz w:val="18"/>
        </w:rPr>
        <w:t>——————————————————————————————————————————————————————————————————————</w:t>
      </w:r>
    </w:p>
    <w:p>
      <w:pPr>
        <w:spacing w:before="160" w:after="40" w:line="240" w:lineRule="auto"/>
      </w:pPr>
      <w:r>
        <w:rPr>
          <w:b/>
        </w:rPr>
        <w:t xml:space="preserve">[282] </w:t>
      </w:r>
      <w:hyperlink r:id="rId757">
        <w:r>
          <w:rPr>
            <w:color w:val="1155CC"/>
            <w:u w:val="single"/>
          </w:rPr>
          <w:t>作者更正：钝化SnRK1β1A促进水稻广谱抗病性</w:t>
        </w:r>
      </w:hyperlink>
    </w:p>
    <w:p>
      <w:pPr>
        <w:spacing w:before="0" w:after="80"/>
      </w:pPr>
      <w:r>
        <w:rPr>
          <w:i/>
          <w:sz w:val="20"/>
        </w:rPr>
        <w:t>EN: Author Correction: Inactivating SnRK1β1A promotes broad-spectrum disease resistance in rice</w:t>
      </w:r>
    </w:p>
    <w:p>
      <w:pPr>
        <w:spacing w:before="0" w:after="120"/>
      </w:pPr>
      <w:r>
        <w:rPr>
          <w:b/>
        </w:rPr>
        <w:t xml:space="preserve">Source: </w:t>
      </w:r>
      <w:r>
        <w:t>Nature</w:t>
      </w:r>
      <w:r>
        <w:t xml:space="preserve">    </w:t>
      </w:r>
      <w:r>
        <w:rPr>
          <w:b/>
        </w:rPr>
        <w:t xml:space="preserve">Pub date: </w:t>
      </w:r>
      <w:r>
        <w:t>2026-05-20 00:00:00+00:00</w:t>
      </w:r>
      <w:r>
        <w:t xml:space="preserve">    </w:t>
      </w:r>
      <w:r>
        <w:rPr>
          <w:b/>
        </w:rPr>
        <w:t xml:space="preserve">DOI: </w:t>
      </w:r>
      <w:hyperlink r:id="rId758">
        <w:r>
          <w:rPr>
            <w:color w:val="1155CC"/>
            <w:u w:val="single"/>
          </w:rPr>
          <w:t>10.1038/s41586-026-10659-5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[283] </w:t>
      </w:r>
      <w:hyperlink r:id="rId759">
        <w:r>
          <w:rPr>
            <w:color w:val="1155CC"/>
            <w:u w:val="single"/>
          </w:rPr>
          <w:t>自适应隧穿光电二极管实现高对比度场景中的视觉识别</w:t>
        </w:r>
      </w:hyperlink>
    </w:p>
    <w:p>
      <w:pPr>
        <w:spacing w:before="0" w:after="80"/>
      </w:pPr>
      <w:r>
        <w:rPr>
          <w:i/>
          <w:sz w:val="20"/>
        </w:rPr>
        <w:t>EN: Adaptive tunneling photodiodes enable visual recognition in high-contrast scenes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60">
        <w:r>
          <w:rPr>
            <w:color w:val="1155CC"/>
            <w:u w:val="single"/>
          </w:rPr>
          <w:t>10.1126/sciadv.aec4849</w:t>
        </w:r>
      </w:hyperlink>
    </w:p>
    <w:p>
      <w:pPr>
        <w:spacing w:before="0" w:after="120"/>
      </w:pPr>
      <w:r>
        <w:rPr>
          <w:b/>
        </w:rPr>
        <w:t xml:space="preserve">Notes: </w:t>
      </w:r>
      <w:r>
        <w:t>abstract_source=crossref</w:t>
      </w:r>
    </w:p>
    <w:p>
      <w:pPr>
        <w:spacing w:before="0" w:after="80" w:lineRule="auto" w:line="276"/>
      </w:pPr>
      <w:r>
        <w:rPr>
          <w:b/>
        </w:rPr>
        <w:t xml:space="preserve">摘要（ZH）: </w:t>
      </w:r>
      <w:r>
        <w:t>在极端高对比度照明环境中实现精确视觉感知对于自动驾驶汽车、智能监控和机器人等新兴智能系统至关重要。这些系统严重依赖高动态范围（HDR）成像来捕捉具有宽照明变化的场景。然而，现有HDR解决方案主要依赖计算算法或多重曝光融合或机械调制等硬件密集型技术，这些技术存在延迟、运动伪影、高功耗和适应性有限的问题。在此，我们提出了一种以硬件为中心的方法，将HDR功能直接集成到相机图像传感器的光电探测器中。我们的设计利用工程化的隧穿机制，实现了偏置可控、连续可调的动态范围，覆盖高达150 dB。在真实世界的高对比度自动驾驶场景中，这种传感器级HDR能力使得稳健的物体分类置信度分数在整个曝光场景中超过91%。通过将HDR处理转移到传感器前端，我们的方法大幅降低了计算负载，从而提高了系统级效率、速度、能耗和识别可靠性。该原型为开发下一代紧凑型片上视觉预处理硬件铺平了道路，用于智能视觉系统。</w:t>
      </w:r>
    </w:p>
    <w:p>
      <w:pPr>
        <w:spacing w:before="0" w:after="200" w:lineRule="auto" w:line="276"/>
      </w:pPr>
      <w:r>
        <w:rPr>
          <w:b/>
        </w:rPr>
        <w:t xml:space="preserve">Abstract (EN): </w:t>
      </w:r>
      <w:r>
        <w:t>Accurate visual sensing in extreme high-contrast lighting environments is critical for emerging intelligent systems such as autonomous vehicles, smart surveillance, and robotics. These systems rely heavily on high dynamic range (HDR) imaging to capture scenes with wide illumination variations. However, existing HDR solutions primarily depend on computational algorithms or hardware-intensive techniques such as multiexposure fusion or mechanical modulation, which suffers from latency, motion artifacts, high power consumption, and limited adaptability. Here, we present a hardware-centric approach that realizes HDR functionality directly into the photodetectors of a camera image sensor. Our design leverages an engineered tunneling mechanism to achieve bias-controllable, continuously tunable dynamic range covering up to 150 dB. In real-world high-contrast autonomous driving scenarios, this sensor-level HDR capability enables robust object classification confidence score exceeding 91% across the entire exposure scene. By shifting HDR processing to the sensor front-end, our approach substantially reduces the computational load, enabling system-level efficiency, speed, energy consumption, and recognition reliability. This prototype paves the way for the development of next-generation, compact, on-chip visual preprocessing hardware for intelligent vision systems.</w:t>
      </w:r>
    </w:p>
    <w:p>
      <w:pPr>
        <w:spacing w:before="120" w:after="120"/>
      </w:pPr>
      <w:r>
        <w:rPr>
          <w:sz w:val="18"/>
        </w:rPr>
        <w:t>——————————————————————————————————————————————————————————————————————</w:t>
      </w:r>
    </w:p>
    <w:p>
      <w:pPr>
        <w:spacing w:before="160" w:after="40" w:line="240" w:lineRule="auto"/>
      </w:pPr>
      <w:r>
        <w:rPr>
          <w:b/>
        </w:rPr>
        <w:t xml:space="preserve">[284] </w:t>
      </w:r>
      <w:hyperlink r:id="rId761">
        <w:r>
          <w:rPr>
            <w:color w:val="1155CC"/>
            <w:u w:val="single"/>
          </w:rPr>
          <w:t>使用冷冻电镜可视化醌醇氧化和bd型氧化酶抑制的机制</w:t>
        </w:r>
      </w:hyperlink>
    </w:p>
    <w:p>
      <w:pPr>
        <w:spacing w:before="0" w:after="80"/>
      </w:pPr>
      <w:r>
        <w:rPr>
          <w:i/>
          <w:sz w:val="20"/>
        </w:rPr>
        <w:t>EN: Visualizing the mechanism of quinol oxidation and inhibition of a bd-type oxidase using cryo-EM</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62">
        <w:r>
          <w:rPr>
            <w:color w:val="1155CC"/>
            <w:u w:val="single"/>
          </w:rPr>
          <w:t>10.1126/sciadv.aec9946</w:t>
        </w:r>
      </w:hyperlink>
    </w:p>
    <w:p>
      <w:pPr>
        <w:spacing w:before="0" w:after="120"/>
      </w:pPr>
      <w:r>
        <w:rPr>
          <w:b/>
        </w:rPr>
        <w:t xml:space="preserve">Notes: </w:t>
      </w:r>
      <w:r>
        <w:t>abstract_source=crossref</w:t>
      </w:r>
    </w:p>
    <w:p>
      <w:pPr>
        <w:spacing w:before="0" w:after="80" w:lineRule="auto" w:line="276"/>
      </w:pPr>
      <w:r>
        <w:rPr>
          <w:b/>
        </w:rPr>
        <w:t xml:space="preserve">摘要（ZH）: </w:t>
      </w:r>
      <w:r>
        <w:t>细胞色素bd是一种原核末端氧化酶，被认为是针对各种病原体的抗生素靶点。尽管其在呼吸中发挥着关键作用，但未能阐明醌醇氧化和抑制机制阻碍了结构指导的药物发现。在此，我们展示了大肠杆菌细胞色素bd-I的冷冻电镜结构，包括单体和二聚体形式，以及几种醌和抑制剂结合状态。我们发现了一个动态Q环盖，当底物结合到二聚体时，它会经历从无序到有序的转变，从而完成活性位点并实现催化。结构指导的诱变证实Tyr243 CydA和Arg298 CydA是仅存在于长Q环氧化酶中的保守催化残基，突出了与其他亚家族的进化分歧。Aurachin D的抑制作用通过Asp239 CydA介导的机制触发活性位点的重折叠，从而阻碍底物进入。本文提出的结构和机制见解建立了一个全面的框架，为针对bd氧化酶的药物发现开辟了道路。</w:t>
      </w:r>
    </w:p>
    <w:p>
      <w:pPr>
        <w:spacing w:before="0" w:after="200" w:lineRule="auto" w:line="276"/>
      </w:pPr>
      <w:r>
        <w:rPr>
          <w:b/>
        </w:rPr>
        <w:t xml:space="preserve">Abstract (EN): </w:t>
      </w:r>
      <w:r>
        <w:t>Cytochrome</w:t>
      </w:r>
      <w:r>
        <w:t xml:space="preserve"> </w:t>
      </w:r>
      <w:r>
        <w:t>bd</w:t>
      </w:r>
      <w:r>
        <w:t xml:space="preserve"> </w:t>
      </w:r>
      <w:r>
        <w:t>is a prokaryotic terminal oxidase recognized as an antibiotic target against various pathogens. Despite its critical role in respiration, failure to capture the mechanism of quinol oxidation and inhibition prohibits structure guided drug discovery. Here, we present cryo–electron microscopy structures of</w:t>
      </w:r>
      <w:r>
        <w:t xml:space="preserve"> </w:t>
      </w:r>
      <w:r>
        <w:t>Escherichia coli</w:t>
      </w:r>
      <w:r>
        <w:t xml:space="preserve"> </w:t>
      </w:r>
      <w:r>
        <w:t>cytochrome</w:t>
      </w:r>
      <w:r>
        <w:t xml:space="preserve"> </w:t>
      </w:r>
      <w:r>
        <w:t>bd</w:t>
      </w:r>
      <w:r>
        <w:t xml:space="preserve"> </w:t>
      </w:r>
      <w:r>
        <w:t>-I in monomeric and dimeric forms, in several quinone and inhibitor-bound states. We identify a dynamic Q-loop lid that undergoes a disorder-to-order transition upon substrate binding to the dimer, completing the active site and enabling catalysis. Structure-guided mutagenesis confirms Tyr243</w:t>
      </w:r>
      <w:r>
        <w:t xml:space="preserve"> </w:t>
      </w:r>
      <w:r>
        <w:t>CydA</w:t>
      </w:r>
      <w:r>
        <w:t xml:space="preserve"> </w:t>
      </w:r>
      <w:r>
        <w:t>and Arg298</w:t>
      </w:r>
      <w:r>
        <w:t xml:space="preserve"> </w:t>
      </w:r>
      <w:r>
        <w:t>CydA</w:t>
      </w:r>
      <w:r>
        <w:t xml:space="preserve"> </w:t>
      </w:r>
      <w:r>
        <w:t>as conserved catalytic residues only found in long Q-loop oxidases, highlighting evolutionary divergence from other subfamilies. Inhibition by Aurachin D triggers refolding of the active site, occluding substrate access via an Asp239</w:t>
      </w:r>
      <w:r>
        <w:t xml:space="preserve"> </w:t>
      </w:r>
      <w:r>
        <w:t>CydA</w:t>
      </w:r>
      <w:r>
        <w:t xml:space="preserve"> </w:t>
      </w:r>
      <w:r>
        <w:t>-mediated mechanism. The structural and mechanistic insights presented here establish a comprehensive framework, opening paths for drug discovery against</w:t>
      </w:r>
      <w:r>
        <w:t xml:space="preserve"> </w:t>
      </w:r>
      <w:r>
        <w:t>bd</w:t>
      </w:r>
      <w:r>
        <w:t xml:space="preserve"> </w:t>
      </w:r>
      <w:r>
        <w:t>oxidases.</w:t>
      </w:r>
    </w:p>
    <w:p>
      <w:pPr>
        <w:spacing w:before="120" w:after="120"/>
      </w:pPr>
      <w:r>
        <w:rPr>
          <w:sz w:val="18"/>
        </w:rPr>
        <w:t>——————————————————————————————————————————————————————————————————————</w:t>
      </w:r>
    </w:p>
    <w:p>
      <w:pPr>
        <w:spacing w:before="160" w:after="40" w:line="240" w:lineRule="auto"/>
      </w:pPr>
      <w:r>
        <w:rPr>
          <w:b/>
        </w:rPr>
        <w:t xml:space="preserve">[285] </w:t>
      </w:r>
      <w:hyperlink r:id="rId763">
        <w:r>
          <w:rPr>
            <w:color w:val="1155CC"/>
            <w:u w:val="single"/>
          </w:rPr>
          <w:t>将月经指标识别为个人健康标志物：5674个周期中温度的年龄趋势和个体足迹</w:t>
        </w:r>
      </w:hyperlink>
    </w:p>
    <w:p>
      <w:pPr>
        <w:spacing w:before="0" w:after="80"/>
      </w:pPr>
      <w:r>
        <w:rPr>
          <w:i/>
          <w:sz w:val="20"/>
        </w:rPr>
        <w:t>EN: Identifying menstrual metrics as personal health markers: Age trends and individual footprints in temperature across 5674 cycles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64">
        <w:r>
          <w:rPr>
            <w:color w:val="1155CC"/>
            <w:u w:val="single"/>
          </w:rPr>
          <w:t>10.1126/sciadv.aeb1175</w:t>
        </w:r>
      </w:hyperlink>
    </w:p>
    <w:p>
      <w:pPr>
        <w:spacing w:before="0" w:after="120"/>
      </w:pPr>
      <w:r>
        <w:rPr>
          <w:b/>
        </w:rPr>
        <w:t xml:space="preserve">Notes: </w:t>
      </w:r>
      <w:r>
        <w:t>abstract_source=crossref</w:t>
      </w:r>
    </w:p>
    <w:p>
      <w:pPr>
        <w:spacing w:before="0" w:after="80" w:lineRule="auto" w:line="276"/>
      </w:pPr>
      <w:r>
        <w:rPr>
          <w:b/>
        </w:rPr>
        <w:t xml:space="preserve">摘要（ZH）: </w:t>
      </w:r>
      <w:r>
        <w:t>月经周期是生理信息的丰富但未充分利用的来源。为此，我们开发了一个名为 WAVES（通过内分泌相关信号变异性评估女性健康）的开源工具，该工具利用生理信号提取月经周期指标并促进生物标志物发现。我们对来自 753 名 18 至 42 岁参与者的 5674 个非受孕周期的基础体温数据进行了测试。我们发现衰老与月经指标变化之间存在多重关联，包括平均体温升高、周期缩短以及多个指标的规律性下降。此外，捕获周期体温水平和时间结构的几个指标的数值和周期间规律性显示出中度至强度的个体内部稳定性（ICC &gt; 0.5）。这项工作表明 WAVES 算法可用于推进数字生物标志物发现，并强调了个性化方法在开发下一代女性健康工具中的重要性。</w:t>
      </w:r>
    </w:p>
    <w:p>
      <w:pPr>
        <w:spacing w:before="0" w:after="200" w:lineRule="auto" w:line="276"/>
      </w:pPr>
      <w:r>
        <w:rPr>
          <w:b/>
        </w:rPr>
        <w:t xml:space="preserve">Abstract (EN): </w:t>
      </w:r>
      <w:r>
        <w:t>The menstrual cycle is a rich yet underused source of physiological information. To address this, we developed an open-source tool called WAVES (women’s health assessment through variability in endocrine-related signals) that leverages physiological signals to extract menstrual cycle metrics and facilitate biomarker discovery. We tested it on basal body temperature data from 5674 nonconceptive cycles from 753 participants aged 18 to 42 years. We identified multiple associations between aging and menstrual metrics changes, including higher average temperatures, shorter cycles, and decrease in regularity across multiple metrics. In addition, values and cycle-to-cycle regularity of several metrics capturing temperature level and temporal structure of the cycle showed moderate to strong within-individual stability (ICC &amp;gt; 0.5). This work suggests that the WAVES algorithm can be used for advancing digital biomarker discovery and highlights the relevance of a personalized approach in the development of next-generation tools for women’s health.</w:t>
      </w:r>
    </w:p>
    <w:p>
      <w:pPr>
        <w:spacing w:before="120" w:after="120"/>
      </w:pPr>
      <w:r>
        <w:rPr>
          <w:sz w:val="18"/>
        </w:rPr>
        <w:t>——————————————————————————————————————————————————————————————————————</w:t>
      </w:r>
    </w:p>
    <w:p>
      <w:pPr>
        <w:spacing w:before="160" w:after="40" w:line="240" w:lineRule="auto"/>
      </w:pPr>
      <w:r>
        <w:rPr>
          <w:b/>
        </w:rPr>
        <w:t xml:space="preserve">[286] </w:t>
      </w:r>
      <w:hyperlink r:id="rId765">
        <w:r>
          <w:rPr>
            <w:color w:val="1155CC"/>
            <w:u w:val="single"/>
          </w:rPr>
          <w:t>通过水母平衡囊修复的单细胞分析揭示神经再生的祖先机制</w:t>
        </w:r>
      </w:hyperlink>
    </w:p>
    <w:p>
      <w:pPr>
        <w:spacing w:before="0" w:after="80"/>
      </w:pPr>
      <w:r>
        <w:rPr>
          <w:i/>
          <w:sz w:val="20"/>
        </w:rPr>
        <w:t>EN: Deciphering the ancestral mechanisms of neural regeneration through single-cell analyses of jellyfish rhopalium repair</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66">
        <w:r>
          <w:rPr>
            <w:color w:val="1155CC"/>
            <w:u w:val="single"/>
          </w:rPr>
          <w:t>10.1126/sciadv.aeb8034</w:t>
        </w:r>
      </w:hyperlink>
    </w:p>
    <w:p>
      <w:pPr>
        <w:spacing w:before="0" w:after="120"/>
      </w:pPr>
      <w:r>
        <w:rPr>
          <w:b/>
        </w:rPr>
        <w:t xml:space="preserve">Notes: </w:t>
      </w:r>
      <w:r>
        <w:t>abstract_source=crossref</w:t>
      </w:r>
    </w:p>
    <w:p>
      <w:pPr>
        <w:spacing w:before="0" w:after="80" w:lineRule="auto" w:line="276"/>
      </w:pPr>
      <w:r>
        <w:rPr>
          <w:b/>
        </w:rPr>
        <w:t xml:space="preserve">摘要（ZH）: </w:t>
      </w:r>
      <w:r>
        <w:t>触手囊（水母动物中一种早期特化的中枢神经结构）在切除后表现出显著的再生能力，为研究神经再生的祖先调控逻辑提供了独特的模型。然而，该过程的细胞和分子机制仍不清楚。在这里，我们定义了海月水母（Aurelia coerulea）触手囊再生的不同阶段，并构建了阶段特异性细胞图谱和基因调控网络。值得注意的是，我们发现了一群损伤后迅速出现的伤口诱导细胞，它们激活 Wnt 信号通路以启动胚基形成；跨物种比较表明，这种调控机制在后生动物中是保守的。我们进一步发现，视黄酸信号通路对于感光细胞再生和眼点重建至关重要。本文提出的发现揭示了早期中枢神经系统中神经再生的祖先调控机制，为跨生物体神经修复的共同进化起源提供了见解。</w:t>
      </w:r>
    </w:p>
    <w:p>
      <w:pPr>
        <w:spacing w:before="0" w:after="200" w:lineRule="auto" w:line="276"/>
      </w:pPr>
      <w:r>
        <w:rPr>
          <w:b/>
        </w:rPr>
        <w:t xml:space="preserve">Abstract (EN): </w:t>
      </w:r>
      <w:r>
        <w:t>The rhopalium, an early specialized centralized nervous structure in medusozoans, exhibits a remarkable regenerative capacity after removal, offering a unique model for investigating the ancestral regulatory logic of neural regeneration. However, the cellular and molecular mechanisms underlying the process remain unknown. Here, we defined distinct stages of rhopalium regeneration in the jellyfish</w:t>
      </w:r>
      <w:r>
        <w:t xml:space="preserve"> </w:t>
      </w:r>
      <w:r>
        <w:t>Aurelia coerulea</w:t>
      </w:r>
      <w:r>
        <w:t xml:space="preserve"> </w:t>
      </w:r>
      <w:r>
        <w:t>and constructed a stage-specific cell landscape and gene regulatory networks. Notably, we identified a population of wound-induced cells that emerges rapidly postinjury and activates Wnt signaling to initiate blastema formation; cross-species comparisons revealed that this regulatory mechanism is conserved across metazoans. We further identified that retinoic acid signaling is essential for photoreceptor regeneration and ocelli reconstruction. The findings presented herein uncover the ancestral regulatory mechanisms governing neural regeneration in the early centralized nervous system, providing insights into the common evolutionary origins of neural repair across organisms.</w:t>
      </w:r>
    </w:p>
    <w:p>
      <w:pPr>
        <w:spacing w:before="120" w:after="120"/>
      </w:pPr>
      <w:r>
        <w:rPr>
          <w:sz w:val="18"/>
        </w:rPr>
        <w:t>——————————————————————————————————————————————————————————————————————</w:t>
      </w:r>
    </w:p>
    <w:p>
      <w:pPr>
        <w:spacing w:before="160" w:after="40" w:line="240" w:lineRule="auto"/>
      </w:pPr>
      <w:r>
        <w:rPr>
          <w:b/>
        </w:rPr>
        <w:t xml:space="preserve">[287] </w:t>
      </w:r>
      <w:hyperlink r:id="rId767">
        <w:r>
          <w:rPr>
            <w:color w:val="1155CC"/>
            <w:u w:val="single"/>
          </w:rPr>
          <w:t>早期辅助抗PD-L1免疫疗法改善侵袭性肺毛霉病小鼠的预后并恢复感染诱导的免疫麻痹</w:t>
        </w:r>
      </w:hyperlink>
    </w:p>
    <w:p>
      <w:pPr>
        <w:spacing w:before="0" w:after="80"/>
      </w:pPr>
      <w:r>
        <w:rPr>
          <w:i/>
          <w:sz w:val="20"/>
        </w:rPr>
        <w:t>EN: Early adjunct anti-PD-L1 immunotherapy improves outcomes and restores infection-induced immune paralysis in mice with invasive pulmonary mucormycosis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768">
        <w:r>
          <w:rPr>
            <w:color w:val="1155CC"/>
            <w:u w:val="single"/>
          </w:rPr>
          <w:t>10.1073/pnas.2512042123</w:t>
        </w:r>
      </w:hyperlink>
    </w:p>
    <w:p>
      <w:pPr>
        <w:spacing w:before="0" w:after="120"/>
      </w:pPr>
      <w:r>
        <w:rPr>
          <w:b/>
        </w:rPr>
        <w:t xml:space="preserve">Notes: </w:t>
      </w:r>
      <w:r>
        <w:t>abstract_source=crossref</w:t>
      </w:r>
    </w:p>
    <w:p>
      <w:pPr>
        <w:spacing w:before="0" w:after="80" w:lineRule="auto" w:line="276"/>
      </w:pPr>
      <w:r>
        <w:rPr>
          <w:b/>
        </w:rPr>
        <w:t xml:space="preserve">摘要（ZH）: </w:t>
      </w:r>
      <w:r>
        <w:t>侵袭性肺毛霉病（IPM）是一种严重的条件致病性霉菌感染，其结局主要由宿主驱动。临床前概念验证研究和抢救性治疗环境下的临床病例报告表明，免疫检查点抑制剂（ICIs）在 IPM 管理中具有益处。然而，感染诱导的免疫麻痹动力学和 ICI 治疗的最佳时机仍知之甚少。在这里，我们对环磷酰胺免疫抑制的 IPM 小鼠（根霉感染）的肺组织进行了基于 nCounter 的序贯转录组学分析，以动态研究肺部免疫环境。感染后 7 d 内，IPM 小鼠的肺部表现出早期促炎信号的逆转、T 细胞信号传导受损以及耗竭标志物的上调。在侵袭性肺曲霉病和镰刀菌病小鼠中也观察到类似的免疫麻痹特征。对于治疗研究，在 IPM 感染后第 3 天开始使用硫酸艾沙康唑（ISAV）进行毛霉目活性抗真菌治疗，同时在第 3 + 5 天（早期）或第 6 + 8 天（晚期）给予抗 PD-L1 或非靶向同种型抗体（对照）。与 ISAV + 同种型抗体相比，早期和晚期辅助抗 PD-L1 治疗均耐受良好，并显著改善了发病率/死亡率结局。值得注意的是，早期辅助抗 PD-L1 治疗显著促进了更强的先天免疫细胞激活、关键细胞因子通路上调、辅助性 T 细胞信号传导的恢复以及 IPM 诱导的耗竭信号的逆转，比</w:t>
      </w:r>
    </w:p>
    <w:p>
      <w:pPr>
        <w:spacing w:before="0" w:after="200" w:lineRule="auto" w:line="276"/>
      </w:pPr>
      <w:r>
        <w:rPr>
          <w:b/>
        </w:rPr>
        <w:t xml:space="preserve">Abstract (EN): </w:t>
      </w:r>
      <w:r>
        <w:t>Invasive pulmonary mucormycosis (IPM) is a severe opportunistic mold infection whose outcome is predominantly host driven. Preclinical proof-of-concept studies and clinical case reports in salvage therapy settings suggested a benefit of immune checkpoint inhibitors (ICIs) in IPM management. However, the kinetics of infection-induced immune paralysis and optimal timing of ICI therapy remain poorly understood. Here, we performed sequential nCounter-based transcriptomics on lung tissue of cyclophosphamide-immunosuppressed mice with IPM (</w:t>
      </w:r>
      <w:r>
        <w:t xml:space="preserve"> </w:t>
      </w:r>
      <w:r>
        <w:t>Rhizopus arrhizus</w:t>
      </w:r>
      <w:r>
        <w:t xml:space="preserve"> </w:t>
      </w:r>
      <w:r>
        <w:t>infection) to dynamically study the pulmonary immune environment. Within 7 d after infection, lungs of mice with IPM showed reversal of early proinflammatory signaling, impaired T cell signaling, and upregulation of exhaustion markers. Similar immune paralysis signatures were seen in mice with invasive pulmonary aspergillosis and fusariosis. For therapeutic studies, Mucorales-active antifungal therapy with isavuconazonium sulfate (ISAV) was initiated on day 3 after IPM infection, along with anti-PD-L1 or a nontargeting isotype antibody (control) given either on days 3 + 5 (early) or days 6 + 8 (late). Both early and late adjunct anti-PD-L1 therapy were well tolerated and significantly improved morbidity/mortality outcomes compared to ISAV + isotype. Notably, early adjunct anti-PD-L1 therapy promoted significantly stronger innate immune cell activation, upregulation of key cytokine pathways, reinvigoration of T-helper-cell signaling, and reversal of IPM-induced exhaustion signals than both late adjunct anti-PD-L1 and isotype control. These findings indicate that combined antifungal and early immunomodulatory therapy may be an important strategy to intercept immune paralysis and improve outcomes in immunocompromised hosts with IPM, inviting further preclinical and clinical exploration of early host-directed interventions to treat deadly mold pneumonias.</w:t>
      </w:r>
    </w:p>
    <w:p>
      <w:pPr>
        <w:spacing w:before="120" w:after="120"/>
      </w:pPr>
      <w:r>
        <w:rPr>
          <w:sz w:val="18"/>
        </w:rPr>
        <w:t>——————————————————————————————————————————————————————————————————————</w:t>
      </w:r>
    </w:p>
    <w:p>
      <w:pPr>
        <w:spacing w:before="160" w:after="40" w:line="240" w:lineRule="auto"/>
      </w:pPr>
      <w:r>
        <w:rPr>
          <w:b/>
        </w:rPr>
        <w:t xml:space="preserve">[288] </w:t>
      </w:r>
      <w:hyperlink r:id="rId769">
        <w:r>
          <w:rPr>
            <w:color w:val="1155CC"/>
            <w:u w:val="single"/>
          </w:rPr>
          <w:t>水力几何假说允许从二维河道网络逆向工程三维准平衡地貌：地球、火星、土卫六</w:t>
        </w:r>
      </w:hyperlink>
    </w:p>
    <w:p>
      <w:pPr>
        <w:spacing w:before="0" w:after="80"/>
      </w:pPr>
      <w:r>
        <w:rPr>
          <w:i/>
          <w:sz w:val="20"/>
        </w:rPr>
        <w:t>EN: Hydraulic geometry hypothesis allows reverse engineering of 3D quasi-equilibrium landscapes from 2D channel networks: Earth, Mars, Titan</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770">
        <w:r>
          <w:rPr>
            <w:color w:val="1155CC"/>
            <w:u w:val="single"/>
          </w:rPr>
          <w:t>10.1073/pnas.2513733123</w:t>
        </w:r>
      </w:hyperlink>
    </w:p>
    <w:p>
      <w:pPr>
        <w:spacing w:before="0" w:after="120"/>
      </w:pPr>
      <w:r>
        <w:rPr>
          <w:b/>
        </w:rPr>
        <w:t xml:space="preserve">Notes: </w:t>
      </w:r>
      <w:r>
        <w:t>abstract_source=crossref</w:t>
      </w:r>
    </w:p>
    <w:p>
      <w:pPr>
        <w:spacing w:before="0" w:after="80" w:lineRule="auto" w:line="276"/>
      </w:pPr>
      <w:r>
        <w:rPr>
          <w:b/>
        </w:rPr>
        <w:t xml:space="preserve">摘要（ZH）: </w:t>
      </w:r>
      <w:r>
        <w:t>河流流域内水系网络的 2D 树枝状结构此前尚未与河段尺度的河道过程联系起来。现有将 2D 网络模型扩展到 3D 地貌的方法仅能生成像素化地貌，无法解析河道或其特性。仅凭水力几何学的点对点关系无法深入了解河流过程如何塑造河道嵌入其中的 3D 地貌。我们通过逆向工程具有所有属性可扩展维度的通用河流地貌来提供这种见解。我们通过耦合 a) 一个 2D 网络生成器，b) 无量纲、基于物理的砾石河床水力几何关系，以及 c) 一个简化坡面模型来实现这一点。流域高程面积曲线和起伏度，以及局部河道特性与流域结构之间的关系，仅凭这些组件中的一个无法预测。我们的模型不仅以具体、有量纲的术语预测了高程面积曲线等属性如何随河床粒径、降水和流域面积的变化而变化，而且还解释了其原因，因为每个模型元素都可以单独或联合进行探究。我们的方法为研究不同年平均降水量和强度对流域结构的影响提供了一个工具。我们的核心应用是地球上构造不活跃、准平衡、低起伏的山地地貌。我们通过将其应用于类比的行星河流地貌，强调了我们公式所提供的见解。我们为火星和土卫六实施了这一点，使用了适当的重力加速度和沉积物值。</w:t>
      </w:r>
    </w:p>
    <w:p>
      <w:pPr>
        <w:spacing w:before="0" w:after="200" w:lineRule="auto" w:line="276"/>
      </w:pPr>
      <w:r>
        <w:rPr>
          <w:b/>
        </w:rPr>
        <w:t xml:space="preserve">Abstract (EN): </w:t>
      </w:r>
      <w:r>
        <w:t>The 2D dendritic structure of stream networks within fluvial catchments has not previously been linked to reach-scale channel processes. Existing extensions of 2D network models to 3D landscapes yield only pixelized landscapes, without resolving channels or their properties. At-a-point relations for hydraulic geometry alone provide no insight into how fluvial processes sculpt 3D landscapes in which channels are embedded. We provide this insight by reverse-engineering generic fluvial landscapes with scalable dimensions for all attributes. We do this by coupling a) a 2D network generator, b) dimensionless, physically grounded relations for gravel-bed river hydraulic geometry, and c) a simplified hillslope model. Catchment hypsometric curve and relief, as well as relations between local channel properties and basin structure, cannot be predicted with just one of these components. Our model predicts in specific, dimensioned terms not only how attributes such as hypsometric curve change with changing bed grain size, precipitation and catchment area, but also why, because each model element can be interrogated individually or jointly. Our method offers a tool for studying the effect of varied mean annual precipitation and intensity on catchment structure. Our central application is to tectonically inactive, quasi-equilibrium, low-relief montane landscapes on Earth. We underline the insight provided by our formulation through application to analogous planetary fluvial landscapes. We implement this for Mars and Titan using appropriate values for gravitational acceleration and sediment submerged specific gravity, both freely variable in our model. Our reverse-engineering methodology indicates why and how an analogous class of landscapes should differ in different planetary settings.</w:t>
      </w:r>
    </w:p>
    <w:p>
      <w:pPr>
        <w:spacing w:before="120" w:after="120"/>
      </w:pPr>
      <w:r>
        <w:rPr>
          <w:sz w:val="18"/>
        </w:rPr>
        <w:t>——————————————————————————————————————————————————————————————————————</w:t>
      </w:r>
    </w:p>
    <w:p>
      <w:pPr>
        <w:spacing w:before="160" w:after="40" w:line="240" w:lineRule="auto"/>
      </w:pPr>
      <w:r>
        <w:rPr>
          <w:b/>
        </w:rPr>
        <w:t xml:space="preserve">[289] </w:t>
      </w:r>
      <w:hyperlink r:id="rId771">
        <w:r>
          <w:rPr>
            <w:color w:val="1155CC"/>
            <w:u w:val="single"/>
          </w:rPr>
          <w:t>OptoRibo-seq用于局部蛋白质翻译组的时空分辨映射</w:t>
        </w:r>
      </w:hyperlink>
    </w:p>
    <w:p>
      <w:pPr>
        <w:spacing w:before="0" w:after="80"/>
      </w:pPr>
      <w:r>
        <w:rPr>
          <w:i/>
          <w:sz w:val="20"/>
        </w:rPr>
        <w:t>EN: OptoRibo-seq for spatiotemporally resolved mapping of the local protein translatome</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772">
        <w:r>
          <w:rPr>
            <w:color w:val="1155CC"/>
            <w:u w:val="single"/>
          </w:rPr>
          <w:t>10.1073/pnas.2519235123</w:t>
        </w:r>
      </w:hyperlink>
    </w:p>
    <w:p>
      <w:pPr>
        <w:spacing w:before="0" w:after="120"/>
      </w:pPr>
      <w:r>
        <w:rPr>
          <w:b/>
        </w:rPr>
        <w:t xml:space="preserve">Notes: </w:t>
      </w:r>
      <w:r>
        <w:t>abstract_source=crossref</w:t>
      </w:r>
    </w:p>
    <w:p>
      <w:pPr>
        <w:spacing w:before="0" w:after="80" w:lineRule="auto" w:line="276"/>
      </w:pPr>
      <w:r>
        <w:rPr>
          <w:b/>
        </w:rPr>
        <w:t xml:space="preserve">摘要（ZH）: </w:t>
      </w:r>
      <w:r>
        <w:t>局部蛋白质翻译发生在众多亚细胞区室中，通过响应亚细胞需求快速改变蛋白质组成来调节多种生物过程。现有用于亚细胞局部翻译的检测方法要么需要物理分离（容易受到污染和材料损失），要么需要基于成像的读数（通常受限于低通量）。在本研究中，我们报告了 optoRibo-seq 方法的开发，该方法具有在基因特异性亚细胞位置对核糖体进行光活化酶介导的邻近标记的特点。我们展示了 optoRibo-seq 在内质网 (ER) 膜上的空间特异性，时间分辨率为 1 分钟。在经历化学诱导的 ER 应激的细胞中，optoRibo-seq 能够绘制 ER 邻近翻译组的动态变化图，识别出参与蛋白质折叠和靶向的转录本。我们的策略为亚细胞蛋白质翻译的时空分辨分析提供了一个通用平台。</w:t>
      </w:r>
    </w:p>
    <w:p>
      <w:pPr>
        <w:spacing w:before="0" w:after="200" w:lineRule="auto" w:line="276"/>
      </w:pPr>
      <w:r>
        <w:rPr>
          <w:b/>
        </w:rPr>
        <w:t xml:space="preserve">Abstract (EN): </w:t>
      </w:r>
      <w:r>
        <w:t>Localized protein translation occurs in numerous subcellular compartments and regulates diverse biological processes by rapidly changing protein compositions in response to subcellular needs. Existing assays for subcellular local translation either require physical isolation, which is prone to contamination and loss of material, or imaging-based readout, which is often hampered with low throughput. In this study, we report the development of the optoRibo-seq method that features photoactivatable enzyme-mediated proximity labeling of ribosomes in genetically specified subcellular locations. We demonstrate the spatial specificity of optoRibo-seq at the endoplasmic reticulum (ER) membrane, with a temporal resolution of 1 min. In cells undergoing chemically induced ER stress, optoRibo-seq allowed mapping of the dynamic changes in the ER-proximal translatome, identifying transcripts involved in protein folding and targeting. Our strategy provides a general platform for spatiotemporally resolved profiling of subcellular protein translation.</w:t>
      </w:r>
    </w:p>
    <w:p>
      <w:pPr>
        <w:spacing w:before="120" w:after="120"/>
      </w:pPr>
      <w:r>
        <w:rPr>
          <w:sz w:val="18"/>
        </w:rPr>
        <w:t>——————————————————————————————————————————————————————————————————————</w:t>
      </w:r>
    </w:p>
    <w:p>
      <w:pPr>
        <w:spacing w:before="160" w:after="40" w:line="240" w:lineRule="auto"/>
      </w:pPr>
      <w:r>
        <w:rPr>
          <w:b/>
        </w:rPr>
        <w:t xml:space="preserve">[290] </w:t>
      </w:r>
      <w:hyperlink r:id="rId773">
        <w:r>
          <w:rPr>
            <w:color w:val="1155CC"/>
            <w:u w:val="single"/>
          </w:rPr>
          <w:t>基于AI的乳腺X线摄影风险评分 (MRS) 在不同女性人群中对乳腺癌的普适性</w:t>
        </w:r>
      </w:hyperlink>
    </w:p>
    <w:p>
      <w:pPr>
        <w:spacing w:before="0" w:after="80"/>
      </w:pPr>
      <w:r>
        <w:rPr>
          <w:i/>
          <w:sz w:val="20"/>
        </w:rPr>
        <w:t>EN: Generalizability of an AI-based mammogram risk score (MRS) for breast cancer among diverse populations of women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74">
        <w:r>
          <w:rPr>
            <w:color w:val="1155CC"/>
            <w:u w:val="single"/>
          </w:rPr>
          <w:t>10.1126/sciadv.ady3905</w:t>
        </w:r>
      </w:hyperlink>
    </w:p>
    <w:p>
      <w:pPr>
        <w:spacing w:before="0" w:after="120"/>
      </w:pPr>
      <w:r>
        <w:rPr>
          <w:b/>
        </w:rPr>
        <w:t xml:space="preserve">Notes: </w:t>
      </w:r>
      <w:r>
        <w:t>abstract_source=crossref</w:t>
      </w:r>
    </w:p>
    <w:p>
      <w:pPr>
        <w:spacing w:before="0" w:after="80" w:lineRule="auto" w:line="276"/>
      </w:pPr>
      <w:r>
        <w:rPr>
          <w:b/>
        </w:rPr>
        <w:t xml:space="preserve">摘要（ZH）: </w:t>
      </w:r>
      <w:r>
        <w:t>结合遗传和临床因素（包括乳腺密度）的传统预测模型在非欧洲人群中表现不佳。我们研究了一种人工智能衍生的乳腺 X 线摄影风险评分 (MRS)，它是纹理特征的总结，能够捕捉固有的乳腺组织特征——癌症发展的基质。本研究利用了来自两个北美筛查队列的数据，总计超过 226,000 名女性，包括非西班牙裔白人、非西班牙裔黑人、东亚裔、南亚裔和原住民女性。MRS 分布在队列之间以及跨种族和民族亚组中显示出非显著性偏移（和相似的 SD）。MRS 随年龄增长而增加，并且在年龄调整后与乳腺癌风险显著相关，每 SD 的风险比范围从 2.24 [95% 置信区间 (CI), 2.03 至 2.46] 到 2.32 (95% CI, 2.25 至 2.39)。在所有亚组中，关联性仍然显著。校准在跨种族和民族群体以及跨全视野数字乳腺 X 线摄影和断层合成方面表现出色。这些发现确立了 MRS 作为一个独立于种族或民族的强大预测因子，展示了其更广泛的临床应用潜力。</w:t>
      </w:r>
    </w:p>
    <w:p>
      <w:pPr>
        <w:spacing w:before="0" w:after="200" w:lineRule="auto" w:line="276"/>
      </w:pPr>
      <w:r>
        <w:rPr>
          <w:b/>
        </w:rPr>
        <w:t xml:space="preserve">Abstract (EN): </w:t>
      </w:r>
      <w:r>
        <w:t>Conventional prediction models incorporating genetic and clinical factors including breast density underperform in non-European populations. We investigated an artificial intelligence–derived mammogram risk score (MRS), a summary of texture features that captures intrinsic breast-tissue characteristics—the substrate for cancer development. This study leveraged data from two North American screening cohorts totaling &amp;gt;226,000 women, including non-Hispanic white, non-Hispanic Black, East Asian, South Asian, and Indigenous women. MRS distributions showed nonsignificant shifts (and similar SDs) between cohorts and across race and ethnic subgroups. MRS increased with age and was significantly associated with breast cancer risk, with hazard ratios per SD ranging from 2.24 [95% confidence interval (CI), 2.03 to 2.46] to 2.32 (95% CI, 2.25 to 2.39) after age adjustment. Associations remained significant within all subgroups. Calibration was excellent across the racial and ethnic groups and across full-field digital mammograms and tomosynthesis. These findings establish MRS as a strong predictor that is independent of race or ethnicity, demonstrating its potential for broader clinical utility.</w:t>
      </w:r>
    </w:p>
    <w:p>
      <w:pPr>
        <w:spacing w:before="120" w:after="120"/>
      </w:pPr>
      <w:r>
        <w:rPr>
          <w:sz w:val="18"/>
        </w:rPr>
        <w:t>——————————————————————————————————————————————————————————————————————</w:t>
      </w:r>
    </w:p>
    <w:p>
      <w:pPr>
        <w:spacing w:before="160" w:after="40" w:line="240" w:lineRule="auto"/>
      </w:pPr>
      <w:r>
        <w:rPr>
          <w:b/>
        </w:rPr>
        <w:t xml:space="preserve">[291] </w:t>
      </w:r>
      <w:hyperlink r:id="rId775">
        <w:r>
          <w:rPr>
            <w:color w:val="1155CC"/>
            <w:u w:val="single"/>
          </w:rPr>
          <w:t>髓系细胞衍生的氧化应激激活NRF2诱导乳腺癌中SNAI驱动的EMT特征</w:t>
        </w:r>
      </w:hyperlink>
    </w:p>
    <w:p>
      <w:pPr>
        <w:spacing w:before="0" w:after="80"/>
      </w:pPr>
      <w:r>
        <w:rPr>
          <w:i/>
          <w:sz w:val="20"/>
        </w:rPr>
        <w:t>EN: NRF2 activation by myeloid cell–derived oxidative stress induces SNAI-driven features of EMT in breast cancer</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776">
        <w:r>
          <w:rPr>
            <w:color w:val="1155CC"/>
            <w:u w:val="single"/>
          </w:rPr>
          <w:t>10.1073/pnas.2521491123</w:t>
        </w:r>
      </w:hyperlink>
    </w:p>
    <w:p>
      <w:pPr>
        <w:spacing w:before="0" w:after="120"/>
      </w:pPr>
      <w:r>
        <w:rPr>
          <w:b/>
        </w:rPr>
        <w:t xml:space="preserve">Notes: </w:t>
      </w:r>
      <w:r>
        <w:t>abstract_source=crossref</w:t>
      </w:r>
    </w:p>
    <w:p>
      <w:pPr>
        <w:spacing w:before="0" w:after="80" w:lineRule="auto" w:line="276"/>
      </w:pPr>
      <w:r>
        <w:rPr>
          <w:b/>
        </w:rPr>
        <w:t xml:space="preserve">摘要（ZH）: </w:t>
      </w:r>
      <w:r>
        <w:t>转移通过上皮-间充质转化（EMT）得以促进，EMT是一个上皮癌细胞（包括乳腺癌细胞）获得间充质样表型的过程。NADPH氧化酶2（NOX2）产生的活性氧（ROS）是髓系细胞主要的炎症和抗菌特征。炎症与EMT有关，但肿瘤浸润髓系细胞释放的ROS在EMT中的作用尚不清楚。在人或鼠髓系细胞与乳腺癌细胞的共培养实验中，我们观察到NOX2衍生的ROS通过激活SNAI转录因子，并由ROS敏感的转录因子NRF2介导，诱导了MCF-7、T-47D、4T1和EO771细胞发生EMT样变化。向携带原位植入的4T1或EO771肿瘤的小鼠瘤内注射NOX2/ROS激活肽WKYMVm，增加了原发肿瘤生长，增强了肿瘤细胞EMT标志物的表达，并加剧了远处转移。髓系细胞释放的ROS的作用可以通过外源性过氧化氢（H2O2）模拟，并可被ROS清除剂或NOX2抑制剂逆转。相应地，来自Nox2缺陷小鼠的髓系细胞在体外或体内诱导乳腺癌细胞发生EMT的倾向较低。对公开的人类乳腺癌数据集的分析显示，肿瘤微环境中NOX2与EMT相关基因表达之间存在相关性。此外，NOX2亚基基因的高表达以及</w:t>
      </w:r>
    </w:p>
    <w:p>
      <w:pPr>
        <w:spacing w:before="0" w:after="200" w:lineRule="auto" w:line="276"/>
      </w:pPr>
      <w:r>
        <w:rPr>
          <w:b/>
        </w:rPr>
        <w:t xml:space="preserve">Abstract (EN): </w:t>
      </w:r>
      <w:r>
        <w:t>Metastasis is facilitated by epithelial-to-mesenchymal transition (EMT), a process in which epithelial cancer cells, including breast cancer cells, acquire mesenchymal-like phenotypes. Production of reactive oxygen species (ROS) by NADPH oxidase 2 (NOX2) is a principal inflammatory and antimicrobial feature of myeloid cells. Inflammation has been linked to EMT, but the role of ROS released from tumor-infiltrating myeloid cells in EMT is unknown. In coculture experiments with human or murine myeloid cells and breast cancer cells, we observed that NOX2-derived ROS induced EMT-like changes in MCF-7, T-47D, 4T1, and EO771 cells via activation of SNAI transcription factors, mediated by the ROS-sensitive transcription factor NRF2. Intratumoral administration of the NOX2/ROS-activating peptide WKYMVm to mice carrying orthotopically implanted 4T1 or EO771 tumors increased primary tumor growth, augmented tumor cell expression of EMT markers and aggravated distant metastasis. Effects of ROS released from myeloid cells were mimicked by exogenous hydrogen peroxide (H</w:t>
      </w:r>
      <w:r>
        <w:rPr>
          <w:vertAlign w:val="subscript"/>
        </w:rPr>
        <w:t>2</w:t>
      </w:r>
      <w:r>
        <w:t>O</w:t>
      </w:r>
      <w:r>
        <w:rPr>
          <w:vertAlign w:val="subscript"/>
        </w:rPr>
        <w:t>2</w:t>
      </w:r>
      <w:r>
        <w:t>) and reversed by a ROS scavenger or a NOX2 inhibitor. In accordance, myeloid cells from</w:t>
      </w:r>
      <w:r>
        <w:t xml:space="preserve"> </w:t>
      </w:r>
      <w:r>
        <w:t>Nox2</w:t>
      </w:r>
      <w:r>
        <w:t xml:space="preserve"> </w:t>
      </w:r>
      <w:r>
        <w:t>-deficient mice were less prone to induce EMT in breast cancer cells in vitro or in vivo. Analysis of publicly available human breast cancer datasets showed correlations between NOX2 and EMT-related gene expression within the tumor microenvironment. Additionally, high expression of NOX2 subunit genes and</w:t>
      </w:r>
      <w:r>
        <w:t xml:space="preserve"> </w:t>
      </w:r>
      <w:r>
        <w:t>SNAI1</w:t>
      </w:r>
      <w:r>
        <w:t xml:space="preserve"> </w:t>
      </w:r>
      <w:r>
        <w:t>associated with reduced metastasis-free survival. These findings imply that myeloid cell–derived ROS initiate partial EMT in breast cancer cells to promote dissemination and that strategies to target myeloid cell–derived ROS may be explored to limit metastasis.</w:t>
      </w:r>
    </w:p>
    <w:p>
      <w:pPr>
        <w:spacing w:before="120" w:after="120"/>
      </w:pPr>
      <w:r>
        <w:rPr>
          <w:sz w:val="18"/>
        </w:rPr>
        <w:t>——————————————————————————————————————————————————————————————————————</w:t>
      </w:r>
    </w:p>
    <w:p>
      <w:pPr>
        <w:spacing w:before="160" w:after="40" w:line="240" w:lineRule="auto"/>
      </w:pPr>
      <w:r>
        <w:rPr>
          <w:b/>
        </w:rPr>
        <w:t xml:space="preserve">[292] </w:t>
      </w:r>
      <w:hyperlink r:id="rId777">
        <w:r>
          <w:rPr>
            <w:color w:val="1155CC"/>
            <w:u w:val="single"/>
          </w:rPr>
          <w:t>解释云中干空气夹带导致的非均匀混合的主导特征</w:t>
        </w:r>
      </w:hyperlink>
    </w:p>
    <w:p>
      <w:pPr>
        <w:spacing w:before="0" w:after="80"/>
      </w:pPr>
      <w:r>
        <w:rPr>
          <w:i/>
          <w:sz w:val="20"/>
        </w:rPr>
        <w:t>EN: Interpreting the dominant signature of inhomogeneous mixing resulting from dry-air entrainment in clouds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78">
        <w:r>
          <w:rPr>
            <w:color w:val="1155CC"/>
            <w:u w:val="single"/>
          </w:rPr>
          <w:t>10.1126/sciadv.aeb6751</w:t>
        </w:r>
      </w:hyperlink>
    </w:p>
    <w:p>
      <w:pPr>
        <w:spacing w:before="0" w:after="120"/>
      </w:pPr>
      <w:r>
        <w:rPr>
          <w:b/>
        </w:rPr>
        <w:t xml:space="preserve">Notes: </w:t>
      </w:r>
      <w:r>
        <w:t>abstract_source=crossref</w:t>
      </w:r>
    </w:p>
    <w:p>
      <w:pPr>
        <w:spacing w:before="0" w:after="80" w:lineRule="auto" w:line="276"/>
      </w:pPr>
      <w:r>
        <w:rPr>
          <w:b/>
        </w:rPr>
        <w:t xml:space="preserve">摘要（ZH）: </w:t>
      </w:r>
      <w:r>
        <w:t>云滴与周围干燥空气混合时如何蒸发，对云的光学特性和寿命至关重要。我们通过ESCAPE野外活动期间对积云的观测发现，这种混合过程表现出强烈的非均匀性，即随着混合的进行，一部分云滴完全蒸发，而不是所有云滴部分蒸发。我们在二维蒸发-相弛豫空间中可视化了微物理特性，发现扩散湍流蒸发模型能够捕捉夹带过程的动态演变。结果表明，首先蒸发的云滴使云周围区域湿润，从而使未混合的干燥空气很少到达云核，这解释了为什么大多数混合事件表现出非均匀性。混合斜率参数也证实了混合过程的性质。基于非均匀混合模型，我们提出了一种适用于粗分辨率模型的云光学特性简单参数化方案。</w:t>
      </w:r>
    </w:p>
    <w:p>
      <w:pPr>
        <w:spacing w:before="0" w:after="200" w:lineRule="auto" w:line="276"/>
      </w:pPr>
      <w:r>
        <w:rPr>
          <w:b/>
        </w:rPr>
        <w:t xml:space="preserve">Abstract (EN): </w:t>
      </w:r>
      <w:r>
        <w:t>How cloud droplets evaporate when mixed with the dry surrounding air is fundamental to cloud optical properties and lifetime. We find from observations in cumulus clouds made during the ESCAPE field campaign that this mixing process appears strongly inhomogeneous-like, where a subset of droplets evaporate completely as mixing proceeds, rather than all droplets partially evaporating. We visualize the microphysical properties in a two-dimensional evaporation-phase-relaxation space and find that a diffusive turbulent-evaporation model is able to capture the dynamic evolution of the entrainment process. The results indicate that the first evaporating droplets humidify the region around the cloud so that the unmixed dry air rarely reaches the core, explaining why most mixing events appear inhomogeneous. A mixing slope parameter also confirms the nature of the mixing process. On the basis of the inhomogeneous mixing model, we propose a simple parameterization of cloud optical properties suitable for coarse-resolution models.</w:t>
      </w:r>
    </w:p>
    <w:p>
      <w:pPr>
        <w:spacing w:before="120" w:after="120"/>
      </w:pPr>
      <w:r>
        <w:rPr>
          <w:sz w:val="18"/>
        </w:rPr>
        <w:t>——————————————————————————————————————————————————————————————————————</w:t>
      </w:r>
    </w:p>
    <w:p>
      <w:pPr>
        <w:spacing w:before="160" w:after="40" w:line="240" w:lineRule="auto"/>
      </w:pPr>
      <w:r>
        <w:rPr>
          <w:b/>
        </w:rPr>
        <w:t xml:space="preserve">[293] </w:t>
      </w:r>
      <w:hyperlink r:id="rId779">
        <w:r>
          <w:rPr>
            <w:color w:val="1155CC"/>
            <w:u w:val="single"/>
          </w:rPr>
          <w:t>COST1刺激RHD3 GTPase活性以维持拟南芥的内质网形态和植物生长</w:t>
        </w:r>
      </w:hyperlink>
    </w:p>
    <w:p>
      <w:pPr>
        <w:spacing w:before="0" w:after="80"/>
      </w:pPr>
      <w:r>
        <w:rPr>
          <w:i/>
          <w:sz w:val="20"/>
        </w:rPr>
        <w:t>EN: COST1 stimulates RHD3 GTPase activity to maintain ER morphology and plant growth in Arabidopsis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80">
        <w:r>
          <w:rPr>
            <w:color w:val="1155CC"/>
            <w:u w:val="single"/>
          </w:rPr>
          <w:t>10.1126/sciadv.aee4450</w:t>
        </w:r>
      </w:hyperlink>
    </w:p>
    <w:p>
      <w:pPr>
        <w:spacing w:before="0" w:after="120"/>
      </w:pPr>
      <w:r>
        <w:rPr>
          <w:b/>
        </w:rPr>
        <w:t xml:space="preserve">Notes: </w:t>
      </w:r>
      <w:r>
        <w:t>abstract_source=crossref</w:t>
      </w:r>
    </w:p>
    <w:p>
      <w:pPr>
        <w:spacing w:before="0" w:after="80" w:lineRule="auto" w:line="276"/>
      </w:pPr>
      <w:r>
        <w:rPr>
          <w:b/>
        </w:rPr>
        <w:t xml:space="preserve">摘要（ZH）: </w:t>
      </w:r>
      <w:r>
        <w:t>内质网（ER）对细胞稳态至关重要，但调控其结构的植物特异性机制仍知之甚少。在此，我们揭示了拟南芥（Arabidopsis）动力蛋白样GTP酶RHD3与植物特异性DUF641蛋白COST1在维持内质网形态和植物生长方面的功能性伙伴关系。COST1此前被分离鉴定为干旱响应中自噬的负调控因子。在本研究中，通过使用IP-MS，我们将COST1鉴定为一种与内质网相关的蛋白，它直接与内质网膜融合的关键调控因子RHD3相互作用。COST1尽管缺乏跨膜结构域，但通过RHD3与内质网膜紧密结合，RHD3将COST1招募到内质网三向连接处。此外，COST1招募到内质网可以提高RHD3的二聚化及其蛋白稳定性。生化分析表明，COST1将RHD3的GTP水解活性提高了约20%，并显著促进了其膜融合能力。结构建模预测了一个异四聚体复合物，其与每个蛋白的多个螺旋束缠绕在一起，其中COST1的羧基末端结构域与RHD3的GTP酶区域对齐，这表明了一种GTP水解调控机制。遗传分析表明，与单突变体相比，cost1 rhd3双突变体表现出更严重的内质网碎片化和生长迟缓，强调了它们的协同作用。转录组分析将这些表型与紊乱的应激响应和生长途径联系起来。我们的发现揭示了</w:t>
      </w:r>
    </w:p>
    <w:p>
      <w:pPr>
        <w:spacing w:before="0" w:after="200" w:lineRule="auto" w:line="276"/>
      </w:pPr>
      <w:r>
        <w:rPr>
          <w:b/>
        </w:rPr>
        <w:t xml:space="preserve">Abstract (EN): </w:t>
      </w:r>
      <w:r>
        <w:t>The endoplasmic reticulum (ER) is essential for cellular homeostasis, yet plant-specific mechanisms regulating its structure remain poorly understood. Here, we uncover a functional partnership between the</w:t>
      </w:r>
      <w:r>
        <w:t xml:space="preserve"> </w:t>
      </w:r>
      <w:r>
        <w:t>Arabidopsis</w:t>
      </w:r>
      <w:r>
        <w:t xml:space="preserve"> </w:t>
      </w:r>
      <w:r>
        <w:t>dynamin-like GTPase RHD3 and the plant-specific DUF641 protein COST1 in maintaining ER morphology and plant growth. COST1 was previously isolated as a negative regulator of autophagy in the drought response. In this study, by using IP-MS, we identified COST1 as an ER-associated protein that interacts directly with RHD3, a key regulator of ER membrane fusion. COST1, despite lacking transmembrane domains, tightly associates with the ER membrane via RHD3, which recruits COST1 to ER three-way junctions. In addition, recruiting of COST1 to the ER can improve the dimerization of RHD3 and its protein stability. Biochemical assays revealed that COST1 promotes the GTP hydrolysis activity of RHD3 by ~20% and significantly stimulates its membrane fusion capacity. Structural modeling predicts a heterotetrameric complex entangled with each protein’s multiple helix bundles, where COST1’s carboxyl-terminal domain aligns with RHD3’s GTPase region, suggesting a mechanism for GTP hydrolysis regulation. Genetic analyses demonstrated that</w:t>
      </w:r>
      <w:r>
        <w:t xml:space="preserve"> </w:t>
      </w:r>
      <w:r>
        <w:t>cost1 rhd3</w:t>
      </w:r>
      <w:r>
        <w:t xml:space="preserve"> </w:t>
      </w:r>
      <w:r>
        <w:t>double mutants exhibit exacerbated ER fragmentation and stunted growth compared with single mutants, underscoring their synergistic roles. Transcriptomic profiling linked these phenotypes to disordered stress responding and growth pathways. Our findings reveal a plant-specific regulatory module in which COST1 partners with RHD3 to govern ER architecture, bridging membrane dynamics with growth and stress adaptation, providing insights into ER maintenance mechanisms with plant innovations and the potential applications in improving crop resilience.</w:t>
      </w:r>
    </w:p>
    <w:p>
      <w:pPr>
        <w:spacing w:before="120" w:after="120"/>
      </w:pPr>
      <w:r>
        <w:rPr>
          <w:sz w:val="18"/>
        </w:rPr>
        <w:t>——————————————————————————————————————————————————————————————————————</w:t>
      </w:r>
    </w:p>
    <w:p>
      <w:pPr>
        <w:spacing w:before="160" w:after="40" w:line="240" w:lineRule="auto"/>
      </w:pPr>
      <w:r>
        <w:rPr>
          <w:b/>
        </w:rPr>
        <w:t xml:space="preserve">[294] </w:t>
      </w:r>
      <w:hyperlink r:id="rId781">
        <w:r>
          <w:rPr>
            <w:color w:val="1155CC"/>
            <w:u w:val="single"/>
          </w:rPr>
          <w:t>自由活动动物中血液-间质液隔室间分子动力学的连续监测</w:t>
        </w:r>
      </w:hyperlink>
    </w:p>
    <w:p>
      <w:pPr>
        <w:spacing w:before="0" w:after="80"/>
      </w:pPr>
      <w:r>
        <w:rPr>
          <w:i/>
          <w:sz w:val="20"/>
        </w:rPr>
        <w:t>EN: Continuous monitoring of blood–interstitial fluid intercompartmental molecular kinetics in freely moving animals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82">
        <w:r>
          <w:rPr>
            <w:color w:val="1155CC"/>
            <w:u w:val="single"/>
          </w:rPr>
          <w:t>10.1126/sciadv.aed1895</w:t>
        </w:r>
      </w:hyperlink>
    </w:p>
    <w:p>
      <w:pPr>
        <w:spacing w:before="0" w:after="120"/>
      </w:pPr>
      <w:r>
        <w:rPr>
          <w:b/>
        </w:rPr>
        <w:t xml:space="preserve">Notes: </w:t>
      </w:r>
      <w:r>
        <w:t>abstract_source=crossref</w:t>
      </w:r>
    </w:p>
    <w:p>
      <w:pPr>
        <w:spacing w:before="0" w:after="80" w:lineRule="auto" w:line="276"/>
      </w:pPr>
      <w:r>
        <w:rPr>
          <w:b/>
        </w:rPr>
        <w:t xml:space="preserve">摘要（ZH）: </w:t>
      </w:r>
      <w:r>
        <w:t>准确的健康监测依赖于对多个身体隔室中生化标志物的持续评估。尽管血液仍是临床金标准，但组织间液 (ISF) 提供了一种微创替代方案，能够反映局部组织生理学，尽管其生物标志物动力学常与血液不同。目前无法实现对这两个隔室的同时、持续监测，这限制了对它们动态关系的深入了解。为解决此问题，我们提出 BICEP (blood-ISF continuous-sensing electrochemical probe)，一个用于连续双隔室监测血液和 ISF 中分析物的无线电化学平台。BICEP 系统集成了具有抗生物污染适体界面的微加工软传感器，并与可穿戴恒电位仪配对，用于远程配置和读数。利用该系统，我们持续追踪了麻醉和自由活动大鼠体内的卡那霉素信号，揭示了血液和 ISF 信号之间独特的动力学特征和个体化的时间延迟。这些发现证实，ISF 不仅仅是血液的替代物，它还表现出受个体变异性和生理状态影响的独特分子动力学。该平台通过提供血液和 ISF 生物标志物的整合动态关联，推进了个性化健康监测，加深了对它们在真实条件下生理相互作用的理解，并为可穿戴 ISF 生物传感器的更广泛应用铺平了道路。</w:t>
      </w:r>
    </w:p>
    <w:p>
      <w:pPr>
        <w:spacing w:before="0" w:after="200" w:lineRule="auto" w:line="276"/>
      </w:pPr>
      <w:r>
        <w:rPr>
          <w:b/>
        </w:rPr>
        <w:t xml:space="preserve">Abstract (EN): </w:t>
      </w:r>
      <w:r>
        <w:t>Accurate health monitoring depends on continuous assessment of biochemical markers across multiple body compartments. While blood remains the clinical gold standard, interstitial fluid (ISF) presents a minimally invasive alternative that reflects local tissue physiology, although its biomarker kinetics often differ from blood. It is currently impossible to achieve simultaneous, continuous monitoring of both compartments, limiting insight into their dynamic relationship. To address this, we present BICEP (blood-ISF continuous-sensing electrochemical probe), a wireless electrochemical platform for continuous dual-compartment monitoring of analytes in blood and ISF. The BICEP system incorporates microfabricated soft sensors with biofouling-resistant aptamer interfaces, paired with a wearable potentiostat for remote configuration and readout. Using this system, we continuously tracked kanamycin signal in both anesthetized and freely moving rats, revealing distinct kinetic profiles and individualized temporal delays between blood and ISF signals. These findings confirm that ISF is not merely a proxy for blood but exhibits unique molecular kinetics influenced by individual variability and physiological state. This platform advances personalized health monitoring by providing integrated, dynamic correlation of blood and ISF biomarkers, deepening understanding of their physiological interplay under real-life conditions and paving the way for broader use of wearable ISF-based biosensors.</w:t>
      </w:r>
    </w:p>
    <w:p>
      <w:pPr>
        <w:spacing w:before="120" w:after="120"/>
      </w:pPr>
      <w:r>
        <w:rPr>
          <w:sz w:val="18"/>
        </w:rPr>
        <w:t>——————————————————————————————————————————————————————————————————————</w:t>
      </w:r>
    </w:p>
    <w:p>
      <w:pPr>
        <w:spacing w:before="160" w:after="40" w:line="240" w:lineRule="auto"/>
      </w:pPr>
      <w:r>
        <w:rPr>
          <w:b/>
        </w:rPr>
        <w:t xml:space="preserve">[295] </w:t>
      </w:r>
      <w:hyperlink r:id="rId783">
        <w:r>
          <w:rPr>
            <w:color w:val="1155CC"/>
            <w:u w:val="single"/>
          </w:rPr>
          <w:t>急性温度对纤毛搏动的影响增加珊瑚脱氧</w:t>
        </w:r>
      </w:hyperlink>
    </w:p>
    <w:p>
      <w:pPr>
        <w:spacing w:before="0" w:after="80"/>
      </w:pPr>
      <w:r>
        <w:rPr>
          <w:i/>
          <w:sz w:val="20"/>
        </w:rPr>
        <w:t>EN: Acute temperature effects on cilia beating increase coral deoxygenation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84">
        <w:r>
          <w:rPr>
            <w:color w:val="1155CC"/>
            <w:u w:val="single"/>
          </w:rPr>
          <w:t>10.1126/sciadv.aeg0950</w:t>
        </w:r>
      </w:hyperlink>
    </w:p>
    <w:p>
      <w:pPr>
        <w:spacing w:before="0" w:after="120"/>
      </w:pPr>
      <w:r>
        <w:rPr>
          <w:b/>
        </w:rPr>
        <w:t xml:space="preserve">Notes: </w:t>
      </w:r>
      <w:r>
        <w:t>abstract_source=crossref</w:t>
      </w:r>
    </w:p>
    <w:p>
      <w:pPr>
        <w:spacing w:before="0" w:after="80" w:lineRule="auto" w:line="276"/>
      </w:pPr>
      <w:r>
        <w:rPr>
          <w:b/>
        </w:rPr>
        <w:t xml:space="preserve">摘要（ZH）: </w:t>
      </w:r>
      <w:r>
        <w:t>纤毛诱导的涡流对于调节珊瑚-水界面间的氧气 (O</w:t>
      </w:r>
      <w:r>
        <w:rPr>
          <w:vertAlign w:val="subscript"/>
        </w:rPr>
        <w:t>2</w:t>
      </w:r>
      <w:r>
        <w:t>) 和代谢物交换至关重要。尽管这种主动通气影响珊瑚组织微环境，但其在热应激中的作用仍知之甚少。利用纤毛搏动的高速成像、O</w:t>
      </w:r>
      <w:r>
        <w:rPr>
          <w:vertAlign w:val="subscript"/>
        </w:rPr>
        <w:t>2</w:t>
      </w:r>
      <w:r>
        <w:t>敏感纳米颗粒的粒子图像测速技术以及机械传输模型，我们量化了造礁珊瑚</w:t>
      </w:r>
      <w:r>
        <w:t xml:space="preserve"> </w:t>
      </w:r>
      <w:r>
        <w:t>Porites lutea</w:t>
      </w:r>
      <w:r>
        <w:t xml:space="preserve"> </w:t>
      </w:r>
      <w:r>
        <w:t>的纤毛动力学在黑暗中对急性升温的响应。适度升温（~35°C）增强了纤毛活动和对流传输，但却矛盾地使浓度边界层被 O</w:t>
      </w:r>
      <w:r>
        <w:rPr>
          <w:vertAlign w:val="subscript"/>
        </w:rPr>
        <w:t>2</w:t>
      </w:r>
      <w:r>
        <w:t>耗尽的水增厚，使组织暴露于短暂性缺氧。在更高温度下，通气未能满足日益增长的代谢需求，缺氧区域迅速扩大。超过 ~37°C 时，纤毛协调性崩溃，涡流消散，传输转变为扩散受限状态，加速了珊瑚死亡。这些结果表明，纤毛搏动是热耐受性的关键调节因子，也是在变暖、脱氧海洋中造礁珊瑚关键生理临界点的早期指标。</w:t>
      </w:r>
    </w:p>
    <w:p>
      <w:pPr>
        <w:spacing w:before="0" w:after="200" w:lineRule="auto" w:line="276"/>
      </w:pPr>
      <w:r>
        <w:rPr>
          <w:b/>
        </w:rPr>
        <w:t xml:space="preserve">Abstract (EN): </w:t>
      </w:r>
      <w:r>
        <w:t>Cilia-induced vortical flows are critical for regulating oxygen (O</w:t>
      </w:r>
      <w:r>
        <w:rPr>
          <w:vertAlign w:val="subscript"/>
        </w:rPr>
        <w:t>2</w:t>
      </w:r>
      <w:r>
        <w:t>) and metabolite exchange across coral-water interfaces. While this active ventilation affects the coral tissue microenvironment, its role in thermal stress remains poorly understood. Using high-speed imaging of cilia beating, particle image velocimetry with O</w:t>
      </w:r>
      <w:r>
        <w:rPr>
          <w:vertAlign w:val="subscript"/>
        </w:rPr>
        <w:t>2</w:t>
      </w:r>
      <w:r>
        <w:t>-sensitive nanoparticles, and a mechanistic transport model, we quantified how ciliary dynamics in the reef-building coral</w:t>
      </w:r>
      <w:r>
        <w:t xml:space="preserve"> </w:t>
      </w:r>
      <w:r>
        <w:t>Porites lutea</w:t>
      </w:r>
      <w:r>
        <w:t xml:space="preserve"> </w:t>
      </w:r>
      <w:r>
        <w:t>respond to acute warming in darkness. Moderate warming (~35°C) enhanced ciliary activity and advective transport yet paradoxically thickened the concentration boundary layer with O</w:t>
      </w:r>
      <w:r>
        <w:rPr>
          <w:vertAlign w:val="subscript"/>
        </w:rPr>
        <w:t>2</w:t>
      </w:r>
      <w:r>
        <w:t>-depleted water, exposing tissues to transient hypoxia. At higher temperatures, ventilation failed to meet rising metabolic demands and anoxic regions expanded rapidly. Above ~37°C, ciliary coordination collapsed and vortical flows dissipated, shifting transport to a diffusion-limited regime accelerating coral mortality. These results identify ciliary beating as a key regulator of thermal tolerance and early indicator of critical physiological tipping points for reef-building corals in a warming, deoxygenating ocean.</w:t>
      </w:r>
    </w:p>
    <w:p>
      <w:pPr>
        <w:spacing w:before="120" w:after="120"/>
      </w:pPr>
      <w:r>
        <w:rPr>
          <w:sz w:val="18"/>
        </w:rPr>
        <w:t>——————————————————————————————————————————————————————————————————————</w:t>
      </w:r>
    </w:p>
    <w:p>
      <w:pPr>
        <w:spacing w:before="160" w:after="40" w:line="240" w:lineRule="auto"/>
      </w:pPr>
      <w:r>
        <w:rPr>
          <w:b/>
        </w:rPr>
        <w:t xml:space="preserve">[296] </w:t>
      </w:r>
      <w:hyperlink r:id="rId785">
        <w:r>
          <w:rPr>
            <w:color w:val="1155CC"/>
            <w:u w:val="single"/>
          </w:rPr>
          <w:t>洪泛区坡度组织亚马逊流域河流的汊道和颈部曲流截弯</w:t>
        </w:r>
      </w:hyperlink>
    </w:p>
    <w:p>
      <w:pPr>
        <w:spacing w:before="0" w:after="80"/>
      </w:pPr>
      <w:r>
        <w:rPr>
          <w:i/>
          <w:sz w:val="20"/>
        </w:rPr>
        <w:t>EN: Floodplain slope organizes chute and neck meander cutoffs across rivers in the Amazon basin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86">
        <w:r>
          <w:rPr>
            <w:color w:val="1155CC"/>
            <w:u w:val="single"/>
          </w:rPr>
          <w:t>10.1126/sciadv.aef6658</w:t>
        </w:r>
      </w:hyperlink>
    </w:p>
    <w:p>
      <w:pPr>
        <w:spacing w:before="0" w:after="120"/>
      </w:pPr>
      <w:r>
        <w:rPr>
          <w:b/>
        </w:rPr>
        <w:t xml:space="preserve">Notes: </w:t>
      </w:r>
      <w:r>
        <w:t>abstract_source=crossref</w:t>
      </w:r>
    </w:p>
    <w:p>
      <w:pPr>
        <w:spacing w:before="0" w:after="80" w:lineRule="auto" w:line="276"/>
      </w:pPr>
      <w:r>
        <w:rPr>
          <w:b/>
        </w:rPr>
        <w:t xml:space="preserve">摘要（ZH）: </w:t>
      </w:r>
      <w:r>
        <w:t>河道截弯取直是亚马逊蜿蜒河流重塑其河道的基本机制，但其频率和类型在整个流域内如何变化仍不清楚。利用 1984 年至 2021 年的卫星图像，我们识别了所有宽度超过 90 m 的单股河道中的 1132 处截弯取直。我们发现截弯取直的类型在流域内分布不均：颈部截弯取直（</w:t>
      </w:r>
      <w:r>
        <w:t xml:space="preserve"> </w:t>
      </w:r>
      <w:r>
        <w:t>n</w:t>
      </w:r>
      <w:r>
        <w:t xml:space="preserve"> </w:t>
      </w:r>
      <w:r>
        <w:t>= 594）在低坡度洪泛平原中占主导地位，而汊道截弯取直（</w:t>
      </w:r>
      <w:r>
        <w:t xml:space="preserve"> </w:t>
      </w:r>
      <w:r>
        <w:t>n</w:t>
      </w:r>
      <w:r>
        <w:t xml:space="preserve"> </w:t>
      </w:r>
      <w:r>
        <w:t>= 456）在较陡峭的区域更为常见。截弯取直几何形状的双峰分布表明与颈部截弯取直和汊道截弯取直相关的过程存在根本性差异。结果表明，洪泛平原坡度是整个流域截弯取直类型的一级控制因素，而径流量和土地覆盖则作为二级控制因素。汊道截弯取直的平面几何形状比颈部截弯取直更具尺度无关性。这种全流域视角阐明了截弯取直类型在亚马逊地区如何系统性地变化，表明洪泛平原特性控制着静水生境的可用性。</w:t>
      </w:r>
    </w:p>
    <w:p>
      <w:pPr>
        <w:spacing w:before="0" w:after="200" w:lineRule="auto" w:line="276"/>
      </w:pPr>
      <w:r>
        <w:rPr>
          <w:b/>
        </w:rPr>
        <w:t xml:space="preserve">Abstract (EN): </w:t>
      </w:r>
      <w:r>
        <w:t>Channel cutoff is a fundamental mechanism by which meandering rivers of the Amazon reshape their courses, yet it remains unclear how their frequency and type vary across the river basin. Using satellite images from 1984 to 2021, we identified 1132 cutoffs across all single-threaded channels wider than 90 m. We find that cutoff types are unevenly distributed across the basin: Neck cutoffs (</w:t>
      </w:r>
      <w:r>
        <w:t xml:space="preserve"> </w:t>
      </w:r>
      <w:r>
        <w:t>n</w:t>
      </w:r>
      <w:r>
        <w:t xml:space="preserve"> </w:t>
      </w:r>
      <w:r>
        <w:t>= 594) dominate low-slope floodplains, while chute cutoffs (</w:t>
      </w:r>
      <w:r>
        <w:t xml:space="preserve"> </w:t>
      </w:r>
      <w:r>
        <w:t>n</w:t>
      </w:r>
      <w:r>
        <w:t xml:space="preserve"> </w:t>
      </w:r>
      <w:r>
        <w:t>= 456) are more common in steeper regions. Bimodal distributions of cutoff geometries indicate fundamentally different processes associated with neck and chute cutoffs. Results show that floodplain slope is a first-order control on cutoff type across the river basin, while water discharge and landcover act as secondary controls. The planform geometry of chute cutoffs is more scale-free than necks. This basin-wide perspective illustrates how cutoff type changes systematically across the Amazon, suggesting that floodplain properties control lentic habitat availability.</w:t>
      </w:r>
    </w:p>
    <w:p>
      <w:pPr>
        <w:spacing w:before="120" w:after="120"/>
      </w:pPr>
      <w:r>
        <w:rPr>
          <w:sz w:val="18"/>
        </w:rPr>
        <w:t>——————————————————————————————————————————————————————————————————————</w:t>
      </w:r>
    </w:p>
    <w:p>
      <w:pPr>
        <w:spacing w:before="160" w:after="40" w:line="240" w:lineRule="auto"/>
      </w:pPr>
      <w:r>
        <w:rPr>
          <w:b/>
        </w:rPr>
        <w:t xml:space="preserve">[297] </w:t>
      </w:r>
      <w:hyperlink r:id="rId787">
        <w:r>
          <w:rPr>
            <w:color w:val="1155CC"/>
            <w:u w:val="single"/>
          </w:rPr>
          <w:t>具有各向异性结构的生物启发离子热感受器用于机器人的热触觉感知</w:t>
        </w:r>
      </w:hyperlink>
    </w:p>
    <w:p>
      <w:pPr>
        <w:spacing w:before="0" w:after="80"/>
      </w:pPr>
      <w:r>
        <w:rPr>
          <w:i/>
          <w:sz w:val="20"/>
        </w:rPr>
        <w:t>EN: Bioinspired ionic thermoreceptors with anisotropic architecture for thermotactile perception in robots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88">
        <w:r>
          <w:rPr>
            <w:color w:val="1155CC"/>
            <w:u w:val="single"/>
          </w:rPr>
          <w:t>10.1126/sciadv.aed5473</w:t>
        </w:r>
      </w:hyperlink>
    </w:p>
    <w:p>
      <w:pPr>
        <w:spacing w:before="0" w:after="120"/>
      </w:pPr>
      <w:r>
        <w:rPr>
          <w:b/>
        </w:rPr>
        <w:t xml:space="preserve">Notes: </w:t>
      </w:r>
      <w:r>
        <w:t>abstract_source=crossref</w:t>
      </w:r>
    </w:p>
    <w:p>
      <w:pPr>
        <w:spacing w:before="0" w:after="80" w:lineRule="auto" w:line="276"/>
      </w:pPr>
      <w:r>
        <w:rPr>
          <w:b/>
        </w:rPr>
        <w:t xml:space="preserve">摘要（ZH）: </w:t>
      </w:r>
      <w:r>
        <w:t>模拟人类皮肤通过热触觉感知温度和识别材料的能力对于人机交互、机器人操作和假肢感官反馈系统至关重要。然而，传统的仿生热传感器主要局限于温度测量，无法复制生物系统中固有的热触觉介导的材料识别能力。在此，我们提出了一种具有各向异性热响应特性的仿生离子热感受器，能够实现高保真材料识别和精确温度监测。该器件集成了空间专用传感元件，将热信号编码为模态特定的时间响应模式，从而能够提取用于材料区分的热接触系数和用于精确热监测的绝对温度。它实现了高精度材料识别（98.9%）和显著的温度分辨率（0.81毫开尔文）。此外，功能层之间坚固的共价键合确保了机械耐用性、信号稳定性和环境适应性。这项工作建立了一个物理基础且能量自主的热触觉传感平台，用于安全、直观和智能的人机交互。</w:t>
      </w:r>
    </w:p>
    <w:p>
      <w:pPr>
        <w:spacing w:before="0" w:after="200" w:lineRule="auto" w:line="276"/>
      </w:pPr>
      <w:r>
        <w:rPr>
          <w:b/>
        </w:rPr>
        <w:t xml:space="preserve">Abstract (EN): </w:t>
      </w:r>
      <w:r>
        <w:t>Emulating human skin’s ability to perceive temperature and identify material through thermotactile perception is critical for human-machine interaction, robotics operation, and prosthetic sensory feedback systems. However, conventional artificial thermal sensors are largely limited to temperature measurement and cannot replicate the thermotactile-mediated material recognition capabilities inherent in biological systems. Here, we present a bioinspired ionic thermoreceptor with anisotropic thermal response characteristics, enabling high-fidelity material recognition and accurate temperature monitoring. The device incorporates spatially specialized sensing elements that encode thermal signals into modality-specific temporal response patterns, allowing the extraction of the thermal contact coefficient for material discrimination and the absolute temperature for precise thermal monitoring. It achieves high-accuracy material recognition (98.9%) and substantial temperature resolution (0.81 millikelvins). Furthermore, robust covalent bonding between functional layers ensures mechanical durability, signal stability, and environmental resilience. This work establishes a physically grounded and energy-autonomous thermotactile sensing platform for safe, intuitive, and intelligent human-machine interaction.</w:t>
      </w:r>
    </w:p>
    <w:p>
      <w:pPr>
        <w:spacing w:before="120" w:after="120"/>
      </w:pPr>
      <w:r>
        <w:rPr>
          <w:sz w:val="18"/>
        </w:rPr>
        <w:t>——————————————————————————————————————————————————————————————————————</w:t>
      </w:r>
    </w:p>
    <w:p>
      <w:pPr>
        <w:spacing w:before="160" w:after="40" w:line="240" w:lineRule="auto"/>
      </w:pPr>
      <w:r>
        <w:rPr>
          <w:b/>
        </w:rPr>
        <w:t xml:space="preserve">[298] </w:t>
      </w:r>
      <w:hyperlink r:id="rId789">
        <w:r>
          <w:rPr>
            <w:color w:val="1155CC"/>
            <w:u w:val="single"/>
          </w:rPr>
          <w:t>干燥矿物和H2流体形成非常规水和含水矿物</w:t>
        </w:r>
      </w:hyperlink>
    </w:p>
    <w:p>
      <w:pPr>
        <w:spacing w:before="0" w:after="80"/>
      </w:pPr>
      <w:r>
        <w:rPr>
          <w:i/>
          <w:sz w:val="20"/>
        </w:rPr>
        <w:t>EN: Unconventional water and hydrous mineral formation from dry minerals and H2 fluids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90">
        <w:r>
          <w:rPr>
            <w:color w:val="1155CC"/>
            <w:u w:val="single"/>
          </w:rPr>
          <w:t>10.1126/sciadv.aee6559</w:t>
        </w:r>
      </w:hyperlink>
    </w:p>
    <w:p>
      <w:pPr>
        <w:spacing w:before="0" w:after="120"/>
      </w:pPr>
      <w:r>
        <w:rPr>
          <w:b/>
        </w:rPr>
        <w:t xml:space="preserve">Notes: </w:t>
      </w:r>
      <w:r>
        <w:t>abstract_source=crossref</w:t>
      </w:r>
    </w:p>
    <w:p>
      <w:pPr>
        <w:spacing w:before="0" w:after="80" w:lineRule="auto" w:line="276"/>
      </w:pPr>
      <w:r>
        <w:rPr>
          <w:b/>
        </w:rPr>
        <w:t xml:space="preserve">摘要（ZH）: </w:t>
      </w:r>
      <w:r>
        <w:t>岩石圈中水的存在对于地球的地质演化以及生命的出现和延续至关重要。与板块构造相关的全球地质水循环一直被理解为一个由流体和熔体中或矿物结构中结合的氧和氢的存在所控制的系统。然而，最近关于岩石圈中H₂产生的研究表明，每年约有全球每年俯冲水输入量的25%至50%的水量转化为H₂。这种H₂可以脱离水循环，并可能在漫长的地质时间尺度上流失到太空中。在此，我们表明富含H₂的流体与含氧矿物的相互作用导致了非常规氧化还原水的形成。这影响了氢在地球内部的停留时间，并为含水流体、矿物和熔体如何在最初干燥的地质储层中形成提供了以前未曾识别的视角。</w:t>
      </w:r>
    </w:p>
    <w:p>
      <w:pPr>
        <w:spacing w:before="0" w:after="200" w:lineRule="auto" w:line="276"/>
      </w:pPr>
      <w:r>
        <w:rPr>
          <w:b/>
        </w:rPr>
        <w:t xml:space="preserve">Abstract (EN): </w:t>
      </w:r>
      <w:r>
        <w:t>Water availability in the lithosphere has been crucial to the geological evolution of Earth as well as the emergence and persistence of life. The global geological water cycle associated with plate tectonics has been understood as a system controlled by the presence of oxygen and hydrogen, either in fluids and melts or bound within mineral structures. However, recent work on H</w:t>
      </w:r>
      <w:r>
        <w:rPr>
          <w:vertAlign w:val="subscript"/>
        </w:rPr>
        <w:t>2</w:t>
      </w:r>
      <w:r>
        <w:t>production in the lithosphere indicates that a water mass equivalent to about 25 to 50% of global annual water inputs into subduction is converted to H</w:t>
      </w:r>
      <w:r>
        <w:rPr>
          <w:vertAlign w:val="subscript"/>
        </w:rPr>
        <w:t>2</w:t>
      </w:r>
      <w:r>
        <w:t>every year. This H</w:t>
      </w:r>
      <w:r>
        <w:rPr>
          <w:vertAlign w:val="subscript"/>
        </w:rPr>
        <w:t>2</w:t>
      </w:r>
      <w:r>
        <w:t>can be decoupled from the water cycle and potentially lost to space over geological timescales. Here, we show that the interaction of H</w:t>
      </w:r>
      <w:r>
        <w:rPr>
          <w:vertAlign w:val="subscript"/>
        </w:rPr>
        <w:t>2</w:t>
      </w:r>
      <w:r>
        <w:t>-rich fluids with oxygen-bearing minerals results in the formation of unconventional redox water. This influences the residence time of hydrogen in Earth’s interior and offers previously unidentified perspectives on how hydrous fluids, minerals, and melts may form in initially dry geological reservoirs.</w:t>
      </w:r>
    </w:p>
    <w:p>
      <w:pPr>
        <w:spacing w:before="120" w:after="120"/>
      </w:pPr>
      <w:r>
        <w:rPr>
          <w:sz w:val="18"/>
        </w:rPr>
        <w:t>——————————————————————————————————————————————————————————————————————</w:t>
      </w:r>
    </w:p>
    <w:p>
      <w:pPr>
        <w:spacing w:before="160" w:after="40" w:line="240" w:lineRule="auto"/>
      </w:pPr>
      <w:r>
        <w:rPr>
          <w:b/>
        </w:rPr>
        <w:t xml:space="preserve">[299] </w:t>
      </w:r>
      <w:hyperlink r:id="rId791">
        <w:r>
          <w:rPr>
            <w:color w:val="1155CC"/>
            <w:u w:val="single"/>
          </w:rPr>
          <w:t>用于增强B细胞清除疗法的红细胞贴片</w:t>
        </w:r>
      </w:hyperlink>
    </w:p>
    <w:p>
      <w:pPr>
        <w:spacing w:before="0" w:after="80"/>
      </w:pPr>
      <w:r>
        <w:rPr>
          <w:i/>
          <w:sz w:val="20"/>
        </w:rPr>
        <w:t>EN: Erythrocyte patch for enhanced B cell depletion therapy</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92">
        <w:r>
          <w:rPr>
            <w:color w:val="1155CC"/>
            <w:u w:val="single"/>
          </w:rPr>
          <w:t>10.1126/sciadv.aed3138</w:t>
        </w:r>
      </w:hyperlink>
    </w:p>
    <w:p>
      <w:pPr>
        <w:spacing w:before="0" w:after="120"/>
      </w:pPr>
      <w:r>
        <w:rPr>
          <w:b/>
        </w:rPr>
        <w:t xml:space="preserve">Notes: </w:t>
      </w:r>
      <w:r>
        <w:t>abstract_source=crossref</w:t>
      </w:r>
    </w:p>
    <w:p>
      <w:pPr>
        <w:spacing w:before="0" w:after="80" w:lineRule="auto" w:line="276"/>
      </w:pPr>
      <w:r>
        <w:rPr>
          <w:b/>
        </w:rPr>
        <w:t xml:space="preserve">摘要（ZH）: </w:t>
      </w:r>
      <w:r>
        <w:t>失调的B细胞是许多血液系统恶性肿瘤和自身免疫性疾病的核心，但目前的B细胞靶向疗法往往未能将结合转化为有效信号。在此，我们介绍CD20 EryPatch，一种活体动态细胞贴片，它利用天然红细胞的形态和生物学变化过程，实现微米级机械转导和吞噬性“标记清除”的双重机制，从而增强B细胞清除。CD20 EryPatch旨在粘附于B细胞，并锚定在广泛细胞表面区域的CD20受体上。其渐进的盘状细胞向棘形细胞转变提供了变形驱动的牵引力，实现了局部、大规模的CD20交联，从而放大靶B细胞的下游细胞凋亡。CD20 EryPatch上伴随的生物标志物改变将其转化为附着在B细胞上的“吃掉我”标签，通过启动红细胞吞噬作用促进进一步清除。在B细胞疾病模型中，包括非霍奇金淋巴瘤、系统性红斑狼疮和类风湿关节炎，这种方法被证明比标准CD20单克隆抗体更有效。</w:t>
      </w:r>
    </w:p>
    <w:p>
      <w:pPr>
        <w:spacing w:before="0" w:after="200" w:lineRule="auto" w:line="276"/>
      </w:pPr>
      <w:r>
        <w:rPr>
          <w:b/>
        </w:rPr>
        <w:t xml:space="preserve">Abstract (EN): </w:t>
      </w:r>
      <w:r>
        <w:t>Dysregulated B cells are central to many hematologic malignancies and autoimmune diseases, but current B cell–targeted therapies often fail to translate binding into effective signaling. Here, we present CD20 EryPatch, a living dynamic cellular patch that co-opts natural erythrocyte processes of morphological and biological changes, enabling a dual mechanism of micrometer-scale mechanotransduction and phagocytic “tag-and-clear” for enhanced B cell depletion. CD20 EryPatches are designed to adhere to B cells and anchor on CD20 receptors across extensive cell surface areas. Their progressive discocyte-to-echinocyte transition provides deformability-driven traction, enabling localized, large-scale CD20 cross-linking that amplifies downstream apoptosis in target B cells. Concomitant biomarker alteration on CD20 EryPatch converts it into an “eat me” tag attached to the B cell, facilitating further clearance by initiating erythrophagocytosis. This approach proves more effective than standard CD20 monoclonal antibodies in models of B cell disorders, including non-Hodgkin lymphoma, systemic lupus erythematosus, and rheumatoid arthritis.</w:t>
      </w:r>
    </w:p>
    <w:p>
      <w:pPr>
        <w:spacing w:before="120" w:after="120"/>
      </w:pPr>
      <w:r>
        <w:rPr>
          <w:sz w:val="18"/>
        </w:rPr>
        <w:t>——————————————————————————————————————————————————————————————————————</w:t>
      </w:r>
    </w:p>
    <w:p>
      <w:pPr>
        <w:spacing w:before="160" w:after="40" w:line="240" w:lineRule="auto"/>
      </w:pPr>
      <w:r>
        <w:rPr>
          <w:b/>
        </w:rPr>
        <w:t xml:space="preserve">[300] </w:t>
      </w:r>
      <w:hyperlink r:id="rId793">
        <w:r>
          <w:rPr>
            <w:color w:val="1155CC"/>
            <w:u w:val="single"/>
          </w:rPr>
          <w:t>热带北大西洋不同变暖模式对跨流域热带气旋活动的独特影响</w:t>
        </w:r>
      </w:hyperlink>
    </w:p>
    <w:p>
      <w:pPr>
        <w:spacing w:before="0" w:after="80"/>
      </w:pPr>
      <w:r>
        <w:rPr>
          <w:i/>
          <w:sz w:val="20"/>
        </w:rPr>
        <w:t>EN: Distinct impacts of tropical North Atlantic warming flavors on cross-basin tropical cyclone activity</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94">
        <w:r>
          <w:rPr>
            <w:color w:val="1155CC"/>
            <w:u w:val="single"/>
          </w:rPr>
          <w:t>10.1126/sciadv.aeb2316</w:t>
        </w:r>
      </w:hyperlink>
    </w:p>
    <w:p>
      <w:pPr>
        <w:spacing w:before="0" w:after="120"/>
      </w:pPr>
      <w:r>
        <w:rPr>
          <w:b/>
        </w:rPr>
        <w:t xml:space="preserve">Notes: </w:t>
      </w:r>
      <w:r>
        <w:t>abstract_source=crossref</w:t>
      </w:r>
    </w:p>
    <w:p>
      <w:pPr>
        <w:spacing w:before="0" w:after="80" w:lineRule="auto" w:line="276"/>
      </w:pPr>
      <w:r>
        <w:rPr>
          <w:b/>
        </w:rPr>
        <w:t xml:space="preserve">摘要（ZH）: </w:t>
      </w:r>
      <w:r>
        <w:t>热带北大西洋（TNA）增暖通常有利于北大西洋热带气旋（TC）的生成，但在北半球夏季会抑制西北太平洋TC的形成。TNA异常模式可分为东部沿海型和西部暖池型，但它们各自的影响仍不清楚。在此，我们发现两种TNA类型的影响存在显著差异。暖池型TNA增暖通过远程动力学控制抑制西北太平洋TC生成，而沿海型增暖则通过局地热力学控制促进北大西洋TC生成。高分辨率模拟显示，与典型TNA增暖相比，暖池型TNA增暖抑制西北太平洋TC生成65.2%，而沿海型增暖增强北大西洋TC生成60.1%。在温室增暖下，预计增加的沿海型TNA增暖将加剧北大西洋TC活动。因此，区分TNA类型对于改进跨流域TC活动的季节预测和未来预测至关重要。</w:t>
      </w:r>
    </w:p>
    <w:p>
      <w:pPr>
        <w:spacing w:before="0" w:after="200" w:lineRule="auto" w:line="276"/>
      </w:pPr>
      <w:r>
        <w:rPr>
          <w:b/>
        </w:rPr>
        <w:t xml:space="preserve">Abstract (EN): </w:t>
      </w:r>
      <w:r>
        <w:t>Tropical North Atlantic (TNA) warming typically favors tropical cyclone (TC) genesis over the North Atlantic but suppresses TC formation over the Northwest Pacific during boreal summer. The TNA anomaly patterns can be classified into an eastern coastal and a western warm-pool type, but their respective impacts remain unclear. Here, we find a pronounced difference in the impact between the two TNA flavors. The warm-pool TNA warming suppresses Northwest Pacific TC genesis through a remote dynamical control, while the coastal warming promotes North Atlantic TC genesis via a local thermodynamic control. High-resolution modeling reveals that, compared with the canonical TNA warming, the warm-pool TNA warming suppresses Northwest Pacific TC genesis by 65.2%, while the coastal warming enhances North Atlantic TC genesis by 60.1%. Under greenhouse warming, increased coastal TNA warming is projected to intensify North Atlantic TC activity. Therefore, distinguishing TNA flavors is critical for improving seasonal prediction and future projections of cross-basin TC activity.</w:t>
      </w:r>
    </w:p>
    <w:p>
      <w:pPr>
        <w:spacing w:before="120" w:after="120"/>
      </w:pPr>
      <w:r>
        <w:rPr>
          <w:sz w:val="18"/>
        </w:rPr>
        <w:t>——————————————————————————————————————————————————————————————————————</w:t>
      </w:r>
    </w:p>
    <w:p>
      <w:pPr>
        <w:spacing w:before="160" w:after="40" w:line="240" w:lineRule="auto"/>
      </w:pPr>
      <w:r>
        <w:rPr>
          <w:b/>
        </w:rPr>
        <w:t xml:space="preserve">[301] </w:t>
      </w:r>
      <w:hyperlink r:id="rId795">
        <w:r>
          <w:rPr>
            <w:color w:val="1155CC"/>
            <w:u w:val="single"/>
          </w:rPr>
          <w:t>离子液体调控的界面电荷传输和不对称器件结构用于高性能电化学发光</w:t>
        </w:r>
      </w:hyperlink>
    </w:p>
    <w:p>
      <w:pPr>
        <w:spacing w:before="0" w:after="80"/>
      </w:pPr>
      <w:r>
        <w:rPr>
          <w:i/>
          <w:sz w:val="20"/>
        </w:rPr>
        <w:t>EN: Ionic liquid–regulated interfacial charge transport and asymmetric device architecture for high-performance electrochemiluminescence</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96">
        <w:r>
          <w:rPr>
            <w:color w:val="1155CC"/>
            <w:u w:val="single"/>
          </w:rPr>
          <w:t>10.1126/sciadv.aed9796</w:t>
        </w:r>
      </w:hyperlink>
    </w:p>
    <w:p>
      <w:pPr>
        <w:spacing w:before="0" w:after="120"/>
      </w:pPr>
      <w:r>
        <w:rPr>
          <w:b/>
        </w:rPr>
        <w:t xml:space="preserve">Notes: </w:t>
      </w:r>
      <w:r>
        <w:t>abstract_source=crossref</w:t>
      </w:r>
    </w:p>
    <w:p>
      <w:pPr>
        <w:spacing w:before="0" w:after="80" w:lineRule="auto" w:line="276"/>
      </w:pPr>
      <w:r>
        <w:rPr>
          <w:b/>
        </w:rPr>
        <w:t xml:space="preserve">摘要（ZH）: </w:t>
      </w:r>
      <w:r>
        <w:t>电化学发光（ECL）器件因其结构简单和工作电压较低，有望成为有机发光二极管（OLED）和发光电容器（LEC）的有前景替代品，但实现足够亮度以用于实际应用仍具挑战性。在此，我们报告了一种用于超亮电化学发光（UBECL）器件的协同材料-器件策略。解耦阴离子和阳离子效应揭示了湮灭型ECL中界面电荷转移动力学和电化学稳定性的离子依赖性控制。一种具有良好光物理和电化学性能的有效电解质，结合非对称器件架构，增强了电化学反应性并最大化了ECL亮度。UBECL器件在低交流电压（±1.65 V）下开启，并在高频驱动下运行。它实现了1552 cd m</w:t>
      </w:r>
      <w:r>
        <w:t xml:space="preserve"> </w:t>
      </w:r>
      <w:r>
        <w:t>−2</w:t>
      </w:r>
      <w:r>
        <w:t xml:space="preserve"> </w:t>
      </w:r>
      <w:r>
        <w:t>的最大亮度和1.6 cd A</w:t>
      </w:r>
      <w:r>
        <w:t xml:space="preserve"> </w:t>
      </w:r>
      <w:r>
        <w:t>−1</w:t>
      </w:r>
      <w:r>
        <w:t xml:space="preserve"> </w:t>
      </w:r>
      <w:r>
        <w:t>的电流效率，比基于1-乙基-3-甲基咪唑双（三氟甲基磺酰）亚胺（EMIMTFSI）的对应物分别提高了3.2倍和2倍。此外，这种柔性UBECL平台支持多样化的光电应用，包括具有动态传感潜力的多色器件、实时数字面板和坚固的水下固态器件。该策略实现了超亮、高效、高频操作，以提供直观的视觉输出。</w:t>
      </w:r>
    </w:p>
    <w:p>
      <w:pPr>
        <w:spacing w:before="0" w:after="200" w:lineRule="auto" w:line="276"/>
      </w:pPr>
      <w:r>
        <w:rPr>
          <w:b/>
        </w:rPr>
        <w:t xml:space="preserve">Abstract (EN): </w:t>
      </w:r>
      <w:r>
        <w:t>Electrochemiluminescence (ECL) devices are promising alternatives to organic light-emitting diodes (OLEDs) and light-emitting capacitors (LECs) due to their simple structure and lower operating voltage, yet realizing sufficient luminance for practical applications remains challenging. Here, we report a synergistic material-device strategy for ultrabright electrochemiluminescent (UBECL) devices. Decoupling anion and cation effects reveals ion-dependent control of interfacial charge-transfer dynamics and electrochemical stability in annihilation-ECL. An effective electrolyte with favorable photophysical and electrochemical properties, coupled with an asymmetric device architecture, enhances electrochemical reactivity and maximizes ECL brightness. UBECL device turns on at a low alternating voltage (±1.65 V) and operates under high-frequency driving. It achieves a maximum luminance of 1552 cd m</w:t>
      </w:r>
      <w:r>
        <w:t xml:space="preserve"> </w:t>
      </w:r>
      <w:r>
        <w:t>−2</w:t>
      </w:r>
      <w:r>
        <w:t xml:space="preserve"> </w:t>
      </w:r>
      <w:r>
        <w:t>and 1.6 cd A</w:t>
      </w:r>
      <w:r>
        <w:t xml:space="preserve"> </w:t>
      </w:r>
      <w:r>
        <w:t>−1</w:t>
      </w:r>
      <w:r>
        <w:t xml:space="preserve"> </w:t>
      </w:r>
      <w:r>
        <w:t>current efficiency, a 3.2- and 2-fold improvement over 1-ethyl-3-methylimidazolium bis (trifluoromethylsulfonyl) imide (EMIMTFSI)-based counterparts. Moreover, this flexible UBECL platform enables diverse optoelectronic applications, including multicolor devices with potential for dynamic sensing, real-time digital panels, and robust underwater solid-state devices. This strategy unlocks ultrabright, efficient, high-frequency operation for intuitive visual output.</w:t>
      </w:r>
    </w:p>
    <w:p>
      <w:pPr>
        <w:spacing w:before="120" w:after="120"/>
      </w:pPr>
      <w:r>
        <w:rPr>
          <w:sz w:val="18"/>
        </w:rPr>
        <w:t>——————————————————————————————————————————————————————————————————————</w:t>
      </w:r>
    </w:p>
    <w:p>
      <w:pPr>
        <w:spacing w:before="160" w:after="40" w:line="240" w:lineRule="auto"/>
      </w:pPr>
      <w:r>
        <w:rPr>
          <w:b/>
        </w:rPr>
        <w:t xml:space="preserve">[302] </w:t>
      </w:r>
      <w:hyperlink r:id="rId797">
        <w:r>
          <w:rPr>
            <w:color w:val="1155CC"/>
            <w:u w:val="single"/>
          </w:rPr>
          <w:t>丝氨酸蛋白酶HtrA通过降解抗菌肽LL-37促进空肠弯曲菌肠道定植</w:t>
        </w:r>
      </w:hyperlink>
    </w:p>
    <w:p>
      <w:pPr>
        <w:spacing w:before="0" w:after="80"/>
      </w:pPr>
      <w:r>
        <w:rPr>
          <w:i/>
          <w:sz w:val="20"/>
        </w:rPr>
        <w:t>EN: Serine protease HtrA promotes Campylobacter jejuni intestinal colonization through degrading antimicrobial peptide LL-37</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798">
        <w:r>
          <w:rPr>
            <w:color w:val="1155CC"/>
            <w:u w:val="single"/>
          </w:rPr>
          <w:t>10.1126/sciadv.aee1996</w:t>
        </w:r>
      </w:hyperlink>
    </w:p>
    <w:p>
      <w:pPr>
        <w:spacing w:before="0" w:after="120"/>
      </w:pPr>
      <w:r>
        <w:rPr>
          <w:b/>
        </w:rPr>
        <w:t xml:space="preserve">Notes: </w:t>
      </w:r>
      <w:r>
        <w:t>abstract_source=crossref</w:t>
      </w:r>
    </w:p>
    <w:p>
      <w:pPr>
        <w:spacing w:before="0" w:after="80" w:lineRule="auto" w:line="276"/>
      </w:pPr>
      <w:r>
        <w:rPr>
          <w:b/>
        </w:rPr>
        <w:t xml:space="preserve">摘要（ZH）: </w:t>
      </w:r>
      <w:r>
        <w:t>空肠弯曲菌 (C. jejuni) 是全球人类胃肠炎的主要病因，必须克服肠道先天免疫，包括抗菌肽 LL-37。然而，C. jejuni 如何响应 LL-37 仍不清楚。在此，我们发现 C. jejuni 感染刺激肠道上皮细胞分泌 LL-37，通过破坏细菌生存所需的关键过程，对 86.3% 的 C. jejuni 临床分离株表现出有效的抗菌活性。一部分分离株表现出内在抗性，从而实现成功的肠道定植。我们进一步确定保守的丝氨酸蛋白酶 HtrA 是抗性的关键决定因素。从机制上讲，LL-37 暴露激活转录调节因子 NssR，后者上调 htrA 表达。分泌的 HtrA 在 Ile20-Val21 位点裂解 LL-37，从而消除其抗菌活性并促进细菌存活。鉴于这一机制，我们开发了一种不可裂解的 LL-37 I20M/V21R，它显示出增强的抗菌活性并促进小鼠体内的细菌清除。总之，我们的发现揭示了人类肠道病原体与抗菌肽之间相互作用的机制，并为对抗...</w:t>
      </w:r>
    </w:p>
    <w:p>
      <w:pPr>
        <w:spacing w:before="0" w:after="200" w:lineRule="auto" w:line="276"/>
      </w:pPr>
      <w:r>
        <w:rPr>
          <w:b/>
        </w:rPr>
        <w:t xml:space="preserve">Abstract (EN): </w:t>
      </w:r>
      <w:r>
        <w:t>Campylobacter jejuni</w:t>
      </w:r>
      <w:r>
        <w:t xml:space="preserve"> </w:t>
      </w:r>
      <w:r>
        <w:t>(</w:t>
      </w:r>
      <w:r>
        <w:t xml:space="preserve"> </w:t>
      </w:r>
      <w:r>
        <w:t>C. jejuni</w:t>
      </w:r>
      <w:r>
        <w:t xml:space="preserve"> </w:t>
      </w:r>
      <w:r>
        <w:t>) is a leading cause of human gastroenteritis worldwide and must overcome intestinal innate immunity, including antimicrobial peptide LL-37. However, how</w:t>
      </w:r>
      <w:r>
        <w:t xml:space="preserve"> </w:t>
      </w:r>
      <w:r>
        <w:t>C. jejuni</w:t>
      </w:r>
      <w:r>
        <w:t xml:space="preserve"> </w:t>
      </w:r>
      <w:r>
        <w:t>responds to LL-37 remains unclear. Here, we showed that</w:t>
      </w:r>
      <w:r>
        <w:t xml:space="preserve"> </w:t>
      </w:r>
      <w:r>
        <w:t>C. jejuni</w:t>
      </w:r>
      <w:r>
        <w:t xml:space="preserve"> </w:t>
      </w:r>
      <w:r>
        <w:t>infection stimulates intestinal epithelial cells to secrete LL-37, exhibiting effective antibacterial activity against 86.3% of</w:t>
      </w:r>
      <w:r>
        <w:t xml:space="preserve"> </w:t>
      </w:r>
      <w:r>
        <w:t>C. jejuni</w:t>
      </w:r>
      <w:r>
        <w:t xml:space="preserve"> </w:t>
      </w:r>
      <w:r>
        <w:t>clinical isolates by disrupting essential processes required for bacterial survival. A subset of isolates displays intrinsic resistance, enabling successful intestinal colonization. We further identified conserved serine protease HtrA as the key determinant of resistance. Mechanistically, LL-37 exposure activates transcriptional regulator NssR, which up-regulates</w:t>
      </w:r>
      <w:r>
        <w:t xml:space="preserve"> </w:t>
      </w:r>
      <w:r>
        <w:t>htrA</w:t>
      </w:r>
      <w:r>
        <w:t xml:space="preserve"> </w:t>
      </w:r>
      <w:r>
        <w:t>expression. Secreted HtrA cleaves LL-37 at Ile</w:t>
      </w:r>
      <w:r>
        <w:rPr>
          <w:vertAlign w:val="subscript"/>
        </w:rPr>
        <w:t>20</w:t>
      </w:r>
      <w:r>
        <w:t>-Val</w:t>
      </w:r>
      <w:r>
        <w:rPr>
          <w:vertAlign w:val="subscript"/>
        </w:rPr>
        <w:t>21</w:t>
      </w:r>
      <w:r>
        <w:t>site, abolishing its antimicrobial activity and promoting bacterial survival. In light of this mechanism, we developed a noncleavable LL-37</w:t>
      </w:r>
      <w:r>
        <w:t xml:space="preserve"> </w:t>
      </w:r>
      <w:r>
        <w:t>I20M/V21R</w:t>
      </w:r>
      <w:r>
        <w:t xml:space="preserve"> </w:t>
      </w:r>
      <w:r>
        <w:t>that displays enhanced antibacterial activity and promotes bacterial clearance in mice. Together, our findings uncover mechanistic insights into interactions between human enteric pathogens and antimicrobial peptides and provide a potential strategy for combating</w:t>
      </w:r>
      <w:r>
        <w:t xml:space="preserve"> </w:t>
      </w:r>
      <w:r>
        <w:t>C. jejuni</w:t>
      </w:r>
      <w:r>
        <w:t xml:space="preserve"> </w:t>
      </w:r>
      <w:r>
        <w:t>infection.</w:t>
      </w:r>
    </w:p>
    <w:p>
      <w:pPr>
        <w:spacing w:before="120" w:after="120"/>
      </w:pPr>
      <w:r>
        <w:rPr>
          <w:sz w:val="18"/>
        </w:rPr>
        <w:t>——————————————————————————————————————————————————————————————————————</w:t>
      </w:r>
    </w:p>
    <w:p>
      <w:pPr>
        <w:spacing w:before="160" w:after="40" w:line="240" w:lineRule="auto"/>
      </w:pPr>
      <w:r>
        <w:rPr>
          <w:b/>
        </w:rPr>
        <w:t xml:space="preserve">[303] </w:t>
      </w:r>
      <w:hyperlink r:id="rId799">
        <w:r>
          <w:rPr>
            <w:color w:val="1155CC"/>
            <w:u w:val="single"/>
          </w:rPr>
          <w:t>DNA折纸自复制中的协同性、熵和有效浓度</w:t>
        </w:r>
      </w:hyperlink>
    </w:p>
    <w:p>
      <w:pPr>
        <w:spacing w:before="0" w:after="80"/>
      </w:pPr>
      <w:r>
        <w:rPr>
          <w:i/>
          <w:sz w:val="20"/>
        </w:rPr>
        <w:t>EN: Cooperativity, entropy, and effective concentration in DNA origami self-replication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00">
        <w:r>
          <w:rPr>
            <w:color w:val="1155CC"/>
            <w:u w:val="single"/>
          </w:rPr>
          <w:t>10.1126/sciadv.aed9517</w:t>
        </w:r>
      </w:hyperlink>
    </w:p>
    <w:p>
      <w:pPr>
        <w:spacing w:before="0" w:after="120"/>
      </w:pPr>
      <w:r>
        <w:rPr>
          <w:b/>
        </w:rPr>
        <w:t xml:space="preserve">Notes: </w:t>
      </w:r>
      <w:r>
        <w:t>abstract_source=crossref</w:t>
      </w:r>
    </w:p>
    <w:p>
      <w:pPr>
        <w:spacing w:before="0" w:after="80" w:lineRule="auto" w:line="276"/>
      </w:pPr>
      <w:r>
        <w:rPr>
          <w:b/>
        </w:rPr>
        <w:t xml:space="preserve">摘要（ZH）: </w:t>
      </w:r>
      <w:r>
        <w:t>在快速发展的 DNA 纳米技术领域，已经产生了许多新的结构、机器、活性材料和设备。然而，复杂 DNA 组装体的热力学仍未得到很好的理解。在这里，我们处理了相互作用通常是协同的更复杂结构的组装、熔解和激活。我们放弃了涉及复杂图景的严格理论，转而采用具有有效浓度和熵效应的两态（开-关）情景。我们通过尺寸不断增大的 DNA 折纸基序的自复制以及对保持接近的单个 DNA 对进行 FRET 实验来测试我们的模型，并且它预测熔解温度在协同作用下会产生 50°C 的偏移，达到约 2°C。该模型对于设计编程为打开和关闭的大型物体之间的相互作用特别有用，并且很容易适用于 DNA 以外系统中的组装和激活。</w:t>
      </w:r>
    </w:p>
    <w:p>
      <w:pPr>
        <w:spacing w:before="0" w:after="200" w:lineRule="auto" w:line="276"/>
      </w:pPr>
      <w:r>
        <w:rPr>
          <w:b/>
        </w:rPr>
        <w:t xml:space="preserve">Abstract (EN): </w:t>
      </w:r>
      <w:r>
        <w:t>Many new structures, machines, active materials, and devices have been produced in the rapidly growing field of DNA nanotechnology. However, the thermodynamics of complex DNA assemblies remains not well understood. Here, we treat the assembly, melting, and activation of more complex structures where interactions are generally cooperative. We abandon a rigorous theory involving a complex landscape in favor of a two-state (open-close) scenario with effective concentration and entropy effects. We test our model with self-replication of DNA origami motifs of increasing sizes and with FRET on a single DNA pair held in proximity, and it predicts melting temperatures to ~2°C where there is a 50°C shift arising from cooperativity. The model is especially useful for designing interactions between large objects programmed to open and close and is readily adaptable to assembly and activation in systems other than DNA.</w:t>
      </w:r>
    </w:p>
    <w:p>
      <w:pPr>
        <w:spacing w:before="120" w:after="120"/>
      </w:pPr>
      <w:r>
        <w:rPr>
          <w:sz w:val="18"/>
        </w:rPr>
        <w:t>——————————————————————————————————————————————————————————————————————</w:t>
      </w:r>
    </w:p>
    <w:p>
      <w:pPr>
        <w:spacing w:before="160" w:after="40" w:line="240" w:lineRule="auto"/>
      </w:pPr>
      <w:r>
        <w:rPr>
          <w:b/>
        </w:rPr>
        <w:t xml:space="preserve">[304] </w:t>
      </w:r>
      <w:hyperlink r:id="rId801">
        <w:r>
          <w:rPr>
            <w:color w:val="1155CC"/>
            <w:u w:val="single"/>
          </w:rPr>
          <w:t>ProteomeLM：一种蛋白质组规模的语言模型，可实现跨分类群蛋白质-蛋白质相互作用和基因必需性的准确快速预测</w:t>
        </w:r>
      </w:hyperlink>
    </w:p>
    <w:p>
      <w:pPr>
        <w:spacing w:before="0" w:after="80"/>
      </w:pPr>
      <w:r>
        <w:rPr>
          <w:i/>
          <w:sz w:val="20"/>
        </w:rPr>
        <w:t>EN: ProteomeLM: A proteome-scale language model enables accurate and rapid prediction of protein–protein interactions and gene essentiality across taxa</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02">
        <w:r>
          <w:rPr>
            <w:color w:val="1155CC"/>
            <w:u w:val="single"/>
          </w:rPr>
          <w:t>10.1073/pnas.2524201123</w:t>
        </w:r>
      </w:hyperlink>
    </w:p>
    <w:p>
      <w:pPr>
        <w:spacing w:before="0" w:after="120"/>
      </w:pPr>
      <w:r>
        <w:rPr>
          <w:b/>
        </w:rPr>
        <w:t xml:space="preserve">Notes: </w:t>
      </w:r>
      <w:r>
        <w:t>abstract_source=crossref</w:t>
      </w:r>
    </w:p>
    <w:p>
      <w:pPr>
        <w:spacing w:before="0" w:after="80" w:lineRule="auto" w:line="276"/>
      </w:pPr>
      <w:r>
        <w:rPr>
          <w:b/>
        </w:rPr>
        <w:t xml:space="preserve">摘要（ZH）: </w:t>
      </w:r>
      <w:r>
        <w:t>在生物序列上训练的语言模型正在将推理任务从单个蛋白质的尺度推进到基因组邻域的尺度。在这里，我们介绍了 ProteomeLM，这是一种基于 Transformer 的语言模型，它独特地作用于来自生命之树上所有物种的完整蛋白质组。ProteomeLM 经过训练，利用整个蛋白质组背景重建掩码蛋白质嵌入，从而产生反映蛋白质组规模功能约束的语境化蛋白质表示。值得注意的是，尽管 ProteomeLM 在训练时没有交互标签，但其注意力系数编码了蛋白质-蛋白质相互作用 (PPI)。此外，它实现了互作组范围的 PPI 筛选，与基于氨基酸共进化的方法相比，其准确性显著提高，速度快了几个数量级。我们进一步开发了 ProteomeLM-PPI，这是一个结合 ProteomeLM 嵌入和注意力系数的监督模型，可在各种基准和物种中实现最先进的 PPI 预测。最后，我们介绍了 ProteomeLM-Ess，这是一个监督基因必需性预测器，可泛化到不同分类群。我们的结果证明了蛋白质组规模语言模型在解决生物体水平功能和相互作用方面的潜力。</w:t>
      </w:r>
    </w:p>
    <w:p>
      <w:pPr>
        <w:spacing w:before="0" w:after="200" w:lineRule="auto" w:line="276"/>
      </w:pPr>
      <w:r>
        <w:rPr>
          <w:b/>
        </w:rPr>
        <w:t xml:space="preserve">Abstract (EN): </w:t>
      </w:r>
      <w:r>
        <w:t>Language models trained on biological sequences are advancing inference tasks from the scale of single proteins to that of genomic neighborhoods. Here, we introduce ProteomeLM, a transformer-based language model that uniquely operates on entire proteomes from species spanning the tree of life. ProteomeLM is trained to reconstruct masked protein embeddings using the whole proteomic context, yielding contextualized protein representations that reflect proteome-scale functional constraints. Notably, ProteomeLM’s attention coefficients encode protein–protein interactions (PPI), despite being trained without interaction labels. Furthermore, it enables interactome-wide PPI screening that is substantially more accurate, and orders of magnitude faster, than amino acid coevolution-based methods. We further develop ProteomeLM-PPI, a supervised model that combines ProteomeLM embeddings and attention coefficients to achieve state-of-the-art PPI prediction across benchmarks and species. Finally, we introduce ProteomeLM-Ess, a supervised gene essentiality predictor that generalizes across diverse taxa. Our results demonstrate the potential of proteome-scale language models for addressing function and interactions at the organism level.</w:t>
      </w:r>
    </w:p>
    <w:p>
      <w:pPr>
        <w:spacing w:before="120" w:after="120"/>
      </w:pPr>
      <w:r>
        <w:rPr>
          <w:sz w:val="18"/>
        </w:rPr>
        <w:t>——————————————————————————————————————————————————————————————————————</w:t>
      </w:r>
    </w:p>
    <w:p>
      <w:pPr>
        <w:spacing w:before="160" w:after="40" w:line="240" w:lineRule="auto"/>
      </w:pPr>
      <w:r>
        <w:rPr>
          <w:b/>
        </w:rPr>
        <w:t xml:space="preserve">[305] </w:t>
      </w:r>
      <w:hyperlink r:id="rId803">
        <w:r>
          <w:rPr>
            <w:color w:val="1155CC"/>
            <w:u w:val="single"/>
          </w:rPr>
          <w:t>通过光子纳米射流探测块状半导体中的单个量子发射器</w:t>
        </w:r>
      </w:hyperlink>
    </w:p>
    <w:p>
      <w:pPr>
        <w:spacing w:before="0" w:after="80"/>
      </w:pPr>
      <w:r>
        <w:rPr>
          <w:i/>
          <w:sz w:val="20"/>
        </w:rPr>
        <w:t>EN: Probing individual quantum emitters in bulk semiconductors via photonic nanojets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04">
        <w:r>
          <w:rPr>
            <w:color w:val="1155CC"/>
            <w:u w:val="single"/>
          </w:rPr>
          <w:t>10.1126/sciadv.aea5936</w:t>
        </w:r>
      </w:hyperlink>
    </w:p>
    <w:p>
      <w:pPr>
        <w:spacing w:before="0" w:after="120"/>
      </w:pPr>
      <w:r>
        <w:rPr>
          <w:b/>
        </w:rPr>
        <w:t xml:space="preserve">Notes: </w:t>
      </w:r>
      <w:r>
        <w:t>abstract_source=crossref</w:t>
      </w:r>
    </w:p>
    <w:p>
      <w:pPr>
        <w:spacing w:before="0" w:after="80" w:lineRule="auto" w:line="276"/>
      </w:pPr>
      <w:r>
        <w:rPr>
          <w:b/>
        </w:rPr>
        <w:t xml:space="preserve">摘要（ZH）: </w:t>
      </w:r>
      <w:r>
        <w:t>固态量子发射器是量子信息处理、量子通信和量子增强传感（尤其是在纳米尺度）的基本构建块。然而，发射器宿主材料的高折射率通常导致发射器产生的光子收集效率低下。此外，分离单个量子发射器通常需要高纯度样品和精确的缺陷注入，增加了制造的复杂性。在这项工作中，我们利用自由拓扑优化设计了高折射率材料中的宽带单片光子结构，这些材料承载着相对密集的随机分布量子发射器集合。通过标准自上而下图案化技术制造，这些逆向设计的纳米结构产生紧密限制的光子纳米射流，从而实现单个发射器的选择性激发并提高光子提取效率。优化的几何结构还大幅抑制了来自近表面光学活性缺陷和体内随机分布发射器的背景光致发光，从而提高了信噪比。我们以室温下低成本金刚石样品中的带负电荷氮空位 (NV</w:t>
      </w:r>
      <w:r>
        <w:t xml:space="preserve"> </w:t>
      </w:r>
      <w:r>
        <w:t>−</w:t>
      </w:r>
      <w:r>
        <w:t>) 色心作为案例研究，证明了这种范式，实现了选择性单发射器激发，功率增强10倍，共聚焦显微镜中光致发光收集的光子提取效率提高15倍以上。超越NV色心，这</w:t>
      </w:r>
    </w:p>
    <w:p>
      <w:pPr>
        <w:spacing w:before="0" w:after="200" w:lineRule="auto" w:line="276"/>
      </w:pPr>
      <w:r>
        <w:rPr>
          <w:b/>
        </w:rPr>
        <w:t xml:space="preserve">Abstract (EN): </w:t>
      </w:r>
      <w:r>
        <w:t>Solid-state quantum emitters serve as fundamental building blocks for quantum information processing, quantum telecommunication, and quantum-enhanced sensing, particularly at the nanoscale. However, the high refractive index of the emitters’ host materials often result in low-efficiency collection of the photons generated by the emitters. In addition, isolating individual quantum emitters generally requires high-purity samples and precise defect implantation, adding to the fabrication complexity. In this work, we use free-form topology optimization to design broadband monolithic photonic structures within high–refractive index materials hosting a relatively dense ensemble of randomly distributed quantum emitters. Fabricated via standard top-down patterning techniques, these inverse-designed nanostructures generate tightly confined photonic nanojets, which in turn enable selective excitation of individual emitters and improve photon extraction efficiency. The optimized geometries also substantially suppress background photoluminescence from near-surface optically active defects and from randomly distributed emitters in the bulk, boosting the signal-to-noise ratio. We demonstrate this paradigm using negatively charged nitrogen vacancy (NV</w:t>
      </w:r>
      <w:r>
        <w:t xml:space="preserve"> </w:t>
      </w:r>
      <w:r>
        <w:t>−</w:t>
      </w:r>
      <w:r>
        <w:t>) centers in a low-cost diamond sample at room temperature as a case study, achieving selective single emitter excitation with a 10-fold power enhancement and more than 15-fold improvement in the photon extraction efficiency of photoluminescence collection in confocal microscopy. Beyond NV centers and other diamond-embedded quantum emitters, the use of inverse-designed structures generating subwavelength photonic nanojets is applicable to other semiconductor materials containing emitters and can be seamlessly generalized to fiber-integrated platforms.</w:t>
      </w:r>
    </w:p>
    <w:p>
      <w:pPr>
        <w:spacing w:before="120" w:after="120"/>
      </w:pPr>
      <w:r>
        <w:rPr>
          <w:sz w:val="18"/>
        </w:rPr>
        <w:t>——————————————————————————————————————————————————————————————————————</w:t>
      </w:r>
    </w:p>
    <w:p>
      <w:pPr>
        <w:spacing w:before="160" w:after="40" w:line="240" w:lineRule="auto"/>
      </w:pPr>
      <w:r>
        <w:rPr>
          <w:b/>
        </w:rPr>
        <w:t xml:space="preserve">[306] </w:t>
      </w:r>
      <w:hyperlink r:id="rId805">
        <w:r>
          <w:rPr>
            <w:color w:val="1155CC"/>
            <w:u w:val="single"/>
          </w:rPr>
          <w:t>原位振动探针揭示凋亡诱导因子在线粒体内开始其活性</w:t>
        </w:r>
      </w:hyperlink>
    </w:p>
    <w:p>
      <w:pPr>
        <w:spacing w:before="0" w:after="80"/>
      </w:pPr>
      <w:r>
        <w:rPr>
          <w:i/>
          <w:sz w:val="20"/>
        </w:rPr>
        <w:t>EN: Apoptosis-inducing factor starts its activity within mitochondria revealed by in situ vibrational probes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06">
        <w:r>
          <w:rPr>
            <w:color w:val="1155CC"/>
            <w:u w:val="single"/>
          </w:rPr>
          <w:t>10.1073/pnas.2528689123</w:t>
        </w:r>
      </w:hyperlink>
    </w:p>
    <w:p>
      <w:pPr>
        <w:spacing w:before="0" w:after="120"/>
      </w:pPr>
      <w:r>
        <w:rPr>
          <w:b/>
        </w:rPr>
        <w:t xml:space="preserve">Notes: </w:t>
      </w:r>
      <w:r>
        <w:t>abstract_source=crossref</w:t>
      </w:r>
    </w:p>
    <w:p>
      <w:pPr>
        <w:spacing w:before="0" w:after="80" w:lineRule="auto" w:line="276"/>
      </w:pPr>
      <w:r>
        <w:rPr>
          <w:b/>
        </w:rPr>
        <w:t xml:space="preserve">摘要（ZH）: </w:t>
      </w:r>
      <w:r>
        <w:t>凋亡诱导因子 (AIF) 是一种位于线粒体膜间隙的黄素蛋白，据信它在线粒体释放到细胞核后触发不依赖caspase的细胞死亡。在此，我们利用无标记振动光谱和成像技术，探讨了AIF在线粒体内的促凋亡活性及其潜在分子机制。共振拉曼光谱证实了AIF与细胞色素</w:t>
      </w:r>
      <w:r>
        <w:t xml:space="preserve"> </w:t>
      </w:r>
      <w:r>
        <w:t>c</w:t>
      </w:r>
      <w:r>
        <w:t xml:space="preserve"> </w:t>
      </w:r>
      <w:r>
        <w:t>(Cyt</w:t>
      </w:r>
      <w:r>
        <w:t xml:space="preserve"> </w:t>
      </w:r>
      <w:r>
        <w:t>c</w:t>
      </w:r>
      <w:r>
        <w:t xml:space="preserve"> </w:t>
      </w:r>
      <w:r>
        <w:t>) 之间的电子转移，并通过分子动力学模拟揭示了它们相互作用的细节。我们阐明了烟酰胺腺嘌呤二核苷酸 (NADH)-AIF依赖性活性氧 (ROS) 的产生及其在分子水平上与磷脂过氧化的相关性。通过原位拉曼探针，我们的结果验证了AIF和Cyt</w:t>
      </w:r>
      <w:r>
        <w:t xml:space="preserve"> </w:t>
      </w:r>
      <w:r>
        <w:t>c</w:t>
      </w:r>
      <w:r>
        <w:t xml:space="preserve"> </w:t>
      </w:r>
      <w:r>
        <w:t>通过不依赖ROS的途径对线粒体膜通透性的协同作用。值得注意的是，通过原位和实时拉曼光谱清晰监测到NADH依赖性Cyt</w:t>
      </w:r>
      <w:r>
        <w:t xml:space="preserve"> </w:t>
      </w:r>
      <w:r>
        <w:t>c</w:t>
      </w:r>
      <w:r>
        <w:t xml:space="preserve"> </w:t>
      </w:r>
      <w:r>
        <w:t>从分离的线粒体中释放，我们的发现证明了NADH的促凋亡作用，并得到流式细胞术的进一步支持。AIF的这一功能对于更深入理解细胞死亡执行者具有重要意义，并将为癌症治疗策略开辟新途径。</w:t>
      </w:r>
    </w:p>
    <w:p>
      <w:pPr>
        <w:spacing w:before="0" w:after="200" w:lineRule="auto" w:line="276"/>
      </w:pPr>
      <w:r>
        <w:rPr>
          <w:b/>
        </w:rPr>
        <w:t xml:space="preserve">Abstract (EN): </w:t>
      </w:r>
      <w:r>
        <w:t>Apoptosis-inducing factor (AIF) is a flavoprotein located in the mitochondrial intermembrane space, and it is believed to trigger caspase-independent cell death after its release from the mitochondria into the nucleus. Here, the proapoptotic activity of AIF within mitochondria and the underlying molecular mechanism are explored using label-free vibrational spectroscopy and imaging. Electron transfer between AIF and cytochrome</w:t>
      </w:r>
      <w:r>
        <w:t xml:space="preserve"> </w:t>
      </w:r>
      <w:r>
        <w:t>c</w:t>
      </w:r>
      <w:r>
        <w:t xml:space="preserve"> </w:t>
      </w:r>
      <w:r>
        <w:t>(Cyt</w:t>
      </w:r>
      <w:r>
        <w:t xml:space="preserve"> </w:t>
      </w:r>
      <w:r>
        <w:t>c</w:t>
      </w:r>
      <w:r>
        <w:t xml:space="preserve"> </w:t>
      </w:r>
      <w:r>
        <w:t>) is evidenced by resonance Raman spectroscopy, and the details of their interaction are revealed through molecular dynamics simulations. We elucidate the nicotinamide adenine dinucleotide (NADH)-AIF-dependent generation of reactive oxygen species (ROS) and its correlation with phospholipid peroxidation at the molecular level. With in situ Raman probes, our results verified the synergistic contribution of AIF and Cyt</w:t>
      </w:r>
      <w:r>
        <w:t xml:space="preserve"> </w:t>
      </w:r>
      <w:r>
        <w:t>c</w:t>
      </w:r>
      <w:r>
        <w:t xml:space="preserve"> </w:t>
      </w:r>
      <w:r>
        <w:t>to mitochondrial membrane permeabilization via a ROS-independent pathway. Remarkably, NADH-dependent Cyt</w:t>
      </w:r>
      <w:r>
        <w:t xml:space="preserve"> </w:t>
      </w:r>
      <w:r>
        <w:t>c</w:t>
      </w:r>
      <w:r>
        <w:t xml:space="preserve"> </w:t>
      </w:r>
      <w:r>
        <w:t>release from isolated mitochondria is clearly monitored by in situ and real-time Raman spectroscopy, and our findings prove the proapoptotic role of NADH, further supported by flow cytometry. This function of AIF has implications for a deeper understanding of cell death executors and would open up therapeutic strategies for cancer.</w:t>
      </w:r>
    </w:p>
    <w:p>
      <w:pPr>
        <w:spacing w:before="120" w:after="120"/>
      </w:pPr>
      <w:r>
        <w:rPr>
          <w:sz w:val="18"/>
        </w:rPr>
        <w:t>——————————————————————————————————————————————————————————————————————</w:t>
      </w:r>
    </w:p>
    <w:p>
      <w:pPr>
        <w:spacing w:before="160" w:after="40" w:line="240" w:lineRule="auto"/>
      </w:pPr>
      <w:r>
        <w:rPr>
          <w:b/>
        </w:rPr>
        <w:t xml:space="preserve">[307] </w:t>
      </w:r>
      <w:hyperlink r:id="rId807">
        <w:r>
          <w:rPr>
            <w:color w:val="1155CC"/>
            <w:u w:val="single"/>
          </w:rPr>
          <w:t>柔性囊泡中膜形态与棒状结构组织的动态双向耦合</w:t>
        </w:r>
      </w:hyperlink>
    </w:p>
    <w:p>
      <w:pPr>
        <w:spacing w:before="0" w:after="80"/>
      </w:pPr>
      <w:r>
        <w:rPr>
          <w:i/>
          <w:sz w:val="20"/>
        </w:rPr>
        <w:t>EN: Dynamic bidirectional coupling of membrane morphology and rod organization in flexible vesicles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08">
        <w:r>
          <w:rPr>
            <w:color w:val="1155CC"/>
            <w:u w:val="single"/>
          </w:rPr>
          <w:t>10.1073/pnas.2604848123</w:t>
        </w:r>
      </w:hyperlink>
    </w:p>
    <w:p>
      <w:pPr>
        <w:spacing w:before="0" w:after="120"/>
      </w:pPr>
      <w:r>
        <w:rPr>
          <w:b/>
        </w:rPr>
        <w:t xml:space="preserve">Notes: </w:t>
      </w:r>
      <w:r>
        <w:t>abstract_source=crossref</w:t>
      </w:r>
    </w:p>
    <w:p>
      <w:pPr>
        <w:spacing w:before="0" w:after="80" w:lineRule="auto" w:line="276"/>
      </w:pPr>
      <w:r>
        <w:rPr>
          <w:b/>
        </w:rPr>
        <w:t xml:space="preserve">摘要（ZH）: </w:t>
      </w:r>
      <w:r>
        <w:t>棒状颗粒在软的、可变形容器中的有序化源于各向异性相互作用、几何限制和边界柔顺性之间的相互作用。这种竞争将内部颗粒组织与容器形态耦合，产生与刚性限制和本体系统都不同的行为。这种耦合也与生物学背景相关，其中丝状结构被可变形膜限制。我们使用结合了封装在脂质囊泡中的胶体棒的实验和模拟的最小模型，表明软限制驱动了内部有序与囊泡形状之间的双向耦合。这种相互作用产生了一个相图，其中细长囊泡在较低堆积分数下促进向列排列，而较高堆积分数则诱导层状有序，将囊泡重塑为具有增加弯曲能的板状形态。此外，通过控制囊泡体积和膜面积，我们证明边界条件能够可逆地调节囊泡形状和内部棒状组织。这些结果为在软容器中动态控制胶体自组装建立了一个框架，并为可变形、细胞状限制中各向异性构建块的组织提供了见解。</w:t>
      </w:r>
    </w:p>
    <w:p>
      <w:pPr>
        <w:spacing w:before="0" w:after="200" w:lineRule="auto" w:line="276"/>
      </w:pPr>
      <w:r>
        <w:rPr>
          <w:b/>
        </w:rPr>
        <w:t xml:space="preserve">Abstract (EN): </w:t>
      </w:r>
      <w:r>
        <w:t>The ordering of rod-like particles in soft, deformable containers emerges from the interplay of anisotropic interactions, geometric confinement, and boundary compliance. This competition couples internal particle organization to container morphology, producing behavior distinct from both rigid confinement and bulk systems. Such coupling is also relevant to biological contexts in which filamentous structures are confined by deformable membranes. Using a minimal model combining experiments and simulations of colloidal rods encapsulated in lipid vesicles, we show that soft confinement drives a bidirectional coupling between internal order and vesicle shape. This interplay gives rise to a phase diagram in which elongated vesicles promote nematic alignment at lower packing fractions, whereas higher packing fractions induce smectic-like ordering that reshapes vesicles into plate-like morphologies with increased bending energy. Furthermore, by controlling vesicle volume and membrane area, we demonstrate that boundary conditions enable reversible tuning of both vesicle shape and internal rod organization. These results establish a framework for dynamically controlling colloidal self-assembly in soft containers and provide insight into the organization of anisotropic building blocks in deformable, cell-like, confinements.</w:t>
      </w:r>
    </w:p>
    <w:p>
      <w:pPr>
        <w:spacing w:before="120" w:after="120"/>
      </w:pPr>
      <w:r>
        <w:rPr>
          <w:sz w:val="18"/>
        </w:rPr>
        <w:t>——————————————————————————————————————————————————————————————————————</w:t>
      </w:r>
    </w:p>
    <w:p>
      <w:pPr>
        <w:spacing w:before="160" w:after="40" w:line="240" w:lineRule="auto"/>
      </w:pPr>
      <w:r>
        <w:rPr>
          <w:b/>
        </w:rPr>
        <w:t xml:space="preserve">[308] </w:t>
      </w:r>
      <w:hyperlink r:id="rId809">
        <w:r>
          <w:rPr>
            <w:color w:val="1155CC"/>
            <w:u w:val="single"/>
          </w:rPr>
          <w:t>细胞泡扩张需要隔离曲率偏好蛋白的瞬时膜内陷</w:t>
        </w:r>
      </w:hyperlink>
    </w:p>
    <w:p>
      <w:pPr>
        <w:spacing w:before="0" w:after="80"/>
      </w:pPr>
      <w:r>
        <w:rPr>
          <w:i/>
          <w:sz w:val="20"/>
        </w:rPr>
        <w:t>EN: Bleb expansion requires transient membrane invaginations that sequester curvature-preferring proteins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10">
        <w:r>
          <w:rPr>
            <w:color w:val="1155CC"/>
            <w:u w:val="single"/>
          </w:rPr>
          <w:t>10.1073/pnas.2534871123</w:t>
        </w:r>
      </w:hyperlink>
    </w:p>
    <w:p>
      <w:pPr>
        <w:spacing w:before="0" w:after="120"/>
      </w:pPr>
      <w:r>
        <w:rPr>
          <w:b/>
        </w:rPr>
        <w:t xml:space="preserve">Notes: </w:t>
      </w:r>
      <w:r>
        <w:t>abstract_source=crossref</w:t>
      </w:r>
    </w:p>
    <w:p>
      <w:pPr>
        <w:spacing w:before="0" w:after="80" w:lineRule="auto" w:line="276"/>
      </w:pPr>
      <w:r>
        <w:rPr>
          <w:b/>
        </w:rPr>
        <w:t xml:space="preserve">摘要（ZH）: </w:t>
      </w:r>
      <w:r>
        <w:t>基于泡状突起的细胞迁移涉及由细胞内压驱动的质膜快速扩张。在此过程中，膜如何重组其曲率和蛋白质组成仍不清楚。在此，我们发现了一种独特的内陷膜结构，称为泡下内陷（SBI），它在泡状突起扩张过程中在泡状突起基部从头形成。SBI表现出强的正曲率，并瞬时隔离偏好曲率的整合膜蛋白，如Caveolin-1和Piezo1，而无需内吞作用。活细胞成像显示，这些蛋白质随着泡状突起的生长瞬时积累在SBI处，表明泡状突起扩张动态地重新分配了膜曲率和蛋白质定位。偏好曲率蛋白质的过表达显著抑制了泡状突起的增大，并诱导了SBI样膜内陷的异常形成，这表明它们的过度积累限制了膜的展开。我们的发现揭示了泡状突起扩张过程中基于曲率的膜蛋白分选机制，并强调了膜曲率与整合膜蛋白组织之间的相互作用如何塑造质膜（PM）动力学。</w:t>
      </w:r>
    </w:p>
    <w:p>
      <w:pPr>
        <w:spacing w:before="0" w:after="200" w:lineRule="auto" w:line="276"/>
      </w:pPr>
      <w:r>
        <w:rPr>
          <w:b/>
        </w:rPr>
        <w:t xml:space="preserve">Abstract (EN): </w:t>
      </w:r>
      <w:r>
        <w:t>Bleb-based cell migration involves rapid plasma membrane expansion driven by intracellular pressure. How the membrane reorganizes its curvature and protein composition during this process remains unclear. Here, we identify a distinct inward membrane structure, termed the sub-bleb invagination (SBI), that forms de novo at the bleb base during expansion. SBIs display strong positive curvature and transiently sequester curvature-preferring integral membrane proteins such as Caveolin-1 and Piezo1 without endocytosis. Live-cell imaging shows that these proteins transiently accumulate at the SBIs in concert with bleb growth, indicating that bleb expansion dynamically redistributes membrane curvature and protein localization. Overexpression of curvature-preferring proteins markedly inhibited bleb enlargement and induced the aberrant formation of SBI-like membrane invaginations, suggesting that their excessive accumulation limits the membrane from unfurling. Our findings reveal a curvature-based mechanism for membrane protein sorting during bleb expansion and highlight how the interplay between membrane curvature and integral membrane protein organization shapes PM dynamics.</w:t>
      </w:r>
    </w:p>
    <w:p>
      <w:pPr>
        <w:spacing w:before="120" w:after="120"/>
      </w:pPr>
      <w:r>
        <w:rPr>
          <w:sz w:val="18"/>
        </w:rPr>
        <w:t>——————————————————————————————————————————————————————————————————————</w:t>
      </w:r>
    </w:p>
    <w:p>
      <w:pPr>
        <w:spacing w:before="160" w:after="40" w:line="240" w:lineRule="auto"/>
      </w:pPr>
      <w:r>
        <w:rPr>
          <w:b/>
        </w:rPr>
        <w:t xml:space="preserve">[309] </w:t>
      </w:r>
      <w:hyperlink r:id="rId811">
        <w:r>
          <w:rPr>
            <w:color w:val="1155CC"/>
            <w:u w:val="single"/>
          </w:rPr>
          <w:t>自1960年以来观测进展对全球平均海平面收支闭合的改进</w:t>
        </w:r>
      </w:hyperlink>
    </w:p>
    <w:p>
      <w:pPr>
        <w:spacing w:before="0" w:after="80"/>
      </w:pPr>
      <w:r>
        <w:rPr>
          <w:i/>
          <w:sz w:val="20"/>
        </w:rPr>
        <w:t>EN: Improved closure of the global mean sea level budget from observational advances since 1960</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12">
        <w:r>
          <w:rPr>
            <w:color w:val="1155CC"/>
            <w:u w:val="single"/>
          </w:rPr>
          <w:t>10.1126/sciadv.aea0652</w:t>
        </w:r>
      </w:hyperlink>
    </w:p>
    <w:p>
      <w:pPr>
        <w:spacing w:before="0" w:after="120"/>
      </w:pPr>
      <w:r>
        <w:rPr>
          <w:b/>
        </w:rPr>
        <w:t xml:space="preserve">Notes: </w:t>
      </w:r>
      <w:r>
        <w:t>abstract_source=crossref</w:t>
      </w:r>
    </w:p>
    <w:p>
      <w:pPr>
        <w:spacing w:before="0" w:after="80" w:lineRule="auto" w:line="276"/>
      </w:pPr>
      <w:r>
        <w:rPr>
          <w:b/>
        </w:rPr>
        <w:t xml:space="preserve">摘要（ZH）: </w:t>
      </w:r>
      <w:r>
        <w:t>平衡全球平均海平面（GMSL）收支对于理解海平面变化至关重要。通过考虑最近的观测进展，1960年以后的巨大不确定性得以降低。在所有分析时期（1960–2023年、1993–2023年和2005–2023年），收支闭合在每年0.18毫米以内。这三个时期的趋势分别为每年2.06、3.41和3.94毫米，显示出速率的增加。自1960年以来，观测到的GMSL与各项贡献总和之间的年残差仅在−13至10毫米之间，2005年以后为±5毫米。此外，GMSL加速收支现已闭合。自1960年以来，GMSL趋势（加速）的主要驱动因素是：43%（41%）来自海洋热膨胀，27%（9%）来自冰川融化，15%（16%）来自格陵兰岛，12%（13%）来自南极洲，以及3%（21%）来自陆地水储量。结果强调了数据处理和偏差校正技术在追踪GMSL及其贡献方面的重要性。</w:t>
      </w:r>
    </w:p>
    <w:p>
      <w:pPr>
        <w:spacing w:before="0" w:after="200" w:lineRule="auto" w:line="276"/>
      </w:pPr>
      <w:r>
        <w:rPr>
          <w:b/>
        </w:rPr>
        <w:t xml:space="preserve">Abstract (EN): </w:t>
      </w:r>
      <w:r>
        <w:t>Balancing the global mean sea level (GMSL) budget is essential for understanding sea level changes. Large uncertainty after 1960 is reduced by accounting for recent observational advances. Budget closure occurs within 0.18 millimeters per year for all periods analyzed (1960–2023, 1993–2023, and 2005–2023). Trends for these three periods are 2.06, 3.41, and 3.94 millimeters per year, revealing an increase in the rate. The annual residual between observed GMSL and the sum of contributions is only between −13 and 10 millimeters since 1960 and ±5 millimeters after 2005. Further, the GMSL acceleration budget is now closed. The principal drivers for the GMSL trend (acceleration) since 1960 are 43% (41%) from thermosteric ocean expansion, 27% (9%) from glacier melting, 15% (16%) from Greenland, 12% (13%) from Antarctic, and 3% (21%) from land water storage. Results highlight the importance of data processing and bias correction techniques in tracking GMSL and its contributions.</w:t>
      </w:r>
    </w:p>
    <w:p>
      <w:pPr>
        <w:spacing w:before="120" w:after="120"/>
      </w:pPr>
      <w:r>
        <w:rPr>
          <w:sz w:val="18"/>
        </w:rPr>
        <w:t>——————————————————————————————————————————————————————————————————————</w:t>
      </w:r>
    </w:p>
    <w:p>
      <w:pPr>
        <w:spacing w:before="160" w:after="40" w:line="240" w:lineRule="auto"/>
      </w:pPr>
      <w:r>
        <w:rPr>
          <w:b/>
        </w:rPr>
        <w:t xml:space="preserve">[310] </w:t>
      </w:r>
      <w:hyperlink r:id="rId813">
        <w:r>
          <w:rPr>
            <w:color w:val="1155CC"/>
            <w:u w:val="single"/>
          </w:rPr>
          <w:t>Chinmo定义果蝇中枢神经系统中的区域特异性致癌能力</w:t>
        </w:r>
      </w:hyperlink>
    </w:p>
    <w:p>
      <w:pPr>
        <w:spacing w:before="0" w:after="80"/>
      </w:pPr>
      <w:r>
        <w:rPr>
          <w:i/>
          <w:sz w:val="20"/>
        </w:rPr>
        <w:t>EN: Chinmo defines the region-specific oncogenic competence in the Drosophila central nervous system</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14">
        <w:r>
          <w:rPr>
            <w:color w:val="1155CC"/>
            <w:u w:val="single"/>
          </w:rPr>
          <w:t>10.1073/pnas.2534053123</w:t>
        </w:r>
      </w:hyperlink>
    </w:p>
    <w:p>
      <w:pPr>
        <w:spacing w:before="0" w:after="120"/>
      </w:pPr>
      <w:r>
        <w:rPr>
          <w:b/>
        </w:rPr>
        <w:t xml:space="preserve">Notes: </w:t>
      </w:r>
      <w:r>
        <w:t>abstract_source=crossref</w:t>
      </w:r>
    </w:p>
    <w:p>
      <w:pPr>
        <w:spacing w:before="0" w:after="80" w:lineRule="auto" w:line="276"/>
      </w:pPr>
      <w:r>
        <w:rPr>
          <w:b/>
        </w:rPr>
        <w:t xml:space="preserve">摘要（ZH）: </w:t>
      </w:r>
      <w:r>
        <w:t>尽管基因突变可以促进增生性生长，但它们并非总能导致致癌结果。我们和其他人此前已将转录因子Nerfin-1和Lola鉴定为去分化的抑制剂。在此，我们研究了去分化的致癌潜力在果蝇中枢神经系统不同神经谱系中的差异。我们发现Nerfin-1失活导致中枢脑和腹神经索出现致瘤表型，但在视叶（OLs）中没有。相比之下，Lola失活导致肿瘤在视叶中特异性过度生长。我们将时间转录因子Chinmo及其受蜕皮激素信号的调控确定为大脑不同区域致癌能力的决定性因素，影响去分化的致瘤结果。这项研究提供了一个基本框架，以理解致癌能力如何超越基因突变而产生。</w:t>
      </w:r>
    </w:p>
    <w:p>
      <w:pPr>
        <w:spacing w:before="0" w:after="200" w:lineRule="auto" w:line="276"/>
      </w:pPr>
      <w:r>
        <w:rPr>
          <w:b/>
        </w:rPr>
        <w:t xml:space="preserve">Abstract (EN): </w:t>
      </w:r>
      <w:r>
        <w:t>While genetic mutations can promote hyperplastic growth, they do not always result in oncogenic outcomes. We and others have previously identified the transcription factors Nerfin-1 and Lola as inhibitors of dedifferentiation. Here, we investigate how the oncogenic potential of dedifferentiation varies across different neural lineages in the</w:t>
      </w:r>
      <w:r>
        <w:t xml:space="preserve"> </w:t>
      </w:r>
      <w:r>
        <w:t>Drosophila</w:t>
      </w:r>
      <w:r>
        <w:t xml:space="preserve"> </w:t>
      </w:r>
      <w:r>
        <w:t>central nervous system. We found that Nerfin-1 inactivation causes tumorigenic phenotypes in the central brain and the ventral nerve cord but not the optic lobes (OLs). In contrast, Lola inactivation leads to tumor overgrowth specifically in the OLs. We identify Chinmo, a temporal transcription factor, and its regulation by ecdysone signaling as key determinants of the oncogenic competence in different regions of the brain, influencing the tumorigenic outcome of dedifferentiation. This study provides a fundamental framework to understand how oncogenic competence arises beyond genetic mutations.</w:t>
      </w:r>
    </w:p>
    <w:p>
      <w:pPr>
        <w:spacing w:before="120" w:after="120"/>
      </w:pPr>
      <w:r>
        <w:rPr>
          <w:sz w:val="18"/>
        </w:rPr>
        <w:t>——————————————————————————————————————————————————————————————————————</w:t>
      </w:r>
    </w:p>
    <w:p>
      <w:pPr>
        <w:spacing w:before="160" w:after="40" w:line="240" w:lineRule="auto"/>
      </w:pPr>
      <w:r>
        <w:rPr>
          <w:b/>
        </w:rPr>
        <w:t xml:space="preserve">[311] </w:t>
      </w:r>
      <w:hyperlink r:id="rId815">
        <w:r>
          <w:rPr>
            <w:color w:val="1155CC"/>
            <w:u w:val="single"/>
          </w:rPr>
          <w:t>海洋碳循环的综合视角：厘清事实、通量和虚构</w:t>
        </w:r>
      </w:hyperlink>
    </w:p>
    <w:p>
      <w:pPr>
        <w:spacing w:before="0" w:after="80"/>
      </w:pPr>
      <w:r>
        <w:rPr>
          <w:i/>
          <w:sz w:val="20"/>
        </w:rPr>
        <w:t>EN: Integrated perspective on ocean carbon cycle: Untangling facts, fluxes, and fictions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16">
        <w:r>
          <w:rPr>
            <w:color w:val="1155CC"/>
            <w:u w:val="single"/>
          </w:rPr>
          <w:t>10.1126/sciadv.aed2480</w:t>
        </w:r>
      </w:hyperlink>
    </w:p>
    <w:p>
      <w:pPr>
        <w:spacing w:before="0" w:after="120"/>
      </w:pPr>
      <w:r>
        <w:rPr>
          <w:b/>
        </w:rPr>
        <w:t xml:space="preserve">Notes: </w:t>
      </w:r>
      <w:r>
        <w:t>abstract_source=crossref</w:t>
      </w:r>
    </w:p>
    <w:p>
      <w:pPr>
        <w:spacing w:before="0" w:after="80" w:lineRule="auto" w:line="276"/>
      </w:pPr>
      <w:r>
        <w:rPr>
          <w:b/>
        </w:rPr>
        <w:t xml:space="preserve">摘要（ZH）: </w:t>
      </w:r>
      <w:r>
        <w:t>海洋碳循环跨越多个尺度和储库，这挑战了构建连贯图景的努力，并在科学和公众讨论中助长了误解或碎片化的叙述。常见的例子包括认为生物过程控制着海洋碳汇（即海洋吸收的人类CO2排放量的一部分），恢复沿海生态系统在减缓气候变化方面非常有效，或者鲸鱼对碳固存有显著贡献。我们对海洋生物和非生物碳储量和通量——从浮游生物到红树林、鲸鱼、鱼类和塑料——进行了全面综述，并对全球海洋碳循环提出了一个综合视角，区分了有充分证据支持的见解和误解。这一综合研究重申了海洋作为物理和化学驱动的碳汇的关键作用，同时阐明了沿海和开阔海洋生态系统对碳固存和气候减缓的有限贡献。我们警惕那些通过气候减缓来证明海洋保护合理性的框架——这种叙述有助于吸引注意力，但并非总是可靠和不必要的，因为无论其对碳的影响如何，海洋生物多样性都值得保护。</w:t>
      </w:r>
    </w:p>
    <w:p>
      <w:pPr>
        <w:spacing w:before="0" w:after="200" w:lineRule="auto" w:line="276"/>
      </w:pPr>
      <w:r>
        <w:rPr>
          <w:b/>
        </w:rPr>
        <w:t xml:space="preserve">Abstract (EN): </w:t>
      </w:r>
      <w:r>
        <w:t>The ocean carbon cycle spans multiple scales and reservoirs, challenging efforts to build a coherent picture and fostering misconceptions or fragmented narratives in science and public discourse. Common examples include the belief that the biological processes control the ocean’s carbon sink (i.e., fraction of human CO</w:t>
      </w:r>
      <w:r>
        <w:rPr>
          <w:vertAlign w:val="subscript"/>
        </w:rPr>
        <w:t>2</w:t>
      </w:r>
      <w:r>
        <w:t>emissions absorbed by ocean), that restoring coastal ecosystems is highly effective at mitigating climate change, or that whales substantially contribute to carbon sequestration. We provide a comprehensive review of living and nonliving ocean carbon stocks and fluxes—from plankton to mangroves, whales, fish, and plastics—and an integrated perspective on global ocean carbon cycling, disentangling well-supported insights from misconceptions. This synthesis reaffirms the ocean’s key role as a physics- and chemistry-driven carbon sink, while clarifying the limited contribution of coastal and open-ocean ecosystems to carbon sequestration and climate mitigation. We caution against frameworks that justify marine conservation through climate mitigation—a narrative useful to draw attention, but not always robust and unnecessary, since marine biodiversity is worth preserving regardless of its impact on carbon.</w:t>
      </w:r>
    </w:p>
    <w:p>
      <w:pPr>
        <w:spacing w:before="120" w:after="120"/>
      </w:pPr>
      <w:r>
        <w:rPr>
          <w:sz w:val="18"/>
        </w:rPr>
        <w:t>——————————————————————————————————————————————————————————————————————</w:t>
      </w:r>
    </w:p>
    <w:p>
      <w:pPr>
        <w:spacing w:before="160" w:after="40" w:line="240" w:lineRule="auto"/>
      </w:pPr>
      <w:r>
        <w:rPr>
          <w:b/>
        </w:rPr>
        <w:t xml:space="preserve">[312] </w:t>
      </w:r>
      <w:hyperlink r:id="rId817">
        <w:r>
          <w:rPr>
            <w:color w:val="1155CC"/>
            <w:u w:val="single"/>
          </w:rPr>
          <w:t>肠梗阻损害黑腹果蝇的进食并促进睡眠</w:t>
        </w:r>
      </w:hyperlink>
    </w:p>
    <w:p>
      <w:pPr>
        <w:spacing w:before="0" w:after="80"/>
      </w:pPr>
      <w:r>
        <w:rPr>
          <w:i/>
          <w:sz w:val="20"/>
        </w:rPr>
        <w:t>EN: Intestinal obstruction impairs feeding and promotes sleep in Drosophila melanogaster</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18">
        <w:r>
          <w:rPr>
            <w:color w:val="1155CC"/>
            <w:u w:val="single"/>
          </w:rPr>
          <w:t>10.1126/sciadv.ady2183</w:t>
        </w:r>
      </w:hyperlink>
    </w:p>
    <w:p>
      <w:pPr>
        <w:spacing w:before="0" w:after="120"/>
      </w:pPr>
      <w:r>
        <w:rPr>
          <w:b/>
        </w:rPr>
        <w:t xml:space="preserve">Notes: </w:t>
      </w:r>
      <w:r>
        <w:t>abstract_source=crossref</w:t>
      </w:r>
    </w:p>
    <w:p>
      <w:pPr>
        <w:spacing w:before="0" w:after="80" w:lineRule="auto" w:line="276"/>
      </w:pPr>
      <w:r>
        <w:rPr>
          <w:b/>
        </w:rPr>
        <w:t xml:space="preserve">摘要（ZH）: </w:t>
      </w:r>
      <w:r>
        <w:t>在生命开始时，必须启动进食，同时需要排出发育废物——胎粪。尽管这两个基本的生理过程相互关联，但它们的机械耦合机制仍知之甚少。我们以果蝇（Drosophila）为模型系统，研究了这些过程的协调性。我们发现胎粪排泄在羽化后不久开始，而进食的启动仅在部分胎粪排出后才开始。我们鉴定了一个与apterous基因相关的顺式调控元件，该元件是后肠正常发育所必需的。它的破坏会阻止胎粪排泄并导致肠梗阻。结果，具有缺陷元件的果蝇会避食并表现出延长的喙伸展睡眠。在刚羽化的果蝇中实验性地抑制排泄重现了这些表型，表明肠道阻塞足以损害进食并改变睡眠/觉醒状态。表型的进展与人类机械性肠梗阻的特征相似，这表明观察到的效应可能源于肠道阻塞更广泛的生理后果。我们的发现揭示了肠道清除、进食、睡眠和生存之间的联系，对理解跨物种的类似过程具有潜在意义。</w:t>
      </w:r>
    </w:p>
    <w:p>
      <w:pPr>
        <w:spacing w:before="0" w:after="200" w:lineRule="auto" w:line="276"/>
      </w:pPr>
      <w:r>
        <w:rPr>
          <w:b/>
        </w:rPr>
        <w:t xml:space="preserve">Abstract (EN): </w:t>
      </w:r>
      <w:r>
        <w:t>At the onset of life, feeding must be initiated while developmental waste products—the meconium—need to be eliminated. Although these two fundamental physiological processes are interconnected, their mechanistic coupling remains poorly understood. Using</w:t>
      </w:r>
      <w:r>
        <w:t xml:space="preserve"> </w:t>
      </w:r>
      <w:r>
        <w:t>Drosophila</w:t>
      </w:r>
      <w:r>
        <w:t xml:space="preserve"> </w:t>
      </w:r>
      <w:r>
        <w:t>as a model system, we investigated the coordination of these processes. We show that meconium excretion starts shortly after eclosion and that feeding initiation begins only after partial meconium elimination. We identified a cis-regulatory element associated with the</w:t>
      </w:r>
      <w:r>
        <w:t xml:space="preserve"> </w:t>
      </w:r>
      <w:r>
        <w:t>apterous</w:t>
      </w:r>
      <w:r>
        <w:t xml:space="preserve"> </w:t>
      </w:r>
      <w:r>
        <w:t>gene that is required for proper hindgut development. Its disruption prevents meconium excretion and leads to intestinal obstruction. As a result, flies with a defective element avoid food and exhibit increased proboscis extension sleep. Experimental inhibition of excretion in freshly eclosed flies recapitulates these phenotypes, indicating that intestinal blockage is sufficient to impair feeding and alter sleep/wake states. The progression of phenotypes parallels hallmarks of mechanical gut obstruction in humans, suggesting that the observed effects may arise from broader physiological consequences of intestinal blockage. Our findings uncover a link between intestinal clearance, feeding, sleep, and survival, with potential implications for understanding similar processes across species.</w:t>
      </w:r>
    </w:p>
    <w:p>
      <w:pPr>
        <w:spacing w:before="120" w:after="120"/>
      </w:pPr>
      <w:r>
        <w:rPr>
          <w:sz w:val="18"/>
        </w:rPr>
        <w:t>——————————————————————————————————————————————————————————————————————</w:t>
      </w:r>
    </w:p>
    <w:p>
      <w:pPr>
        <w:spacing w:before="160" w:after="40" w:line="240" w:lineRule="auto"/>
      </w:pPr>
      <w:r>
        <w:rPr>
          <w:b/>
        </w:rPr>
        <w:t xml:space="preserve">[313] </w:t>
      </w:r>
      <w:hyperlink r:id="rId819">
        <w:r>
          <w:rPr>
            <w:color w:val="1155CC"/>
            <w:u w:val="single"/>
          </w:rPr>
          <w:t>铁轴性PbWO4中通过拉曼模式激发与太赫兹场诱导红外模式的非谐耦合实现对称性控制</w:t>
        </w:r>
      </w:hyperlink>
    </w:p>
    <w:p>
      <w:pPr>
        <w:spacing w:before="0" w:after="80"/>
      </w:pPr>
      <w:r>
        <w:rPr>
          <w:i/>
          <w:sz w:val="20"/>
        </w:rPr>
        <w:t>EN: Symmetry control by Raman-mode excitations via anharmonic couplings with terahertz field–induced infrared modes in ferroaxial PbWO4</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20">
        <w:r>
          <w:rPr>
            <w:color w:val="1155CC"/>
            <w:u w:val="single"/>
          </w:rPr>
          <w:t>10.1126/sciadv.aeb1522</w:t>
        </w:r>
      </w:hyperlink>
    </w:p>
    <w:p>
      <w:pPr>
        <w:spacing w:before="0" w:after="120"/>
      </w:pPr>
      <w:r>
        <w:rPr>
          <w:b/>
        </w:rPr>
        <w:t xml:space="preserve">Notes: </w:t>
      </w:r>
      <w:r>
        <w:t>abstract_source=crossref</w:t>
      </w:r>
    </w:p>
    <w:p>
      <w:pPr>
        <w:spacing w:before="0" w:after="80" w:lineRule="auto" w:line="276"/>
      </w:pPr>
      <w:r>
        <w:rPr>
          <w:b/>
        </w:rPr>
        <w:t xml:space="preserve">摘要（ZH）: </w:t>
      </w:r>
      <w:r>
        <w:t>超快地从高对称结构转换为低对称结构对于光开关器件很重要。为了实现这种转换，我们使用了非线性声子学。用强太赫兹脉冲激发红外活性模式，通过与红外活性模式的非谐耦合，产生降低对称性的拉曼模式。将太赫兹泵浦-光学克尔椭偏探针方法应用于铁轴材料 PbWO4，使用两种不同带宽的太赫兹脉冲，揭示了由非谐模式耦合引起的拉曼模式动力学可以与受激拉曼散射引起的动力学区分开来。我们的结果表明，非谐模式耦合包含两个分量。在太赫兹光作用下，红外活性模式的受迫振荡驱动相干拉曼模式振荡。太赫兹光消失后，红外活性模式振幅的平方引起拉曼模式位移。通过缩小太赫兹脉冲的带宽并加宽其时间宽度，拉曼模式位移在数皮秒内得到校正。这种方法有望产生具有较低对称性的新状态。</w:t>
      </w:r>
    </w:p>
    <w:p>
      <w:pPr>
        <w:spacing w:before="0" w:after="200" w:lineRule="auto" w:line="276"/>
      </w:pPr>
      <w:r>
        <w:rPr>
          <w:b/>
        </w:rPr>
        <w:t xml:space="preserve">Abstract (EN): </w:t>
      </w:r>
      <w:r>
        <w:t>Ultrafast conversion from a high- to low-symmetry structure is important for optical-switching devices. To realize such a conversion, we used nonlinear phononics. Exciting infrared-active modes with an intense terahertz pulse generates symmetry-reducing Raman modes via anharmonic couplings with the infrared-active modes. A terahertz-pump optical-Kerr-ellipticity-probe method was applied to a ferroaxial material, PbWO</w:t>
      </w:r>
      <w:r>
        <w:rPr>
          <w:vertAlign w:val="subscript"/>
        </w:rPr>
        <w:t>4</w:t>
      </w:r>
      <w:r>
        <w:t>, using terahertz pulses with two different bandwidths, revealing that Raman-mode dynamics induced by an anharmonic mode coupling can be distinguished from those due to the stimulated Raman scattering. Our results showed that the anharmonic mode coupling comprises two components. Under terahertz light, forced oscillations of the infrared-active modes drive coherent Raman mode oscillations. After the terahertz light disappears, the square of the infrared-active mode amplitudes induces Raman-mode displacements. By narrowing the bandwidth and broadening the temporal width of the terahertz pulse, the Raman mode displacements are rectified over several picoseconds. This approach is promising for generating a new state with lower symmetry.</w:t>
      </w:r>
    </w:p>
    <w:p>
      <w:pPr>
        <w:spacing w:before="120" w:after="120"/>
      </w:pPr>
      <w:r>
        <w:rPr>
          <w:sz w:val="18"/>
        </w:rPr>
        <w:t>——————————————————————————————————————————————————————————————————————</w:t>
      </w:r>
    </w:p>
    <w:p>
      <w:pPr>
        <w:spacing w:before="160" w:after="40" w:line="240" w:lineRule="auto"/>
      </w:pPr>
      <w:r>
        <w:rPr>
          <w:b/>
        </w:rPr>
        <w:t xml:space="preserve">[314] </w:t>
      </w:r>
      <w:hyperlink r:id="rId821">
        <w:r>
          <w:rPr>
            <w:color w:val="1155CC"/>
            <w:u w:val="single"/>
          </w:rPr>
          <w:t>具有激子库珀对的铁磁超导性：应用于Γ谷扭曲半导体</w:t>
        </w:r>
      </w:hyperlink>
    </w:p>
    <w:p>
      <w:pPr>
        <w:spacing w:before="0" w:after="80"/>
      </w:pPr>
      <w:r>
        <w:rPr>
          <w:i/>
          <w:sz w:val="20"/>
        </w:rPr>
        <w:t>EN: Ferromagnetic superconductivity with excitonic Cooper pairs: Application to Γ-valley twisted semiconductors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22">
        <w:r>
          <w:rPr>
            <w:color w:val="1155CC"/>
            <w:u w:val="single"/>
          </w:rPr>
          <w:t>10.1126/sciadv.aeb4888</w:t>
        </w:r>
      </w:hyperlink>
    </w:p>
    <w:p>
      <w:pPr>
        <w:spacing w:before="0" w:after="120"/>
      </w:pPr>
      <w:r>
        <w:rPr>
          <w:b/>
        </w:rPr>
        <w:t xml:space="preserve">Notes: </w:t>
      </w:r>
      <w:r>
        <w:t>abstract_source=crossref</w:t>
      </w:r>
    </w:p>
    <w:p>
      <w:pPr>
        <w:spacing w:before="0" w:after="80" w:lineRule="auto" w:line="276"/>
      </w:pPr>
      <w:r>
        <w:rPr>
          <w:b/>
        </w:rPr>
        <w:t xml:space="preserve">摘要（ZH）: </w:t>
      </w:r>
      <w:r>
        <w:t>我们提出了一种铁磁超导理论，该理论通过激子库珀对的凝聚，在掺杂关联铁磁绝缘体时出现。激子库珀对是由与激子强杂化的库珀对组成的带电荷 2e 的玻色子准粒子。利用精确对角化支持的强耦合展开，我们分析了自旋极化电子模型，并表明在掺杂强关联绝缘体时，激子库珀对是由电子-空穴涨落形成的。我们表征了它们的结合能、有效质量以及由此产生的超导转变温度。我们提出了在具有蜂窝状莫尔超晶格的扭曲半导体中实现自旋极化超导的可能性。</w:t>
      </w:r>
    </w:p>
    <w:p>
      <w:pPr>
        <w:spacing w:before="0" w:after="200" w:lineRule="auto" w:line="276"/>
      </w:pPr>
      <w:r>
        <w:rPr>
          <w:b/>
        </w:rPr>
        <w:t xml:space="preserve">Abstract (EN): </w:t>
      </w:r>
      <w:r>
        <w:t>We present a theory of ferromagnetic superconductivity that emerges upon doping a correlated ferromagnetic insulator through the condensation of excitonic Cooper pairs, which are charge-2</w:t>
      </w:r>
      <w:r>
        <w:t xml:space="preserve"> </w:t>
      </w:r>
      <w:r>
        <w:t>e</w:t>
      </w:r>
      <w:r>
        <w:t xml:space="preserve"> </w:t>
      </w:r>
      <w:r>
        <w:t>bosonic quasiparticles made of Cooper pairs strongly hybridized with excitons. Using a strong-coupling expansion supported by exact diagonalization, we analyze a model of spin-polarized electrons and show that excitonic Cooper pairs form from electron-hole fluctuations upon doping a strongly correlated insulator. We characterize their binding energy, effective mass, and the resulting superconducting transition temperature. We propose possible realization of spin-polarized superconductivity in twisted semiconductors with honeycomb moiré superlattice.</w:t>
      </w:r>
    </w:p>
    <w:p>
      <w:pPr>
        <w:spacing w:before="120" w:after="120"/>
      </w:pPr>
      <w:r>
        <w:rPr>
          <w:sz w:val="18"/>
        </w:rPr>
        <w:t>——————————————————————————————————————————————————————————————————————</w:t>
      </w:r>
    </w:p>
    <w:p>
      <w:pPr>
        <w:spacing w:before="160" w:after="40" w:line="240" w:lineRule="auto"/>
      </w:pPr>
      <w:r>
        <w:rPr>
          <w:b/>
        </w:rPr>
        <w:t xml:space="preserve">[315] </w:t>
      </w:r>
      <w:hyperlink r:id="rId823">
        <w:r>
          <w:rPr>
            <w:color w:val="1155CC"/>
            <w:u w:val="single"/>
          </w:rPr>
          <w:t>涅瑞伊得作为海王星的一颗规则卫星</w:t>
        </w:r>
      </w:hyperlink>
    </w:p>
    <w:p>
      <w:pPr>
        <w:spacing w:before="0" w:after="80"/>
      </w:pPr>
      <w:r>
        <w:rPr>
          <w:i/>
          <w:sz w:val="20"/>
        </w:rPr>
        <w:t>EN: Nereid as a regular satellite of Neptune</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24">
        <w:r>
          <w:rPr>
            <w:color w:val="1155CC"/>
            <w:u w:val="single"/>
          </w:rPr>
          <w:t>10.1126/sciadv.aeb1429</w:t>
        </w:r>
      </w:hyperlink>
    </w:p>
    <w:p>
      <w:pPr>
        <w:spacing w:before="0" w:after="120"/>
      </w:pPr>
      <w:r>
        <w:rPr>
          <w:b/>
        </w:rPr>
        <w:t xml:space="preserve">Notes: </w:t>
      </w:r>
      <w:r>
        <w:t>abstract_source=crossref</w:t>
      </w:r>
    </w:p>
    <w:p>
      <w:pPr>
        <w:spacing w:before="0" w:after="80" w:lineRule="auto" w:line="276"/>
      </w:pPr>
      <w:r>
        <w:rPr>
          <w:b/>
        </w:rPr>
        <w:t xml:space="preserve">摘要（ZH）: </w:t>
      </w:r>
      <w:r>
        <w:t>涅瑞德（Nereid），海王星的第三大卫星，因其高度偏心的轨道而被认为是捕获的不规则卫星。然而，在不规则卫星中，涅瑞德是一个异类：它是最大的，离其主行星最近，也是最偏心的。我们展示了詹姆斯·韦伯空间望远镜（James Webb Space Telescope）对涅瑞德的近红外光谱观测结果，该结果表明其成分与其推测的捕获起源不符。随后，我们模拟了海卫一（Triton）被捕获后涅瑞德的早期轨道历史，以证明一个在海王星周围原位形成的规则卫星演化到涅瑞德当前轨道的合理动力学路径。基于现有的光谱学和动力学证据，我们提出涅瑞德并非来自柯伊伯带（Kuiper belt）的捕获天体，而是海王星唯一幸存的完整规则卫星。</w:t>
      </w:r>
    </w:p>
    <w:p>
      <w:pPr>
        <w:spacing w:before="0" w:after="200" w:lineRule="auto" w:line="276"/>
      </w:pPr>
      <w:r>
        <w:rPr>
          <w:b/>
        </w:rPr>
        <w:t xml:space="preserve">Abstract (EN): </w:t>
      </w:r>
      <w:r>
        <w:t>Nereid, Neptune’s third largest moon, is considered to be a captured irregular satellite because of its highly eccentric orbit. However, among irregular satellites, Nereid is an outlier: It is the largest, the closest to its host planet, and the most eccentric. We present James Webb Space Telescope near-infrared spectroscopy of Nereid that demonstrates that its composition is inconsistent with its suggested captured origin. We then simulate Nereid’s early orbital history subsequent to Triton’s capture to demonstrate a plausible dynamical pathway for a regular satellite formed in situ around Neptune to evolve to Nereid’s present-day orbit. On the basis of the available spectroscopic and dynamical evidence, we propose that Nereid is not a body captured from the Kuiper belt but rather the sole surviving intact regular satellite of Neptune.</w:t>
      </w:r>
    </w:p>
    <w:p>
      <w:pPr>
        <w:spacing w:before="120" w:after="120"/>
      </w:pPr>
      <w:r>
        <w:rPr>
          <w:sz w:val="18"/>
        </w:rPr>
        <w:t>——————————————————————————————————————————————————————————————————————</w:t>
      </w:r>
    </w:p>
    <w:p>
      <w:pPr>
        <w:spacing w:before="160" w:after="40" w:line="240" w:lineRule="auto"/>
      </w:pPr>
      <w:r>
        <w:rPr>
          <w:b/>
        </w:rPr>
        <w:t xml:space="preserve">[316] </w:t>
      </w:r>
      <w:hyperlink r:id="rId825">
        <w:r>
          <w:rPr>
            <w:color w:val="1155CC"/>
            <w:u w:val="single"/>
          </w:rPr>
          <w:t>猕猴中目标导向视觉注意的计算神经动力学</w:t>
        </w:r>
      </w:hyperlink>
    </w:p>
    <w:p>
      <w:pPr>
        <w:spacing w:before="0" w:after="80"/>
      </w:pPr>
      <w:r>
        <w:rPr>
          <w:i/>
          <w:sz w:val="20"/>
        </w:rPr>
        <w:t>EN: Computational neural dynamics of goal-directed visual attention in macaques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26">
        <w:r>
          <w:rPr>
            <w:color w:val="1155CC"/>
            <w:u w:val="single"/>
          </w:rPr>
          <w:t>10.1126/sciadv.aed9004</w:t>
        </w:r>
      </w:hyperlink>
    </w:p>
    <w:p>
      <w:pPr>
        <w:spacing w:before="0" w:after="120"/>
      </w:pPr>
      <w:r>
        <w:rPr>
          <w:b/>
        </w:rPr>
        <w:t xml:space="preserve">Notes: </w:t>
      </w:r>
      <w:r>
        <w:t>abstract_source=crossref</w:t>
      </w:r>
    </w:p>
    <w:p>
      <w:pPr>
        <w:spacing w:before="0" w:after="80" w:lineRule="auto" w:line="276"/>
      </w:pPr>
      <w:r>
        <w:rPr>
          <w:b/>
        </w:rPr>
        <w:t xml:space="preserve">摘要（ZH）: </w:t>
      </w:r>
      <w:r>
        <w:t>目标导向的视觉注意力需要任务目标与分布式皮层网络中的感知和记忆过程进行动态整合。通过对V4、IT、OFC和LPFC的大规模记录，我们观察到群体动力学在线索呈现期间稳健地表征视觉类别，在延迟期内维持线索信息，并在搜索过程中区分类别和注意力状态。线索相关活动预测了随后的搜索效率，将搜索前处理与行为表现联系起来。正交子空间提供了一个关键的潜在表征结构，用于在搜索阶段编码和维持任务相关信息。中央凹注意力通过增加模式分离和以非线性、上下文相关的方式重塑表征几何来增强外围表征。搜索动力学进一步反映了注视历史和目标检测，这调节了反应强度和表征结构。最后，V4和IT编码了搜索阵列的空间几何，保留了其布局。总之，这些发现强调了群体水平动力学是支持目标导向视觉注意力的关键机制。</w:t>
      </w:r>
    </w:p>
    <w:p>
      <w:pPr>
        <w:spacing w:before="0" w:after="200" w:lineRule="auto" w:line="276"/>
      </w:pPr>
      <w:r>
        <w:rPr>
          <w:b/>
        </w:rPr>
        <w:t xml:space="preserve">Abstract (EN): </w:t>
      </w:r>
      <w:r>
        <w:t>Goal-directed visual attention requires the dynamic integration of task goals with perceptual and mnemonic processes across distributed cortical networks. Using large-scale recordings from V4, IT, OFC, and LPFC, we observed that population dynamics robustly represented visual categories during cue presentation, sustained cue information across delay periods, and differentiated both categories and attentional states during search. Cue-related activity predicted subsequent search efficiency, linking presearch processing to behavioral performance. The orthogonal subspace provided a crucial latent representational structure for encoding and maintaining task-relevant information across search stages. Foveal attention enhanced peripheral representations by both increasing pattern separation and reshaping representational geometry in a nonlinear, context-dependent manner. Search dynamics further reflected fixation history and target detection, which modulated both response strength and representational structure. Lastly, V4 and IT encoded the spatial geometry of the search array, preserving its layout. Together, these findings highlight population-level dynamics as critical mechanisms supporting goal-directed visual attention.</w:t>
      </w:r>
    </w:p>
    <w:p>
      <w:pPr>
        <w:spacing w:before="120" w:after="120"/>
      </w:pPr>
      <w:r>
        <w:rPr>
          <w:sz w:val="18"/>
        </w:rPr>
        <w:t>——————————————————————————————————————————————————————————————————————</w:t>
      </w:r>
    </w:p>
    <w:p>
      <w:pPr>
        <w:spacing w:before="160" w:after="40" w:line="240" w:lineRule="auto"/>
      </w:pPr>
      <w:r>
        <w:rPr>
          <w:b/>
        </w:rPr>
        <w:t xml:space="preserve">[317] </w:t>
      </w:r>
      <w:hyperlink r:id="rId827">
        <w:r>
          <w:rPr>
            <w:color w:val="1155CC"/>
            <w:u w:val="single"/>
          </w:rPr>
          <w:t>深度学习模型中热带海盆相互作用减少ENSO的春季可预测性障碍</w:t>
        </w:r>
      </w:hyperlink>
    </w:p>
    <w:p>
      <w:pPr>
        <w:spacing w:before="0" w:after="80"/>
      </w:pPr>
      <w:r>
        <w:rPr>
          <w:i/>
          <w:sz w:val="20"/>
        </w:rPr>
        <w:t>EN: Tropical basin interactions reduce spring predictability barrier of ENSO in a deep learning model</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28">
        <w:r>
          <w:rPr>
            <w:color w:val="1155CC"/>
            <w:u w:val="single"/>
          </w:rPr>
          <w:t>10.1126/sciadv.aeb0901</w:t>
        </w:r>
      </w:hyperlink>
    </w:p>
    <w:p>
      <w:pPr>
        <w:spacing w:before="0" w:after="120"/>
      </w:pPr>
      <w:r>
        <w:rPr>
          <w:b/>
        </w:rPr>
        <w:t xml:space="preserve">Notes: </w:t>
      </w:r>
      <w:r>
        <w:t>abstract_source=crossref</w:t>
      </w:r>
    </w:p>
    <w:p>
      <w:pPr>
        <w:spacing w:before="0" w:after="80" w:lineRule="auto" w:line="276"/>
      </w:pPr>
      <w:r>
        <w:rPr>
          <w:b/>
        </w:rPr>
        <w:t xml:space="preserve">摘要（ZH）: </w:t>
      </w:r>
      <w:r>
        <w:t>厄尔尼诺-南方涛动 (ENSO) 在北半球春季表现出可预测性显著下降，这被称为春季可预测性障碍 (SPB)。尽管印度洋、大西洋和太平洋之间的热带海盆相互作用可能增强 ENSO 的可预测性，但它们在深度学习 (DL) 框架中缓解 SPB 的作用仍未充分利用。在此，我们引入 GL-Geoformer，一个用于全球热带海气预测的 DL 模型。GL-Geoformer 捕捉了热带海盆中风和三维温度异常的时空演变。我们的模型表明，纳入热带海盆相互作用显著降低了 SPB，使 GL-Geoformer 在春季启动时能够提前长达 16 个月实现熟练的 ENSO 预测。通过起搏器实验，我们分别通过次表层热输送和沃克环流机制，量化了印度洋偶极子和大西洋尼诺的个体和协同贡献非线性。这项研究提供了一个数据驱动的框架来表征热带海盆相互作用并减少 SPB，从而加深对 ENSO 可预测性的理解。</w:t>
      </w:r>
    </w:p>
    <w:p>
      <w:pPr>
        <w:spacing w:before="0" w:after="200" w:lineRule="auto" w:line="276"/>
      </w:pPr>
      <w:r>
        <w:rPr>
          <w:b/>
        </w:rPr>
        <w:t xml:space="preserve">Abstract (EN): </w:t>
      </w:r>
      <w:r>
        <w:t>The El Niño–Southern Oscillation (ENSO) exhibits a pronounced decline in predictability during boreal spring, referred to as spring predictability barrier (SPB). While tropical basin interactions among the Indian, Atlantic, and Pacific Oceans potentially enhance ENSO predictability, their roles in mitigating SPB within deep learning (DL) frameworks remain underutilized. Here, we introduce GL-Geoformer, a DL model for global tropical ocean-atmosphere prediction. GL-Geoformer captures spatiotemporal evolutions of wind and three-dimensional temperature anomalies across the tropical basins. Our modeling demonstrates that incorporating tropical basin interactions substantially reduces SPB, enabling GL-Geoformer to achieve skillful ENSO predictions up to 16 months in advance when initiated in spring. Pacemaker experiments are performed to quantify individual and synergistic contributing nonlinearities of Indian Ocean Dipole and Atlantic Niño via subsurface heat transport and Walker circulation mechanisms, respectively. This study provides a data-driven framework to represent tropical basin interactions and reduce SPB, thereby deepening understanding of ENSO predictability.</w:t>
      </w:r>
    </w:p>
    <w:p>
      <w:pPr>
        <w:spacing w:before="120" w:after="120"/>
      </w:pPr>
      <w:r>
        <w:rPr>
          <w:sz w:val="18"/>
        </w:rPr>
        <w:t>——————————————————————————————————————————————————————————————————————</w:t>
      </w:r>
    </w:p>
    <w:p>
      <w:pPr>
        <w:spacing w:before="160" w:after="40" w:line="240" w:lineRule="auto"/>
      </w:pPr>
      <w:r>
        <w:rPr>
          <w:b/>
        </w:rPr>
        <w:t xml:space="preserve">[318] </w:t>
      </w:r>
      <w:hyperlink r:id="rId829">
        <w:r>
          <w:rPr>
            <w:color w:val="1155CC"/>
            <w:u w:val="single"/>
          </w:rPr>
          <w:t>精神分裂症风险基因ZNF804A控制发育中的人神经元中的核糖体定位和突触发生</w:t>
        </w:r>
      </w:hyperlink>
    </w:p>
    <w:p>
      <w:pPr>
        <w:spacing w:before="0" w:after="80"/>
      </w:pPr>
      <w:r>
        <w:rPr>
          <w:i/>
          <w:sz w:val="20"/>
        </w:rPr>
        <w:t>EN: Schizophrenia risk gene ZNF804A controls ribosome localization and synaptogenesis in developing human neurons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30">
        <w:r>
          <w:rPr>
            <w:color w:val="1155CC"/>
            <w:u w:val="single"/>
          </w:rPr>
          <w:t>10.1126/sciadv.aea0755</w:t>
        </w:r>
      </w:hyperlink>
    </w:p>
    <w:p>
      <w:pPr>
        <w:spacing w:before="0" w:after="120"/>
      </w:pPr>
      <w:r>
        <w:rPr>
          <w:b/>
        </w:rPr>
        <w:t xml:space="preserve">Notes: </w:t>
      </w:r>
      <w:r>
        <w:t>abstract_source=crossref</w:t>
      </w:r>
    </w:p>
    <w:p>
      <w:pPr>
        <w:spacing w:before="0" w:after="80" w:lineRule="auto" w:line="276"/>
      </w:pPr>
      <w:r>
        <w:rPr>
          <w:b/>
        </w:rPr>
        <w:t xml:space="preserve">摘要（ZH）: </w:t>
      </w:r>
      <w:r>
        <w:t>ZNF804A 是根据大规模基因组研究结果，最早与精神分裂症稳健相关的基因之一。此前的研究已表明 ZNF804A 参与基因表达和突触功能的调节，但该基因在神经发育和精神分裂症发病机制中的作用仍不清楚。为了研究其在神经发育过程中的功能，我们生成了 ZNF804A 表达降低的同基因人诱导多能干细胞，将其分化为发育中的皮层谷氨酸能神经元，并研究了它们的转录组、突触和蛋白质特征。突变神经元显示出基因表达变化的适度证据。然而，高内涵共聚焦成像揭示了突变神经元中兴奋性突触密度增加。细胞区室特异性蛋白质组学分析进一步揭示突变神经元在神经突内具有更高水平的核糖体和翻译蛋白，高内涵成像证实了局部蛋白质合成效率的提高。总而言之，这些结果表明，在人发育中的皮层谷氨酸能神经元中，ZNF804A 通过增加局部蛋白质翻译来调节兴奋性突触形成潜力。</w:t>
      </w:r>
    </w:p>
    <w:p>
      <w:pPr>
        <w:spacing w:before="0" w:after="200" w:lineRule="auto" w:line="276"/>
      </w:pPr>
      <w:r>
        <w:rPr>
          <w:b/>
        </w:rPr>
        <w:t xml:space="preserve">Abstract (EN): </w:t>
      </w:r>
      <w:r>
        <w:t>ZNF804A</w:t>
      </w:r>
      <w:r>
        <w:t xml:space="preserve"> </w:t>
      </w:r>
      <w:r>
        <w:t>was among the first genes robustly associated with schizophrenia based on findings from large-scale genomic studies. Previous research has implicated</w:t>
      </w:r>
      <w:r>
        <w:t xml:space="preserve"> </w:t>
      </w:r>
      <w:r>
        <w:t>ZNF804A</w:t>
      </w:r>
      <w:r>
        <w:t xml:space="preserve"> </w:t>
      </w:r>
      <w:r>
        <w:t>in the regulation of gene expression and synaptic function, but the role of this gene in neurodevelopment and in schizophrenia pathogenesis remains unclear. To study its function during neurodevelopment, we generated isogenic human induced pluripotent stem cells with reduced</w:t>
      </w:r>
      <w:r>
        <w:t xml:space="preserve"> </w:t>
      </w:r>
      <w:r>
        <w:t>ZNF804A</w:t>
      </w:r>
      <w:r>
        <w:t xml:space="preserve"> </w:t>
      </w:r>
      <w:r>
        <w:t>expression, differentiated them into developing cortical glutamatergic neurons, and studied their transcriptomic, synaptic, and protein signatures. Mutant neurons showed modest evidence for changes in gene expression. However, high-content confocal imaging revealed increased excitatory synapse density in mutant neurons. Cell compartment–specific proteomic analysis further revealed that mutant neurons had higher levels of ribosomal and translational proteins within neurites, and high-content imaging confirmed increased local protein synthesis efficiency. Overall, these results demonstrate that in human developing cortical glutamatergic neurons,</w:t>
      </w:r>
      <w:r>
        <w:t xml:space="preserve"> </w:t>
      </w:r>
      <w:r>
        <w:t>ZNF804A</w:t>
      </w:r>
      <w:r>
        <w:t xml:space="preserve"> </w:t>
      </w:r>
      <w:r>
        <w:t>regulates excitatory synapse formation potential via increased local protein translation.</w:t>
      </w:r>
    </w:p>
    <w:p>
      <w:pPr>
        <w:spacing w:before="120" w:after="120"/>
      </w:pPr>
      <w:r>
        <w:rPr>
          <w:sz w:val="18"/>
        </w:rPr>
        <w:t>——————————————————————————————————————————————————————————————————————</w:t>
      </w:r>
    </w:p>
    <w:p>
      <w:pPr>
        <w:spacing w:before="160" w:after="40" w:line="240" w:lineRule="auto"/>
      </w:pPr>
      <w:r>
        <w:rPr>
          <w:b/>
        </w:rPr>
        <w:t xml:space="preserve">[319] </w:t>
      </w:r>
      <w:hyperlink r:id="rId831">
        <w:r>
          <w:rPr>
            <w:color w:val="1155CC"/>
            <w:u w:val="single"/>
          </w:rPr>
          <w:t>全身到局部纳米机器人溶栓</w:t>
        </w:r>
      </w:hyperlink>
    </w:p>
    <w:p>
      <w:pPr>
        <w:spacing w:before="0" w:after="80"/>
      </w:pPr>
      <w:r>
        <w:rPr>
          <w:i/>
          <w:sz w:val="20"/>
        </w:rPr>
        <w:t>EN: Systemic-to-local nanorobot thrombolysis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32">
        <w:r>
          <w:rPr>
            <w:color w:val="1155CC"/>
            <w:u w:val="single"/>
          </w:rPr>
          <w:t>10.1126/sciadv.aed9464</w:t>
        </w:r>
      </w:hyperlink>
    </w:p>
    <w:p>
      <w:pPr>
        <w:spacing w:before="0" w:after="120"/>
      </w:pPr>
      <w:r>
        <w:rPr>
          <w:b/>
        </w:rPr>
        <w:t xml:space="preserve">Notes: </w:t>
      </w:r>
      <w:r>
        <w:t>abstract_source=crossref</w:t>
      </w:r>
    </w:p>
    <w:p>
      <w:pPr>
        <w:spacing w:before="0" w:after="80" w:lineRule="auto" w:line="276"/>
      </w:pPr>
      <w:r>
        <w:rPr>
          <w:b/>
        </w:rPr>
        <w:t xml:space="preserve">摘要（ZH）: </w:t>
      </w:r>
      <w:r>
        <w:t>磁性微/纳米机器人有望用于靶向溶栓，但面临快速免疫清除和降解性差的挑战，常需侵入性局部部署和回收。在此，我们展示了一种安全多功能的全身-局部溶栓方法，该方法由聚乙烯吡咯烷酮屏蔽的多孔Fe</w:t>
      </w:r>
      <w:r>
        <w:rPr>
          <w:vertAlign w:val="subscript"/>
        </w:rPr>
        <w:t>3</w:t>
      </w:r>
      <w:r>
        <w:t>O</w:t>
      </w:r>
      <w:r>
        <w:rPr>
          <w:vertAlign w:val="subscript"/>
        </w:rPr>
        <w:t>4</w:t>
      </w:r>
      <w:r>
        <w:t>胶体纳米晶簇（p-Fe</w:t>
      </w:r>
      <w:r>
        <w:rPr>
          <w:vertAlign w:val="subscript"/>
        </w:rPr>
        <w:t>3</w:t>
      </w:r>
      <w:r>
        <w:t>O</w:t>
      </w:r>
      <w:r>
        <w:rPr>
          <w:vertAlign w:val="subscript"/>
        </w:rPr>
        <w:t>4</w:t>
      </w:r>
      <w:r>
        <w:t>@PVP CNCs）构建的磁性纳米机器人实现。在这种构建模块设计中，PVP涂层有助于高效负载tPA（组织纤溶酶原激活剂），同时确保全身注射后延长循环时间。p-Fe</w:t>
      </w:r>
      <w:r>
        <w:rPr>
          <w:vertAlign w:val="subscript"/>
        </w:rPr>
        <w:t>3</w:t>
      </w:r>
      <w:r>
        <w:t>O</w:t>
      </w:r>
      <w:r>
        <w:rPr>
          <w:vertAlign w:val="subscript"/>
        </w:rPr>
        <w:t>4</w:t>
      </w:r>
      <w:r>
        <w:t>核心提供了强大的集体磁矩，这是顺序磁收集（通过梯度场</w:t>
      </w:r>
      <w:r>
        <w:t xml:space="preserve"> </w:t>
      </w:r>
      <w:r>
        <w:t>H</w:t>
      </w:r>
      <w:r>
        <w:t xml:space="preserve"> </w:t>
      </w:r>
      <w:r>
        <w:t>）和驱动成导航纳米机器人[通过进动场</w:t>
      </w:r>
      <w:r>
        <w:t xml:space="preserve"> </w:t>
      </w:r>
      <w:r>
        <w:t>H</w:t>
      </w:r>
      <w:r>
        <w:t xml:space="preserve"> </w:t>
      </w:r>
      <w:r>
        <w:t>p</w:t>
      </w:r>
      <w:r>
        <w:t xml:space="preserve"> </w:t>
      </w:r>
      <w:r>
        <w:t>(</w:t>
      </w:r>
      <w:r>
        <w:t xml:space="preserve"> </w:t>
      </w:r>
      <w:r>
        <w:t>t</w:t>
      </w:r>
      <w:r>
        <w:t xml:space="preserve"> </w:t>
      </w:r>
      <w:r>
        <w:t>)]进行靶向溶栓所必需的。溶栓后，移除</w:t>
      </w:r>
      <w:r>
        <w:t xml:space="preserve"> </w:t>
      </w:r>
      <w:r>
        <w:t>H</w:t>
      </w:r>
      <w:r>
        <w:t xml:space="preserve"> </w:t>
      </w:r>
      <w:r>
        <w:t>p</w:t>
      </w:r>
      <w:r>
        <w:t xml:space="preserve"> </w:t>
      </w:r>
      <w:r>
        <w:t>(</w:t>
      </w:r>
      <w:r>
        <w:t xml:space="preserve"> </w:t>
      </w:r>
      <w:r>
        <w:t>t</w:t>
      </w:r>
      <w:r>
        <w:t xml:space="preserve"> </w:t>
      </w:r>
      <w:r>
        <w:t>)使纳米机器人分解成分散的CNCs，这些CNCs由于其多孔结构和超小初级纳米晶体（&lt;5纳米），经历快速溶酶体降解，并主要通过肝-胆-肠轴清除，从而实现</w:t>
      </w:r>
    </w:p>
    <w:p>
      <w:pPr>
        <w:spacing w:before="0" w:after="200" w:lineRule="auto" w:line="276"/>
      </w:pPr>
      <w:r>
        <w:rPr>
          <w:b/>
        </w:rPr>
        <w:t xml:space="preserve">Abstract (EN): </w:t>
      </w:r>
      <w:r>
        <w:t>Magnetic micro/nanorobots hold promise for targeted thrombolysis, yet face challenges of rapid immune clearance and poor degradability, often necessitating invasive localized deployment and retrieval. Here, we present safe and versatile systemic-to-local thrombolysis enabled by magnetic nanorobots constructed from polyvinyl pyrrolidone–shielded porous Fe</w:t>
      </w:r>
      <w:r>
        <w:rPr>
          <w:vertAlign w:val="subscript"/>
        </w:rPr>
        <w:t>3</w:t>
      </w:r>
      <w:r>
        <w:t>O</w:t>
      </w:r>
      <w:r>
        <w:rPr>
          <w:vertAlign w:val="subscript"/>
        </w:rPr>
        <w:t>4</w:t>
      </w:r>
      <w:r>
        <w:t>colloidal nanocrystal clusters (p-Fe</w:t>
      </w:r>
      <w:r>
        <w:rPr>
          <w:vertAlign w:val="subscript"/>
        </w:rPr>
        <w:t>3</w:t>
      </w:r>
      <w:r>
        <w:t>O</w:t>
      </w:r>
      <w:r>
        <w:rPr>
          <w:vertAlign w:val="subscript"/>
        </w:rPr>
        <w:t>4</w:t>
      </w:r>
      <w:r>
        <w:t>@PVP CNCs). In this building block design, the PVP coating facilitates efficient tPA (tissue plasminogen activator) loading while ensuring prolonged circulation following systemic injection. The p-Fe</w:t>
      </w:r>
      <w:r>
        <w:rPr>
          <w:vertAlign w:val="subscript"/>
        </w:rPr>
        <w:t>3</w:t>
      </w:r>
      <w:r>
        <w:t>O</w:t>
      </w:r>
      <w:r>
        <w:rPr>
          <w:vertAlign w:val="subscript"/>
        </w:rPr>
        <w:t>4</w:t>
      </w:r>
      <w:r>
        <w:t>core provides a strong collective magnetic moment necessary for sequential magnetic collection (via gradient field</w:t>
      </w:r>
      <w:r>
        <w:t xml:space="preserve"> </w:t>
      </w:r>
      <w:r>
        <w:t>H</w:t>
      </w:r>
      <w:r>
        <w:t xml:space="preserve"> </w:t>
      </w:r>
      <w:r>
        <w:t>) and actuation into navigating nanorobots [via precessing field</w:t>
      </w:r>
      <w:r>
        <w:t xml:space="preserve"> </w:t>
      </w:r>
      <w:r>
        <w:t>H</w:t>
      </w:r>
      <w:r>
        <w:t xml:space="preserve"> </w:t>
      </w:r>
      <w:r>
        <w:t>p</w:t>
      </w:r>
      <w:r>
        <w:t xml:space="preserve"> </w:t>
      </w:r>
      <w:r>
        <w:t>(</w:t>
      </w:r>
      <w:r>
        <w:t xml:space="preserve"> </w:t>
      </w:r>
      <w:r>
        <w:t>t</w:t>
      </w:r>
      <w:r>
        <w:t xml:space="preserve"> </w:t>
      </w:r>
      <w:r>
        <w:t>)] for targeted thrombolysis. Following thrombolysis, removal of</w:t>
      </w:r>
      <w:r>
        <w:t xml:space="preserve"> </w:t>
      </w:r>
      <w:r>
        <w:t>H</w:t>
      </w:r>
      <w:r>
        <w:t xml:space="preserve"> </w:t>
      </w:r>
      <w:r>
        <w:t>p</w:t>
      </w:r>
      <w:r>
        <w:t xml:space="preserve"> </w:t>
      </w:r>
      <w:r>
        <w:t>(</w:t>
      </w:r>
      <w:r>
        <w:t xml:space="preserve"> </w:t>
      </w:r>
      <w:r>
        <w:t>t</w:t>
      </w:r>
      <w:r>
        <w:t xml:space="preserve"> </w:t>
      </w:r>
      <w:r>
        <w:t>) disassemble the nanorobots into dispersed CNCs that, owing to their porous structure and ultrasmall primary nanocrystals (&amp;lt;5 nanometers), undergo rapid lysosomal degradation and are cleared primarily via the liver-bile-intestine axis, resulting in no long-term toxicity. This platform overcomes key translational challenges for nanorobotic thrombolytic therapy.</w:t>
      </w:r>
    </w:p>
    <w:p>
      <w:pPr>
        <w:spacing w:before="120" w:after="120"/>
      </w:pPr>
      <w:r>
        <w:rPr>
          <w:sz w:val="18"/>
        </w:rPr>
        <w:t>——————————————————————————————————————————————————————————————————————</w:t>
      </w:r>
    </w:p>
    <w:p>
      <w:pPr>
        <w:spacing w:before="160" w:after="40" w:line="240" w:lineRule="auto"/>
      </w:pPr>
      <w:r>
        <w:rPr>
          <w:b/>
        </w:rPr>
        <w:t xml:space="preserve">[320] </w:t>
      </w:r>
      <w:hyperlink r:id="rId833">
        <w:r>
          <w:rPr>
            <w:color w:val="1155CC"/>
            <w:u w:val="single"/>
          </w:rPr>
          <w:t>超薄Hf0.5Zr0.5O2薄膜中非常规铁电相的出现</w:t>
        </w:r>
      </w:hyperlink>
    </w:p>
    <w:p>
      <w:pPr>
        <w:spacing w:before="0" w:after="80"/>
      </w:pPr>
      <w:r>
        <w:rPr>
          <w:i/>
          <w:sz w:val="20"/>
        </w:rPr>
        <w:t>EN: Emergence of unconventional ferroelectric phase in ultrathin Hf0.5Zr0.5O2 films</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34">
        <w:r>
          <w:rPr>
            <w:color w:val="1155CC"/>
            <w:u w:val="single"/>
          </w:rPr>
          <w:t>10.1126/sciadv.adz8245</w:t>
        </w:r>
      </w:hyperlink>
    </w:p>
    <w:p>
      <w:pPr>
        <w:spacing w:before="0" w:after="120"/>
      </w:pPr>
      <w:r>
        <w:rPr>
          <w:b/>
        </w:rPr>
        <w:t xml:space="preserve">Notes: </w:t>
      </w:r>
      <w:r>
        <w:t>abstract_source=crossref</w:t>
      </w:r>
    </w:p>
    <w:p>
      <w:pPr>
        <w:spacing w:before="0" w:after="80" w:lineRule="auto" w:line="276"/>
      </w:pPr>
      <w:r>
        <w:rPr>
          <w:b/>
        </w:rPr>
        <w:t xml:space="preserve">摘要（ZH）: </w:t>
      </w:r>
      <w:r>
        <w:t>与钙钛矿基铁电体不同，后者的极化通常在厚度减小时减弱，而掺杂氧化铪薄膜即使厚度减小到1纳米仍能保持稳定的铁电性。准确的结构测定对于理解这种行为至关重要，因为超薄氧化铪基薄膜的铁电性已被归因于其晶体结构中增强的极性畸变。然而，由于各种多晶型物之间的结构相似性，精确识别具有挑战性。在此，我们实验性地识别出在直接生长于硅衬底上的1.5纳米厚Hf</w:t>
      </w:r>
      <w:r>
        <w:t xml:space="preserve"> </w:t>
      </w:r>
      <w:r>
        <w:t>0.5</w:t>
      </w:r>
      <w:r>
        <w:t xml:space="preserve"> </w:t>
      </w:r>
      <w:r>
        <w:t>Zr</w:t>
      </w:r>
      <w:r>
        <w:t xml:space="preserve"> </w:t>
      </w:r>
      <w:r>
        <w:t>0.5</w:t>
      </w:r>
      <w:r>
        <w:t xml:space="preserve"> </w:t>
      </w:r>
      <w:r>
        <w:t>O</w:t>
      </w:r>
      <w:r>
        <w:rPr>
          <w:vertAlign w:val="subscript"/>
        </w:rPr>
        <w:t>2</w:t>
      </w:r>
      <w:r>
        <w:t>薄膜中出现了一种非常规的铁电Pmn2</w:t>
      </w:r>
      <w:r>
        <w:rPr>
          <w:vertAlign w:val="subscript"/>
        </w:rPr>
        <w:t>1</w:t>
      </w:r>
      <w:r>
        <w:t>正交相。结构和光谱分析清楚地区分了实验观察到的Pmn2</w:t>
      </w:r>
      <w:r>
        <w:rPr>
          <w:vertAlign w:val="subscript"/>
        </w:rPr>
        <w:t>1</w:t>
      </w:r>
      <w:r>
        <w:t>相与通常在较厚氧化铪薄膜中报道的传统Pca2</w:t>
      </w:r>
      <w:r>
        <w:rPr>
          <w:vertAlign w:val="subscript"/>
        </w:rPr>
        <w:t>1</w:t>
      </w:r>
      <w:r>
        <w:t>相。此外，我们发现超薄尺度下平面外晶格尺寸的显著膨胀驱动了Pmn2</w:t>
      </w:r>
      <w:r>
        <w:rPr>
          <w:vertAlign w:val="subscript"/>
        </w:rPr>
        <w:t>1</w:t>
      </w:r>
      <w:r>
        <w:t>结构的稳定化。对这种非常规相的实验识别为理解超薄氧化铪薄膜独特厚度依赖性铁电性能背后的结构演变提供了重要见解。</w:t>
      </w:r>
    </w:p>
    <w:p>
      <w:pPr>
        <w:spacing w:before="0" w:after="200" w:lineRule="auto" w:line="276"/>
      </w:pPr>
      <w:r>
        <w:rPr>
          <w:b/>
        </w:rPr>
        <w:t xml:space="preserve">Abstract (EN): </w:t>
      </w:r>
      <w:r>
        <w:t>Unlike perovskite-based ferroelectrics, whose polarization typically diminishes at reduced thickness, doped hafnia films retain robust ferroelectricity down to 1-nanometer thickness. Accurate structural determination is crucial for understanding this behavior, as ferroelectricity in ultrathin hafnia-based films has been attributed to enhanced polar distortion in their crystal structures. However, precise identification is challenging because of structural similarities among various polymorphs. Here, we experimentally identify the emergence of an unconventional ferroelectric Pmn2</w:t>
      </w:r>
      <w:r>
        <w:rPr>
          <w:vertAlign w:val="subscript"/>
        </w:rPr>
        <w:t>1</w:t>
      </w:r>
      <w:r>
        <w:t>orthorhombic phase in 1.5-nanometer-thick Hf</w:t>
      </w:r>
      <w:r>
        <w:t xml:space="preserve"> </w:t>
      </w:r>
      <w:r>
        <w:t>0.5</w:t>
      </w:r>
      <w:r>
        <w:t xml:space="preserve"> </w:t>
      </w:r>
      <w:r>
        <w:t>Zr</w:t>
      </w:r>
      <w:r>
        <w:t xml:space="preserve"> </w:t>
      </w:r>
      <w:r>
        <w:t>0.5</w:t>
      </w:r>
      <w:r>
        <w:t xml:space="preserve"> </w:t>
      </w:r>
      <w:r>
        <w:t>O</w:t>
      </w:r>
      <w:r>
        <w:rPr>
          <w:vertAlign w:val="subscript"/>
        </w:rPr>
        <w:t>2</w:t>
      </w:r>
      <w:r>
        <w:t>films directly grown on silicon substrates. Structural and spectroscopic analyses clearly distinguish the experimentally observed Pmn2</w:t>
      </w:r>
      <w:r>
        <w:rPr>
          <w:vertAlign w:val="subscript"/>
        </w:rPr>
        <w:t>1</w:t>
      </w:r>
      <w:r>
        <w:t>phase from the conventional Pca2</w:t>
      </w:r>
      <w:r>
        <w:rPr>
          <w:vertAlign w:val="subscript"/>
        </w:rPr>
        <w:t>1</w:t>
      </w:r>
      <w:r>
        <w:t>phase typically reported in thicker hafnia films. Furthermore, we find that substantial expansion of the out-of-plane lattice dimension at ultrathin scales drives the stabilization of the Pmn2</w:t>
      </w:r>
      <w:r>
        <w:rPr>
          <w:vertAlign w:val="subscript"/>
        </w:rPr>
        <w:t>1</w:t>
      </w:r>
      <w:r>
        <w:t>structure. The experimental identification of this unconventional phase provides crucial insights into the structural evolution underlying the distinct thickness-dependent ferroelectric properties of ultrathin hafnia films.</w:t>
      </w:r>
    </w:p>
    <w:p>
      <w:pPr>
        <w:spacing w:before="120" w:after="120"/>
      </w:pPr>
      <w:r>
        <w:rPr>
          <w:sz w:val="18"/>
        </w:rPr>
        <w:t>——————————————————————————————————————————————————————————————————————</w:t>
      </w:r>
    </w:p>
    <w:p>
      <w:pPr>
        <w:spacing w:before="160" w:after="40" w:line="240" w:lineRule="auto"/>
      </w:pPr>
      <w:r>
        <w:rPr>
          <w:b/>
        </w:rPr>
        <w:t xml:space="preserve">[321] </w:t>
      </w:r>
      <w:hyperlink r:id="rId835">
        <w:r>
          <w:rPr>
            <w:color w:val="1155CC"/>
            <w:u w:val="single"/>
          </w:rPr>
          <w:t>免疫蛋白质组与多重共病：一项孟德尔随机化研究</w:t>
        </w:r>
      </w:hyperlink>
    </w:p>
    <w:p>
      <w:pPr>
        <w:spacing w:before="0" w:after="80"/>
      </w:pPr>
      <w:r>
        <w:rPr>
          <w:i/>
          <w:sz w:val="20"/>
        </w:rPr>
        <w:t>EN: The immunoproteome and multimorbidity: A Mendelian randomization study</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36">
        <w:r>
          <w:rPr>
            <w:color w:val="1155CC"/>
            <w:u w:val="single"/>
          </w:rPr>
          <w:t>10.1126/sciadv.adz7117</w:t>
        </w:r>
      </w:hyperlink>
    </w:p>
    <w:p>
      <w:pPr>
        <w:spacing w:before="0" w:after="120"/>
      </w:pPr>
      <w:r>
        <w:rPr>
          <w:b/>
        </w:rPr>
        <w:t xml:space="preserve">Notes: </w:t>
      </w:r>
      <w:r>
        <w:t>abstract_source=crossref</w:t>
      </w:r>
    </w:p>
    <w:p>
      <w:pPr>
        <w:spacing w:before="0" w:after="80" w:lineRule="auto" w:line="276"/>
      </w:pPr>
      <w:r>
        <w:rPr>
          <w:b/>
        </w:rPr>
        <w:t xml:space="preserve">摘要（ZH）: </w:t>
      </w:r>
      <w:r>
        <w:t>多重共病给研究和医疗保健带来了挑战。我们调查了免疫蛋白如何影响多种疾病，以识别共享机制和治疗机会。利用八项大型血浆蛋白质组GWAS，我们识别了151种免疫蛋白的顺式作用变异，并应用顺式孟德尔随机化评估了与64种疾病和生物标志物的关联。蛋白质-疾病群落是利用整合了多重校正关联、可药性、适应症和组织-性状关联的知识图谱推导出来的。在独立的pQTL中寻求复制，并对复制信号应用共定位。免疫蛋白常与冠心病、静脉血栓栓塞、心房颤动、2型糖尿病和帕金森病有关。七个蛋白质群落映射到包括ficolin结合和抗菌肽在内的通路，富集了影响多种疾病的蛋白质。一些关联得到了共定位支持的复制，包括APOE、CD163和IL-6R在神经退行性、心脏代谢和炎症性状中的关联。我们发现具有多效性作用的可药用免疫蛋白在常见疾病中具有强大的遗传支持，突出了适应症扩展和治疗开发的机会。</w:t>
      </w:r>
    </w:p>
    <w:p>
      <w:pPr>
        <w:spacing w:before="0" w:after="200" w:lineRule="auto" w:line="276"/>
      </w:pPr>
      <w:r>
        <w:rPr>
          <w:b/>
        </w:rPr>
        <w:t xml:space="preserve">Abstract (EN): </w:t>
      </w:r>
      <w:r>
        <w:t>Multimorbidity presents challenges for research and health care. We investigated how immune-proteins influence multiple diseases to identify shared mechanisms and therapeutic opportunities. Using eight large plasma proteome GWAS, we identified cis-acting variants for 151 immune-proteins and applied cis-Mendelian randomization to assess associations with 64 diseases and biomarkers. Protein-disease communities were derived using a knowledge graph integrating multiplicity-corrected associations, druggability, indications, and tissue-trait associations. Replication was sought in independent pQTLs, with colocalization applied to replicated signals. Immune-proteins were frequently implicated in coronary heart disease, venous thromboembolism, atrial fibrillation, type 2 diabetes, and Parkinson’s disease. Seven protein communities mapped to pathways including ficolin binding and antimicrobial peptides, enriched for proteins influencing multiple diseases. Several associations replicated with colocalization support, including APOE, CD163, and IL-6R across neurodegenerative, cardiometabolic, and inflammatory traits. We found strong genetic support for druggable immune-proteins with pleiotropic effects across common diseases, highlighting opportunities for indication expansion and therapeutic development.</w:t>
      </w:r>
    </w:p>
    <w:p>
      <w:pPr>
        <w:spacing w:before="120" w:after="120"/>
      </w:pPr>
      <w:r>
        <w:rPr>
          <w:sz w:val="18"/>
        </w:rPr>
        <w:t>——————————————————————————————————————————————————————————————————————</w:t>
      </w:r>
    </w:p>
    <w:p>
      <w:pPr>
        <w:spacing w:before="160" w:after="40" w:line="240" w:lineRule="auto"/>
      </w:pPr>
      <w:r>
        <w:rPr>
          <w:b/>
        </w:rPr>
        <w:t xml:space="preserve">[322] </w:t>
      </w:r>
      <w:hyperlink r:id="rId837">
        <w:r>
          <w:rPr>
            <w:color w:val="1155CC"/>
            <w:u w:val="single"/>
          </w:rPr>
          <w:t>古盐水主导沿海含水层盐碱化：一项中国大陆尺度研究</w:t>
        </w:r>
      </w:hyperlink>
    </w:p>
    <w:p>
      <w:pPr>
        <w:spacing w:before="0" w:after="80"/>
      </w:pPr>
      <w:r>
        <w:rPr>
          <w:i/>
          <w:sz w:val="20"/>
        </w:rPr>
        <w:t>EN: Paleo–salt water dominates coastal aquifer salinization: A continental-scale study in China</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38">
        <w:r>
          <w:rPr>
            <w:color w:val="1155CC"/>
            <w:u w:val="single"/>
          </w:rPr>
          <w:t>10.1126/sciadv.ady2322</w:t>
        </w:r>
      </w:hyperlink>
    </w:p>
    <w:p>
      <w:pPr>
        <w:spacing w:before="0" w:after="120"/>
      </w:pPr>
      <w:r>
        <w:rPr>
          <w:b/>
        </w:rPr>
        <w:t xml:space="preserve">Notes: </w:t>
      </w:r>
      <w:r>
        <w:t>abstract_source=crossref</w:t>
      </w:r>
    </w:p>
    <w:p>
      <w:pPr>
        <w:spacing w:before="0" w:after="80" w:lineRule="auto" w:line="276"/>
      </w:pPr>
      <w:r>
        <w:rPr>
          <w:b/>
        </w:rPr>
        <w:t xml:space="preserve">摘要（ZH）: </w:t>
      </w:r>
      <w:r>
        <w:t>海水入侵对全球沿海含水层的淡水资源构成主要威胁。仅在中国，这类含水层就为近4亿人提供了重要的地下水来源。现代海水入侵常归因于人类活动和气候变化，而古盐水的作用仍未充分量化。这项针对中国海水入侵的大陆尺度调查显示，在大型沉积盆地中，古盐水而非现代海水主导了盐度模式。对2100多个水样的分析表明，入侵与构造沉降区之间存在强相关性，古盐水影响了66%的观测盐化区域。在北方沿海平原，滞留在承压含水层中的古盐水盐度超过144.6克/升，而现代海水入侵（34%）则发生在沉积物较薄的丘陵地区。同位素特征（δ</w:t>
      </w:r>
      <w:r>
        <w:rPr>
          <w:vertAlign w:val="subscript"/>
        </w:rPr>
        <w:t>18</w:t>
      </w:r>
      <w:r>
        <w:t>O）将古盐水入侵追溯到第四纪海平面变化。这些发现改进了海水入侵源识别，并为全球盐度管理提供了信息。</w:t>
      </w:r>
    </w:p>
    <w:p>
      <w:pPr>
        <w:spacing w:before="0" w:after="200" w:lineRule="auto" w:line="276"/>
      </w:pPr>
      <w:r>
        <w:rPr>
          <w:b/>
        </w:rPr>
        <w:t xml:space="preserve">Abstract (EN): </w:t>
      </w:r>
      <w:r>
        <w:t>Seawater intrusion poses a major threat to freshwater resources in coastal aquifers worldwide. In China alone, these types of aquifers provide a vital groundwater source for nearly 400 million people. Whereas modern seawater intrusion is often attributed to human activities and climate change, the role of paleo–salt water remains poorly quantified. This continental-scale investigation of seawater intrusion in China reveals that paleo–salt water, not modern seawater, dominates salinity patterns in large sedimentary basins. Analysis of over 2100 water samples shows a strong correlation between intrusion and tectonic subsidence zones, with paleo–salt water affecting 66% of the observed salinized areas. In northern coastal plains, paleo–salt water trapped in confined aquifers is characterized by salinity levels exceeding 144.6 grams per liter, whereas modern seawater intrusion (34%) occurs in hilly regions with thinner sediments. Isotopic signatures (δ</w:t>
      </w:r>
      <w:r>
        <w:rPr>
          <w:vertAlign w:val="subscript"/>
        </w:rPr>
        <w:t>18</w:t>
      </w:r>
      <w:r>
        <w:t>O) trace paleo–salt water intrusion to Quaternary sea level changes. These findings improve seawater intrusion source identification and inform global salinity management.</w:t>
      </w:r>
    </w:p>
    <w:p>
      <w:pPr>
        <w:spacing w:before="120" w:after="120"/>
      </w:pPr>
      <w:r>
        <w:rPr>
          <w:sz w:val="18"/>
        </w:rPr>
        <w:t>——————————————————————————————————————————————————————————————————————</w:t>
      </w:r>
    </w:p>
    <w:p>
      <w:pPr>
        <w:spacing w:before="160" w:after="40" w:line="240" w:lineRule="auto"/>
      </w:pPr>
      <w:r>
        <w:rPr>
          <w:b/>
        </w:rPr>
        <w:t xml:space="preserve">[323] </w:t>
      </w:r>
      <w:hyperlink r:id="rId839">
        <w:r>
          <w:rPr>
            <w:color w:val="1155CC"/>
            <w:u w:val="single"/>
          </w:rPr>
          <w:t>KDM5B组蛋白赖氨酸去甲基化酶缺陷小鼠的自闭症样表型和NMDAR2D表达增加</w:t>
        </w:r>
      </w:hyperlink>
    </w:p>
    <w:p>
      <w:pPr>
        <w:spacing w:before="0" w:after="80"/>
      </w:pPr>
      <w:r>
        <w:rPr>
          <w:i/>
          <w:sz w:val="20"/>
        </w:rPr>
        <w:t>EN: Autism-like phenotypes and increased NMDAR2D expression in mice with KDM5B histone lysine demethylase deficiency</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40">
        <w:r>
          <w:rPr>
            <w:color w:val="1155CC"/>
            <w:u w:val="single"/>
          </w:rPr>
          <w:t>10.1126/sciadv.adq6577</w:t>
        </w:r>
      </w:hyperlink>
    </w:p>
    <w:p>
      <w:pPr>
        <w:spacing w:before="0" w:after="120"/>
      </w:pPr>
      <w:r>
        <w:rPr>
          <w:b/>
        </w:rPr>
        <w:t xml:space="preserve">Notes: </w:t>
      </w:r>
      <w:r>
        <w:t>abstract_source=crossref</w:t>
      </w:r>
    </w:p>
    <w:p>
      <w:pPr>
        <w:spacing w:before="0" w:after="80" w:lineRule="auto" w:line="276"/>
      </w:pPr>
      <w:r>
        <w:rPr>
          <w:b/>
        </w:rPr>
        <w:t xml:space="preserve">摘要（ZH）: </w:t>
      </w:r>
      <w:r>
        <w:t>编码组蛋白3赖氨酸4三甲基化（H3K4me3）特异性赖氨酸去甲基化酶的基因功能丧失突变与神经发育状况相关，包括自闭症谱系障碍（ASD）和智力障碍（ID）。为了研究KDM5B（赖氨酸去甲基化酶5B）介导的H3K4me3去甲基化作用，我们调查了缺乏KDM5B去甲基化酶活性的老鼠的神经发育表型。这些老鼠表现出类自闭症行为和脑体积增大。在发育中的Kdm5b突变体新皮层中，H3K4me3水平和神经发育基因的表达均增加。启动子处H3K4me3水平升高和Grin2d基因的相关表达与从出生早期Kdm5b缺陷型新皮层分离的突触体中N-甲基-d-天冬氨酸受体亚基2D（NMDAR2D）蛋白水平升高相关。用NMDAR拮抗剂美金刚治疗小鼠挽救了超声波发声缺陷。这些发现表明，H3K4me3水平升高和相关的Grin2d基因上调扰乱了大脑发育和功能，导致社会交流缺陷，并确定了一个潜在的治疗靶点，用于与KDM5B缺陷相关的神经发育障碍。</w:t>
      </w:r>
    </w:p>
    <w:p>
      <w:pPr>
        <w:spacing w:before="0" w:after="200" w:lineRule="auto" w:line="276"/>
      </w:pPr>
      <w:r>
        <w:rPr>
          <w:b/>
        </w:rPr>
        <w:t xml:space="preserve">Abstract (EN): </w:t>
      </w:r>
      <w:r>
        <w:t>Loss-of-function mutations in genes encoding lysine demethylases specific for trimethylated lysine 4 of histone 3 (H3K4me3) are associated with neurodevelopmental conditions, including autism spectrum disorder (ASD) and intellectual disability (ID). To study the role of KDM5B (lysine demethylase 5B)–mediated H3K4me3 demethylation, we investigated neurodevelopmental phenotypes in mice without KDM5B demethylase activity. These mice exhibited autism-like behaviors and increased brain size. H3K4me3 levels and the expression of neurodevelopmental genes were increased in the developing</w:t>
      </w:r>
      <w:r>
        <w:t xml:space="preserve"> </w:t>
      </w:r>
      <w:r>
        <w:t>Kdm5b</w:t>
      </w:r>
      <w:r>
        <w:t xml:space="preserve"> </w:t>
      </w:r>
      <w:r>
        <w:t>mutant neocortex. Increased H3K4me3 levels at the promoter and associated expression of the</w:t>
      </w:r>
      <w:r>
        <w:t xml:space="preserve"> </w:t>
      </w:r>
      <w:r>
        <w:t>Grin2d</w:t>
      </w:r>
      <w:r>
        <w:t xml:space="preserve"> </w:t>
      </w:r>
      <w:r>
        <w:t>gene were associated with increased levels of</w:t>
      </w:r>
      <w:r>
        <w:t xml:space="preserve"> </w:t>
      </w:r>
      <w:r>
        <w:t>N</w:t>
      </w:r>
      <w:r>
        <w:t xml:space="preserve"> </w:t>
      </w:r>
      <w:r>
        <w:t>-methyl-</w:t>
      </w:r>
      <w:r>
        <w:t>d</w:t>
      </w:r>
      <w:r>
        <w:t xml:space="preserve"> </w:t>
      </w:r>
      <w:r>
        <w:t>-aspartate receptor subunit 2D (NMDAR2D) protein in synaptosomes isolated from the early postnatal</w:t>
      </w:r>
      <w:r>
        <w:t xml:space="preserve"> </w:t>
      </w:r>
      <w:r>
        <w:t>Kdm5b</w:t>
      </w:r>
      <w:r>
        <w:t xml:space="preserve"> </w:t>
      </w:r>
      <w:r>
        <w:t>-deficient neocortex. Treating mice with the NMDAR antagonist memantine rescued deficits in ultrasonic vocalizations. These findings suggest that increased H3K4me3 levels and associated</w:t>
      </w:r>
      <w:r>
        <w:t xml:space="preserve"> </w:t>
      </w:r>
      <w:r>
        <w:t>Grin2d</w:t>
      </w:r>
      <w:r>
        <w:t xml:space="preserve"> </w:t>
      </w:r>
      <w:r>
        <w:t>gene up-regulation disrupt brain development and function, leading to socio-communication deficits and identify a potential therapeutic target for neurodevelopmental disorders associated with KDM5B deficiency.</w:t>
      </w:r>
    </w:p>
    <w:p>
      <w:pPr>
        <w:spacing w:before="120" w:after="120"/>
      </w:pPr>
      <w:r>
        <w:rPr>
          <w:sz w:val="18"/>
        </w:rPr>
        <w:t>——————————————————————————————————————————————————————————————————————</w:t>
      </w:r>
    </w:p>
    <w:p>
      <w:pPr>
        <w:spacing w:before="160" w:after="40" w:line="240" w:lineRule="auto"/>
      </w:pPr>
      <w:r>
        <w:rPr>
          <w:b/>
        </w:rPr>
        <w:t xml:space="preserve">[324] </w:t>
      </w:r>
      <w:hyperlink r:id="rId841">
        <w:r>
          <w:rPr>
            <w:color w:val="1155CC"/>
            <w:u w:val="single"/>
          </w:rPr>
          <w:t>对Liu等人支持信息的更正：耗散非线性微分方程的有效量子算法</w:t>
        </w:r>
      </w:hyperlink>
    </w:p>
    <w:p>
      <w:pPr>
        <w:spacing w:before="0" w:after="80"/>
      </w:pPr>
      <w:r>
        <w:rPr>
          <w:i/>
          <w:sz w:val="20"/>
        </w:rPr>
        <w:t>EN: Correction to Supporting Information for Liu et al., Efficient quantum algorithm for dissipative nonlinear differential equations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42">
        <w:r>
          <w:rPr>
            <w:color w:val="1155CC"/>
            <w:u w:val="single"/>
          </w:rPr>
          <w:t>10.1073/pnas.2615307123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[325] </w:t>
      </w:r>
      <w:hyperlink r:id="rId843">
        <w:r>
          <w:rPr>
            <w:color w:val="1155CC"/>
            <w:u w:val="single"/>
          </w:rPr>
          <w:t>分子去灭绝：回溯过去以寻找未来的分子</w:t>
        </w:r>
      </w:hyperlink>
    </w:p>
    <w:p>
      <w:pPr>
        <w:spacing w:before="0" w:after="80"/>
      </w:pPr>
      <w:r>
        <w:rPr>
          <w:i/>
          <w:sz w:val="20"/>
        </w:rPr>
        <w:t>EN: Molecular de-extinction looks to the past to find the molecules of the future</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44">
        <w:r>
          <w:rPr>
            <w:color w:val="1155CC"/>
            <w:u w:val="single"/>
          </w:rPr>
          <w:t>10.1073/pnas.2615114123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[326] </w:t>
      </w:r>
      <w:hyperlink r:id="rId845">
        <w:r>
          <w:rPr>
            <w:color w:val="1155CC"/>
            <w:u w:val="single"/>
          </w:rPr>
          <w:t>核心肠道微生物群成员的明确群落促进蜜蜂的认知能力</w:t>
        </w:r>
      </w:hyperlink>
    </w:p>
    <w:p>
      <w:pPr>
        <w:spacing w:before="0" w:after="80"/>
      </w:pPr>
      <w:r>
        <w:rPr>
          <w:i/>
          <w:sz w:val="20"/>
        </w:rPr>
        <w:t>EN: A defined community of core gut microbiota members promotes cognitive performance in honey bees</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46">
        <w:r>
          <w:rPr>
            <w:color w:val="1155CC"/>
            <w:u w:val="single"/>
          </w:rPr>
          <w:t>10.1073/pnas.2608600123</w:t>
        </w:r>
      </w:hyperlink>
    </w:p>
    <w:p>
      <w:pPr>
        <w:spacing w:before="0" w:after="120"/>
      </w:pPr>
      <w:r>
        <w:rPr>
          <w:b/>
        </w:rPr>
        <w:t xml:space="preserve">Notes: </w:t>
      </w:r>
      <w:r>
        <w:t>abstract_source=crossref</w:t>
      </w:r>
    </w:p>
    <w:p>
      <w:pPr>
        <w:spacing w:before="0" w:after="80" w:lineRule="auto" w:line="276"/>
      </w:pPr>
      <w:r>
        <w:rPr>
          <w:b/>
        </w:rPr>
        <w:t xml:space="preserve">摘要（ZH）: </w:t>
      </w:r>
      <w:r>
        <w:t>研究表明，动物肠道微生物群会影响宿主的认知和行为。然而，这些认知效应是由特定细菌物种驱动还是源于群落层面的相互作用，仍不清楚。在此，我们利用蜜蜂（Apis mellifera）作为模型系统，它拥有简单且特征明确的肠道微生物群，易于实验操作，并且此前已显示会影响宿主认知。我们建立了一个明确的细菌群落，由蜜蜂肠道微生物群的核心成员组成。无菌蜜蜂实验表明，与缺乏微生物群的蜜蜂相比，只有完整群落（而非缺少单个成员的群落或单个成员）增强了蜜蜂在气味辨别学习和短期记忆方面的表现。代谢组学分析确定了几种与学习成功相关的代谢物，这些代谢物映射到由微生物定植调节的通路，包括色氨酸代谢、核苷代谢和赖氨酸降解。然而，从完整微生物群落中移除单个成员并未改变许多这些代谢物。这表明微生物群介导的认知改善是整个群落的涌现特性，而不是单个代谢物或特定细菌类群单独作用的结果。我们的发现支持对微生物组的系统级观点，暗示理解和操纵宿主发育，特别是与大脑功能相关的发育，应...</w:t>
      </w:r>
    </w:p>
    <w:p>
      <w:pPr>
        <w:spacing w:before="0" w:after="200" w:lineRule="auto" w:line="276"/>
      </w:pPr>
      <w:r>
        <w:rPr>
          <w:b/>
        </w:rPr>
        <w:t xml:space="preserve">Abstract (EN): </w:t>
      </w:r>
      <w:r>
        <w:t>Gut microbiota across animals have been shown to influence host cognition and behavior. However, it remains unclear whether these cognitive effects are driven by specific bacterial species or arise from community-level interactions. Here, we leveraged the honey bee (</w:t>
      </w:r>
      <w:r>
        <w:t xml:space="preserve"> </w:t>
      </w:r>
      <w:r>
        <w:t>Apis mellifera</w:t>
      </w:r>
      <w:r>
        <w:t xml:space="preserve"> </w:t>
      </w:r>
      <w:r>
        <w:t>) as a model system, which harbors a simple and well-characterized gut microbiota that is experimentally tractable and has been previously shown to impact host cognition. We established a defined bacterial community—composed of core members of the honey bee gut microbiota. Gnotobiotic bee experiments with the full community, communities missing individual members, or individual members showed that only the full community enhanced honey bees’ performances in odor discrimination learning and short-term memory compared to microbiota-deprived bees. Metabolomic analyses identified several metabolites associated with learning success that mapped to pathways modulated by microbial colonization, including tryptophan metabolism, nucleoside metabolism, and lysine degradation. However, many of these metabolites were not altered by removing individual members from the full microbial community. This suggests that microbiota-mediated improvements in cognition are emergent properties of the community as a whole, rather than the result of individual metabolites or specific bacterial taxa acting alone. Our findings support a systems-level view of the microbiome, suggesting that understanding and manipulating host development, particularly in relation to brain function, should prioritize microbial community function (e.g., metabolic pathways) over taxonomic composition alone.</w:t>
      </w:r>
    </w:p>
    <w:p>
      <w:pPr>
        <w:spacing w:before="120" w:after="120"/>
      </w:pPr>
      <w:r>
        <w:rPr>
          <w:sz w:val="18"/>
        </w:rPr>
        <w:t>——————————————————————————————————————————————————————————————————————</w:t>
      </w:r>
    </w:p>
    <w:p>
      <w:pPr>
        <w:spacing w:before="160" w:after="40" w:line="240" w:lineRule="auto"/>
      </w:pPr>
      <w:r>
        <w:rPr>
          <w:b/>
        </w:rPr>
        <w:t xml:space="preserve">[327] </w:t>
      </w:r>
      <w:hyperlink r:id="rId847">
        <w:r>
          <w:rPr>
            <w:color w:val="1155CC"/>
            <w:u w:val="single"/>
          </w:rPr>
          <w:t>外膜蛋白组装中底物质量控制机制</w:t>
        </w:r>
      </w:hyperlink>
    </w:p>
    <w:p>
      <w:pPr>
        <w:spacing w:before="0" w:after="80"/>
      </w:pPr>
      <w:r>
        <w:rPr>
          <w:i/>
          <w:sz w:val="20"/>
        </w:rPr>
        <w:t>EN: A mechanism for substrate quality control in outer membrane protein assembly</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48">
        <w:r>
          <w:rPr>
            <w:color w:val="1155CC"/>
            <w:u w:val="single"/>
          </w:rPr>
          <w:t>10.1073/pnas.2536912123</w:t>
        </w:r>
      </w:hyperlink>
    </w:p>
    <w:p>
      <w:pPr>
        <w:spacing w:before="0" w:after="120"/>
      </w:pPr>
      <w:r>
        <w:rPr>
          <w:b/>
        </w:rPr>
        <w:t xml:space="preserve">Notes: </w:t>
      </w:r>
      <w:r>
        <w:t>abstract_source=crossref</w:t>
      </w:r>
    </w:p>
    <w:p>
      <w:pPr>
        <w:spacing w:before="0" w:after="80" w:lineRule="auto" w:line="276"/>
      </w:pPr>
      <w:r>
        <w:rPr>
          <w:b/>
        </w:rPr>
        <w:t xml:space="preserve">摘要（ZH）: </w:t>
      </w:r>
      <w:r>
        <w:t>革兰氏阴性菌外膜 (OM) 中 β-桶蛋白的组装由 β-桶组装机器 (Bam) 复合物催化，该复合物由两种必需蛋白（BamA β-桶和脂蛋白 BamD）以及三种非必需脂蛋白 BamBCE 组成。虽然 BamD 在调节 BamA 活性中发挥着重要作用已得到充分证实，但 BamD 介导的 β-桶组装调控的生理学原因尚不清楚。在此，我们证明 BamD 介导的 BamA 调控作为一种底物质量控制机制，确保 β-桶蛋白有效组装到 OM 中。通过使用底物 C-末端片段以及多个 bamA 和 bamD 等位基因（这些等位基因可阻止 BamD 对 BamA 的有效调控），我们发现 BamD 活性对于防止有缺陷的 β-桶底物在 BamA 上积累是必需的。值得注意的是，这些 bamAD 等位基因均赋予对 Bam 复合物抑制剂 MRL-494 的抗性，其方式与 BamD 活性被绕过的程度相关，这表明 MRL-494 通过破坏 BamD 介导的 BamA 构象变化来抑制 β-桶组装。我们进一步表明，BamD 活性通过一种与底物质量控制蛋白 Skp 功能重叠的机制，阻止有毒小分子穿过 OM。总的来说，这些结果不仅证实 BamD，像 Skp 一样，f</w:t>
      </w:r>
    </w:p>
    <w:p>
      <w:pPr>
        <w:spacing w:before="0" w:after="200" w:lineRule="auto" w:line="276"/>
      </w:pPr>
      <w:r>
        <w:rPr>
          <w:b/>
        </w:rPr>
        <w:t xml:space="preserve">Abstract (EN): </w:t>
      </w:r>
      <w:r>
        <w:t>The assembly of β-barrel proteins into the outer membrane (OM) of Gram-negative bacteria is catalyzed by the β-barrel assembly machine (Bam) complex, which consists of two essential proteins, the BamA β-barrel and the lipoprotein BamD, and three nonessential lipoproteins BamBCE. While it is well established that BamD serves an essential role in regulating the activity of BamA, the physiological reasons underpinning the need for BamD-mediated regulation of β-barrel assembly are unclear. Here, we demonstrate that BamD-mediated regulation of BamA functions as a mechanism of substrate quality control that ensures the efficient assembly of β-barrel proteins into the OM. Through the use of substrate C-terminal fragments and multiple alleles of</w:t>
      </w:r>
      <w:r>
        <w:t xml:space="preserve"> </w:t>
      </w:r>
      <w:r>
        <w:t>bamA</w:t>
      </w:r>
      <w:r>
        <w:t xml:space="preserve"> </w:t>
      </w:r>
      <w:r>
        <w:t>and</w:t>
      </w:r>
      <w:r>
        <w:t xml:space="preserve"> </w:t>
      </w:r>
      <w:r>
        <w:t>bamD</w:t>
      </w:r>
      <w:r>
        <w:t xml:space="preserve"> </w:t>
      </w:r>
      <w:r>
        <w:t>that prevent effective regulation of BamA by BamD, we show that BamD activity is necessary to prevent the accumulation of defective β-barrel substrates on BamA. Notably, these</w:t>
      </w:r>
      <w:r>
        <w:t xml:space="preserve"> </w:t>
      </w:r>
      <w:r>
        <w:t>bamAD</w:t>
      </w:r>
      <w:r>
        <w:t xml:space="preserve"> </w:t>
      </w:r>
      <w:r>
        <w:t>alleles all confer resistance to the Bam complex inhibitor MRL-494 in a manner that correlates with the degree to which BamD activity is bypassed, suggesting that MRL-494 inhibits β-barrel assembly by disrupting BamD-mediated conformational changes in BamA. We further show that BamD activity functions to prevent the uptake of toxic small molecules across the OM through a mechanism that functionally overlaps with that of the substrate quality control protein Skp. Collectively, these results not only establish that BamD, like Skp, functions to ensure proper quality control of β-barrel substrates but also demonstrate the importance of substrate quality control functions in maintaining the integrity of the OM permeability barrier.</w:t>
      </w:r>
    </w:p>
    <w:p>
      <w:pPr>
        <w:spacing w:before="120" w:after="120"/>
      </w:pPr>
      <w:r>
        <w:rPr>
          <w:sz w:val="18"/>
        </w:rPr>
        <w:t>——————————————————————————————————————————————————————————————————————</w:t>
      </w:r>
    </w:p>
    <w:p>
      <w:pPr>
        <w:spacing w:before="160" w:after="40" w:line="240" w:lineRule="auto"/>
      </w:pPr>
      <w:r>
        <w:rPr>
          <w:b/>
        </w:rPr>
        <w:t xml:space="preserve">[328] </w:t>
      </w:r>
      <w:hyperlink r:id="rId849">
        <w:r>
          <w:rPr>
            <w:color w:val="1155CC"/>
            <w:u w:val="single"/>
          </w:rPr>
          <w:t>真皮成纤维细胞中的FGFR1–ETV1–CXCL1信号传导调控成纤维细胞相关瘙痒</w:t>
        </w:r>
      </w:hyperlink>
    </w:p>
    <w:p>
      <w:pPr>
        <w:spacing w:before="0" w:after="80"/>
      </w:pPr>
      <w:r>
        <w:rPr>
          <w:i/>
          <w:sz w:val="20"/>
        </w:rPr>
        <w:t>EN: FGFR1–ETV1–CXCL1 signaling in dermal fibroblast orchestrates fibroblast-associated itch</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50">
        <w:r>
          <w:rPr>
            <w:color w:val="1155CC"/>
            <w:u w:val="single"/>
          </w:rPr>
          <w:t>10.1073/pnas.2536661123</w:t>
        </w:r>
      </w:hyperlink>
    </w:p>
    <w:p>
      <w:pPr>
        <w:spacing w:before="0" w:after="120"/>
      </w:pPr>
      <w:r>
        <w:rPr>
          <w:b/>
        </w:rPr>
        <w:t xml:space="preserve">Notes: </w:t>
      </w:r>
      <w:r>
        <w:t>abstract_source=crossref</w:t>
      </w:r>
    </w:p>
    <w:p>
      <w:pPr>
        <w:spacing w:before="0" w:after="80" w:lineRule="auto" w:line="276"/>
      </w:pPr>
      <w:r>
        <w:rPr>
          <w:b/>
        </w:rPr>
        <w:t xml:space="preserve">摘要（ZH）: </w:t>
      </w:r>
      <w:r>
        <w:t>成纤维细胞是一组异质性间充质细胞，对于维持组织稳态和病理反应至关重要。然而，成纤维细胞可塑性对躯体感觉功能障碍，特别是病理性瘙痒的机制贡献，仍知之甚少。在此，我们通过急性切口和慢性博来霉素治疗开发了成纤维细胞相关瘙痒模型。在 Pdgfra CreER 小鼠中，使用 Gq 偶联的设计师药物激活的设计师受体 (DREADDs) 对真皮成纤维细胞进行化学遗传学激活会引起抓挠行为，而使用 Gi 偶联的 DREADDs 进行抑制则能抑制成纤维细胞相关瘙痒。整合的体外和体内实验证据建立了一个以前未被识别的产痒信号轴，该信号轴以成纤维细胞生长因子受体 1 (FGFR1)、转录因子 ETS 变体 1 (ETV1) 和趋化因子配体 1 (CXCL1) 为中心，存在于成纤维细胞相关瘙痒中。此外，真皮成纤维细胞激活期间 ETV1 的核转位由酶聚 ADP-核糖聚合酶 1 协调。最后，Pdgfra CreER;ETV1 flox 小鼠中 ETV1 的条件性敲除验证了该信号在成纤维细胞相关瘙痒中的重要作用。总的来说，真皮成纤维细胞中的 FGFR1–ETV1–CXCL1 轴作为关键的瘙痒信号发挥作用，建立了一个将成纤维细胞动力学与躯体感觉障碍联系起来的概念框架。</w:t>
      </w:r>
    </w:p>
    <w:p>
      <w:pPr>
        <w:spacing w:before="0" w:after="200" w:lineRule="auto" w:line="276"/>
      </w:pPr>
      <w:r>
        <w:rPr>
          <w:b/>
        </w:rPr>
        <w:t xml:space="preserve">Abstract (EN): </w:t>
      </w:r>
      <w:r>
        <w:t>Fibroblasts are a heterogeneous group of mesenchymal cells essential for tissue homeostasis maintenance and pathological responses. However, the mechanistic contributions of fibroblast plasticity to somatosensory dysfunction, particularly pathological pruritus, remain poorly characterized. Here, we developed fibroblast-associated itch models via acute incision and chronic bleomycin treatment. In Pdgfra</w:t>
      </w:r>
      <w:r>
        <w:t xml:space="preserve"> </w:t>
      </w:r>
      <w:r>
        <w:t>CreER</w:t>
      </w:r>
      <w:r>
        <w:t xml:space="preserve"> </w:t>
      </w:r>
      <w:r>
        <w:t>mice, chemogenetic activation of dermal fibroblasts using Gq-coupled designer receptors activated by designer drugs (DREADDs) evokes scratching behaviors, whereas inhibition with Gi-coupled DREADDs suppresses fibroblast-associated itch. Integrated in vitro and in vivo experimental evidence establishes a previously unrecognized pruritogenic signaling axis centered on fibroblast growth factor receptor 1 (FGFR1), transcription factor ETS variant 1 (ETV1), and chemokine ligand 1 (CXCL1) in fibroblast-associated itch. Moreover, ETV1 nuclear translocation during dermal fibroblast activation is coordinated by the enzyme poly-ADP-ribose polymerase 1. Finally, conditional knockout of ETV1 in Pdgfra</w:t>
      </w:r>
      <w:r>
        <w:t xml:space="preserve"> </w:t>
      </w:r>
      <w:r>
        <w:t>CreER</w:t>
      </w:r>
      <w:r>
        <w:t xml:space="preserve"> </w:t>
      </w:r>
      <w:r>
        <w:t>;ETV1</w:t>
      </w:r>
      <w:r>
        <w:t xml:space="preserve"> </w:t>
      </w:r>
      <w:r>
        <w:t>flox</w:t>
      </w:r>
      <w:r>
        <w:t xml:space="preserve"> </w:t>
      </w:r>
      <w:r>
        <w:t>mice verify the essential role of the signaling in fibroblast-associated itch. Collectively, FGFR1–ETV1–CXCL1 axis in dermal fibroblasts functions as a pivotal itch signaling, establishing a conceptual framework that links fibroblast dynamics to somatosensory disorders.</w:t>
      </w:r>
    </w:p>
    <w:p>
      <w:pPr>
        <w:spacing w:before="120" w:after="120"/>
      </w:pPr>
      <w:r>
        <w:rPr>
          <w:sz w:val="18"/>
        </w:rPr>
        <w:t>——————————————————————————————————————————————————————————————————————</w:t>
      </w:r>
    </w:p>
    <w:p>
      <w:pPr>
        <w:spacing w:before="160" w:after="40" w:line="240" w:lineRule="auto"/>
      </w:pPr>
      <w:r>
        <w:rPr>
          <w:b/>
        </w:rPr>
        <w:t xml:space="preserve">[329] </w:t>
      </w:r>
      <w:hyperlink r:id="rId851">
        <w:r>
          <w:rPr>
            <w:color w:val="1155CC"/>
            <w:u w:val="single"/>
          </w:rPr>
          <w:t>TGFb信号传导指导以LRRC15为标志的保守纤维化相关细胞状态</w:t>
        </w:r>
      </w:hyperlink>
    </w:p>
    <w:p>
      <w:pPr>
        <w:spacing w:before="0" w:after="80"/>
      </w:pPr>
      <w:r>
        <w:rPr>
          <w:i/>
          <w:sz w:val="20"/>
        </w:rPr>
        <w:t>EN: TGFb signaling instructs a conserved fibrosis-associated cell state marked by LRRC15</w:t>
      </w:r>
    </w:p>
    <w:p>
      <w:pPr>
        <w:spacing w:before="0" w:after="120"/>
      </w:pPr>
      <w:r>
        <w:rPr>
          <w:b/>
        </w:rPr>
        <w:t xml:space="preserve">Source: </w:t>
      </w:r>
      <w:r>
        <w:t>Proceedings of the National Academy of Sciences: Keyword search for query</w:t>
      </w:r>
      <w:r>
        <w:t xml:space="preserve">    </w:t>
      </w:r>
      <w:r>
        <w:rPr>
          <w:b/>
        </w:rPr>
        <w:t xml:space="preserve">Pub date: </w:t>
      </w:r>
      <w:r>
        <w:t>2026-05-20 07:00:00+00:00</w:t>
      </w:r>
      <w:r>
        <w:t xml:space="preserve">    </w:t>
      </w:r>
      <w:r>
        <w:rPr>
          <w:b/>
        </w:rPr>
        <w:t xml:space="preserve">DOI: </w:t>
      </w:r>
      <w:hyperlink r:id="rId852">
        <w:r>
          <w:rPr>
            <w:color w:val="1155CC"/>
            <w:u w:val="single"/>
          </w:rPr>
          <w:t>10.1073/pnas.2536550123</w:t>
        </w:r>
      </w:hyperlink>
    </w:p>
    <w:p>
      <w:pPr>
        <w:spacing w:before="0" w:after="120"/>
      </w:pPr>
      <w:r>
        <w:rPr>
          <w:b/>
        </w:rPr>
        <w:t xml:space="preserve">Notes: </w:t>
      </w:r>
      <w:r>
        <w:t>abstract_source=crossref</w:t>
      </w:r>
    </w:p>
    <w:p>
      <w:pPr>
        <w:spacing w:before="0" w:after="80" w:lineRule="auto" w:line="276"/>
      </w:pPr>
      <w:r>
        <w:rPr>
          <w:b/>
        </w:rPr>
        <w:t xml:space="preserve">摘要（ZH）: </w:t>
      </w:r>
      <w:r>
        <w:t>成纤维细胞是慢性疾病病理生理学的关键促进剂。尽管它们在促进病理性炎症和组织重塑中发挥着既定作用，但活化的肌成纤维细胞通常被描述为单一的同质细胞群，这掩盖了关键的功能区别。定义细胞状态、其分子调节因子和受限标记物对于开发治疗纤维化的有效疗法至关重要。在此，我们利用人类特发性肺纤维化肺基质细胞图谱，识别出两种肌成纤维细胞转录状态，它们与独特的预测生物学功能、调控和细胞表面标志物表达相关。我们确定成纤维细胞特异性 TGFb 信号是伤口愈合相关和增殖性肌成纤维细胞向促纤维化肌成纤维细胞机制转换的关键调节因子。此外，我们阐明了定义这些状态的保守的 TGFb 依赖性和受抑制的基因表达程序。我们的发现揭示，LRRC15 高度局限于主要表达细胞外基质重塑基因程序的肌成纤维细胞，并阐明这种关键细胞状态可以在没有专性炎症前体中间体的情况下分化。最后，我们应用机器学习，使用人类单细胞基础模型，证明了本文所述生物学对人类慢性疾病的广泛适用性。</w:t>
      </w:r>
    </w:p>
    <w:p>
      <w:pPr>
        <w:spacing w:before="0" w:after="200" w:lineRule="auto" w:line="276"/>
      </w:pPr>
      <w:r>
        <w:rPr>
          <w:b/>
        </w:rPr>
        <w:t xml:space="preserve">Abstract (EN): </w:t>
      </w:r>
      <w:r>
        <w:t>Fibroblasts are key potentiators of chronic disease pathophysiology. Despite their established roles in promoting pathological inflammation and tissue remodeling, activated myofibroblasts are generally characterized as a single, homogeneous cell population, obscuring critical functional distinctions. Defining the cell states, their molecular regulators, and restricted markers is critical to developing effective therapies for the treatment of fibrosis. Here, using a human lung stromal cell atlas of idiopathic pulmonary fibrosis, we identify two myofibroblast transcriptional states associated with distinct predicted biological function, regulation, and cell surface marker expression. We identify fibroblast-specific TGFb signaling as the key regulator of the mechanistic switch from a wound healing–associated and proliferative to a profibrotic myofibroblast. Further, we elucidate conserved TGFb-dependent and suppressed gene expression programs that define these states. Our findings reveal that LRRC15 is highly restricted to myofibroblasts that primarily express an extracellular matrix-remodeling gene program and illuminate that this key cell state can differentiate in the absence of an obligate inflammatory precursor intermediate. Last, we apply machine learning using a human single-cell foundation model to demonstrate broad applicability of the biology described herein to human chronic disease.</w:t>
      </w:r>
    </w:p>
    <w:p>
      <w:pPr>
        <w:spacing w:before="120" w:after="120"/>
      </w:pPr>
      <w:r>
        <w:rPr>
          <w:sz w:val="18"/>
        </w:rPr>
        <w:t>——————————————————————————————————————————————————————————————————————</w:t>
      </w:r>
    </w:p>
    <w:p>
      <w:pPr>
        <w:spacing w:before="160" w:after="40" w:line="240" w:lineRule="auto"/>
      </w:pPr>
      <w:r>
        <w:rPr>
          <w:b/>
        </w:rPr>
        <w:t xml:space="preserve">[330] </w:t>
      </w:r>
      <w:hyperlink r:id="rId853">
        <w:r>
          <w:rPr>
            <w:color w:val="1155CC"/>
            <w:u w:val="single"/>
          </w:rPr>
          <w:t>P-TEFb、BHLHE40和Tim8-Tim13之间的缺氧响应性相互作用调节缺氧基因转录</w:t>
        </w:r>
      </w:hyperlink>
    </w:p>
    <w:p>
      <w:pPr>
        <w:spacing w:before="0" w:after="80"/>
      </w:pPr>
      <w:r>
        <w:rPr>
          <w:i/>
          <w:sz w:val="20"/>
        </w:rPr>
        <w:t>EN: Hypoxia-responsive interaction between P-TEFb, BHLHE40, and Tim8-Tim13 regulates hypoxic gene transcription</w:t>
      </w:r>
    </w:p>
    <w:p>
      <w:pPr>
        <w:spacing w:before="0" w:after="120"/>
      </w:pPr>
      <w:r>
        <w:rPr>
          <w:b/>
        </w:rPr>
        <w:t xml:space="preserve">Source: </w:t>
      </w:r>
      <w:r>
        <w:t>AAAS: Science Advances: Table of Contents</w:t>
      </w:r>
      <w:r>
        <w:t xml:space="preserve">    </w:t>
      </w:r>
      <w:r>
        <w:rPr>
          <w:b/>
        </w:rPr>
        <w:t xml:space="preserve">Pub date: </w:t>
      </w:r>
      <w:r>
        <w:t>2026-05-20 07:00:00+00:00</w:t>
      </w:r>
      <w:r>
        <w:t xml:space="preserve">    </w:t>
      </w:r>
      <w:r>
        <w:rPr>
          <w:b/>
        </w:rPr>
        <w:t xml:space="preserve">DOI: </w:t>
      </w:r>
      <w:hyperlink r:id="rId854">
        <w:r>
          <w:rPr>
            <w:color w:val="1155CC"/>
            <w:u w:val="single"/>
          </w:rPr>
          <w:t>10.1126/sciadv.adz9295</w:t>
        </w:r>
      </w:hyperlink>
    </w:p>
    <w:p>
      <w:pPr>
        <w:spacing w:before="0" w:after="120"/>
      </w:pPr>
      <w:r>
        <w:rPr>
          <w:b/>
        </w:rPr>
        <w:t xml:space="preserve">Notes: </w:t>
      </w:r>
      <w:r>
        <w:t>abstract_source=crossref</w:t>
      </w:r>
    </w:p>
    <w:p>
      <w:pPr>
        <w:spacing w:before="0" w:after="80" w:lineRule="auto" w:line="276"/>
      </w:pPr>
      <w:r>
        <w:rPr>
          <w:b/>
        </w:rPr>
        <w:t xml:space="preserve">摘要（ZH）: </w:t>
      </w:r>
      <w:r>
        <w:t>P-TEFb转录激酶复合物调节RNA聚合酶II (RNAPII) 介导的转录中的暂停释放检查点步骤。我们旨在识别缺氧特异性相互作用，这些相互作用可以将P-TEFb活性导向缺氧响应基因。通过生化纯化方法，我们发现P-TEFb亚基细胞周期蛋白T1 (CCNT1)、核定位线粒体伴侣Tim8-Tim13复合物以及缺氧诱导的DNA结合转录因子BHLHE40之间存在一种缺氧特异性、染色质相关的相互作用。这种相互作用在多种人细胞系中得到证实。Tim8-Tim13复合物的破坏和BHLHE40的沉默都会损害对急性缺氧的转录反应。HIF不参与CCNT1/BHLHE40/Tim8-Tim13相互作用，基因HIF-1β敲除和药理学HIF-2α抑制 (belzutifan) 都不能消除BHLHE40的表达。最后，BHLHE40的耗竭会损害786-O透明细胞肾癌细胞的增殖，这些细胞组成性表达HIF-2α和缺氧响应基因。总而言之，这些发现揭示了一个部分HIF非依赖性的调控轴，其中Tim8-Tim13复合物和BHLHE40在对缺氧的转录反应中调节P-TEFb活性。</w:t>
      </w:r>
    </w:p>
    <w:p>
      <w:pPr>
        <w:spacing w:before="0" w:after="200" w:lineRule="auto" w:line="276"/>
      </w:pPr>
      <w:r>
        <w:rPr>
          <w:b/>
        </w:rPr>
        <w:t xml:space="preserve">Abstract (EN): </w:t>
      </w:r>
      <w:r>
        <w:t>The P-TEFb transcriptional kinase complex regulates the pause release checkpoint step in transcription by RNA polymerase II (RNAPII). We sought to identify hypoxia-specific interactions that could direct P-TEFb activity to hypoxia-responsive genes. Using a biochemical purification approach, we discovered a hypoxia-specific, chromatin-associated interaction between the P-TEFb subunit cyclin T1 (CCNT1), nuclear localized mitochondrial chaperone Tim8-Tim13 complexes, and the hypoxia-inducible, DNA binding transcription factor BHLHE40. This interaction is confirmed across multiple human cell lines. Tim8-Tim13 complex disruption and BHLHE40 silencing both impair the transcriptional response to acute hypoxia. HIF is not involved in the CCNT1/BHLHE40/Tim8-Tim13 interaction, and neither genetic HIF-1β knockout nor pharmacological HIF-2α inhibition (belzutifan) eliminates BHLHE40 expression. Finally, BHLHE40 depletion compromises the proliferation of 786-O clear cell renal carcinoma cells, which constitutively express HIF-2α and hypoxia-responsive genes. Together, these findings reveal a partially HIF-independent regulatory axis, in which Tim8-Tim13 complexes and BHLHE40 modulate P-TEFb activity in the transcriptional response to hypoxia.</w:t>
      </w:r>
    </w:p>
    <w:p>
      <w:pPr>
        <w:spacing w:before="120" w:after="120"/>
      </w:pPr>
      <w:r>
        <w:rPr>
          <w:sz w:val="18"/>
        </w:rPr>
        <w:t>——————————————————————————————————————————————————————————————————————</w:t>
      </w:r>
    </w:p>
    <w:p>
      <w:pPr>
        <w:spacing w:before="160" w:after="40" w:line="240" w:lineRule="auto"/>
      </w:pPr>
      <w:r>
        <w:rPr>
          <w:b/>
        </w:rPr>
        <w:t xml:space="preserve">[331] </w:t>
      </w:r>
      <w:hyperlink r:id="rId855">
        <w:r>
          <w:rPr>
            <w:color w:val="1155CC"/>
            <w:u w:val="single"/>
          </w:rPr>
          <w:t>金属有机框架的重构以增强电催化性能</w:t>
        </w:r>
      </w:hyperlink>
    </w:p>
    <w:p>
      <w:pPr>
        <w:spacing w:before="0" w:after="80"/>
      </w:pPr>
      <w:r>
        <w:rPr>
          <w:i/>
          <w:sz w:val="20"/>
        </w:rPr>
        <w:t>EN: Reconstruction of Metal‐Organic Frameworks for Enhanced Electrocatalytic Performance</w:t>
      </w:r>
    </w:p>
    <w:p>
      <w:pPr>
        <w:spacing w:before="0" w:after="120"/>
      </w:pPr>
      <w:r>
        <w:rPr>
          <w:b/>
        </w:rPr>
        <w:t xml:space="preserve">Source: </w:t>
      </w:r>
      <w:r>
        <w:t>Wiley: Advanced Materials: Table of Contents</w:t>
      </w:r>
      <w:r>
        <w:t xml:space="preserve">    </w:t>
      </w:r>
      <w:r>
        <w:rPr>
          <w:b/>
        </w:rPr>
        <w:t xml:space="preserve">Pub date: </w:t>
      </w:r>
      <w:r>
        <w:t>2026-05-20 07:26:49+00:00</w:t>
      </w:r>
      <w:r>
        <w:t xml:space="preserve">    </w:t>
      </w:r>
      <w:r>
        <w:rPr>
          <w:b/>
        </w:rPr>
        <w:t xml:space="preserve">DOI: </w:t>
      </w:r>
      <w:hyperlink r:id="rId856">
        <w:r>
          <w:rPr>
            <w:color w:val="1155CC"/>
            <w:u w:val="single"/>
          </w:rPr>
          <w:t>10.1002/adma.202523668</w:t>
        </w:r>
      </w:hyperlink>
    </w:p>
    <w:p>
      <w:pPr>
        <w:spacing w:before="0" w:after="120"/>
      </w:pPr>
      <w:r>
        <w:rPr>
          <w:b/>
        </w:rPr>
        <w:t xml:space="preserve">Notes: </w:t>
      </w:r>
      <w:r>
        <w:t>abstract_source=crossref</w:t>
      </w:r>
    </w:p>
    <w:p>
      <w:pPr>
        <w:spacing w:before="0" w:after="80" w:lineRule="auto" w:line="276"/>
      </w:pPr>
      <w:r>
        <w:rPr>
          <w:b/>
        </w:rPr>
        <w:t xml:space="preserve">摘要（ZH）: </w:t>
      </w:r>
      <w:r>
        <w:t>电催化反应是能量储存和转换领域的核心使能技术，其中电催化剂的合理设计在显著降低反应势垒、加速反应速率和最小化能耗方面发挥着关键作用。金属有机框架 (MOFs) 因其高度可定制的结构和可设计的孔隙率而在电催化领域获得了广泛关注。然而，在电催化过程中，许多MOFs由于其较弱的结构稳定性和参与氧化还原反应，经常发生不可逆的结构转变，这直接影响了它们的催化性能和长期稳定性。因此，深入理解MOFs在电催化条件下的复杂结构演变机制对于设计有前景的催化剂、建立结构-活性关系以及促进其大规模应用至关重要。本综述系统地总结了MOF电催化剂的结构设计策略，重点关注它们在各种电催化反应中的结构转变机制。此外，还批判性地讨论了MOFs结构演变与催化性能之间的内在关联。最后，概述了MOFs电化学重构研究中的机遇和挑战，并展望了该领域的潜在前景。</w:t>
      </w:r>
    </w:p>
    <w:p>
      <w:pPr>
        <w:spacing w:before="0" w:after="200" w:lineRule="auto" w:line="276"/>
      </w:pPr>
      <w:r>
        <w:rPr>
          <w:b/>
        </w:rPr>
        <w:t xml:space="preserve">Abstract (EN): </w:t>
      </w:r>
      <w:r>
        <w:t>Electrocatalytic reactions serve as a core enabling technology in energy storage and conversion, where the rational design of electrocatalysts plays a pivotal role in drastically lowering reaction barriers, accelerating reaction rates, and minimizing energy consumption. Metal‐organic frameworks (MOFs) have garnered widespread attention in the field of electrocatalysis due to their highly tailorable structures and engineered porosity. However, during electrocatalytic processes, many MOFs often undergo irreversible structural transformations due to their weak structural stability and participation in redox reactions, which directly affect their catalytic performance and long‐term stability. Therefore, a deep understanding of the complicated structure evolution mechanisms of MOFs under electrocatalytic conditions is essential for designing promising catalysts, establishing structure‐activity relationships, and promoting their large‐scale application. This review systematically summarizes the structural design strategies of MOF electrocatalysts, focusing on their structural transformation mechanisms in various electrocatalytic reactions. Furthermore, the intrinsic correlation between the structural evolution of MOFs and catalytic performance is critically discussed. Finally, the opportunities and challenges in electrochemical reconstruction research of MOFs are outlined and accompanied with the underlying prospects in the field.</w:t>
      </w:r>
    </w:p>
    <w:p>
      <w:pPr>
        <w:spacing w:before="120" w:after="120"/>
      </w:pPr>
      <w:r>
        <w:rPr>
          <w:sz w:val="18"/>
        </w:rPr>
        <w:t>——————————————————————————————————————————————————————————————————————</w:t>
      </w:r>
    </w:p>
    <w:p>
      <w:pPr>
        <w:spacing w:before="160" w:after="40" w:line="240" w:lineRule="auto"/>
      </w:pPr>
      <w:r>
        <w:rPr>
          <w:b/>
        </w:rPr>
        <w:t xml:space="preserve">[332] </w:t>
      </w:r>
      <w:hyperlink r:id="rId857">
        <w:r>
          <w:rPr>
            <w:color w:val="1155CC"/>
            <w:u w:val="single"/>
          </w:rPr>
          <w:t>[ASAP] 密集组装表面宿主结构中的协同主客体络合在单分子水平揭示</w:t>
        </w:r>
      </w:hyperlink>
    </w:p>
    <w:p>
      <w:pPr>
        <w:spacing w:before="0" w:after="80"/>
      </w:pPr>
      <w:r>
        <w:rPr>
          <w:i/>
          <w:sz w:val="20"/>
        </w:rPr>
        <w:t>EN: [ASAP] Cooperative Host–Guest Complexation in Densely Assembled Host Structures on Surfaces Revealed at the Single-Molecular Level</w:t>
      </w:r>
    </w:p>
    <w:p>
      <w:pPr>
        <w:spacing w:before="0" w:after="120"/>
      </w:pPr>
      <w:r>
        <w:rPr>
          <w:b/>
        </w:rPr>
        <w:t xml:space="preserve">Source: </w:t>
      </w:r>
      <w:r>
        <w:t>Journal of the American Chemical Society: Latest Articles (ACS Publications)</w:t>
      </w:r>
      <w:r>
        <w:t xml:space="preserve">    </w:t>
      </w:r>
      <w:r>
        <w:rPr>
          <w:b/>
        </w:rPr>
        <w:t xml:space="preserve">Pub date: </w:t>
      </w:r>
      <w:r>
        <w:t>2026-05-20 08:00:30+00:00</w:t>
      </w:r>
      <w:r>
        <w:t xml:space="preserve">    </w:t>
      </w:r>
      <w:r>
        <w:rPr>
          <w:b/>
        </w:rPr>
        <w:t xml:space="preserve">DOI: </w:t>
      </w:r>
      <w:hyperlink r:id="rId858">
        <w:r>
          <w:rPr>
            <w:color w:val="1155CC"/>
            <w:u w:val="single"/>
          </w:rPr>
          <w:t>10.1021/jacs.6c00891</w:t>
        </w:r>
      </w:hyperlink>
    </w:p>
    <w:p>
      <w:pPr>
        <w:spacing w:before="0" w:after="120"/>
      </w:pPr>
      <w:r>
        <w:rPr>
          <w:b/>
        </w:rPr>
        <w:t xml:space="preserve">Notes: </w:t>
      </w:r>
      <w:r>
        <w:t>abstract_source=pubmed</w:t>
      </w:r>
    </w:p>
    <w:p>
      <w:pPr>
        <w:spacing w:before="0" w:after="80" w:lineRule="auto" w:line="276"/>
      </w:pPr>
      <w:r>
        <w:rPr>
          <w:b/>
        </w:rPr>
        <w:t xml:space="preserve">摘要（ZH）: </w:t>
      </w:r>
      <w:r>
        <w:t>可逆缔合与解离是分子体系行为中的基本过程。基于非共价分子间相互作用的超分子形成的主客体化学是基于缔合-解离的分子体系的典型模型。宿主结构在表面上的高密度组装能够实现独特的主客体络合现象，例如与均相溶液体系显著不同的协同效应。然而，适用于固液界面现象的分析方法有限，并且通常只提供关于主客体络合事件的平均或统计信息。因此，那些在平均中丢失的分子尺度现象难以理解。在此，我们展示了使用两种原子力显微镜 (AFM) 技术在单分子水平上直接观察以密集组装的柱[5]芳烃作为宿主结构的缔合-解离过程。频率调制AFM观察表明，密集组装的柱[5]芳烃表现出正协同性，即在一个宿主位点包合客体后，会增强被一个相邻宿主分子隔开的相邻位点的客体结合，这可能归因于横向宿主-宿主相互作用。此外，主客体络合的可逆缔合-解离过程的动力学也通过高速AFM进行了可视化。</w:t>
      </w:r>
    </w:p>
    <w:p>
      <w:pPr>
        <w:spacing w:before="0" w:after="200" w:lineRule="auto" w:line="276"/>
      </w:pPr>
      <w:r>
        <w:rPr>
          <w:b/>
        </w:rPr>
        <w:t xml:space="preserve">Abstract (EN): </w:t>
      </w:r>
      <w:r>
        <w:t>Reversible association and dissociation are fundamental processes in the behavior of molecular systems. Host-guest chemistry based on supramolecular formation through noncovalent intermolecular interactions is a typical model of a molecular system based on association-dissociation. High-density assembly of host structures on surfaces enables the unique host-guest complexation phenomena, such as cooperative effects that differ significantly from those in homogeneous solution systems. However, analytical methods applicable to the phenomena at solid-liquid interfaces are limited and often provide only average or statistical information on the host-guest complexation event. Therefore, such molecular-scale phenomena that are lost in averaging are difficult to understand. Here, we show direct observation of association-dissociation with densely assembled pillar[5]arenes as host structures using two atomic force microscopy (AFM) techniques at the single molecular level. Frequency modulation AFM observations revealed that densely assembled pillar[5]arenes exhibit positive cooperativity, whereby inclusion of a guest at one host site enhances guest binding at neighboring sites separated by one neighboring host molecule, likely due to lateral host-host interactions. In addition, the dynamics of reversible association-dissociation processes of host-guest complexation were also visualized by high-speed AFM.</w:t>
      </w:r>
    </w:p>
    <w:p>
      <w:pPr>
        <w:spacing w:before="120" w:after="120"/>
      </w:pPr>
      <w:r>
        <w:rPr>
          <w:sz w:val="18"/>
        </w:rPr>
        <w:t>——————————————————————————————————————————————————————————————————————</w:t>
      </w:r>
    </w:p>
    <w:p>
      <w:pPr>
        <w:spacing w:before="160" w:after="40" w:line="240" w:lineRule="auto"/>
      </w:pPr>
      <w:r>
        <w:rPr>
          <w:b/>
        </w:rPr>
        <w:t xml:space="preserve">[333] </w:t>
      </w:r>
      <w:hyperlink r:id="rId859">
        <w:r>
          <w:rPr>
            <w:color w:val="1155CC"/>
            <w:u w:val="single"/>
          </w:rPr>
          <w:t>[ASAP] 低价铱在光诱导不对称烯丙基烷基化中实现“外球”自由基-自由基偶联</w:t>
        </w:r>
      </w:hyperlink>
    </w:p>
    <w:p>
      <w:pPr>
        <w:spacing w:before="0" w:after="80"/>
      </w:pPr>
      <w:r>
        <w:rPr>
          <w:i/>
          <w:sz w:val="20"/>
        </w:rPr>
        <w:t>EN: [ASAP] Low-valent Iridium Enables “Outer-Sphere” Radical–Radical Coupling in Photoinduced Asymmetric Allylic Alkylation</w:t>
      </w:r>
    </w:p>
    <w:p>
      <w:pPr>
        <w:spacing w:before="0" w:after="120"/>
      </w:pPr>
      <w:r>
        <w:rPr>
          <w:b/>
        </w:rPr>
        <w:t xml:space="preserve">Source: </w:t>
      </w:r>
      <w:r>
        <w:t>Journal of the American Chemical Society: Latest Articles (ACS Publications)</w:t>
      </w:r>
      <w:r>
        <w:t xml:space="preserve">    </w:t>
      </w:r>
      <w:r>
        <w:rPr>
          <w:b/>
        </w:rPr>
        <w:t xml:space="preserve">Pub date: </w:t>
      </w:r>
      <w:r>
        <w:t>2026-05-20 08:49:45+00:00</w:t>
      </w:r>
      <w:r>
        <w:t xml:space="preserve">    </w:t>
      </w:r>
      <w:r>
        <w:rPr>
          <w:b/>
        </w:rPr>
        <w:t xml:space="preserve">DOI: </w:t>
      </w:r>
      <w:hyperlink r:id="rId860">
        <w:r>
          <w:rPr>
            <w:color w:val="1155CC"/>
            <w:u w:val="single"/>
          </w:rPr>
          <w:t>10.1021/jacs.6c06502</w:t>
        </w:r>
      </w:hyperlink>
    </w:p>
    <w:p>
      <w:pPr>
        <w:spacing w:before="0" w:after="120"/>
      </w:pPr>
      <w:r>
        <w:rPr>
          <w:b/>
        </w:rPr>
        <w:t xml:space="preserve">Notes: </w:t>
      </w:r>
      <w:r>
        <w:t>abstract_source=pubmed</w:t>
      </w:r>
    </w:p>
    <w:p>
      <w:pPr>
        <w:spacing w:before="0" w:after="80" w:lineRule="auto" w:line="276"/>
      </w:pPr>
      <w:r>
        <w:rPr>
          <w:b/>
        </w:rPr>
        <w:t xml:space="preserve">摘要（ZH）: </w:t>
      </w:r>
      <w:r>
        <w:t>光化学催化实现了烯丙醇与易得自由基前体之间具有挑战性的对映选择性烷基-烷基交叉偶联，然而，其作用的成键机制仍然难以捉摸。在此，我们对光激发铱催化的不对称Csp3-Csp3交叉偶联进行了全面的计算机制研究。与流行的“内球”提议（该提议涉及Ir(II)(烯丙基)物种捕获自由基，随后从烷基-Ir(III)-烯丙基中间体进行还原消除）相反，我们的计算确定了一条由Ir(I/III/II/I)催化循环控制的独特低价途径。(η3-烯丙基)-Ir(III)配合物的光激发触发了配体到金属的电荷转移，原位生成了Ir(II)-(烯丙基自由基)物种。随后与自由基前体发生单电子转移 (SET)，产生手性Ir(I)-(烯丙基自由基)中间体以及瞬态烷基自由基，该烷基自由基在Ir(I)结合的烯丙基自由基处经历“外球”自由基-自由基偶联，从而得到对映体富集产物。结构表征和自旋密度分析支持Ir(II)-和Ir(I)-(烯丙基自由基)中间体的参与，并证实了自由基-自由基成键事件。这些发现为光激发铱催化建立了机制框架，描绘了Ir(I/III/II/I)催化循环，并强调低价Ir(I)-(烯丙基自由基)物种是不对称Csp3-Csp3交叉偶联中对映选择性自由基捕获的战略平台。</w:t>
      </w:r>
    </w:p>
    <w:p>
      <w:pPr>
        <w:spacing w:before="0" w:after="200" w:lineRule="auto" w:line="276"/>
      </w:pPr>
      <w:r>
        <w:rPr>
          <w:b/>
        </w:rPr>
        <w:t xml:space="preserve">Abstract (EN): </w:t>
      </w:r>
      <w:r>
        <w:t>Photochemical catalysis enables challenging enantioselective alkyl-alkyl cross-couplings between allylic alcohols and readily available radical precursors, yet the operative bond-forming mechanism remains elusive. Here we present a comprehensive computational mechanistic study on photoexcited iridium-catalyzed asymmetric Csp3-Csp3 cross-couplings. Contrary to the prevailing "inner-sphere" proposal invoking radical capture by an Ir(II)(allyl) species followed by reductive elimination from an alkyl-Ir(III)-allyl intermediate, our calculations identify a distinct low-valent pathway governed by an Ir(I/III/II/I) catalytic cycle. Photoexcitation of the (η3-allyl)-Ir(III) complex triggers ligand-to-metal charge transfer to generate an Ir(II)-(allyl radical) species in situ. Subsequent single-electron transfer (SET) with the radical precursor produces a chiral Ir(I)-(allyl radical) intermediate together with a transient alkyl radical, which undergoes "outer-sphere" radical-radical coupling at the Ir(I)-bound allyl radical to deliver the enantioenriched product. Structural characterization and spin density analysis support the involvement of the Ir(II)- and Ir(I)-(allyl radical) intermediates and substantiate the radical-radical bond-forming event. These findings establish a mechanistic framework for photoexcited iridium catalysis, mapping an Ir(I/III/II/I) catalytic cycle and highlighting low-valent Ir(I)-(allyl radical) species as a strategic platform for enantioselective radical interception in asymmetric Csp3-Csp3 cross-couplings.</w:t>
      </w:r>
    </w:p>
    <w:p>
      <w:pPr>
        <w:spacing w:before="120" w:after="120"/>
      </w:pPr>
      <w:r>
        <w:rPr>
          <w:sz w:val="18"/>
        </w:rPr>
        <w:t>——————————————————————————————————————————————————————————————————————</w:t>
      </w:r>
    </w:p>
    <w:p>
      <w:pPr>
        <w:spacing w:before="160" w:after="40" w:line="240" w:lineRule="auto"/>
      </w:pPr>
      <w:r>
        <w:rPr>
          <w:b/>
        </w:rPr>
        <w:t xml:space="preserve">[334] </w:t>
      </w:r>
      <w:hyperlink r:id="rId861">
        <w:r>
          <w:rPr>
            <w:color w:val="1155CC"/>
            <w:u w:val="single"/>
          </w:rPr>
          <w:t>[ASAP] 细胞内转运改变作为G蛋白偶联受体激活持续时间延长的机制</w:t>
        </w:r>
      </w:hyperlink>
    </w:p>
    <w:p>
      <w:pPr>
        <w:spacing w:before="0" w:after="80"/>
      </w:pPr>
      <w:r>
        <w:rPr>
          <w:i/>
          <w:sz w:val="20"/>
        </w:rPr>
        <w:t>EN: [ASAP] Altered Intracellular Trafficking as a Mechanism for Prolonged Duration of G Protein-Coupled Receptor Activation</w:t>
      </w:r>
    </w:p>
    <w:p>
      <w:pPr>
        <w:spacing w:before="0" w:after="120"/>
      </w:pPr>
      <w:r>
        <w:rPr>
          <w:b/>
        </w:rPr>
        <w:t xml:space="preserve">Source: </w:t>
      </w:r>
      <w:r>
        <w:t>Journal of the American Chemical Society: Latest Articles (ACS Publications)</w:t>
      </w:r>
      <w:r>
        <w:t xml:space="preserve">    </w:t>
      </w:r>
      <w:r>
        <w:rPr>
          <w:b/>
        </w:rPr>
        <w:t xml:space="preserve">Pub date: </w:t>
      </w:r>
      <w:r>
        <w:t>2026-05-20 10:24:42+00:00</w:t>
      </w:r>
      <w:r>
        <w:t xml:space="preserve">    </w:t>
      </w:r>
      <w:r>
        <w:rPr>
          <w:b/>
        </w:rPr>
        <w:t xml:space="preserve">DOI: </w:t>
      </w:r>
      <w:hyperlink r:id="rId862">
        <w:r>
          <w:rPr>
            <w:color w:val="1155CC"/>
            <w:u w:val="single"/>
          </w:rPr>
          <w:t>10.1021/jacs.6c02192</w:t>
        </w:r>
      </w:hyperlink>
    </w:p>
    <w:p>
      <w:pPr>
        <w:spacing w:before="0" w:after="120"/>
      </w:pPr>
      <w:r>
        <w:rPr>
          <w:b/>
        </w:rPr>
        <w:t xml:space="preserve">Notes: </w:t>
      </w:r>
      <w:r>
        <w:t>abstract_source=pubmed</w:t>
      </w:r>
    </w:p>
    <w:p>
      <w:pPr>
        <w:spacing w:before="0" w:after="80" w:lineRule="auto" w:line="276"/>
      </w:pPr>
      <w:r>
        <w:rPr>
          <w:b/>
        </w:rPr>
        <w:t xml:space="preserve">摘要（ZH）: </w:t>
      </w:r>
      <w:r>
        <w:t>G蛋白偶联受体 (GPCRs) 介导细胞与周围环境之间的信息传递。在大多数情况下，当受体与激动剂结合时，信号被启动或放大，这一事件改变了受体的构象特征。信号转导是激动剂-受体复合物与胞质伴侣（如G蛋白、GPCR激酶 (GRKs) 和β-抑制蛋白）之间相互作用的结果。激动剂结构的变化可能导致“信号偏向”，即涉及不同伴侣的信号相对强度发生变化。一些GPCRs，包括那些被长肽激素激活的GPCRs，在内吞后仍持续发出信号。在这些情况下，激动剂结构的变化可能导致来自不同位点（例如，细胞表面与内涵体）的信号相对程度发生变化（“位置偏向”）。许多GPCRs是已批准药物或候选药物的靶点，调节信号偏向和/或位置偏向被广泛认为是优化治疗效果的关键。在此，我们报告了通过激动剂修饰调节结果的另一种机制：改变细胞内运输。之前已证明，含有五个β-氨基酸残基的合成肽激动剂SPT能够激活甲状旁腺激素受体-1 (PTH1R)，并通过未知机制在小鼠中引起长时间信号传导。SPT-PTH1R复合物在内吞后继续刺激cAMP的产生。我们现在发现，与与...结合的受体复合物相比，SPT-PTH1R复合物会损害早期内涵体向再循环内涵体的分选</w:t>
      </w:r>
    </w:p>
    <w:p>
      <w:pPr>
        <w:spacing w:before="0" w:after="200" w:lineRule="auto" w:line="276"/>
      </w:pPr>
      <w:r>
        <w:rPr>
          <w:b/>
        </w:rPr>
        <w:t xml:space="preserve">Abstract (EN): </w:t>
      </w:r>
      <w:r>
        <w:t>G protein-coupled receptors (GPCRs) mediate information transfer to cells from the surrounding environment. In most cases, signaling is initiated or amplified when the receptor binds to an agonist, an event that alters the conformational profile of the receptor. Signal transduction results from interaction between the agonist-receptor complex and cytosolic partners such as G proteins, GPCR kinases (GRKs), and β-arrestins. Changes in agonist structure can lead to "signal bias", i.e., changes in the relative strength of signaling involving different partners. Some GPCRs, including those activated by long peptide hormones, continue to signal after internalization. In these cases, changes in agonist structure can lead to changes in the relative extent of signaling from different sites, e.g., cell surface vs endosomes ("location bias"). Many GPCRs are targets of approved drugs or drug candidates, and tuning signal bias and/or location bias is widely considered to be important for optimizing therapeutic profiles. Here we report another mechanism of modulating outcome via agonist modification: alteration of intracellular trafficking. The synthetic peptide agonist designated SPT, which contains five β-amino acid residues, was previously shown to activate the parathyroid hormone receptor-1 (PTH1R) and cause prolonged signaling in mice by an unknown mechanism. The SPT-PTH1R complex continues to stimulate cAMP production after internalization. We now find that the SPT-PTH1R complex impairs the sorting of early endosomes into recycling endosomes relative to the receptor complexed to the drug teriparatide. These findings suggest that altering intracellular GPCR trafficking patterns represents an unappreciated strategy for achieving prolonged action in vivo.</w:t>
      </w:r>
    </w:p>
    <w:p>
      <w:pPr>
        <w:spacing w:before="120" w:after="120"/>
      </w:pPr>
      <w:r>
        <w:rPr>
          <w:sz w:val="18"/>
        </w:rPr>
        <w:t>——————————————————————————————————————————————————————————————————————</w:t>
      </w:r>
    </w:p>
    <w:p>
      <w:pPr>
        <w:spacing w:before="160" w:after="40" w:line="240" w:lineRule="auto"/>
      </w:pPr>
      <w:r>
        <w:rPr>
          <w:b/>
        </w:rPr>
        <w:t xml:space="preserve">[335] </w:t>
      </w:r>
      <w:hyperlink r:id="rId863">
        <w:r>
          <w:rPr>
            <w:color w:val="1155CC"/>
            <w:u w:val="single"/>
          </w:rPr>
          <w:t>[ASAP] 酰腙连接的共价有机框架</w:t>
        </w:r>
      </w:hyperlink>
    </w:p>
    <w:p>
      <w:pPr>
        <w:spacing w:before="0" w:after="80"/>
      </w:pPr>
      <w:r>
        <w:rPr>
          <w:i/>
          <w:sz w:val="20"/>
        </w:rPr>
        <w:t>EN: [ASAP] Acylhydrazone-Linked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2026-05-20 11:38:06+00:00</w:t>
      </w:r>
      <w:r>
        <w:t xml:space="preserve">    </w:t>
      </w:r>
      <w:r>
        <w:rPr>
          <w:b/>
        </w:rPr>
        <w:t xml:space="preserve">DOI: </w:t>
      </w:r>
      <w:hyperlink r:id="rId864">
        <w:r>
          <w:rPr>
            <w:color w:val="1155CC"/>
            <w:u w:val="single"/>
          </w:rPr>
          <w:t>10.1021/jacs.6c02433</w:t>
        </w:r>
      </w:hyperlink>
    </w:p>
    <w:p>
      <w:pPr>
        <w:spacing w:before="0" w:after="120"/>
      </w:pPr>
      <w:r>
        <w:rPr>
          <w:b/>
        </w:rPr>
        <w:t xml:space="preserve">Notes: </w:t>
      </w:r>
      <w:r>
        <w:t>abstract_source=pubmed</w:t>
      </w:r>
    </w:p>
    <w:p>
      <w:pPr>
        <w:spacing w:before="0" w:after="80" w:lineRule="auto" w:line="276"/>
      </w:pPr>
      <w:r>
        <w:rPr>
          <w:b/>
        </w:rPr>
        <w:t xml:space="preserve">摘要（ZH）: </w:t>
      </w:r>
      <w:r>
        <w:t>共价有机框架 (COFs) 是一种晶态多孔材料，具有有序的π阵列和明确的通道，其结构可以通过拓扑引导聚合进行合理设计。在过去的二十年中，带有各种反应性基团的多样化π构筑单元的发展使得COF结构种类繁多。特别是，醛是构建COFs最广泛使用的单体，其连接方式包括吖嗪、亚胺、方酸菁、腙和烯烃连接。然而，酮作为醛的便捷类似物，具有更丰富的多样性，但作为COFs设计和合成的单体仍有待充分探索。在此，我们通过探索酮作为构筑单元，在溶剂热条件下与酰肼缩合，报道了酰腙连接的COFs。我们观察到，仔细筛选反应条件，包括溶剂、催化剂、温度和时间，能够找到最佳体系，以生产具有可设计微孔和介孔结构的高度结晶和多孔的酰腙连接COFs。令人惊讶的是，酰腙连接在结构形成和功能演变中都起着决定性作用。对于孔隙，酰腙连接增强了孔隙限制，提高了水吸附能力，并增加了吸附热。同时，对于骨架，它增强了热稳定性和化学稳定性，促进了π电子离域，实现了可调谐发光，降低了带隙，并提高了光电导性。这些发现为设计具有酰腙连接的COFs开辟了新范式，以创造</w:t>
      </w:r>
    </w:p>
    <w:p>
      <w:pPr>
        <w:spacing w:before="0" w:after="200" w:lineRule="auto" w:line="276"/>
      </w:pPr>
      <w:r>
        <w:rPr>
          <w:b/>
        </w:rPr>
        <w:t xml:space="preserve">Abstract (EN): </w:t>
      </w:r>
      <w:r>
        <w:t>Covalent organic frameworks (COFs) are crystalline porous materials featuring ordered π arrays and well-defined channels, whose structures can be rationally designed through topology-guided polymerization. Over the last two decades, the development of diverse π-building units bearing various reactive groups has enabled a wide range of COF architectures. Particularly, aldehydes are the most extensively employed monomers for constructing COFs ranging from azine to imine, squaraine, hydrazone, and olefinic linkages. However, ketones, a handy analogue to aldehydes with even richer diversity, remain to be well explored as monomers for the design and synthesis of COFs. Here we report acylhydrazone-linked COFs by exploring ketones as building units to condense with hydrazides under solvothermal conditions. We observed that a careful screening of reaction conditions including solvent, catalyst, temperature, and time enables the finding of optimal systems to produce highly crystalline and porous acylhydrazone-linked COFs with designable micro- and mesoporosity. Surprisingly, the acylhydrazone linkage plays a decisive role in both structural formation and functional evolution. For the pores, the acylhydrazone linkage strengthens pore confinement, enhances water adsorption, and increases adsorption heat. Concurrently, for the skeletons, it enhances thermal and chemical stabilities, promotes π-delocalization, enables tunable light emission, decreases bandgaps, and improves photoconductivity. These findings introduce a new paradigm for designing COFs with acylhydrazone linkages to create unparalleled structures, properties, and applications.</w:t>
      </w:r>
    </w:p>
    <w:p>
      <w:pPr>
        <w:spacing w:before="120" w:after="120"/>
      </w:pPr>
      <w:r>
        <w:rPr>
          <w:sz w:val="18"/>
        </w:rPr>
        <w:t>——————————————————————————————————————————————————————————————————————</w:t>
      </w:r>
    </w:p>
    <w:p>
      <w:pPr>
        <w:spacing w:before="160" w:after="40" w:line="240" w:lineRule="auto"/>
      </w:pPr>
      <w:r>
        <w:rPr>
          <w:b/>
        </w:rPr>
        <w:t xml:space="preserve">[336] </w:t>
      </w:r>
      <w:hyperlink r:id="rId865">
        <w:r>
          <w:rPr>
            <w:color w:val="1155CC"/>
            <w:u w:val="single"/>
          </w:rPr>
          <w:t>[ASAP] 硝酸盐驱动的质子偶联光电子转移实现乳酸到丙氨酸的级联C–N偶联</w:t>
        </w:r>
      </w:hyperlink>
    </w:p>
    <w:p>
      <w:pPr>
        <w:spacing w:before="0" w:after="80"/>
      </w:pPr>
      <w:r>
        <w:rPr>
          <w:i/>
          <w:sz w:val="20"/>
        </w:rPr>
        <w:t>EN: [ASAP] Nitrate-Driven Proton-Coupled Photoelectron Transfer Enables Cascade C–N Coupling of Lactic Acid to Alanine</w:t>
      </w:r>
    </w:p>
    <w:p>
      <w:pPr>
        <w:spacing w:before="0" w:after="120"/>
      </w:pPr>
      <w:r>
        <w:rPr>
          <w:b/>
        </w:rPr>
        <w:t xml:space="preserve">Source: </w:t>
      </w:r>
      <w:r>
        <w:t>Journal of the American Chemical Society: Latest Articles (ACS Publications)</w:t>
      </w:r>
      <w:r>
        <w:t xml:space="preserve">    </w:t>
      </w:r>
      <w:r>
        <w:rPr>
          <w:b/>
        </w:rPr>
        <w:t xml:space="preserve">Pub date: </w:t>
      </w:r>
      <w:r>
        <w:t>2026-05-20 11:45:59+00:00</w:t>
      </w:r>
      <w:r>
        <w:t xml:space="preserve">    </w:t>
      </w:r>
      <w:r>
        <w:rPr>
          <w:b/>
        </w:rPr>
        <w:t xml:space="preserve">DOI: </w:t>
      </w:r>
      <w:hyperlink r:id="rId866">
        <w:r>
          <w:rPr>
            <w:color w:val="1155CC"/>
            <w:u w:val="single"/>
          </w:rPr>
          <w:t>10.1021/jacs.6c07088</w:t>
        </w:r>
      </w:hyperlink>
    </w:p>
    <w:p>
      <w:pPr>
        <w:spacing w:before="0" w:after="120"/>
      </w:pPr>
      <w:r>
        <w:rPr>
          <w:b/>
        </w:rPr>
        <w:t xml:space="preserve">Notes: </w:t>
      </w:r>
      <w:r>
        <w:t>abstract_source=pubmed</w:t>
      </w:r>
    </w:p>
    <w:p>
      <w:pPr>
        <w:spacing w:before="0" w:after="80" w:lineRule="auto" w:line="276"/>
      </w:pPr>
      <w:r>
        <w:rPr>
          <w:b/>
        </w:rPr>
        <w:t xml:space="preserve">摘要（ZH）: </w:t>
      </w:r>
      <w:r>
        <w:t>从废弃物原料可持续合成氨基酸面临高能耗、昂贵的氮源以及传统生物、热催化和光催化路线中低效的C-N形成效率的挑战。在此，我们报道了一种集成电-光电级联系统，通过将聚乳酸 (PLA) 衍生的乳酸 (LA) 与通过电催化硝酸盐还原 (NO3-RR) 原位选择性生成的羟胺 (NH2OH) 偶联，实现了高效丙氨酸生产。该级联系统实现了创纪录的丙氨酸产率，达到 149.7 mmol gcat.-1 h-1，选择性为 87.7%，并进一步在实验室条件下实现了克级丙氨酸生产，证明了超越概念验证的实际可扩展性。将痕量Ru单原子掺入MoS2纳米片 (Ru-MoS2) 中，产生了丰富的硫空位 (Sv)，这些空位调节局部电子环境并促进NH2OH的有效利用。机制研究揭示了一种质子耦合光电子转移 (PCPET) 途径，其中Mo位点解离水以提供质子，Ru位点介导NH2OH-羰基缩合形成肟中间体，并且质子和光激发电子的耦合传递降低了后续氢化生成丙氨酸的能垒。初步技术经济分析表明，NO3-驱动的级联系统具有有利的成本控制特性，这得益于高效的氮利用和集成废物管理。除了性能指标，这项工作还强调了如何将氮形态与界面电荷-质子配位耦合可以</w:t>
      </w:r>
    </w:p>
    <w:p>
      <w:pPr>
        <w:spacing w:before="0" w:after="200" w:lineRule="auto" w:line="276"/>
      </w:pPr>
      <w:r>
        <w:rPr>
          <w:b/>
        </w:rPr>
        <w:t xml:space="preserve">Abstract (EN): </w:t>
      </w:r>
      <w:r>
        <w:t>The sustainable synthesis of amino acids from waste-derived feedstocks remains challenged by high energy input, costly nitrogen source, and inefficient C-N formation efficiency of conventional bio-, thermo-, and photocatalytic routes. Here, we report an integrated electro-photoelectric cascade system that enables high-efficiency alanine production by coupling polylactic acid (PLA)-derived LA with hydroxylamine (NH2OH), selectively generated in situ via electrocatalytic nitrate reduction (NO3-RR). This cascade delivers a record alanine yield rate of 149.7 mmol gcat.-1 h-1 with 87.7% selectivity and further enables gram-scale alanine production under laboratory conditions, demonstrating practical scalability beyond proof of concept. Incorporation of trace Ru single atoms into MoS2 nanosheets (Ru-MoS2) creates abundant sulfur vacancies (Sv) that modulate the local electronic environment and promote efficient NH2OH utilization. Mechanistic investigations reveal a proton-coupled photoelectron transfer (PCPET) pathway, in which Mo sites dissociate water to supply protons, Ru sites mediate NH2OH-carbonyl condensation to form oxime intermediates, and the coupled delivery of protons and photoexcited electrons lowers the barrier for subsequent hydrogenation to alanine. Preliminary techno-economic analysis suggests that the NO3--driven cascade offers a favorable cost-control profile, enabled by efficient nitrogen utilization and integrated waste management. Beyond performance metrics, this work highlights how coupling nitrogen speciation with interfacial charge-proton coordination can unlock new reaction manifolds for sustainable C-N bond formation.</w:t>
      </w:r>
    </w:p>
    <w:p>
      <w:pPr>
        <w:spacing w:before="120" w:after="120"/>
      </w:pPr>
      <w:r>
        <w:rPr>
          <w:sz w:val="18"/>
        </w:rPr>
        <w:t>——————————————————————————————————————————————————————————————————————</w:t>
      </w:r>
    </w:p>
    <w:p>
      <w:pPr>
        <w:spacing w:before="160" w:after="40" w:line="240" w:lineRule="auto"/>
      </w:pPr>
      <w:r>
        <w:rPr>
          <w:b/>
        </w:rPr>
        <w:t xml:space="preserve">[337] </w:t>
      </w:r>
      <w:hyperlink r:id="rId867">
        <w:r>
          <w:rPr>
            <w:color w:val="1155CC"/>
            <w:u w:val="single"/>
          </w:rPr>
          <w:t>[ASAP] 致密氧化物中通过结构挫折释放实现的巨大晶格膨胀</w:t>
        </w:r>
      </w:hyperlink>
    </w:p>
    <w:p>
      <w:pPr>
        <w:spacing w:before="0" w:after="80"/>
      </w:pPr>
      <w:r>
        <w:rPr>
          <w:i/>
          <w:sz w:val="20"/>
        </w:rPr>
        <w:t>EN: [ASAP] Giant Lattice Expansion through Structural Frustration Release in a Dense Oxide</w:t>
      </w:r>
    </w:p>
    <w:p>
      <w:pPr>
        <w:spacing w:before="0" w:after="120"/>
      </w:pPr>
      <w:r>
        <w:rPr>
          <w:b/>
        </w:rPr>
        <w:t xml:space="preserve">Source: </w:t>
      </w:r>
      <w:r>
        <w:t>Journal of the American Chemical Society: Latest Articles (ACS Publications)</w:t>
      </w:r>
      <w:r>
        <w:t xml:space="preserve">    </w:t>
      </w:r>
      <w:r>
        <w:rPr>
          <w:b/>
        </w:rPr>
        <w:t xml:space="preserve">Pub date: </w:t>
      </w:r>
      <w:r>
        <w:t>2026-05-20 11:54:59+00:00</w:t>
      </w:r>
      <w:r>
        <w:t xml:space="preserve">    </w:t>
      </w:r>
      <w:r>
        <w:rPr>
          <w:b/>
        </w:rPr>
        <w:t xml:space="preserve">DOI: </w:t>
      </w:r>
      <w:hyperlink r:id="rId868">
        <w:r>
          <w:rPr>
            <w:color w:val="1155CC"/>
            <w:u w:val="single"/>
          </w:rPr>
          <w:t>10.1021/jacs.6c07579</w:t>
        </w:r>
      </w:hyperlink>
    </w:p>
    <w:p>
      <w:pPr>
        <w:spacing w:before="0" w:after="120"/>
      </w:pPr>
      <w:r>
        <w:rPr>
          <w:b/>
        </w:rPr>
        <w:t xml:space="preserve">Notes: </w:t>
      </w:r>
      <w:r>
        <w:t>abstract_source=pubmed</w:t>
      </w:r>
    </w:p>
    <w:p>
      <w:pPr>
        <w:spacing w:before="0" w:after="80" w:lineRule="auto" w:line="276"/>
      </w:pPr>
      <w:r>
        <w:rPr>
          <w:b/>
        </w:rPr>
        <w:t xml:space="preserve">摘要（ZH）: </w:t>
      </w:r>
      <w:r>
        <w:t>密实无机氧化物中的大晶格响应通常由改变晶体对称性或组成的结构相变或氧化还原过程驱动。在此，我们确定了这种响应的一种独特机制：通过亚稳态、结构受挫的密实氧化物中保持对称性的阳离子再分布实现巨大的晶格膨胀。高压淬火的Ba4Ru3O12在450至650 K之间发生4.4%的不可逆体积膨胀，同时保持R3̅m对称性和氧化学计量比。高分辨率同步辐射衍射揭示了Ru在面共享RuO6三聚体内的协同再分布，将三聚体内部阳离子构型与晶格体积直接关联。热重、输运和磁性测量排除了分解、氧化还原过程以及电子或磁性相变。第一性原理计算表明，压缩稳定了低体积阳离子构型，该构型在恢复到环境压力后得以保留，并在加热时通过三聚体内部阳离子交换而弛豫。综上所述，这些结果确立了保持对称性的阳离子再分布作为密实氧化物中巨大晶格响应的一种机制，并确定了亚稳态受挫构型是实现不破坏对称性或不改变组成的大结构响应的途径。</w:t>
      </w:r>
    </w:p>
    <w:p>
      <w:pPr>
        <w:spacing w:before="0" w:after="200" w:lineRule="auto" w:line="276"/>
      </w:pPr>
      <w:r>
        <w:rPr>
          <w:b/>
        </w:rPr>
        <w:t xml:space="preserve">Abstract (EN): </w:t>
      </w:r>
      <w:r>
        <w:t>Large lattice responses in dense inorganic oxides are typically driven by structural phase transitions or redox processes that alter the crystal symmetry or composition. Here, we identify a distinct mechanism for such responses: giant lattice expansion through symmetry-preserving cation redistribution in a metastable, structurally frustrated, dense oxide. High-pressure-quenched Ba4Ru3O12 undergoes an irreversible volumetric expansion of 4.4% between 450 and 650 K while retaining R3̅m symmetry and oxygen stoichiometry. High-resolution synchrotron diffraction reveals cooperative redistribution of Ru within face-sharing RuO6 trimers, directly linking the intratrimer cation configuration to the lattice volume. Thermogravimetric, transport, and magnetic measurements exclude decomposition, redox processes, and electronic or magnetic phase transitions. First-principles calculations show that compression stabilizes a low-volume cation configuration, which is retained after recovery to ambient pressure and relaxes upon heating through intratrimer cation exchange. Together, these results establish symmetry-preserving cation redistribution as a mechanism for giant lattice responses in dense oxides and identify metastable frustrated configurations as a route to large structural responses without symmetry-breaking or compositional change.</w:t>
      </w:r>
    </w:p>
    <w:p>
      <w:pPr>
        <w:spacing w:before="120" w:after="120"/>
      </w:pPr>
      <w:r>
        <w:rPr>
          <w:sz w:val="18"/>
        </w:rPr>
        <w:t>——————————————————————————————————————————————————————————————————————</w:t>
      </w:r>
    </w:p>
    <w:p>
      <w:pPr>
        <w:spacing w:before="160" w:after="40" w:line="240" w:lineRule="auto"/>
      </w:pPr>
      <w:r>
        <w:rPr>
          <w:b/>
        </w:rPr>
        <w:t xml:space="preserve">[338] </w:t>
      </w:r>
      <w:hyperlink r:id="rId869">
        <w:r>
          <w:rPr>
            <w:color w:val="1155CC"/>
            <w:u w:val="single"/>
          </w:rPr>
          <w:t>[ASAP] 用于酰胺键形成的机械化学方法</w:t>
        </w:r>
      </w:hyperlink>
    </w:p>
    <w:p>
      <w:pPr>
        <w:spacing w:before="0" w:after="80"/>
      </w:pPr>
      <w:r>
        <w:rPr>
          <w:i/>
          <w:sz w:val="20"/>
        </w:rPr>
        <w:t>EN: [ASAP] Mechanochemical Methods for Amide Bond Formation</w:t>
      </w:r>
    </w:p>
    <w:p>
      <w:pPr>
        <w:spacing w:before="0" w:after="120"/>
      </w:pPr>
      <w:r>
        <w:rPr>
          <w:b/>
        </w:rPr>
        <w:t xml:space="preserve">Source: </w:t>
      </w:r>
      <w:r>
        <w:t>Chemical Reviews: Latest Articles (ACS Publications)</w:t>
      </w:r>
      <w:r>
        <w:t xml:space="preserve">    </w:t>
      </w:r>
      <w:r>
        <w:rPr>
          <w:b/>
        </w:rPr>
        <w:t xml:space="preserve">Pub date: </w:t>
      </w:r>
      <w:r>
        <w:t>2026-05-20 12:16:55+00:00</w:t>
      </w:r>
      <w:r>
        <w:t xml:space="preserve">    </w:t>
      </w:r>
      <w:r>
        <w:rPr>
          <w:b/>
        </w:rPr>
        <w:t xml:space="preserve">DOI: </w:t>
      </w:r>
      <w:hyperlink r:id="rId870">
        <w:r>
          <w:rPr>
            <w:color w:val="1155CC"/>
            <w:u w:val="single"/>
          </w:rPr>
          <w:t>10.1021/acs.chemrev.5c00534</w:t>
        </w:r>
      </w:hyperlink>
    </w:p>
    <w:p>
      <w:pPr>
        <w:spacing w:before="0" w:after="120"/>
      </w:pPr>
      <w:r>
        <w:rPr>
          <w:b/>
        </w:rPr>
        <w:t xml:space="preserve">Notes: </w:t>
      </w:r>
      <w:r>
        <w:t>abstract_source=pubmed</w:t>
      </w:r>
    </w:p>
    <w:p>
      <w:pPr>
        <w:spacing w:before="0" w:after="80" w:lineRule="auto" w:line="276"/>
      </w:pPr>
      <w:r>
        <w:rPr>
          <w:b/>
        </w:rPr>
        <w:t xml:space="preserve">摘要（ZH）: </w:t>
      </w:r>
      <w:r>
        <w:t>机械化学方法通过提高实用性和减少环境影响，正在重塑合成有机化学。本综述对酰胺键形成的机械化学方法进行了全面阐述，这可以说是机械化学有机合成中最发达和工业相关性最高的领域。本综述涵盖了从早期贡献到目前（2025年9月）的文献，其组织结构遵循关键底物类别和方法策略：通过羧酸或其活化衍生物与胺偶联形成酰胺键（第2节），随后是采用羧酸和胺替代物、氧化还原化学、重排以及过渡金属介导反应的非常规方法（第3节），通过替代成键途径生成酰胺产物。机械酶转化单独处理（第4节），立体化学相关问题，例如对映体纯度的保持，在第5节中讨论。第6节强调了酰胺键形成作为探测机械化学驱动力的模型系统的应用。特别关注可扩展性和成功的放大实例、与绿色化学原则的一致性、局限性、未探索领域以及需要进一步开发的挑战。本综述旨在为学术界和工业界的合成化学家，包括那些新近探索机械化学领域的化学家，提供易于获取且全面的资源，并为工艺优化和放大提供实用指导。</w:t>
      </w:r>
    </w:p>
    <w:p>
      <w:pPr>
        <w:spacing w:before="0" w:after="200" w:lineRule="auto" w:line="276"/>
      </w:pPr>
      <w:r>
        <w:rPr>
          <w:b/>
        </w:rPr>
        <w:t xml:space="preserve">Abstract (EN): </w:t>
      </w:r>
      <w:r>
        <w:t>Mechanochemical methodologies are reshaping synthetic organic chemistry by enhancing practicality and reducing environmental impact. This review presents a comprehensive account of mechanochemical methods for amide bond formation, arguably the most developed and industrially relevant area within mechanochemical organic synthesis. Covering literature from early contributions to the present (September 2025), the review organization follows key substrate classes and methodological strategies: amide bond formation via coupling of carboxylic acids or their activated derivatives with amines (Section 2), followed by unconventional approaches (Section 3) employing carboxylic acid and amine surrogates, redox chemistry, rearrangements, and transition metal-mediated reactions leading to amide products through alternative bond-forming pathways. Mechanoenzymatic transformations are treated separately (Section 4), with stereochemistry-related issues, such as the preservation of enantiomeric purity, discussed in Section 5. Section 6 highlights the use of amide bond formation as a model system for probing mechanochemical driving forces. Special attention is given to scalability and successful scale-up examples, alignment with green chemistry principles, limitations, unexplored areas, and challenges requiring further development. This review is intended as an accessible and thorough resource for synthetic chemists in both academia and industry, including those newly exploring the field of mechanochemistry, and it provides practical guidance for process optimization and scale-up.</w:t>
      </w:r>
    </w:p>
    <w:p>
      <w:pPr>
        <w:spacing w:before="120" w:after="120"/>
      </w:pPr>
      <w:r>
        <w:rPr>
          <w:sz w:val="18"/>
        </w:rPr>
        <w:t>——————————————————————————————————————————————————————————————————————</w:t>
      </w:r>
    </w:p>
    <w:p>
      <w:pPr>
        <w:spacing w:before="160" w:after="40" w:line="240" w:lineRule="auto"/>
      </w:pPr>
      <w:r>
        <w:rPr>
          <w:b/>
        </w:rPr>
        <w:t xml:space="preserve">[339] </w:t>
      </w:r>
      <w:hyperlink r:id="rId871">
        <w:r>
          <w:rPr>
            <w:color w:val="1155CC"/>
            <w:u w:val="single"/>
          </w:rPr>
          <w:t>[ASAP] DEAD-Box RNA解旋酶DDX3X的N端内在无序区中动态相互作用驱动的相分离</w:t>
        </w:r>
      </w:hyperlink>
    </w:p>
    <w:p>
      <w:pPr>
        <w:spacing w:before="0" w:after="80"/>
      </w:pPr>
      <w:r>
        <w:rPr>
          <w:i/>
          <w:sz w:val="20"/>
        </w:rPr>
        <w:t>EN: [ASAP] Phase Separation Driven by Dynamic Interactions in the N-Terminal Intrinsically Disordered Region of the DEAD-Box RNA Helicase DDX3X</w:t>
      </w:r>
    </w:p>
    <w:p>
      <w:pPr>
        <w:spacing w:before="0" w:after="120"/>
      </w:pPr>
      <w:r>
        <w:rPr>
          <w:b/>
        </w:rPr>
        <w:t xml:space="preserve">Source: </w:t>
      </w:r>
      <w:r>
        <w:t>Journal of the American Chemical Society: Latest Articles (ACS Publications)</w:t>
      </w:r>
      <w:r>
        <w:t xml:space="preserve">    </w:t>
      </w:r>
      <w:r>
        <w:rPr>
          <w:b/>
        </w:rPr>
        <w:t xml:space="preserve">Pub date: </w:t>
      </w:r>
      <w:r>
        <w:t>2026-05-20 12:39:49+00:00</w:t>
      </w:r>
      <w:r>
        <w:t xml:space="preserve">    </w:t>
      </w:r>
      <w:r>
        <w:rPr>
          <w:b/>
        </w:rPr>
        <w:t xml:space="preserve">DOI: </w:t>
      </w:r>
      <w:hyperlink r:id="rId872">
        <w:r>
          <w:rPr>
            <w:color w:val="1155CC"/>
            <w:u w:val="single"/>
          </w:rPr>
          <w:t>10.1021/jacs.5c22149</w:t>
        </w:r>
      </w:hyperlink>
    </w:p>
    <w:p>
      <w:pPr>
        <w:spacing w:before="0" w:after="120"/>
      </w:pPr>
      <w:r>
        <w:rPr>
          <w:b/>
        </w:rPr>
        <w:t xml:space="preserve">Notes: </w:t>
      </w:r>
      <w:r>
        <w:t>abstract_source=pubmed</w:t>
      </w:r>
    </w:p>
    <w:p>
      <w:pPr>
        <w:spacing w:before="0" w:after="80" w:lineRule="auto" w:line="276"/>
      </w:pPr>
      <w:r>
        <w:rPr>
          <w:b/>
        </w:rPr>
        <w:t xml:space="preserve">摘要（ZH）: </w:t>
      </w:r>
      <w:r>
        <w:t>蛋白质和RNA通过液-液相分离（LLPS）形成无膜细胞器，已成为细胞区室化的核心机制，以精细调节生物过程。DDX3X是DEAD-box RNA解旋酶家族的成员，是含RNA相分离细胞器的全局调节因子之一。尽管DDX3X在细胞器形成中的重要性已得到广泛认可，但其RNA驱动的LLPS的分子机制仍知之甚少。在本研究中，我们关注了DDX3X的N端内在无序区（N-IDR）与G-四链体（GQ）RNA之间的动态相互作用。GQ RNA因其独特的促进LLPS的能力，是生理性无膜细胞器组装的关键调节因子。利用溶液核磁共振波谱，我们确定了N-IDR内自组装的热点区域。这些区域包含带电区段，其间散布着关键的芳香族残基，它们的相互作用通过静电和π-相互作用的结合驱动LLPS。GQ RNA的结合有效增强了涉及N-IDR富精氨酸片段的分子间相互作用，为理解其RNA驱动的LLPS提供了分子见解。我们进一步讨论了应激条件下GQ特异性颗粒形成的功能意义，强调了DDX3X-GQ RNA相互作用在细胞翻译调节中的潜在作用。</w:t>
      </w:r>
    </w:p>
    <w:p>
      <w:pPr>
        <w:spacing w:before="0" w:after="200" w:lineRule="auto" w:line="276"/>
      </w:pPr>
      <w:r>
        <w:rPr>
          <w:b/>
        </w:rPr>
        <w:t xml:space="preserve">Abstract (EN): </w:t>
      </w:r>
      <w:r>
        <w:t>The formation of membraneless organelles via liquid-liquid phase separation (LLPS) of proteins and RNAs has emerged as a central mechanism of cellular compartmentalization to finely regulate biological processes. DDX3X, a member of the DEAD-box RNA helicase family, is one of the global regulators of RNA-containing phase-separated organelles. While the importance of DDX3X in organelle formation is well-recognized, the molecular mechanisms underlying its RNA-driven LLPS remain poorly understood. In this study, we focused on the dynamic interactions between the N-terminal intrinsically disordered region (N-IDR) of DDX3X and G-quadruplex (GQ) RNA, which is a key regulator of physiological membraneless organelle assembly owing to its unique ability to promote LLPS. Using solution nuclear magnetic resonance spectroscopy, we identified hotspot regions for self-assembly within the N-IDR. These regions comprise charged stretches interspersed with key aromatic residues, whose interactions drive LLPS through a combination of electrostatic and π-interactions. Binding of GQ RNA effectively strengthens intermolecular interactions involving the arginine-rich segments of the N-IDR, providing molecular insights into its RNA-driven LLPS. We further discuss the functional implications of GQ-specific granule formation under stress conditions, highlighting the potential roles of DDX3X-GQ RNA interplay in cellular translational regulation.</w:t>
      </w:r>
    </w:p>
    <w:p>
      <w:pPr>
        <w:spacing w:before="120" w:after="120"/>
      </w:pPr>
      <w:r>
        <w:rPr>
          <w:sz w:val="18"/>
        </w:rPr>
        <w:t>——————————————————————————————————————————————————————————————————————</w:t>
      </w:r>
    </w:p>
    <w:p>
      <w:pPr>
        <w:spacing w:before="160" w:after="40" w:line="240" w:lineRule="auto"/>
      </w:pPr>
      <w:r>
        <w:rPr>
          <w:b/>
        </w:rPr>
        <w:t xml:space="preserve">[340] </w:t>
      </w:r>
      <w:hyperlink r:id="rId873">
        <w:r>
          <w:rPr>
            <w:color w:val="1155CC"/>
            <w:u w:val="single"/>
          </w:rPr>
          <w:t>[ASAP] 酸中毒通过β1整合素/RhoA/CRMP-2轴调节微管动力学</w:t>
        </w:r>
      </w:hyperlink>
    </w:p>
    <w:p>
      <w:pPr>
        <w:spacing w:before="0" w:after="80"/>
      </w:pPr>
      <w:r>
        <w:rPr>
          <w:i/>
          <w:sz w:val="20"/>
        </w:rPr>
        <w:t>EN: [ASAP] Acidosis Regulates Microtubule Dynamics via the β1 Integrin/RhoA/CRMP-2 Axis</w:t>
      </w:r>
    </w:p>
    <w:p>
      <w:pPr>
        <w:spacing w:before="0" w:after="120"/>
      </w:pPr>
      <w:r>
        <w:rPr>
          <w:b/>
        </w:rPr>
        <w:t xml:space="preserve">Source: </w:t>
      </w:r>
      <w:r>
        <w:t>Journal of the American Chemical Society: Latest Articles (ACS Publications)</w:t>
      </w:r>
      <w:r>
        <w:t xml:space="preserve">    </w:t>
      </w:r>
      <w:r>
        <w:rPr>
          <w:b/>
        </w:rPr>
        <w:t xml:space="preserve">Pub date: </w:t>
      </w:r>
      <w:r>
        <w:t>2026-05-20 12:48:31+00:00</w:t>
      </w:r>
      <w:r>
        <w:t xml:space="preserve">    </w:t>
      </w:r>
      <w:r>
        <w:rPr>
          <w:b/>
        </w:rPr>
        <w:t xml:space="preserve">DOI: </w:t>
      </w:r>
      <w:hyperlink r:id="rId874">
        <w:r>
          <w:rPr>
            <w:color w:val="1155CC"/>
            <w:u w:val="single"/>
          </w:rPr>
          <w:t>10.1021/jacs.5c20041</w:t>
        </w:r>
      </w:hyperlink>
    </w:p>
    <w:p>
      <w:pPr>
        <w:spacing w:before="0" w:after="120"/>
      </w:pPr>
      <w:r>
        <w:rPr>
          <w:b/>
        </w:rPr>
        <w:t xml:space="preserve">Notes: </w:t>
      </w:r>
      <w:r>
        <w:t>abstract_source=pubmed</w:t>
      </w:r>
    </w:p>
    <w:p>
      <w:pPr>
        <w:spacing w:before="0" w:after="80" w:lineRule="auto" w:line="276"/>
      </w:pPr>
      <w:r>
        <w:rPr>
          <w:b/>
        </w:rPr>
        <w:t xml:space="preserve">摘要（ZH）: </w:t>
      </w:r>
      <w:r>
        <w:t>微管是动态的细胞骨架丝，在所有真核细胞中都具有重要的组织作用。早期关于pH对微管稳定性影响的体外研究主要集中于从全细胞裂解物中分离的微管，这些研究只能模拟细胞内pH的变化。然而，细胞外pH如何影响微管动力学仍不清楚。在此，我们报告酸中毒通过质子化Asp138，置换β1整合素胞外域金属离子结合位点中的二价离子，从而增加β1整合素对含RGD配体的亲和力，进而激活β1整合素。这会诱导RhoA及其下游效应子ROCK的激活，ROCK通过磷酸化Collapsin Response Mediator Protein-2 (CRMP-2)，负向调节微管稳定性并改变高尔基体的定位和结构。因此，细胞外pH调节微管动力学，这可能对细胞内组织、细胞极性、囊泡运输、核质穿梭和细胞分裂产生重要影响。人体生理学中有多种过程与酸中毒相关。所提出的连接低细胞外pH和微管稳定性的机械化学机制，可能为推进我们对细胞运输的认识和探索药物开发的潜在靶点提供蓝图。</w:t>
      </w:r>
    </w:p>
    <w:p>
      <w:pPr>
        <w:spacing w:before="0" w:after="200" w:lineRule="auto" w:line="276"/>
      </w:pPr>
      <w:r>
        <w:rPr>
          <w:b/>
        </w:rPr>
        <w:t xml:space="preserve">Abstract (EN): </w:t>
      </w:r>
      <w:r>
        <w:t>Microtubules are dynamic cytoskeletal filaments that have important organizing roles in all eukaryotic cells. Early in vitro studies on the effect of pH on microtubule stability focused on microtubules isolated from whole cell lysates, which can only replicate changes in intracellular pH. However, how extracellular pH can affect microtubule dynamics remains unclear. Here, we report that acidosis activates β1 integrin by increasing its affinity for RGD-containing ligands through the displacement of divalent ions in the metal-ion-binding sites of β1 integrin extracellular domain via protonation of Asp138. This induces the activation of RhoA and its downstream effector ROCK, which, via phosphorylation of Collapsin Response Mediator Protein-2 (CRMP-2), negatively regulates microtubules stability and changes the positioning and architecture of the Golgi apparatus. Thereby, extracellular pH modulates microtubule dynamics, which could have important consequences for intracellular organization, cell polarization, vesicular trafficking, nucleocytoplasmic shuttling, and cell division. There are multiple processes in human physiology associated with acidosis. The presented mechanochemical mechanism that links low extracellular pH and microtubule stability may serve as a blueprint for advancing our knowledge of cellular transport and exploring potential targets for drug development.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663X?dgcid=rss_sd_all" TargetMode="External"/><Relationship Id="rId10" Type="http://schemas.openxmlformats.org/officeDocument/2006/relationships/hyperlink" Target="https://www.nature.com/articles/s41560-026-02071-0" TargetMode="External"/><Relationship Id="rId11" Type="http://schemas.openxmlformats.org/officeDocument/2006/relationships/hyperlink" Target="https://doi.org/10.1038/s41560-026-02071-0" TargetMode="External"/><Relationship Id="rId12" Type="http://schemas.openxmlformats.org/officeDocument/2006/relationships/hyperlink" Target="https://www.nature.com/articles/s41563-026-02593-8" TargetMode="External"/><Relationship Id="rId13" Type="http://schemas.openxmlformats.org/officeDocument/2006/relationships/hyperlink" Target="https://doi.org/10.1038/s41563-026-02593-8" TargetMode="External"/><Relationship Id="rId14" Type="http://schemas.openxmlformats.org/officeDocument/2006/relationships/hyperlink" Target="https://onlinelibrary.wiley.com/doi/10.1002/anie.9137593?af=R" TargetMode="External"/><Relationship Id="rId15" Type="http://schemas.openxmlformats.org/officeDocument/2006/relationships/hyperlink" Target="https://doi.org/10.1002/anie.9137593" TargetMode="External"/><Relationship Id="rId16" Type="http://schemas.openxmlformats.org/officeDocument/2006/relationships/hyperlink" Target="https://advanced.onlinelibrary.wiley.com/doi/10.1002/aenm.71084?af=R" TargetMode="External"/><Relationship Id="rId17" Type="http://schemas.openxmlformats.org/officeDocument/2006/relationships/hyperlink" Target="https://doi.org/10.1002/aenm.71084" TargetMode="External"/><Relationship Id="rId18" Type="http://schemas.openxmlformats.org/officeDocument/2006/relationships/hyperlink" Target="https://advanced.onlinelibrary.wiley.com/doi/10.1002/adma.202600017?af=R" TargetMode="External"/><Relationship Id="rId19" Type="http://schemas.openxmlformats.org/officeDocument/2006/relationships/hyperlink" Target="https://doi.org/10.1002/adma.202600017" TargetMode="External"/><Relationship Id="rId20" Type="http://schemas.openxmlformats.org/officeDocument/2006/relationships/hyperlink" Target="https://onlinelibrary.wiley.com/doi/10.1002/anie.5569960?af=R" TargetMode="External"/><Relationship Id="rId21" Type="http://schemas.openxmlformats.org/officeDocument/2006/relationships/hyperlink" Target="https://doi.org/10.1002/anie.5569960" TargetMode="External"/><Relationship Id="rId22" Type="http://schemas.openxmlformats.org/officeDocument/2006/relationships/hyperlink" Target="https://www.nature.com/articles/s41560-026-02067-w" TargetMode="External"/><Relationship Id="rId23" Type="http://schemas.openxmlformats.org/officeDocument/2006/relationships/hyperlink" Target="https://doi.org/10.1038/s41560-026-02067-w" TargetMode="External"/><Relationship Id="rId24" Type="http://schemas.openxmlformats.org/officeDocument/2006/relationships/hyperlink" Target="https://www.nature.com/articles/s41560-026-02068-9" TargetMode="External"/><Relationship Id="rId25" Type="http://schemas.openxmlformats.org/officeDocument/2006/relationships/hyperlink" Target="https://doi.org/10.1038/s41560-026-02068-9" TargetMode="External"/><Relationship Id="rId26" Type="http://schemas.openxmlformats.org/officeDocument/2006/relationships/hyperlink" Target="http://dx.doi.org/10.1021/jacs.6c03677" TargetMode="External"/><Relationship Id="rId27" Type="http://schemas.openxmlformats.org/officeDocument/2006/relationships/hyperlink" Target="https://doi.org/10.1021/jacs.6c03677" TargetMode="External"/><Relationship Id="rId28" Type="http://schemas.openxmlformats.org/officeDocument/2006/relationships/hyperlink" Target="https://onlinelibrary.wiley.com/doi/10.1002/anie.2703193?af=R" TargetMode="External"/><Relationship Id="rId29" Type="http://schemas.openxmlformats.org/officeDocument/2006/relationships/hyperlink" Target="https://doi.org/10.1002/anie.2703193" TargetMode="External"/><Relationship Id="rId30" Type="http://schemas.openxmlformats.org/officeDocument/2006/relationships/hyperlink" Target="https://onlinelibrary.wiley.com/doi/10.1002/anie.7945656?af=R" TargetMode="External"/><Relationship Id="rId31" Type="http://schemas.openxmlformats.org/officeDocument/2006/relationships/hyperlink" Target="https://doi.org/10.1002/anie.7945656" TargetMode="External"/><Relationship Id="rId32" Type="http://schemas.openxmlformats.org/officeDocument/2006/relationships/hyperlink" Target="https://onlinelibrary.wiley.com/doi/10.1002/anie.1483240?af=R" TargetMode="External"/><Relationship Id="rId33" Type="http://schemas.openxmlformats.org/officeDocument/2006/relationships/hyperlink" Target="https://doi.org/10.1002/anie.1483240" TargetMode="External"/><Relationship Id="rId34" Type="http://schemas.openxmlformats.org/officeDocument/2006/relationships/hyperlink" Target="http://pubs.rsc.org/en/Content/ArticleLanding/2026/EE/D5EE07833D" TargetMode="External"/><Relationship Id="rId35" Type="http://schemas.openxmlformats.org/officeDocument/2006/relationships/hyperlink" Target="https://www.cell.com/joule/fulltext/S2542-4351(26)00168-6?rss=yes" TargetMode="External"/><Relationship Id="rId36" Type="http://schemas.openxmlformats.org/officeDocument/2006/relationships/hyperlink" Target="https://doi.org/10.1016/j.joule.2026.102484" TargetMode="External"/><Relationship Id="rId37" Type="http://schemas.openxmlformats.org/officeDocument/2006/relationships/hyperlink" Target="http://dx.doi.org/10.1021/acsenergylett.6c00566" TargetMode="External"/><Relationship Id="rId38" Type="http://schemas.openxmlformats.org/officeDocument/2006/relationships/hyperlink" Target="https://doi.org/10.1021/acsenergylett.6c00566" TargetMode="External"/><Relationship Id="rId39" Type="http://schemas.openxmlformats.org/officeDocument/2006/relationships/hyperlink" Target="https://academic.oup.com/nsr/advance-article/doi/10.1093/nsr/nwag292/8684952?rss=1" TargetMode="External"/><Relationship Id="rId40" Type="http://schemas.openxmlformats.org/officeDocument/2006/relationships/hyperlink" Target="https://doi.org/10.1093/nsr/nwag292" TargetMode="External"/><Relationship Id="rId41" Type="http://schemas.openxmlformats.org/officeDocument/2006/relationships/hyperlink" Target="https://advanced.onlinelibrary.wiley.com/doi/10.1002/adma.73407?af=R" TargetMode="External"/><Relationship Id="rId42" Type="http://schemas.openxmlformats.org/officeDocument/2006/relationships/hyperlink" Target="https://doi.org/10.1002/adma.73407" TargetMode="External"/><Relationship Id="rId43" Type="http://schemas.openxmlformats.org/officeDocument/2006/relationships/hyperlink" Target="http://dx.doi.org/10.1021/jacs.6c02950" TargetMode="External"/><Relationship Id="rId44" Type="http://schemas.openxmlformats.org/officeDocument/2006/relationships/hyperlink" Target="https://doi.org/10.1021/jacs.6c02950" TargetMode="External"/><Relationship Id="rId45" Type="http://schemas.openxmlformats.org/officeDocument/2006/relationships/hyperlink" Target="http://dx.doi.org/10.1021/jacs.6c03479" TargetMode="External"/><Relationship Id="rId46" Type="http://schemas.openxmlformats.org/officeDocument/2006/relationships/hyperlink" Target="https://doi.org/10.1021/jacs.6c03479" TargetMode="External"/><Relationship Id="rId47" Type="http://schemas.openxmlformats.org/officeDocument/2006/relationships/hyperlink" Target="http://dx.doi.org/10.1021/acsenergylett.6c00748" TargetMode="External"/><Relationship Id="rId48" Type="http://schemas.openxmlformats.org/officeDocument/2006/relationships/hyperlink" Target="https://doi.org/10.1021/acsenergylett.6c00748" TargetMode="External"/><Relationship Id="rId49" Type="http://schemas.openxmlformats.org/officeDocument/2006/relationships/hyperlink" Target="https://onlinelibrary.wiley.com/doi/10.1002/anie.2599445?af=R" TargetMode="External"/><Relationship Id="rId50" Type="http://schemas.openxmlformats.org/officeDocument/2006/relationships/hyperlink" Target="https://doi.org/10.1002/anie.2599445" TargetMode="External"/><Relationship Id="rId51" Type="http://schemas.openxmlformats.org/officeDocument/2006/relationships/hyperlink" Target="http://dx.doi.org/10.1021/jacs.6c01657" TargetMode="External"/><Relationship Id="rId52" Type="http://schemas.openxmlformats.org/officeDocument/2006/relationships/hyperlink" Target="https://doi.org/10.1021/jacs.6c01657" TargetMode="External"/><Relationship Id="rId53" Type="http://schemas.openxmlformats.org/officeDocument/2006/relationships/hyperlink" Target="http://dx.doi.org/10.1021/jacs.6c02800" TargetMode="External"/><Relationship Id="rId54" Type="http://schemas.openxmlformats.org/officeDocument/2006/relationships/hyperlink" Target="https://doi.org/10.1021/jacs.6c02800" TargetMode="External"/><Relationship Id="rId55" Type="http://schemas.openxmlformats.org/officeDocument/2006/relationships/hyperlink" Target="http://dx.doi.org/10.1021/acs.chemrev.5c00985" TargetMode="External"/><Relationship Id="rId56" Type="http://schemas.openxmlformats.org/officeDocument/2006/relationships/hyperlink" Target="https://doi.org/10.1021/acs.chemrev.5c00985" TargetMode="External"/><Relationship Id="rId57" Type="http://schemas.openxmlformats.org/officeDocument/2006/relationships/hyperlink" Target="https://onlinelibrary.wiley.com/doi/10.1002/anie.7222271?af=R" TargetMode="External"/><Relationship Id="rId58" Type="http://schemas.openxmlformats.org/officeDocument/2006/relationships/hyperlink" Target="https://doi.org/10.1002/anie.7222271" TargetMode="External"/><Relationship Id="rId59" Type="http://schemas.openxmlformats.org/officeDocument/2006/relationships/hyperlink" Target="https://onlinelibrary.wiley.com/doi/10.1002/anie.6120547?af=R" TargetMode="External"/><Relationship Id="rId60" Type="http://schemas.openxmlformats.org/officeDocument/2006/relationships/hyperlink" Target="https://doi.org/10.1002/anie.6120547" TargetMode="External"/><Relationship Id="rId61" Type="http://schemas.openxmlformats.org/officeDocument/2006/relationships/hyperlink" Target="https://onlinelibrary.wiley.com/doi/10.1002/anie.9964660?af=R" TargetMode="External"/><Relationship Id="rId62" Type="http://schemas.openxmlformats.org/officeDocument/2006/relationships/hyperlink" Target="https://doi.org/10.1002/anie.9964660" TargetMode="External"/><Relationship Id="rId63" Type="http://schemas.openxmlformats.org/officeDocument/2006/relationships/hyperlink" Target="https://onlinelibrary.wiley.com/doi/10.1002/anie.5171214?af=R" TargetMode="External"/><Relationship Id="rId64" Type="http://schemas.openxmlformats.org/officeDocument/2006/relationships/hyperlink" Target="https://doi.org/10.1002/anie.5171214" TargetMode="External"/><Relationship Id="rId65" Type="http://schemas.openxmlformats.org/officeDocument/2006/relationships/hyperlink" Target="http://dx.doi.org/10.1021/jacs.5c23309" TargetMode="External"/><Relationship Id="rId66" Type="http://schemas.openxmlformats.org/officeDocument/2006/relationships/hyperlink" Target="https://doi.org/10.1021/jacs.5c23309" TargetMode="External"/><Relationship Id="rId67" Type="http://schemas.openxmlformats.org/officeDocument/2006/relationships/hyperlink" Target="http://dx.doi.org/10.1021/jacs.6c00759" TargetMode="External"/><Relationship Id="rId68" Type="http://schemas.openxmlformats.org/officeDocument/2006/relationships/hyperlink" Target="https://doi.org/10.1021/jacs.6c00759" TargetMode="External"/><Relationship Id="rId69" Type="http://schemas.openxmlformats.org/officeDocument/2006/relationships/hyperlink" Target="https://advanced.onlinelibrary.wiley.com/doi/10.1002/adma.73448?af=R" TargetMode="External"/><Relationship Id="rId70" Type="http://schemas.openxmlformats.org/officeDocument/2006/relationships/hyperlink" Target="https://doi.org/10.1002/adma.73448" TargetMode="External"/><Relationship Id="rId71" Type="http://schemas.openxmlformats.org/officeDocument/2006/relationships/hyperlink" Target="https://advanced.onlinelibrary.wiley.com/doi/10.1002/adma.73408?af=R" TargetMode="External"/><Relationship Id="rId72" Type="http://schemas.openxmlformats.org/officeDocument/2006/relationships/hyperlink" Target="https://doi.org/10.1002/adma.73408" TargetMode="External"/><Relationship Id="rId73" Type="http://schemas.openxmlformats.org/officeDocument/2006/relationships/hyperlink" Target="https://advanced.onlinelibrary.wiley.com/doi/10.1002/adma.73153?af=R" TargetMode="External"/><Relationship Id="rId74" Type="http://schemas.openxmlformats.org/officeDocument/2006/relationships/hyperlink" Target="https://doi.org/10.1002/adma.73153" TargetMode="External"/><Relationship Id="rId75" Type="http://schemas.openxmlformats.org/officeDocument/2006/relationships/hyperlink" Target="https://onlinelibrary.wiley.com/doi/10.1002/anie.9037924?af=R" TargetMode="External"/><Relationship Id="rId76" Type="http://schemas.openxmlformats.org/officeDocument/2006/relationships/hyperlink" Target="https://doi.org/10.1002/anie.9037924" TargetMode="External"/><Relationship Id="rId77" Type="http://schemas.openxmlformats.org/officeDocument/2006/relationships/hyperlink" Target="https://www.nature.com/articles/s41560-026-02074-x" TargetMode="External"/><Relationship Id="rId78" Type="http://schemas.openxmlformats.org/officeDocument/2006/relationships/hyperlink" Target="https://doi.org/10.1038/s41560-026-02074-x" TargetMode="External"/><Relationship Id="rId79" Type="http://schemas.openxmlformats.org/officeDocument/2006/relationships/hyperlink" Target="https://www.cell.com/joule/fulltext/S2542-4351(26)00164-9?rss=yes" TargetMode="External"/><Relationship Id="rId80" Type="http://schemas.openxmlformats.org/officeDocument/2006/relationships/hyperlink" Target="https://doi.org/10.1016/j.joule.2026.102480" TargetMode="External"/><Relationship Id="rId81" Type="http://schemas.openxmlformats.org/officeDocument/2006/relationships/hyperlink" Target="https://advanced.onlinelibrary.wiley.com/doi/10.1002/adma.73421?af=R" TargetMode="External"/><Relationship Id="rId82" Type="http://schemas.openxmlformats.org/officeDocument/2006/relationships/hyperlink" Target="https://doi.org/10.1002/adma.73421" TargetMode="External"/><Relationship Id="rId83" Type="http://schemas.openxmlformats.org/officeDocument/2006/relationships/hyperlink" Target="https://advanced.onlinelibrary.wiley.com/doi/10.1002/aenm.71091?af=R" TargetMode="External"/><Relationship Id="rId84" Type="http://schemas.openxmlformats.org/officeDocument/2006/relationships/hyperlink" Target="https://doi.org/10.1002/aenm.71091" TargetMode="External"/><Relationship Id="rId85" Type="http://schemas.openxmlformats.org/officeDocument/2006/relationships/hyperlink" Target="https://advanced.onlinelibrary.wiley.com/doi/10.1002/aenm.71051?af=R" TargetMode="External"/><Relationship Id="rId86" Type="http://schemas.openxmlformats.org/officeDocument/2006/relationships/hyperlink" Target="https://doi.org/10.1002/aenm.71051" TargetMode="External"/><Relationship Id="rId87" Type="http://schemas.openxmlformats.org/officeDocument/2006/relationships/hyperlink" Target="https://onlinelibrary.wiley.com/doi/10.1002/anie.1909915?af=R" TargetMode="External"/><Relationship Id="rId88" Type="http://schemas.openxmlformats.org/officeDocument/2006/relationships/hyperlink" Target="https://doi.org/10.1002/anie.1909915" TargetMode="External"/><Relationship Id="rId89" Type="http://schemas.openxmlformats.org/officeDocument/2006/relationships/hyperlink" Target="https://onlinelibrary.wiley.com/doi/10.1002/anie.8016076?af=R" TargetMode="External"/><Relationship Id="rId90" Type="http://schemas.openxmlformats.org/officeDocument/2006/relationships/hyperlink" Target="https://doi.org/10.1002/anie.8016076" TargetMode="External"/><Relationship Id="rId91" Type="http://schemas.openxmlformats.org/officeDocument/2006/relationships/hyperlink" Target="https://www.sciencedirect.com/science/article/pii/S0306261926006884?dgcid=rss_sd_all" TargetMode="External"/><Relationship Id="rId92" Type="http://schemas.openxmlformats.org/officeDocument/2006/relationships/hyperlink" Target="https://www.sciencedirect.com/science/article/pii/S0306261926006677?dgcid=rss_sd_all" TargetMode="External"/><Relationship Id="rId93" Type="http://schemas.openxmlformats.org/officeDocument/2006/relationships/hyperlink" Target="https://onlinelibrary.wiley.com/doi/10.1002/anie.9777405?af=R" TargetMode="External"/><Relationship Id="rId94" Type="http://schemas.openxmlformats.org/officeDocument/2006/relationships/hyperlink" Target="https://doi.org/10.1002/anie.9777405" TargetMode="External"/><Relationship Id="rId95" Type="http://schemas.openxmlformats.org/officeDocument/2006/relationships/hyperlink" Target="https://onlinelibrary.wiley.com/doi/10.1002/anie.9662420?af=R" TargetMode="External"/><Relationship Id="rId96" Type="http://schemas.openxmlformats.org/officeDocument/2006/relationships/hyperlink" Target="https://doi.org/10.1002/anie.9662420" TargetMode="External"/><Relationship Id="rId97" Type="http://schemas.openxmlformats.org/officeDocument/2006/relationships/hyperlink" Target="https://onlinelibrary.wiley.com/doi/10.1002/anie.9661914?af=R" TargetMode="External"/><Relationship Id="rId98" Type="http://schemas.openxmlformats.org/officeDocument/2006/relationships/hyperlink" Target="https://doi.org/10.1002/anie.9661914" TargetMode="External"/><Relationship Id="rId99" Type="http://schemas.openxmlformats.org/officeDocument/2006/relationships/hyperlink" Target="https://www.nature.com/articles/s41560-026-02046-1" TargetMode="External"/><Relationship Id="rId100" Type="http://schemas.openxmlformats.org/officeDocument/2006/relationships/hyperlink" Target="https://doi.org/10.1038/s41560-026-02046-1" TargetMode="External"/><Relationship Id="rId101" Type="http://schemas.openxmlformats.org/officeDocument/2006/relationships/hyperlink" Target="https://www.nature.com/articles/s41560-026-02045-2" TargetMode="External"/><Relationship Id="rId102" Type="http://schemas.openxmlformats.org/officeDocument/2006/relationships/hyperlink" Target="https://doi.org/10.1038/s41560-026-02045-2" TargetMode="External"/><Relationship Id="rId103" Type="http://schemas.openxmlformats.org/officeDocument/2006/relationships/hyperlink" Target="https://www.sciencedirect.com/science/article/pii/S0306261926007099?dgcid=rss_sd_all" TargetMode="External"/><Relationship Id="rId104" Type="http://schemas.openxmlformats.org/officeDocument/2006/relationships/hyperlink" Target="https://www.science.org/doi/abs/10.1126/sciadv.aed0975?af=R" TargetMode="External"/><Relationship Id="rId105" Type="http://schemas.openxmlformats.org/officeDocument/2006/relationships/hyperlink" Target="https://doi.org/10.1126/sciadv.aed0975" TargetMode="External"/><Relationship Id="rId106" Type="http://schemas.openxmlformats.org/officeDocument/2006/relationships/hyperlink" Target="http://dx.doi.org/10.1021/jacs.6c01326" TargetMode="External"/><Relationship Id="rId107" Type="http://schemas.openxmlformats.org/officeDocument/2006/relationships/hyperlink" Target="https://doi.org/10.1021/jacs.6c01326" TargetMode="External"/><Relationship Id="rId108" Type="http://schemas.openxmlformats.org/officeDocument/2006/relationships/hyperlink" Target="https://www.sciencedirect.com/science/article/pii/S030626192600704X?dgcid=rss_sd_all" TargetMode="External"/><Relationship Id="rId109" Type="http://schemas.openxmlformats.org/officeDocument/2006/relationships/hyperlink" Target="http://pubs.rsc.org/en/Content/ArticleLanding/2026/EE/D6EE00784H" TargetMode="External"/><Relationship Id="rId110" Type="http://schemas.openxmlformats.org/officeDocument/2006/relationships/hyperlink" Target="https://www.nature.com/articles/s41560-026-02056-z" TargetMode="External"/><Relationship Id="rId111" Type="http://schemas.openxmlformats.org/officeDocument/2006/relationships/hyperlink" Target="https://doi.org/10.1038/s41560-026-02056-z" TargetMode="External"/><Relationship Id="rId112" Type="http://schemas.openxmlformats.org/officeDocument/2006/relationships/hyperlink" Target="https://advanced.onlinelibrary.wiley.com/doi/10.1002/aenm.71088?af=R" TargetMode="External"/><Relationship Id="rId113" Type="http://schemas.openxmlformats.org/officeDocument/2006/relationships/hyperlink" Target="https://doi.org/10.1002/aenm.71088" TargetMode="External"/><Relationship Id="rId114" Type="http://schemas.openxmlformats.org/officeDocument/2006/relationships/hyperlink" Target="https://advanced.onlinelibrary.wiley.com/doi/10.1002/adma.73287?af=R" TargetMode="External"/><Relationship Id="rId115" Type="http://schemas.openxmlformats.org/officeDocument/2006/relationships/hyperlink" Target="https://doi.org/10.1002/adma.73287" TargetMode="External"/><Relationship Id="rId116" Type="http://schemas.openxmlformats.org/officeDocument/2006/relationships/hyperlink" Target="https://onlinelibrary.wiley.com/doi/10.1002/anie.8502321?af=R" TargetMode="External"/><Relationship Id="rId117" Type="http://schemas.openxmlformats.org/officeDocument/2006/relationships/hyperlink" Target="https://doi.org/10.1002/anie.8502321" TargetMode="External"/><Relationship Id="rId118" Type="http://schemas.openxmlformats.org/officeDocument/2006/relationships/hyperlink" Target="http://pubs.rsc.org/en/Content/ArticleLanding/2026/EE/D6EE01331G" TargetMode="External"/><Relationship Id="rId119" Type="http://schemas.openxmlformats.org/officeDocument/2006/relationships/hyperlink" Target="https://www.science.org/doi/abs/10.1126/sciadv.aee5328?af=R" TargetMode="External"/><Relationship Id="rId120" Type="http://schemas.openxmlformats.org/officeDocument/2006/relationships/hyperlink" Target="https://doi.org/10.1126/sciadv.aee5328" TargetMode="External"/><Relationship Id="rId121" Type="http://schemas.openxmlformats.org/officeDocument/2006/relationships/hyperlink" Target="https://advanced.onlinelibrary.wiley.com/doi/10.1002/adma.73057?af=R" TargetMode="External"/><Relationship Id="rId122" Type="http://schemas.openxmlformats.org/officeDocument/2006/relationships/hyperlink" Target="https://doi.org/10.1002/adma.73057" TargetMode="External"/><Relationship Id="rId123" Type="http://schemas.openxmlformats.org/officeDocument/2006/relationships/hyperlink" Target="https://advanced.onlinelibrary.wiley.com/doi/10.1002/adma.73416?af=R" TargetMode="External"/><Relationship Id="rId124" Type="http://schemas.openxmlformats.org/officeDocument/2006/relationships/hyperlink" Target="https://doi.org/10.1002/adma.73416" TargetMode="External"/><Relationship Id="rId125" Type="http://schemas.openxmlformats.org/officeDocument/2006/relationships/hyperlink" Target="http://dx.doi.org/10.1021/jacs.6c00402" TargetMode="External"/><Relationship Id="rId126" Type="http://schemas.openxmlformats.org/officeDocument/2006/relationships/hyperlink" Target="https://doi.org/10.1021/jacs.6c00402" TargetMode="External"/><Relationship Id="rId127" Type="http://schemas.openxmlformats.org/officeDocument/2006/relationships/hyperlink" Target="https://www.sciencedirect.com/science/article/pii/S0306261926006926?dgcid=rss_sd_all" TargetMode="External"/><Relationship Id="rId128" Type="http://schemas.openxmlformats.org/officeDocument/2006/relationships/hyperlink" Target="https://www.sciencedirect.com/science/article/pii/S0306261926006999?dgcid=rss_sd_all" TargetMode="External"/><Relationship Id="rId129" Type="http://schemas.openxmlformats.org/officeDocument/2006/relationships/hyperlink" Target="https://www.sciencedirect.com/science/article/pii/S0306261926006616?dgcid=rss_sd_all" TargetMode="External"/><Relationship Id="rId130" Type="http://schemas.openxmlformats.org/officeDocument/2006/relationships/hyperlink" Target="https://www.cell.com/joule/fulltext/S2542-4351(26)00171-6?rss=yes" TargetMode="External"/><Relationship Id="rId131" Type="http://schemas.openxmlformats.org/officeDocument/2006/relationships/hyperlink" Target="https://doi.org/10.1016/j.joule.2026.102487" TargetMode="External"/><Relationship Id="rId132" Type="http://schemas.openxmlformats.org/officeDocument/2006/relationships/hyperlink" Target="https://advanced.onlinelibrary.wiley.com/doi/10.1002/adma.73446?af=R" TargetMode="External"/><Relationship Id="rId133" Type="http://schemas.openxmlformats.org/officeDocument/2006/relationships/hyperlink" Target="https://doi.org/10.1002/adma.73446" TargetMode="External"/><Relationship Id="rId134" Type="http://schemas.openxmlformats.org/officeDocument/2006/relationships/hyperlink" Target="https://advanced.onlinelibrary.wiley.com/doi/10.1002/adma.202519681?af=R" TargetMode="External"/><Relationship Id="rId135" Type="http://schemas.openxmlformats.org/officeDocument/2006/relationships/hyperlink" Target="https://doi.org/10.1002/adma.202519681" TargetMode="External"/><Relationship Id="rId136" Type="http://schemas.openxmlformats.org/officeDocument/2006/relationships/hyperlink" Target="https://www.sciencedirect.com/science/article/pii/S0301421526003228?dgcid=rss_sd_all" TargetMode="External"/><Relationship Id="rId137" Type="http://schemas.openxmlformats.org/officeDocument/2006/relationships/hyperlink" Target="https://www.sciencedirect.com/science/article/pii/S0306261926006896?dgcid=rss_sd_all" TargetMode="External"/><Relationship Id="rId138" Type="http://schemas.openxmlformats.org/officeDocument/2006/relationships/hyperlink" Target="https://www.sciencedirect.com/science/article/pii/S0306261926006549?dgcid=rss_sd_all" TargetMode="External"/><Relationship Id="rId139" Type="http://schemas.openxmlformats.org/officeDocument/2006/relationships/hyperlink" Target="https://www.sciencedirect.com/science/article/pii/S0306261926006975?dgcid=rss_sd_all" TargetMode="External"/><Relationship Id="rId140" Type="http://schemas.openxmlformats.org/officeDocument/2006/relationships/hyperlink" Target="https://www.sciencedirect.com/science/article/pii/S0306261926006586?dgcid=rss_sd_all" TargetMode="External"/><Relationship Id="rId141" Type="http://schemas.openxmlformats.org/officeDocument/2006/relationships/hyperlink" Target="https://www.sciencedirect.com/science/article/pii/S0306261926006987?dgcid=rss_sd_all" TargetMode="External"/><Relationship Id="rId142" Type="http://schemas.openxmlformats.org/officeDocument/2006/relationships/hyperlink" Target="https://www.sciencedirect.com/science/article/pii/S0306261926006550?dgcid=rss_sd_all" TargetMode="External"/><Relationship Id="rId143" Type="http://schemas.openxmlformats.org/officeDocument/2006/relationships/hyperlink" Target="http://dx.doi.org/10.1021/jacs.6c02540" TargetMode="External"/><Relationship Id="rId144" Type="http://schemas.openxmlformats.org/officeDocument/2006/relationships/hyperlink" Target="https://doi.org/10.1021/jacs.6c02540" TargetMode="External"/><Relationship Id="rId145" Type="http://schemas.openxmlformats.org/officeDocument/2006/relationships/hyperlink" Target="https://www.sciencedirect.com/science/article/pii/S0306261926007038?dgcid=rss_sd_all" TargetMode="External"/><Relationship Id="rId146" Type="http://schemas.openxmlformats.org/officeDocument/2006/relationships/hyperlink" Target="https://www.sciencedirect.com/science/article/pii/S0306261926006951?dgcid=rss_sd_all" TargetMode="External"/><Relationship Id="rId147" Type="http://schemas.openxmlformats.org/officeDocument/2006/relationships/hyperlink" Target="https://onlinelibrary.wiley.com/doi/10.1002/anie.3983956?af=R" TargetMode="External"/><Relationship Id="rId148" Type="http://schemas.openxmlformats.org/officeDocument/2006/relationships/hyperlink" Target="https://doi.org/10.1002/anie.3983956" TargetMode="External"/><Relationship Id="rId149" Type="http://schemas.openxmlformats.org/officeDocument/2006/relationships/hyperlink" Target="https://www.pnas.org/doi/abs/10.1073/pnas.2603895123?mi=eymic2&amp;af=R&amp;access=on&amp;content=articlesChapters&amp;publication=pnas&amp;sortBy=Earliest&amp;target=default" TargetMode="External"/><Relationship Id="rId150" Type="http://schemas.openxmlformats.org/officeDocument/2006/relationships/hyperlink" Target="https://doi.org/10.1073/pnas.2603895123" TargetMode="External"/><Relationship Id="rId151" Type="http://schemas.openxmlformats.org/officeDocument/2006/relationships/hyperlink" Target="https://advanced.onlinelibrary.wiley.com/doi/10.1002/aenm.71085?af=R" TargetMode="External"/><Relationship Id="rId152" Type="http://schemas.openxmlformats.org/officeDocument/2006/relationships/hyperlink" Target="https://doi.org/10.1002/aenm.71085" TargetMode="External"/><Relationship Id="rId153" Type="http://schemas.openxmlformats.org/officeDocument/2006/relationships/hyperlink" Target="https://advanced.onlinelibrary.wiley.com/doi/10.1002/adma.73269?af=R" TargetMode="External"/><Relationship Id="rId154" Type="http://schemas.openxmlformats.org/officeDocument/2006/relationships/hyperlink" Target="https://doi.org/10.1002/adma.73269" TargetMode="External"/><Relationship Id="rId155" Type="http://schemas.openxmlformats.org/officeDocument/2006/relationships/hyperlink" Target="http://dx.doi.org/10.1021/jacs.6c05863" TargetMode="External"/><Relationship Id="rId156" Type="http://schemas.openxmlformats.org/officeDocument/2006/relationships/hyperlink" Target="https://doi.org/10.1021/jacs.6c05863" TargetMode="External"/><Relationship Id="rId157" Type="http://schemas.openxmlformats.org/officeDocument/2006/relationships/hyperlink" Target="https://onlinelibrary.wiley.com/doi/10.1002/anie.1450878?af=R" TargetMode="External"/><Relationship Id="rId158" Type="http://schemas.openxmlformats.org/officeDocument/2006/relationships/hyperlink" Target="https://doi.org/10.1002/anie.1450878" TargetMode="External"/><Relationship Id="rId159" Type="http://schemas.openxmlformats.org/officeDocument/2006/relationships/hyperlink" Target="http://dx.doi.org/10.1021/jacs.6c05585" TargetMode="External"/><Relationship Id="rId160" Type="http://schemas.openxmlformats.org/officeDocument/2006/relationships/hyperlink" Target="https://doi.org/10.1021/jacs.6c05585" TargetMode="External"/><Relationship Id="rId161" Type="http://schemas.openxmlformats.org/officeDocument/2006/relationships/hyperlink" Target="https://onlinelibrary.wiley.com/doi/10.1002/anie.2794664?af=R" TargetMode="External"/><Relationship Id="rId162" Type="http://schemas.openxmlformats.org/officeDocument/2006/relationships/hyperlink" Target="https://doi.org/10.1002/anie.2794664" TargetMode="External"/><Relationship Id="rId163" Type="http://schemas.openxmlformats.org/officeDocument/2006/relationships/hyperlink" Target="https://www.nature.com/articles/s41557-026-02170-1" TargetMode="External"/><Relationship Id="rId164" Type="http://schemas.openxmlformats.org/officeDocument/2006/relationships/hyperlink" Target="https://doi.org/10.1038/s41557-026-02170-1" TargetMode="External"/><Relationship Id="rId165" Type="http://schemas.openxmlformats.org/officeDocument/2006/relationships/hyperlink" Target="https://www.nature.com/articles/s41565-026-02150-z" TargetMode="External"/><Relationship Id="rId166" Type="http://schemas.openxmlformats.org/officeDocument/2006/relationships/hyperlink" Target="https://doi.org/10.1038/s41565-026-02150-z" TargetMode="External"/><Relationship Id="rId167" Type="http://schemas.openxmlformats.org/officeDocument/2006/relationships/hyperlink" Target="http://dx.doi.org/10.1021/jacs.5c22833" TargetMode="External"/><Relationship Id="rId168" Type="http://schemas.openxmlformats.org/officeDocument/2006/relationships/hyperlink" Target="https://doi.org/10.1021/jacs.5c22833" TargetMode="External"/><Relationship Id="rId169" Type="http://schemas.openxmlformats.org/officeDocument/2006/relationships/hyperlink" Target="https://onlinelibrary.wiley.com/doi/10.1002/anie.4629546?af=R" TargetMode="External"/><Relationship Id="rId170" Type="http://schemas.openxmlformats.org/officeDocument/2006/relationships/hyperlink" Target="https://doi.org/10.1002/anie.4629546" TargetMode="External"/><Relationship Id="rId171" Type="http://schemas.openxmlformats.org/officeDocument/2006/relationships/hyperlink" Target="https://onlinelibrary.wiley.com/doi/10.1002/anie.1583650?af=R" TargetMode="External"/><Relationship Id="rId172" Type="http://schemas.openxmlformats.org/officeDocument/2006/relationships/hyperlink" Target="https://doi.org/10.1002/anie.1583650" TargetMode="External"/><Relationship Id="rId173" Type="http://schemas.openxmlformats.org/officeDocument/2006/relationships/hyperlink" Target="http://dx.doi.org/10.1021/acsenergylett.6c01324" TargetMode="External"/><Relationship Id="rId174" Type="http://schemas.openxmlformats.org/officeDocument/2006/relationships/hyperlink" Target="https://doi.org/10.1021/acsenergylett.6c01324" TargetMode="External"/><Relationship Id="rId175" Type="http://schemas.openxmlformats.org/officeDocument/2006/relationships/hyperlink" Target="http://dx.doi.org/10.1021/jacs.5c22868" TargetMode="External"/><Relationship Id="rId176" Type="http://schemas.openxmlformats.org/officeDocument/2006/relationships/hyperlink" Target="https://doi.org/10.1021/jacs.5c22868" TargetMode="External"/><Relationship Id="rId177" Type="http://schemas.openxmlformats.org/officeDocument/2006/relationships/hyperlink" Target="http://pubs.rsc.org/en/Content/ArticleLanding/2026/CS/D5CS00239G" TargetMode="External"/><Relationship Id="rId178" Type="http://schemas.openxmlformats.org/officeDocument/2006/relationships/hyperlink" Target="http://pubs.rsc.org/en/Content/ArticleLanding/2026/EE/D6EE00524A" TargetMode="External"/><Relationship Id="rId179" Type="http://schemas.openxmlformats.org/officeDocument/2006/relationships/hyperlink" Target="https://www.sciencedirect.com/science/article/pii/S0306261926007130?dgcid=rss_sd_all" TargetMode="External"/><Relationship Id="rId180" Type="http://schemas.openxmlformats.org/officeDocument/2006/relationships/hyperlink" Target="https://www.sciencedirect.com/science/article/pii/S030626192600694X?dgcid=rss_sd_all" TargetMode="External"/><Relationship Id="rId181" Type="http://schemas.openxmlformats.org/officeDocument/2006/relationships/hyperlink" Target="https://advanced.onlinelibrary.wiley.com/doi/10.1002/adma.73444?af=R" TargetMode="External"/><Relationship Id="rId182" Type="http://schemas.openxmlformats.org/officeDocument/2006/relationships/hyperlink" Target="https://doi.org/10.1002/adma.73444" TargetMode="External"/><Relationship Id="rId183" Type="http://schemas.openxmlformats.org/officeDocument/2006/relationships/hyperlink" Target="http://dx.doi.org/10.1021/jacs.6c09189" TargetMode="External"/><Relationship Id="rId184" Type="http://schemas.openxmlformats.org/officeDocument/2006/relationships/hyperlink" Target="https://doi.org/10.1021/jacs.6c09189" TargetMode="External"/><Relationship Id="rId185" Type="http://schemas.openxmlformats.org/officeDocument/2006/relationships/hyperlink" Target="https://www.sciencedirect.com/science/article/pii/S0306261926007075?dgcid=rss_sd_all" TargetMode="External"/><Relationship Id="rId186" Type="http://schemas.openxmlformats.org/officeDocument/2006/relationships/hyperlink" Target="https://www.sciencedirect.com/science/article/pii/S0301421526003071?dgcid=rss_sd_all" TargetMode="External"/><Relationship Id="rId187" Type="http://schemas.openxmlformats.org/officeDocument/2006/relationships/hyperlink" Target="https://www.sciencedirect.com/science/article/pii/S0306261926006811?dgcid=rss_sd_all" TargetMode="External"/><Relationship Id="rId188" Type="http://schemas.openxmlformats.org/officeDocument/2006/relationships/hyperlink" Target="https://www.sciencedirect.com/science/article/pii/S0306261926006367?dgcid=rss_sd_all" TargetMode="External"/><Relationship Id="rId189" Type="http://schemas.openxmlformats.org/officeDocument/2006/relationships/hyperlink" Target="https://www.sciencedirect.com/science/article/pii/S0306261926007063?dgcid=rss_sd_all" TargetMode="External"/><Relationship Id="rId190" Type="http://schemas.openxmlformats.org/officeDocument/2006/relationships/hyperlink" Target="https://academic.oup.com/nsr/advance-article/doi/10.1093/nsr/nwag281/8684974?rss=1" TargetMode="External"/><Relationship Id="rId191" Type="http://schemas.openxmlformats.org/officeDocument/2006/relationships/hyperlink" Target="https://doi.org/10.1093/nsr/nwag281" TargetMode="External"/><Relationship Id="rId192" Type="http://schemas.openxmlformats.org/officeDocument/2006/relationships/hyperlink" Target="https://www.pnas.org/doi/abs/10.1073/pnas.2537678123?mi=eymic2&amp;af=R&amp;access=on&amp;content=articlesChapters&amp;publication=pnas&amp;sortBy=Earliest&amp;target=default" TargetMode="External"/><Relationship Id="rId193" Type="http://schemas.openxmlformats.org/officeDocument/2006/relationships/hyperlink" Target="https://doi.org/10.1073/pnas.2537678123" TargetMode="External"/><Relationship Id="rId194" Type="http://schemas.openxmlformats.org/officeDocument/2006/relationships/hyperlink" Target="https://www.pnas.org/doi/abs/10.1073/pnas.2506601123?mi=eymic2&amp;af=R&amp;access=on&amp;content=articlesChapters&amp;publication=pnas&amp;sortBy=Earliest&amp;target=default" TargetMode="External"/><Relationship Id="rId195" Type="http://schemas.openxmlformats.org/officeDocument/2006/relationships/hyperlink" Target="https://doi.org/10.1073/pnas.2506601123" TargetMode="External"/><Relationship Id="rId196" Type="http://schemas.openxmlformats.org/officeDocument/2006/relationships/hyperlink" Target="https://advanced.onlinelibrary.wiley.com/doi/10.1002/adma.73411?af=R" TargetMode="External"/><Relationship Id="rId197" Type="http://schemas.openxmlformats.org/officeDocument/2006/relationships/hyperlink" Target="https://doi.org/10.1002/adma.73411" TargetMode="External"/><Relationship Id="rId198" Type="http://schemas.openxmlformats.org/officeDocument/2006/relationships/hyperlink" Target="https://www.nature.com/articles/s41586-026-10571-y" TargetMode="External"/><Relationship Id="rId199" Type="http://schemas.openxmlformats.org/officeDocument/2006/relationships/hyperlink" Target="https://doi.org/10.1038/s41586-026-10571-y" TargetMode="External"/><Relationship Id="rId200" Type="http://schemas.openxmlformats.org/officeDocument/2006/relationships/hyperlink" Target="https://www.sciencedirect.com/science/article/pii/S0306261926006434?dgcid=rss_sd_all" TargetMode="External"/><Relationship Id="rId201" Type="http://schemas.openxmlformats.org/officeDocument/2006/relationships/hyperlink" Target="https://www.sciencedirect.com/science/article/pii/S0306261926005969?dgcid=rss_sd_all" TargetMode="External"/><Relationship Id="rId202" Type="http://schemas.openxmlformats.org/officeDocument/2006/relationships/hyperlink" Target="http://dx.doi.org/10.1021/jacs.6c04801" TargetMode="External"/><Relationship Id="rId203" Type="http://schemas.openxmlformats.org/officeDocument/2006/relationships/hyperlink" Target="https://doi.org/10.1021/jacs.6c04801" TargetMode="External"/><Relationship Id="rId204" Type="http://schemas.openxmlformats.org/officeDocument/2006/relationships/hyperlink" Target="https://onlinelibrary.wiley.com/doi/10.1002/anie.5948094?af=R" TargetMode="External"/><Relationship Id="rId205" Type="http://schemas.openxmlformats.org/officeDocument/2006/relationships/hyperlink" Target="https://doi.org/10.1002/anie.5948094" TargetMode="External"/><Relationship Id="rId206" Type="http://schemas.openxmlformats.org/officeDocument/2006/relationships/hyperlink" Target="https://onlinelibrary.wiley.com/doi/10.1002/anie.3147768?af=R" TargetMode="External"/><Relationship Id="rId207" Type="http://schemas.openxmlformats.org/officeDocument/2006/relationships/hyperlink" Target="https://doi.org/10.1002/anie.3147768" TargetMode="External"/><Relationship Id="rId208" Type="http://schemas.openxmlformats.org/officeDocument/2006/relationships/hyperlink" Target="https://onlinelibrary.wiley.com/doi/10.1002/anie.1688371?af=R" TargetMode="External"/><Relationship Id="rId209" Type="http://schemas.openxmlformats.org/officeDocument/2006/relationships/hyperlink" Target="https://doi.org/10.1002/anie.1688371" TargetMode="External"/><Relationship Id="rId210" Type="http://schemas.openxmlformats.org/officeDocument/2006/relationships/hyperlink" Target="https://onlinelibrary.wiley.com/doi/10.1002/anie.4689245?af=R" TargetMode="External"/><Relationship Id="rId211" Type="http://schemas.openxmlformats.org/officeDocument/2006/relationships/hyperlink" Target="https://doi.org/10.1002/anie.4689245" TargetMode="External"/><Relationship Id="rId212" Type="http://schemas.openxmlformats.org/officeDocument/2006/relationships/hyperlink" Target="https://onlinelibrary.wiley.com/doi/10.1002/anie.1083625?af=R" TargetMode="External"/><Relationship Id="rId213" Type="http://schemas.openxmlformats.org/officeDocument/2006/relationships/hyperlink" Target="https://doi.org/10.1002/anie.1083625" TargetMode="External"/><Relationship Id="rId214" Type="http://schemas.openxmlformats.org/officeDocument/2006/relationships/hyperlink" Target="https://www.cell.com/chem/fulltext/S2451-9294(26)00110-5?rss=yes" TargetMode="External"/><Relationship Id="rId215" Type="http://schemas.openxmlformats.org/officeDocument/2006/relationships/hyperlink" Target="https://doi.org/10.1016/j.chempr.2026.103044" TargetMode="External"/><Relationship Id="rId216" Type="http://schemas.openxmlformats.org/officeDocument/2006/relationships/hyperlink" Target="http://dx.doi.org/10.1021/jacs.6c02677" TargetMode="External"/><Relationship Id="rId217" Type="http://schemas.openxmlformats.org/officeDocument/2006/relationships/hyperlink" Target="https://doi.org/10.1021/jacs.6c02677" TargetMode="External"/><Relationship Id="rId218" Type="http://schemas.openxmlformats.org/officeDocument/2006/relationships/hyperlink" Target="https://onlinelibrary.wiley.com/doi/10.1002/anie.9002258?af=R" TargetMode="External"/><Relationship Id="rId219" Type="http://schemas.openxmlformats.org/officeDocument/2006/relationships/hyperlink" Target="https://doi.org/10.1002/anie.9002258" TargetMode="External"/><Relationship Id="rId220" Type="http://schemas.openxmlformats.org/officeDocument/2006/relationships/hyperlink" Target="https://advanced.onlinelibrary.wiley.com/doi/10.1002/adma.73391?af=R" TargetMode="External"/><Relationship Id="rId221" Type="http://schemas.openxmlformats.org/officeDocument/2006/relationships/hyperlink" Target="https://doi.org/10.1002/adma.73391" TargetMode="External"/><Relationship Id="rId222" Type="http://schemas.openxmlformats.org/officeDocument/2006/relationships/hyperlink" Target="https://www.cell.com/one-earth/fulltext/S2590-3322(26)00113-2?rss=yes" TargetMode="External"/><Relationship Id="rId223" Type="http://schemas.openxmlformats.org/officeDocument/2006/relationships/hyperlink" Target="https://doi.org/10.1016/j.oneear.2026.101712" TargetMode="External"/><Relationship Id="rId224" Type="http://schemas.openxmlformats.org/officeDocument/2006/relationships/hyperlink" Target="https://www.sciencedirect.com/science/article/pii/S0306261926006665?dgcid=rss_sd_all" TargetMode="External"/><Relationship Id="rId225" Type="http://schemas.openxmlformats.org/officeDocument/2006/relationships/hyperlink" Target="https://www.sciencedirect.com/science/article/pii/S0301421526002983?dgcid=rss_sd_all" TargetMode="External"/><Relationship Id="rId226" Type="http://schemas.openxmlformats.org/officeDocument/2006/relationships/hyperlink" Target="https://www.nature.com/articles/s41467-026-73099-9" TargetMode="External"/><Relationship Id="rId227" Type="http://schemas.openxmlformats.org/officeDocument/2006/relationships/hyperlink" Target="https://doi.org/10.1038/s41467-026-73099-9" TargetMode="External"/><Relationship Id="rId228" Type="http://schemas.openxmlformats.org/officeDocument/2006/relationships/hyperlink" Target="https://www.nature.com/articles/s41467-026-73329-0" TargetMode="External"/><Relationship Id="rId229" Type="http://schemas.openxmlformats.org/officeDocument/2006/relationships/hyperlink" Target="https://doi.org/10.1038/s41467-026-73329-0" TargetMode="External"/><Relationship Id="rId230" Type="http://schemas.openxmlformats.org/officeDocument/2006/relationships/hyperlink" Target="https://www.nature.com/articles/s41467-026-73246-2" TargetMode="External"/><Relationship Id="rId231" Type="http://schemas.openxmlformats.org/officeDocument/2006/relationships/hyperlink" Target="https://doi.org/10.1038/s41467-026-73246-2" TargetMode="External"/><Relationship Id="rId232" Type="http://schemas.openxmlformats.org/officeDocument/2006/relationships/hyperlink" Target="https://www.nature.com/articles/s41467-026-73239-1" TargetMode="External"/><Relationship Id="rId233" Type="http://schemas.openxmlformats.org/officeDocument/2006/relationships/hyperlink" Target="https://doi.org/10.1038/s41467-026-73239-1" TargetMode="External"/><Relationship Id="rId234" Type="http://schemas.openxmlformats.org/officeDocument/2006/relationships/hyperlink" Target="https://www.nature.com/articles/s41467-026-72870-2" TargetMode="External"/><Relationship Id="rId235" Type="http://schemas.openxmlformats.org/officeDocument/2006/relationships/hyperlink" Target="https://doi.org/10.1038/s41467-026-72870-2" TargetMode="External"/><Relationship Id="rId236" Type="http://schemas.openxmlformats.org/officeDocument/2006/relationships/hyperlink" Target="https://www.sciencedirect.com/science/article/pii/S0306261926006604?dgcid=rss_sd_all" TargetMode="External"/><Relationship Id="rId237" Type="http://schemas.openxmlformats.org/officeDocument/2006/relationships/hyperlink" Target="https://www.nature.com/articles/s41467-026-73045-9" TargetMode="External"/><Relationship Id="rId238" Type="http://schemas.openxmlformats.org/officeDocument/2006/relationships/hyperlink" Target="https://doi.org/10.1038/s41467-026-73045-9" TargetMode="External"/><Relationship Id="rId239" Type="http://schemas.openxmlformats.org/officeDocument/2006/relationships/hyperlink" Target="https://www.sciencedirect.com/science/article/pii/S0306261926006537?dgcid=rss_sd_all" TargetMode="External"/><Relationship Id="rId240" Type="http://schemas.openxmlformats.org/officeDocument/2006/relationships/hyperlink" Target="https://www.sciencedirect.com/science/article/pii/S0306261926006914?dgcid=rss_sd_all" TargetMode="External"/><Relationship Id="rId241" Type="http://schemas.openxmlformats.org/officeDocument/2006/relationships/hyperlink" Target="https://www.sciencedirect.com/science/article/pii/S0306261926006100?dgcid=rss_sd_all" TargetMode="External"/><Relationship Id="rId242" Type="http://schemas.openxmlformats.org/officeDocument/2006/relationships/hyperlink" Target="https://www.sciencedirect.com/science/article/pii/S0301421526003034?dgcid=rss_sd_all" TargetMode="External"/><Relationship Id="rId243" Type="http://schemas.openxmlformats.org/officeDocument/2006/relationships/hyperlink" Target="https://www.sciencedirect.com/science/article/pii/S0306261926006690?dgcid=rss_sd_all" TargetMode="External"/><Relationship Id="rId244" Type="http://schemas.openxmlformats.org/officeDocument/2006/relationships/hyperlink" Target="https://www.sciencedirect.com/science/article/pii/S0301421526003095?dgcid=rss_sd_all" TargetMode="External"/><Relationship Id="rId245" Type="http://schemas.openxmlformats.org/officeDocument/2006/relationships/hyperlink" Target="https://www.sciencedirect.com/science/article/pii/S0301421526002971?dgcid=rss_sd_all" TargetMode="External"/><Relationship Id="rId246" Type="http://schemas.openxmlformats.org/officeDocument/2006/relationships/hyperlink" Target="https://www.sciencedirect.com/science/article/pii/S0301421526003083?dgcid=rss_sd_all" TargetMode="External"/><Relationship Id="rId247" Type="http://schemas.openxmlformats.org/officeDocument/2006/relationships/hyperlink" Target="https://advanced.onlinelibrary.wiley.com/doi/10.1002/adma.73400?af=R" TargetMode="External"/><Relationship Id="rId248" Type="http://schemas.openxmlformats.org/officeDocument/2006/relationships/hyperlink" Target="https://doi.org/10.1002/adma.73400" TargetMode="External"/><Relationship Id="rId249" Type="http://schemas.openxmlformats.org/officeDocument/2006/relationships/hyperlink" Target="https://advanced.onlinelibrary.wiley.com/doi/10.1002/adma.73399?af=R" TargetMode="External"/><Relationship Id="rId250" Type="http://schemas.openxmlformats.org/officeDocument/2006/relationships/hyperlink" Target="https://doi.org/10.1002/adma.73399" TargetMode="External"/><Relationship Id="rId251" Type="http://schemas.openxmlformats.org/officeDocument/2006/relationships/hyperlink" Target="https://advanced.onlinelibrary.wiley.com/doi/10.1002/adma.202523056?af=R" TargetMode="External"/><Relationship Id="rId252" Type="http://schemas.openxmlformats.org/officeDocument/2006/relationships/hyperlink" Target="https://doi.org/10.1002/adma.202523056" TargetMode="External"/><Relationship Id="rId253" Type="http://schemas.openxmlformats.org/officeDocument/2006/relationships/hyperlink" Target="https://advanced.onlinelibrary.wiley.com/doi/10.1002/adma.73392?af=R" TargetMode="External"/><Relationship Id="rId254" Type="http://schemas.openxmlformats.org/officeDocument/2006/relationships/hyperlink" Target="https://doi.org/10.1002/adma.73392" TargetMode="External"/><Relationship Id="rId255" Type="http://schemas.openxmlformats.org/officeDocument/2006/relationships/hyperlink" Target="https://advanced.onlinelibrary.wiley.com/doi/10.1002/adma.73419?af=R" TargetMode="External"/><Relationship Id="rId256" Type="http://schemas.openxmlformats.org/officeDocument/2006/relationships/hyperlink" Target="https://doi.org/10.1002/adma.73419" TargetMode="External"/><Relationship Id="rId257" Type="http://schemas.openxmlformats.org/officeDocument/2006/relationships/hyperlink" Target="https://advanced.onlinelibrary.wiley.com/doi/10.1002/adma.73410?af=R" TargetMode="External"/><Relationship Id="rId258" Type="http://schemas.openxmlformats.org/officeDocument/2006/relationships/hyperlink" Target="https://doi.org/10.1002/adma.73410" TargetMode="External"/><Relationship Id="rId259" Type="http://schemas.openxmlformats.org/officeDocument/2006/relationships/hyperlink" Target="https://advanced.onlinelibrary.wiley.com/doi/10.1002/adma.73422?af=R" TargetMode="External"/><Relationship Id="rId260" Type="http://schemas.openxmlformats.org/officeDocument/2006/relationships/hyperlink" Target="https://doi.org/10.1002/adma.73422" TargetMode="External"/><Relationship Id="rId261" Type="http://schemas.openxmlformats.org/officeDocument/2006/relationships/hyperlink" Target="https://advanced.onlinelibrary.wiley.com/doi/10.1002/adma.73420?af=R" TargetMode="External"/><Relationship Id="rId262" Type="http://schemas.openxmlformats.org/officeDocument/2006/relationships/hyperlink" Target="https://doi.org/10.1002/adma.73420" TargetMode="External"/><Relationship Id="rId263" Type="http://schemas.openxmlformats.org/officeDocument/2006/relationships/hyperlink" Target="http://dx.doi.org/10.1021/jacs.6c05344" TargetMode="External"/><Relationship Id="rId264" Type="http://schemas.openxmlformats.org/officeDocument/2006/relationships/hyperlink" Target="https://doi.org/10.1021/jacs.6c05344" TargetMode="External"/><Relationship Id="rId265" Type="http://schemas.openxmlformats.org/officeDocument/2006/relationships/hyperlink" Target="http://dx.doi.org/10.1021/jacs.6c06955" TargetMode="External"/><Relationship Id="rId266" Type="http://schemas.openxmlformats.org/officeDocument/2006/relationships/hyperlink" Target="https://doi.org/10.1021/jacs.6c06955" TargetMode="External"/><Relationship Id="rId267" Type="http://schemas.openxmlformats.org/officeDocument/2006/relationships/hyperlink" Target="http://dx.doi.org/10.1021/jacs.6c00920" TargetMode="External"/><Relationship Id="rId268" Type="http://schemas.openxmlformats.org/officeDocument/2006/relationships/hyperlink" Target="https://doi.org/10.1021/jacs.6c00920" TargetMode="External"/><Relationship Id="rId269" Type="http://schemas.openxmlformats.org/officeDocument/2006/relationships/hyperlink" Target="https://www.sciencedirect.com/science/article/pii/S0306261926006847?dgcid=rss_sd_all" TargetMode="External"/><Relationship Id="rId270" Type="http://schemas.openxmlformats.org/officeDocument/2006/relationships/hyperlink" Target="https://www.nature.com/articles/s41467-026-73166-1" TargetMode="External"/><Relationship Id="rId271" Type="http://schemas.openxmlformats.org/officeDocument/2006/relationships/hyperlink" Target="https://doi.org/10.1038/s41467-026-73166-1" TargetMode="External"/><Relationship Id="rId272" Type="http://schemas.openxmlformats.org/officeDocument/2006/relationships/hyperlink" Target="https://www.sciencedirect.com/science/article/pii/S0306261926006860?dgcid=rss_sd_all" TargetMode="External"/><Relationship Id="rId273" Type="http://schemas.openxmlformats.org/officeDocument/2006/relationships/hyperlink" Target="https://www.sciencedirect.com/science/article/pii/S0306261926005386?dgcid=rss_sd_all" TargetMode="External"/><Relationship Id="rId274" Type="http://schemas.openxmlformats.org/officeDocument/2006/relationships/hyperlink" Target="https://www.sciencedirect.com/science/article/pii/S0306261926006628?dgcid=rss_sd_all" TargetMode="External"/><Relationship Id="rId275" Type="http://schemas.openxmlformats.org/officeDocument/2006/relationships/hyperlink" Target="https://www.sciencedirect.com/science/article/pii/S0306261926005970?dgcid=rss_sd_all" TargetMode="External"/><Relationship Id="rId276" Type="http://schemas.openxmlformats.org/officeDocument/2006/relationships/hyperlink" Target="https://www.sciencedirect.com/science/article/pii/S0301421526002910?dgcid=rss_sd_all" TargetMode="External"/><Relationship Id="rId277" Type="http://schemas.openxmlformats.org/officeDocument/2006/relationships/hyperlink" Target="https://www.nature.com/articles/s41467-026-73207-9" TargetMode="External"/><Relationship Id="rId278" Type="http://schemas.openxmlformats.org/officeDocument/2006/relationships/hyperlink" Target="https://doi.org/10.1038/s41467-026-73207-9" TargetMode="External"/><Relationship Id="rId279" Type="http://schemas.openxmlformats.org/officeDocument/2006/relationships/hyperlink" Target="http://dx.doi.org/10.1021/jacs.6c05401" TargetMode="External"/><Relationship Id="rId280" Type="http://schemas.openxmlformats.org/officeDocument/2006/relationships/hyperlink" Target="https://doi.org/10.1021/jacs.6c05401" TargetMode="External"/><Relationship Id="rId281" Type="http://schemas.openxmlformats.org/officeDocument/2006/relationships/hyperlink" Target="http://dx.doi.org/10.1021/jacs.6c01275" TargetMode="External"/><Relationship Id="rId282" Type="http://schemas.openxmlformats.org/officeDocument/2006/relationships/hyperlink" Target="https://doi.org/10.1021/jacs.6c01275" TargetMode="External"/><Relationship Id="rId283" Type="http://schemas.openxmlformats.org/officeDocument/2006/relationships/hyperlink" Target="https://www.nature.com/articles/d41586-026-01597-3" TargetMode="External"/><Relationship Id="rId284" Type="http://schemas.openxmlformats.org/officeDocument/2006/relationships/hyperlink" Target="https://doi.org/10.1038/d41586-026-01597-3" TargetMode="External"/><Relationship Id="rId285" Type="http://schemas.openxmlformats.org/officeDocument/2006/relationships/hyperlink" Target="https://www.nature.com/articles/s41893-026-01835-6" TargetMode="External"/><Relationship Id="rId286" Type="http://schemas.openxmlformats.org/officeDocument/2006/relationships/hyperlink" Target="https://doi.org/10.1038/s41893-026-01835-6" TargetMode="External"/><Relationship Id="rId287" Type="http://schemas.openxmlformats.org/officeDocument/2006/relationships/hyperlink" Target="https://www.nature.com/articles/s41893-026-01816-9" TargetMode="External"/><Relationship Id="rId288" Type="http://schemas.openxmlformats.org/officeDocument/2006/relationships/hyperlink" Target="https://doi.org/10.1038/s41893-026-01816-9" TargetMode="External"/><Relationship Id="rId289" Type="http://schemas.openxmlformats.org/officeDocument/2006/relationships/hyperlink" Target="https://academic.oup.com/nsr/advance-article/doi/10.1093/nsr/nwag259/8684963?rss=1" TargetMode="External"/><Relationship Id="rId290" Type="http://schemas.openxmlformats.org/officeDocument/2006/relationships/hyperlink" Target="https://doi.org/10.1093/nsr/nwag259" TargetMode="External"/><Relationship Id="rId291" Type="http://schemas.openxmlformats.org/officeDocument/2006/relationships/hyperlink" Target="https://academic.oup.com/nsr/advance-article/doi/10.1093/nsr/nwag290/8684976?rss=1" TargetMode="External"/><Relationship Id="rId292" Type="http://schemas.openxmlformats.org/officeDocument/2006/relationships/hyperlink" Target="https://doi.org/10.1093/nsr/nwag290" TargetMode="External"/><Relationship Id="rId293" Type="http://schemas.openxmlformats.org/officeDocument/2006/relationships/hyperlink" Target="https://www.nature.com/articles/d41586-026-01574-w" TargetMode="External"/><Relationship Id="rId294" Type="http://schemas.openxmlformats.org/officeDocument/2006/relationships/hyperlink" Target="https://doi.org/10.1038/d41586-026-01574-w" TargetMode="External"/><Relationship Id="rId295" Type="http://schemas.openxmlformats.org/officeDocument/2006/relationships/hyperlink" Target="https://www.nature.com/articles/d41586-026-01607-4" TargetMode="External"/><Relationship Id="rId296" Type="http://schemas.openxmlformats.org/officeDocument/2006/relationships/hyperlink" Target="https://doi.org/10.1038/d41586-026-01607-4" TargetMode="External"/><Relationship Id="rId297" Type="http://schemas.openxmlformats.org/officeDocument/2006/relationships/hyperlink" Target="https://www.nature.com/articles/d41586-026-01552-2" TargetMode="External"/><Relationship Id="rId298" Type="http://schemas.openxmlformats.org/officeDocument/2006/relationships/hyperlink" Target="https://doi.org/10.1038/d41586-026-01552-2" TargetMode="External"/><Relationship Id="rId299" Type="http://schemas.openxmlformats.org/officeDocument/2006/relationships/hyperlink" Target="https://www.nature.com/articles/s41893-026-01830-x" TargetMode="External"/><Relationship Id="rId300" Type="http://schemas.openxmlformats.org/officeDocument/2006/relationships/hyperlink" Target="https://doi.org/10.1038/s41893-026-01830-x" TargetMode="External"/><Relationship Id="rId301" Type="http://schemas.openxmlformats.org/officeDocument/2006/relationships/hyperlink" Target="https://www.nature.com/articles/s41560-026-02075-w" TargetMode="External"/><Relationship Id="rId302" Type="http://schemas.openxmlformats.org/officeDocument/2006/relationships/hyperlink" Target="https://doi.org/10.1038/s41560-026-02075-w" TargetMode="External"/><Relationship Id="rId303" Type="http://schemas.openxmlformats.org/officeDocument/2006/relationships/hyperlink" Target="https://www.nature.com/articles/d41586-026-01592-8" TargetMode="External"/><Relationship Id="rId304" Type="http://schemas.openxmlformats.org/officeDocument/2006/relationships/hyperlink" Target="https://doi.org/10.1038/d41586-026-01592-8" TargetMode="External"/><Relationship Id="rId305" Type="http://schemas.openxmlformats.org/officeDocument/2006/relationships/hyperlink" Target="https://www.nature.com/articles/d41586-026-01555-z" TargetMode="External"/><Relationship Id="rId306" Type="http://schemas.openxmlformats.org/officeDocument/2006/relationships/hyperlink" Target="https://doi.org/10.1038/d41586-026-01555-z" TargetMode="External"/><Relationship Id="rId307" Type="http://schemas.openxmlformats.org/officeDocument/2006/relationships/hyperlink" Target="https://www.nature.com/articles/s41586-026-10649-7" TargetMode="External"/><Relationship Id="rId308" Type="http://schemas.openxmlformats.org/officeDocument/2006/relationships/hyperlink" Target="https://doi.org/10.1038/s41586-026-10649-7" TargetMode="External"/><Relationship Id="rId309" Type="http://schemas.openxmlformats.org/officeDocument/2006/relationships/hyperlink" Target="https://www.nature.com/articles/d41586-026-01563-z" TargetMode="External"/><Relationship Id="rId310" Type="http://schemas.openxmlformats.org/officeDocument/2006/relationships/hyperlink" Target="https://doi.org/10.1038/d41586-026-01563-z" TargetMode="External"/><Relationship Id="rId311" Type="http://schemas.openxmlformats.org/officeDocument/2006/relationships/hyperlink" Target="https://www.cell.com/joule/fulltext/S2542-4351(26)00157-1?rss=yes" TargetMode="External"/><Relationship Id="rId312" Type="http://schemas.openxmlformats.org/officeDocument/2006/relationships/hyperlink" Target="https://doi.org/10.1016/j.joule.2026.102473" TargetMode="External"/><Relationship Id="rId313" Type="http://schemas.openxmlformats.org/officeDocument/2006/relationships/hyperlink" Target="https://academic.oup.com/nsr/advance-article/doi/10.1093/nsr/nwag280/8684956?rss=1" TargetMode="External"/><Relationship Id="rId314" Type="http://schemas.openxmlformats.org/officeDocument/2006/relationships/hyperlink" Target="https://doi.org/10.1093/nsr/nwag280" TargetMode="External"/><Relationship Id="rId315" Type="http://schemas.openxmlformats.org/officeDocument/2006/relationships/hyperlink" Target="https://www.sciencedirect.com/science/article/pii/S0306261926007026?dgcid=rss_sd_all" TargetMode="External"/><Relationship Id="rId316" Type="http://schemas.openxmlformats.org/officeDocument/2006/relationships/hyperlink" Target="https://www.sciencedirect.com/science/article/pii/S0306261926006938?dgcid=rss_sd_all" TargetMode="External"/><Relationship Id="rId317" Type="http://schemas.openxmlformats.org/officeDocument/2006/relationships/hyperlink" Target="https://www.nature.com/articles/s41557-026-02151-4" TargetMode="External"/><Relationship Id="rId318" Type="http://schemas.openxmlformats.org/officeDocument/2006/relationships/hyperlink" Target="https://doi.org/10.1038/s41557-026-02151-4" TargetMode="External"/><Relationship Id="rId319" Type="http://schemas.openxmlformats.org/officeDocument/2006/relationships/hyperlink" Target="https://academic.oup.com/nsr/advance-article/doi/10.1093/nsr/nwag288/8684953?rss=1" TargetMode="External"/><Relationship Id="rId320" Type="http://schemas.openxmlformats.org/officeDocument/2006/relationships/hyperlink" Target="https://doi.org/10.1093/nsr/nwag288" TargetMode="External"/><Relationship Id="rId321" Type="http://schemas.openxmlformats.org/officeDocument/2006/relationships/hyperlink" Target="https://academic.oup.com/nsr/advance-article/doi/10.1093/nsr/nwag278/8684962?rss=1" TargetMode="External"/><Relationship Id="rId322" Type="http://schemas.openxmlformats.org/officeDocument/2006/relationships/hyperlink" Target="https://doi.org/10.1093/nsr/nwag278" TargetMode="External"/><Relationship Id="rId323" Type="http://schemas.openxmlformats.org/officeDocument/2006/relationships/hyperlink" Target="https://academic.oup.com/nsr/advance-article/doi/10.1093/nsr/nwag289/8684959?rss=1" TargetMode="External"/><Relationship Id="rId324" Type="http://schemas.openxmlformats.org/officeDocument/2006/relationships/hyperlink" Target="https://doi.org/10.1093/nsr/nwag289" TargetMode="External"/><Relationship Id="rId325" Type="http://schemas.openxmlformats.org/officeDocument/2006/relationships/hyperlink" Target="https://www.nature.com/articles/d41586-026-00525-9" TargetMode="External"/><Relationship Id="rId326" Type="http://schemas.openxmlformats.org/officeDocument/2006/relationships/hyperlink" Target="https://doi.org/10.1038/d41586-026-00525-9" TargetMode="External"/><Relationship Id="rId327" Type="http://schemas.openxmlformats.org/officeDocument/2006/relationships/hyperlink" Target="https://www.nature.com/articles/s41586-026-10619-z" TargetMode="External"/><Relationship Id="rId328" Type="http://schemas.openxmlformats.org/officeDocument/2006/relationships/hyperlink" Target="https://doi.org/10.1038/s41586-026-10619-z" TargetMode="External"/><Relationship Id="rId329" Type="http://schemas.openxmlformats.org/officeDocument/2006/relationships/hyperlink" Target="https://www.nature.com/articles/s41565-026-02186-1" TargetMode="External"/><Relationship Id="rId330" Type="http://schemas.openxmlformats.org/officeDocument/2006/relationships/hyperlink" Target="https://doi.org/10.1038/s41565-026-02186-1" TargetMode="External"/><Relationship Id="rId331" Type="http://schemas.openxmlformats.org/officeDocument/2006/relationships/hyperlink" Target="https://www.nature.com/articles/d41586-026-01556-y" TargetMode="External"/><Relationship Id="rId332" Type="http://schemas.openxmlformats.org/officeDocument/2006/relationships/hyperlink" Target="https://doi.org/10.1038/d41586-026-01556-y" TargetMode="External"/><Relationship Id="rId333" Type="http://schemas.openxmlformats.org/officeDocument/2006/relationships/hyperlink" Target="https://onlinelibrary.wiley.com/doi/10.1002/anie.5601060?af=R" TargetMode="External"/><Relationship Id="rId334" Type="http://schemas.openxmlformats.org/officeDocument/2006/relationships/hyperlink" Target="https://doi.org/10.1002/anie.5601060" TargetMode="External"/><Relationship Id="rId335" Type="http://schemas.openxmlformats.org/officeDocument/2006/relationships/hyperlink" Target="https://onlinelibrary.wiley.com/doi/10.1002/anie.7355159?af=R" TargetMode="External"/><Relationship Id="rId336" Type="http://schemas.openxmlformats.org/officeDocument/2006/relationships/hyperlink" Target="https://doi.org/10.1002/anie.7355159" TargetMode="External"/><Relationship Id="rId337" Type="http://schemas.openxmlformats.org/officeDocument/2006/relationships/hyperlink" Target="https://onlinelibrary.wiley.com/doi/10.1002/anie.2074669?af=R" TargetMode="External"/><Relationship Id="rId338" Type="http://schemas.openxmlformats.org/officeDocument/2006/relationships/hyperlink" Target="https://doi.org/10.1002/anie.2074669" TargetMode="External"/><Relationship Id="rId339" Type="http://schemas.openxmlformats.org/officeDocument/2006/relationships/hyperlink" Target="https://onlinelibrary.wiley.com/doi/10.1002/anie.9062479?af=R" TargetMode="External"/><Relationship Id="rId340" Type="http://schemas.openxmlformats.org/officeDocument/2006/relationships/hyperlink" Target="https://doi.org/10.1002/anie.9062479" TargetMode="External"/><Relationship Id="rId341" Type="http://schemas.openxmlformats.org/officeDocument/2006/relationships/hyperlink" Target="https://onlinelibrary.wiley.com/doi/10.1002/anie.2349085?af=R" TargetMode="External"/><Relationship Id="rId342" Type="http://schemas.openxmlformats.org/officeDocument/2006/relationships/hyperlink" Target="https://doi.org/10.1002/anie.2349085" TargetMode="External"/><Relationship Id="rId343" Type="http://schemas.openxmlformats.org/officeDocument/2006/relationships/hyperlink" Target="https://onlinelibrary.wiley.com/doi/10.1002/anie.5240216?af=R" TargetMode="External"/><Relationship Id="rId344" Type="http://schemas.openxmlformats.org/officeDocument/2006/relationships/hyperlink" Target="https://doi.org/10.1002/anie.5240216" TargetMode="External"/><Relationship Id="rId345" Type="http://schemas.openxmlformats.org/officeDocument/2006/relationships/hyperlink" Target="https://onlinelibrary.wiley.com/doi/10.1002/anie.6613248?af=R" TargetMode="External"/><Relationship Id="rId346" Type="http://schemas.openxmlformats.org/officeDocument/2006/relationships/hyperlink" Target="https://doi.org/10.1002/anie.6613248" TargetMode="External"/><Relationship Id="rId347" Type="http://schemas.openxmlformats.org/officeDocument/2006/relationships/hyperlink" Target="https://onlinelibrary.wiley.com/doi/10.1002/anie.2621334?af=R" TargetMode="External"/><Relationship Id="rId348" Type="http://schemas.openxmlformats.org/officeDocument/2006/relationships/hyperlink" Target="https://doi.org/10.1002/anie.2621334" TargetMode="External"/><Relationship Id="rId349" Type="http://schemas.openxmlformats.org/officeDocument/2006/relationships/hyperlink" Target="https://onlinelibrary.wiley.com/doi/10.1002/anie.9631464?af=R" TargetMode="External"/><Relationship Id="rId350" Type="http://schemas.openxmlformats.org/officeDocument/2006/relationships/hyperlink" Target="https://doi.org/10.1002/anie.9631464" TargetMode="External"/><Relationship Id="rId351" Type="http://schemas.openxmlformats.org/officeDocument/2006/relationships/hyperlink" Target="https://onlinelibrary.wiley.com/doi/10.1002/anie.9977686?af=R" TargetMode="External"/><Relationship Id="rId352" Type="http://schemas.openxmlformats.org/officeDocument/2006/relationships/hyperlink" Target="https://doi.org/10.1002/anie.9977686" TargetMode="External"/><Relationship Id="rId353" Type="http://schemas.openxmlformats.org/officeDocument/2006/relationships/hyperlink" Target="https://onlinelibrary.wiley.com/doi/10.1002/anie.2624816?af=R" TargetMode="External"/><Relationship Id="rId354" Type="http://schemas.openxmlformats.org/officeDocument/2006/relationships/hyperlink" Target="https://doi.org/10.1002/anie.2624816" TargetMode="External"/><Relationship Id="rId355" Type="http://schemas.openxmlformats.org/officeDocument/2006/relationships/hyperlink" Target="https://onlinelibrary.wiley.com/doi/10.1002/anie.9067210?af=R" TargetMode="External"/><Relationship Id="rId356" Type="http://schemas.openxmlformats.org/officeDocument/2006/relationships/hyperlink" Target="https://doi.org/10.1002/anie.9067210" TargetMode="External"/><Relationship Id="rId357" Type="http://schemas.openxmlformats.org/officeDocument/2006/relationships/hyperlink" Target="https://advanced.onlinelibrary.wiley.com/doi/10.1002/adma.73293?af=R" TargetMode="External"/><Relationship Id="rId358" Type="http://schemas.openxmlformats.org/officeDocument/2006/relationships/hyperlink" Target="https://doi.org/10.1002/adma.73293" TargetMode="External"/><Relationship Id="rId359" Type="http://schemas.openxmlformats.org/officeDocument/2006/relationships/hyperlink" Target="https://www.pnas.org/doi/abs/10.1073/pnas.2421303123?mi=eymic2&amp;af=R&amp;access=on&amp;content=articlesChapters&amp;publication=pnas&amp;sortBy=Earliest&amp;target=default" TargetMode="External"/><Relationship Id="rId360" Type="http://schemas.openxmlformats.org/officeDocument/2006/relationships/hyperlink" Target="https://doi.org/10.1073/pnas.2421303123" TargetMode="External"/><Relationship Id="rId361" Type="http://schemas.openxmlformats.org/officeDocument/2006/relationships/hyperlink" Target="https://www.pnas.org/doi/abs/10.1073/pnas.2518826123?mi=eymic2&amp;af=R&amp;access=on&amp;content=articlesChapters&amp;publication=pnas&amp;sortBy=Earliest&amp;target=default" TargetMode="External"/><Relationship Id="rId362" Type="http://schemas.openxmlformats.org/officeDocument/2006/relationships/hyperlink" Target="https://doi.org/10.1073/pnas.2518826123" TargetMode="External"/><Relationship Id="rId363" Type="http://schemas.openxmlformats.org/officeDocument/2006/relationships/hyperlink" Target="https://www.pnas.org/doi/abs/10.1073/pnas.2537008123?mi=eymic2&amp;af=R&amp;access=on&amp;content=articlesChapters&amp;publication=pnas&amp;sortBy=Earliest&amp;target=default" TargetMode="External"/><Relationship Id="rId364" Type="http://schemas.openxmlformats.org/officeDocument/2006/relationships/hyperlink" Target="https://doi.org/10.1073/pnas.2537008123" TargetMode="External"/><Relationship Id="rId365" Type="http://schemas.openxmlformats.org/officeDocument/2006/relationships/hyperlink" Target="https://www.pnas.org/doi/abs/10.1073/pnas.2532741123?mi=eymic2&amp;af=R&amp;access=on&amp;content=articlesChapters&amp;publication=pnas&amp;sortBy=Earliest&amp;target=default" TargetMode="External"/><Relationship Id="rId366" Type="http://schemas.openxmlformats.org/officeDocument/2006/relationships/hyperlink" Target="https://doi.org/10.1073/pnas.2532741123" TargetMode="External"/><Relationship Id="rId367" Type="http://schemas.openxmlformats.org/officeDocument/2006/relationships/hyperlink" Target="https://www.pnas.org/doi/abs/10.1073/pnas.2538076123?mi=eymic2&amp;af=R&amp;access=on&amp;content=articlesChapters&amp;publication=pnas&amp;sortBy=Earliest&amp;target=default" TargetMode="External"/><Relationship Id="rId368" Type="http://schemas.openxmlformats.org/officeDocument/2006/relationships/hyperlink" Target="https://doi.org/10.1073/pnas.2538076123" TargetMode="External"/><Relationship Id="rId369" Type="http://schemas.openxmlformats.org/officeDocument/2006/relationships/hyperlink" Target="https://www.pnas.org/doi/abs/10.1073/pnas.2608470123?mi=eymic2&amp;af=R&amp;access=on&amp;content=articlesChapters&amp;publication=pnas&amp;sortBy=Earliest&amp;target=default" TargetMode="External"/><Relationship Id="rId370" Type="http://schemas.openxmlformats.org/officeDocument/2006/relationships/hyperlink" Target="https://doi.org/10.1073/pnas.2608470123" TargetMode="External"/><Relationship Id="rId371" Type="http://schemas.openxmlformats.org/officeDocument/2006/relationships/hyperlink" Target="https://www.pnas.org/doi/abs/10.1073/pnas.2607107123?mi=eymic2&amp;af=R&amp;access=on&amp;content=articlesChapters&amp;publication=pnas&amp;sortBy=Earliest&amp;target=default" TargetMode="External"/><Relationship Id="rId372" Type="http://schemas.openxmlformats.org/officeDocument/2006/relationships/hyperlink" Target="https://doi.org/10.1073/pnas.2607107123" TargetMode="External"/><Relationship Id="rId373" Type="http://schemas.openxmlformats.org/officeDocument/2006/relationships/hyperlink" Target="https://www.pnas.org/doi/abs/10.1073/pnas.2605729123?mi=eymic2&amp;af=R&amp;access=on&amp;content=articlesChapters&amp;publication=pnas&amp;sortBy=Earliest&amp;target=default" TargetMode="External"/><Relationship Id="rId374" Type="http://schemas.openxmlformats.org/officeDocument/2006/relationships/hyperlink" Target="https://doi.org/10.1073/pnas.2605729123" TargetMode="External"/><Relationship Id="rId375" Type="http://schemas.openxmlformats.org/officeDocument/2006/relationships/hyperlink" Target="https://www.pnas.org/doi/abs/10.1073/pnas.2603911123?mi=eymic2&amp;af=R&amp;access=on&amp;content=articlesChapters&amp;publication=pnas&amp;sortBy=Earliest&amp;target=default" TargetMode="External"/><Relationship Id="rId376" Type="http://schemas.openxmlformats.org/officeDocument/2006/relationships/hyperlink" Target="https://doi.org/10.1073/pnas.2603911123" TargetMode="External"/><Relationship Id="rId377" Type="http://schemas.openxmlformats.org/officeDocument/2006/relationships/hyperlink" Target="https://www.pnas.org/doi/abs/10.1073/pnas.2601794123?mi=eymic2&amp;af=R&amp;access=on&amp;content=articlesChapters&amp;publication=pnas&amp;sortBy=Earliest&amp;target=default" TargetMode="External"/><Relationship Id="rId378" Type="http://schemas.openxmlformats.org/officeDocument/2006/relationships/hyperlink" Target="https://doi.org/10.1073/pnas.2601794123" TargetMode="External"/><Relationship Id="rId379" Type="http://schemas.openxmlformats.org/officeDocument/2006/relationships/hyperlink" Target="https://www.pnas.org/doi/abs/10.1073/pnas.2602528123?mi=eymic2&amp;af=R&amp;access=on&amp;content=articlesChapters&amp;publication=pnas&amp;sortBy=Earliest&amp;target=default" TargetMode="External"/><Relationship Id="rId380" Type="http://schemas.openxmlformats.org/officeDocument/2006/relationships/hyperlink" Target="https://doi.org/10.1073/pnas.2602528123" TargetMode="External"/><Relationship Id="rId381" Type="http://schemas.openxmlformats.org/officeDocument/2006/relationships/hyperlink" Target="https://www.pnas.org/doi/abs/10.1073/pnas.2602686123?mi=eymic2&amp;af=R&amp;access=on&amp;content=articlesChapters&amp;publication=pnas&amp;sortBy=Earliest&amp;target=default" TargetMode="External"/><Relationship Id="rId382" Type="http://schemas.openxmlformats.org/officeDocument/2006/relationships/hyperlink" Target="https://doi.org/10.1073/pnas.2602686123" TargetMode="External"/><Relationship Id="rId383" Type="http://schemas.openxmlformats.org/officeDocument/2006/relationships/hyperlink" Target="https://www.pnas.org/doi/abs/10.1073/pnas.2528477123?mi=eymic2&amp;af=R&amp;access=on&amp;content=articlesChapters&amp;publication=pnas&amp;sortBy=Earliest&amp;target=default" TargetMode="External"/><Relationship Id="rId384" Type="http://schemas.openxmlformats.org/officeDocument/2006/relationships/hyperlink" Target="https://doi.org/10.1073/pnas.2528477123" TargetMode="External"/><Relationship Id="rId385" Type="http://schemas.openxmlformats.org/officeDocument/2006/relationships/hyperlink" Target="https://www.pnas.org/doi/abs/10.1073/pnas.2604562123?mi=eymic2&amp;af=R&amp;access=on&amp;content=articlesChapters&amp;publication=pnas&amp;sortBy=Earliest&amp;target=default" TargetMode="External"/><Relationship Id="rId386" Type="http://schemas.openxmlformats.org/officeDocument/2006/relationships/hyperlink" Target="https://doi.org/10.1073/pnas.2604562123" TargetMode="External"/><Relationship Id="rId387" Type="http://schemas.openxmlformats.org/officeDocument/2006/relationships/hyperlink" Target="https://www.pnas.org/doi/abs/10.1073/pnas.2510121123?mi=eymic2&amp;af=R&amp;access=on&amp;content=articlesChapters&amp;publication=pnas&amp;sortBy=Earliest&amp;target=default" TargetMode="External"/><Relationship Id="rId388" Type="http://schemas.openxmlformats.org/officeDocument/2006/relationships/hyperlink" Target="https://doi.org/10.1073/pnas.2510121123" TargetMode="External"/><Relationship Id="rId389" Type="http://schemas.openxmlformats.org/officeDocument/2006/relationships/hyperlink" Target="https://www.pnas.org/doi/abs/10.1073/pnas.2613956123?mi=eymic2&amp;af=R&amp;access=on&amp;content=articlesChapters&amp;publication=pnas&amp;sortBy=Earliest&amp;target=default" TargetMode="External"/><Relationship Id="rId390" Type="http://schemas.openxmlformats.org/officeDocument/2006/relationships/hyperlink" Target="https://doi.org/10.1073/pnas.2613956123" TargetMode="External"/><Relationship Id="rId391" Type="http://schemas.openxmlformats.org/officeDocument/2006/relationships/hyperlink" Target="https://www.pnas.org/doi/abs/10.1073/pnas.2513515123?mi=eymic2&amp;af=R&amp;access=on&amp;content=articlesChapters&amp;publication=pnas&amp;sortBy=Earliest&amp;target=default" TargetMode="External"/><Relationship Id="rId392" Type="http://schemas.openxmlformats.org/officeDocument/2006/relationships/hyperlink" Target="https://doi.org/10.1073/pnas.2513515123" TargetMode="External"/><Relationship Id="rId393" Type="http://schemas.openxmlformats.org/officeDocument/2006/relationships/hyperlink" Target="https://www.pnas.org/doi/abs/10.1073/pnas.2614621123?mi=eymic2&amp;af=R&amp;access=on&amp;content=articlesChapters&amp;publication=pnas&amp;sortBy=Earliest&amp;target=default" TargetMode="External"/><Relationship Id="rId394" Type="http://schemas.openxmlformats.org/officeDocument/2006/relationships/hyperlink" Target="https://doi.org/10.1073/pnas.2614621123" TargetMode="External"/><Relationship Id="rId395" Type="http://schemas.openxmlformats.org/officeDocument/2006/relationships/hyperlink" Target="https://www.pnas.org/doi/abs/10.1073/pnas.2614323123?mi=eymic2&amp;af=R&amp;access=on&amp;content=articlesChapters&amp;publication=pnas&amp;sortBy=Earliest&amp;target=default" TargetMode="External"/><Relationship Id="rId396" Type="http://schemas.openxmlformats.org/officeDocument/2006/relationships/hyperlink" Target="https://doi.org/10.1073/pnas.2614323123" TargetMode="External"/><Relationship Id="rId397" Type="http://schemas.openxmlformats.org/officeDocument/2006/relationships/hyperlink" Target="https://www.pnas.org/doi/abs/10.1073/pnas.2513282123?mi=eymic2&amp;af=R&amp;access=on&amp;content=articlesChapters&amp;publication=pnas&amp;sortBy=Earliest&amp;target=default" TargetMode="External"/><Relationship Id="rId398" Type="http://schemas.openxmlformats.org/officeDocument/2006/relationships/hyperlink" Target="https://doi.org/10.1073/pnas.2513282123" TargetMode="External"/><Relationship Id="rId399" Type="http://schemas.openxmlformats.org/officeDocument/2006/relationships/hyperlink" Target="https://www.pnas.org/doi/abs/10.1073/pnas.2613518123?mi=eymic2&amp;af=R&amp;access=on&amp;content=articlesChapters&amp;publication=pnas&amp;sortBy=Earliest&amp;target=default" TargetMode="External"/><Relationship Id="rId400" Type="http://schemas.openxmlformats.org/officeDocument/2006/relationships/hyperlink" Target="https://doi.org/10.1073/pnas.2613518123" TargetMode="External"/><Relationship Id="rId401" Type="http://schemas.openxmlformats.org/officeDocument/2006/relationships/hyperlink" Target="https://www.pnas.org/doi/abs/10.1073/pnas.2611974123?mi=eymic2&amp;af=R&amp;access=on&amp;content=articlesChapters&amp;publication=pnas&amp;sortBy=Earliest&amp;target=default" TargetMode="External"/><Relationship Id="rId402" Type="http://schemas.openxmlformats.org/officeDocument/2006/relationships/hyperlink" Target="https://doi.org/10.1073/pnas.2611974123" TargetMode="External"/><Relationship Id="rId403" Type="http://schemas.openxmlformats.org/officeDocument/2006/relationships/hyperlink" Target="https://www.pnas.org/doi/abs/10.1073/pnas.2610118123?mi=eymic2&amp;af=R&amp;access=on&amp;content=articlesChapters&amp;publication=pnas&amp;sortBy=Earliest&amp;target=default" TargetMode="External"/><Relationship Id="rId404" Type="http://schemas.openxmlformats.org/officeDocument/2006/relationships/hyperlink" Target="https://doi.org/10.1073/pnas.2610118123" TargetMode="External"/><Relationship Id="rId405" Type="http://schemas.openxmlformats.org/officeDocument/2006/relationships/hyperlink" Target="https://www.pnas.org/doi/abs/10.1073/pnas.2609000123?mi=eymic2&amp;af=R&amp;access=on&amp;content=articlesChapters&amp;publication=pnas&amp;sortBy=Earliest&amp;target=default" TargetMode="External"/><Relationship Id="rId406" Type="http://schemas.openxmlformats.org/officeDocument/2006/relationships/hyperlink" Target="https://doi.org/10.1073/pnas.2609000123" TargetMode="External"/><Relationship Id="rId407" Type="http://schemas.openxmlformats.org/officeDocument/2006/relationships/hyperlink" Target="https://www.pnas.org/doi/abs/10.1073/pnas.2610113123?mi=eymic2&amp;af=R&amp;access=on&amp;content=articlesChapters&amp;publication=pnas&amp;sortBy=Earliest&amp;target=default" TargetMode="External"/><Relationship Id="rId408" Type="http://schemas.openxmlformats.org/officeDocument/2006/relationships/hyperlink" Target="https://doi.org/10.1073/pnas.2610113123" TargetMode="External"/><Relationship Id="rId409" Type="http://schemas.openxmlformats.org/officeDocument/2006/relationships/hyperlink" Target="https://www.pnas.org/doi/abs/10.1073/pnas.2530804123?mi=eymic2&amp;af=R&amp;access=on&amp;content=articlesChapters&amp;publication=pnas&amp;sortBy=Earliest&amp;target=default" TargetMode="External"/><Relationship Id="rId410" Type="http://schemas.openxmlformats.org/officeDocument/2006/relationships/hyperlink" Target="https://doi.org/10.1073/pnas.2530804123" TargetMode="External"/><Relationship Id="rId411" Type="http://schemas.openxmlformats.org/officeDocument/2006/relationships/hyperlink" Target="https://www.pnas.org/doi/abs/10.1073/pnas.2528603123?mi=eymic2&amp;af=R&amp;access=on&amp;content=articlesChapters&amp;publication=pnas&amp;sortBy=Earliest&amp;target=default" TargetMode="External"/><Relationship Id="rId412" Type="http://schemas.openxmlformats.org/officeDocument/2006/relationships/hyperlink" Target="https://doi.org/10.1073/pnas.2528603123" TargetMode="External"/><Relationship Id="rId413" Type="http://schemas.openxmlformats.org/officeDocument/2006/relationships/hyperlink" Target="https://www.pnas.org/doi/abs/10.1073/pnas.2527896123?mi=eymic2&amp;af=R&amp;access=on&amp;content=articlesChapters&amp;publication=pnas&amp;sortBy=Earliest&amp;target=default" TargetMode="External"/><Relationship Id="rId414" Type="http://schemas.openxmlformats.org/officeDocument/2006/relationships/hyperlink" Target="https://doi.org/10.1073/pnas.2527896123" TargetMode="External"/><Relationship Id="rId415" Type="http://schemas.openxmlformats.org/officeDocument/2006/relationships/hyperlink" Target="https://www.pnas.org/doi/abs/10.1073/pnas.2523342123?mi=eymic2&amp;af=R&amp;access=on&amp;content=articlesChapters&amp;publication=pnas&amp;sortBy=Earliest&amp;target=default" TargetMode="External"/><Relationship Id="rId416" Type="http://schemas.openxmlformats.org/officeDocument/2006/relationships/hyperlink" Target="https://doi.org/10.1073/pnas.2523342123" TargetMode="External"/><Relationship Id="rId417" Type="http://schemas.openxmlformats.org/officeDocument/2006/relationships/hyperlink" Target="https://www.pnas.org/doi/abs/10.1073/pnas.2534130123?mi=eymic2&amp;af=R&amp;access=on&amp;content=articlesChapters&amp;publication=pnas&amp;sortBy=Earliest&amp;target=default" TargetMode="External"/><Relationship Id="rId418" Type="http://schemas.openxmlformats.org/officeDocument/2006/relationships/hyperlink" Target="https://doi.org/10.1073/pnas.2534130123" TargetMode="External"/><Relationship Id="rId419" Type="http://schemas.openxmlformats.org/officeDocument/2006/relationships/hyperlink" Target="https://www.pnas.org/doi/abs/10.1073/pnas.2521182123?mi=eymic2&amp;af=R&amp;access=on&amp;content=articlesChapters&amp;publication=pnas&amp;sortBy=Earliest&amp;target=default" TargetMode="External"/><Relationship Id="rId420" Type="http://schemas.openxmlformats.org/officeDocument/2006/relationships/hyperlink" Target="https://doi.org/10.1073/pnas.2521182123" TargetMode="External"/><Relationship Id="rId421" Type="http://schemas.openxmlformats.org/officeDocument/2006/relationships/hyperlink" Target="https://www.pnas.org/doi/abs/10.1073/pnas.2517814123?mi=eymic2&amp;af=R&amp;access=on&amp;content=articlesChapters&amp;publication=pnas&amp;sortBy=Earliest&amp;target=default" TargetMode="External"/><Relationship Id="rId422" Type="http://schemas.openxmlformats.org/officeDocument/2006/relationships/hyperlink" Target="https://doi.org/10.1073/pnas.2517814123" TargetMode="External"/><Relationship Id="rId423" Type="http://schemas.openxmlformats.org/officeDocument/2006/relationships/hyperlink" Target="https://www.pnas.org/doi/abs/10.1073/pnas.2531880123?mi=eymic2&amp;af=R&amp;access=on&amp;content=articlesChapters&amp;publication=pnas&amp;sortBy=Earliest&amp;target=default" TargetMode="External"/><Relationship Id="rId424" Type="http://schemas.openxmlformats.org/officeDocument/2006/relationships/hyperlink" Target="https://doi.org/10.1073/pnas.2531880123" TargetMode="External"/><Relationship Id="rId425" Type="http://schemas.openxmlformats.org/officeDocument/2006/relationships/hyperlink" Target="https://www.pnas.org/doi/abs/10.1073/pnas.2610939123?mi=eymic2&amp;af=R&amp;access=on&amp;content=articlesChapters&amp;publication=pnas&amp;sortBy=Earliest&amp;target=default" TargetMode="External"/><Relationship Id="rId426" Type="http://schemas.openxmlformats.org/officeDocument/2006/relationships/hyperlink" Target="https://doi.org/10.1073/pnas.2610939123" TargetMode="External"/><Relationship Id="rId427" Type="http://schemas.openxmlformats.org/officeDocument/2006/relationships/hyperlink" Target="http://dx.doi.org/10.1021/jacs.6c05299" TargetMode="External"/><Relationship Id="rId428" Type="http://schemas.openxmlformats.org/officeDocument/2006/relationships/hyperlink" Target="https://doi.org/10.1021/jacs.6c05299" TargetMode="External"/><Relationship Id="rId429" Type="http://schemas.openxmlformats.org/officeDocument/2006/relationships/hyperlink" Target="https://advanced.onlinelibrary.wiley.com/doi/10.1002/adma.73280?af=R" TargetMode="External"/><Relationship Id="rId430" Type="http://schemas.openxmlformats.org/officeDocument/2006/relationships/hyperlink" Target="https://doi.org/10.1002/adma.73280" TargetMode="External"/><Relationship Id="rId431" Type="http://schemas.openxmlformats.org/officeDocument/2006/relationships/hyperlink" Target="https://advanced.onlinelibrary.wiley.com/doi/10.1002/adma.73281?af=R" TargetMode="External"/><Relationship Id="rId432" Type="http://schemas.openxmlformats.org/officeDocument/2006/relationships/hyperlink" Target="https://doi.org/10.1002/adma.73281" TargetMode="External"/><Relationship Id="rId433" Type="http://schemas.openxmlformats.org/officeDocument/2006/relationships/hyperlink" Target="https://advanced.onlinelibrary.wiley.com/doi/10.1002/adma.73279?af=R" TargetMode="External"/><Relationship Id="rId434" Type="http://schemas.openxmlformats.org/officeDocument/2006/relationships/hyperlink" Target="https://doi.org/10.1002/adma.73279" TargetMode="External"/><Relationship Id="rId435" Type="http://schemas.openxmlformats.org/officeDocument/2006/relationships/hyperlink" Target="https://advanced.onlinelibrary.wiley.com/doi/10.1002/adma.73283?af=R" TargetMode="External"/><Relationship Id="rId436" Type="http://schemas.openxmlformats.org/officeDocument/2006/relationships/hyperlink" Target="https://doi.org/10.1002/adma.73283" TargetMode="External"/><Relationship Id="rId437" Type="http://schemas.openxmlformats.org/officeDocument/2006/relationships/hyperlink" Target="https://advanced.onlinelibrary.wiley.com/doi/10.1002/adma.73284?af=R" TargetMode="External"/><Relationship Id="rId438" Type="http://schemas.openxmlformats.org/officeDocument/2006/relationships/hyperlink" Target="https://doi.org/10.1002/adma.73284" TargetMode="External"/><Relationship Id="rId439" Type="http://schemas.openxmlformats.org/officeDocument/2006/relationships/hyperlink" Target="https://advanced.onlinelibrary.wiley.com/doi/10.1002/adma.202520966?af=R" TargetMode="External"/><Relationship Id="rId440" Type="http://schemas.openxmlformats.org/officeDocument/2006/relationships/hyperlink" Target="https://doi.org/10.1002/adma.202520966" TargetMode="External"/><Relationship Id="rId441" Type="http://schemas.openxmlformats.org/officeDocument/2006/relationships/hyperlink" Target="https://advanced.onlinelibrary.wiley.com/doi/10.1002/adma.73268?af=R" TargetMode="External"/><Relationship Id="rId442" Type="http://schemas.openxmlformats.org/officeDocument/2006/relationships/hyperlink" Target="https://doi.org/10.1002/adma.73268" TargetMode="External"/><Relationship Id="rId443" Type="http://schemas.openxmlformats.org/officeDocument/2006/relationships/hyperlink" Target="http://dx.doi.org/10.1021/jacs.6c07190" TargetMode="External"/><Relationship Id="rId444" Type="http://schemas.openxmlformats.org/officeDocument/2006/relationships/hyperlink" Target="https://doi.org/10.1021/jacs.6c07190" TargetMode="External"/><Relationship Id="rId445" Type="http://schemas.openxmlformats.org/officeDocument/2006/relationships/hyperlink" Target="https://onlinelibrary.wiley.com/doi/10.1002/anie.5320160?af=R" TargetMode="External"/><Relationship Id="rId446" Type="http://schemas.openxmlformats.org/officeDocument/2006/relationships/hyperlink" Target="https://doi.org/10.1002/anie.5320160" TargetMode="External"/><Relationship Id="rId447" Type="http://schemas.openxmlformats.org/officeDocument/2006/relationships/hyperlink" Target="https://onlinelibrary.wiley.com/doi/10.1002/anie.4426401?af=R" TargetMode="External"/><Relationship Id="rId448" Type="http://schemas.openxmlformats.org/officeDocument/2006/relationships/hyperlink" Target="https://doi.org/10.1002/anie.4426401" TargetMode="External"/><Relationship Id="rId449" Type="http://schemas.openxmlformats.org/officeDocument/2006/relationships/hyperlink" Target="https://onlinelibrary.wiley.com/doi/10.1002/anie.5657008?af=R" TargetMode="External"/><Relationship Id="rId450" Type="http://schemas.openxmlformats.org/officeDocument/2006/relationships/hyperlink" Target="https://doi.org/10.1002/anie.5657008" TargetMode="External"/><Relationship Id="rId451" Type="http://schemas.openxmlformats.org/officeDocument/2006/relationships/hyperlink" Target="https://onlinelibrary.wiley.com/doi/10.1002/anie.8495523?af=R" TargetMode="External"/><Relationship Id="rId452" Type="http://schemas.openxmlformats.org/officeDocument/2006/relationships/hyperlink" Target="https://doi.org/10.1002/anie.8495523" TargetMode="External"/><Relationship Id="rId453" Type="http://schemas.openxmlformats.org/officeDocument/2006/relationships/hyperlink" Target="http://dx.doi.org/10.1021/jacs.6c01538" TargetMode="External"/><Relationship Id="rId454" Type="http://schemas.openxmlformats.org/officeDocument/2006/relationships/hyperlink" Target="https://doi.org/10.1021/jacs.6c01538" TargetMode="External"/><Relationship Id="rId455" Type="http://schemas.openxmlformats.org/officeDocument/2006/relationships/hyperlink" Target="http://dx.doi.org/10.1021/jacs.6c01689" TargetMode="External"/><Relationship Id="rId456" Type="http://schemas.openxmlformats.org/officeDocument/2006/relationships/hyperlink" Target="https://doi.org/10.1021/jacs.6c01689" TargetMode="External"/><Relationship Id="rId457" Type="http://schemas.openxmlformats.org/officeDocument/2006/relationships/hyperlink" Target="https://onlinelibrary.wiley.com/doi/10.1002/anie.7533313?af=R" TargetMode="External"/><Relationship Id="rId458" Type="http://schemas.openxmlformats.org/officeDocument/2006/relationships/hyperlink" Target="https://doi.org/10.1002/anie.7533313" TargetMode="External"/><Relationship Id="rId459" Type="http://schemas.openxmlformats.org/officeDocument/2006/relationships/hyperlink" Target="https://onlinelibrary.wiley.com/doi/10.1002/anie.9264339?af=R" TargetMode="External"/><Relationship Id="rId460" Type="http://schemas.openxmlformats.org/officeDocument/2006/relationships/hyperlink" Target="https://doi.org/10.1002/anie.9264339" TargetMode="External"/><Relationship Id="rId461" Type="http://schemas.openxmlformats.org/officeDocument/2006/relationships/hyperlink" Target="https://onlinelibrary.wiley.com/doi/10.1002/anie.4948095?af=R" TargetMode="External"/><Relationship Id="rId462" Type="http://schemas.openxmlformats.org/officeDocument/2006/relationships/hyperlink" Target="https://doi.org/10.1002/anie.4948095" TargetMode="External"/><Relationship Id="rId463" Type="http://schemas.openxmlformats.org/officeDocument/2006/relationships/hyperlink" Target="https://onlinelibrary.wiley.com/doi/10.1002/anie.5191546?af=R" TargetMode="External"/><Relationship Id="rId464" Type="http://schemas.openxmlformats.org/officeDocument/2006/relationships/hyperlink" Target="https://doi.org/10.1002/anie.5191546" TargetMode="External"/><Relationship Id="rId465" Type="http://schemas.openxmlformats.org/officeDocument/2006/relationships/hyperlink" Target="https://onlinelibrary.wiley.com/doi/10.1002/anie.8233632?af=R" TargetMode="External"/><Relationship Id="rId466" Type="http://schemas.openxmlformats.org/officeDocument/2006/relationships/hyperlink" Target="https://doi.org/10.1002/anie.8233632" TargetMode="External"/><Relationship Id="rId467" Type="http://schemas.openxmlformats.org/officeDocument/2006/relationships/hyperlink" Target="http://dx.doi.org/10.1021/jacs.6c01402" TargetMode="External"/><Relationship Id="rId468" Type="http://schemas.openxmlformats.org/officeDocument/2006/relationships/hyperlink" Target="https://doi.org/10.1021/jacs.6c01402" TargetMode="External"/><Relationship Id="rId469" Type="http://schemas.openxmlformats.org/officeDocument/2006/relationships/hyperlink" Target="https://advanced.onlinelibrary.wiley.com/doi/10.1002/adma.73277?af=R" TargetMode="External"/><Relationship Id="rId470" Type="http://schemas.openxmlformats.org/officeDocument/2006/relationships/hyperlink" Target="https://doi.org/10.1002/adma.73277" TargetMode="External"/><Relationship Id="rId471" Type="http://schemas.openxmlformats.org/officeDocument/2006/relationships/hyperlink" Target="http://dx.doi.org/10.1021/jacs.6c03753" TargetMode="External"/><Relationship Id="rId472" Type="http://schemas.openxmlformats.org/officeDocument/2006/relationships/hyperlink" Target="https://doi.org/10.1021/jacs.6c03753" TargetMode="External"/><Relationship Id="rId473" Type="http://schemas.openxmlformats.org/officeDocument/2006/relationships/hyperlink" Target="http://dx.doi.org/10.1021/acs.chemrev.6c00236" TargetMode="External"/><Relationship Id="rId474" Type="http://schemas.openxmlformats.org/officeDocument/2006/relationships/hyperlink" Target="https://doi.org/10.1021/acs.chemrev.6c00236" TargetMode="External"/><Relationship Id="rId475" Type="http://schemas.openxmlformats.org/officeDocument/2006/relationships/hyperlink" Target="https://onlinelibrary.wiley.com/doi/10.1002/anie.3576616?af=R" TargetMode="External"/><Relationship Id="rId476" Type="http://schemas.openxmlformats.org/officeDocument/2006/relationships/hyperlink" Target="https://doi.org/10.1002/anie.3576616" TargetMode="External"/><Relationship Id="rId477" Type="http://schemas.openxmlformats.org/officeDocument/2006/relationships/hyperlink" Target="https://onlinelibrary.wiley.com/doi/10.1002/anie.1133642?af=R" TargetMode="External"/><Relationship Id="rId478" Type="http://schemas.openxmlformats.org/officeDocument/2006/relationships/hyperlink" Target="https://doi.org/10.1002/anie.1133642" TargetMode="External"/><Relationship Id="rId479" Type="http://schemas.openxmlformats.org/officeDocument/2006/relationships/hyperlink" Target="https://onlinelibrary.wiley.com/doi/10.1002/anie.9197967?af=R" TargetMode="External"/><Relationship Id="rId480" Type="http://schemas.openxmlformats.org/officeDocument/2006/relationships/hyperlink" Target="https://doi.org/10.1002/anie.9197967" TargetMode="External"/><Relationship Id="rId481" Type="http://schemas.openxmlformats.org/officeDocument/2006/relationships/hyperlink" Target="https://onlinelibrary.wiley.com/doi/10.1002/anie.4936773?af=R" TargetMode="External"/><Relationship Id="rId482" Type="http://schemas.openxmlformats.org/officeDocument/2006/relationships/hyperlink" Target="https://doi.org/10.1002/anie.4936773" TargetMode="External"/><Relationship Id="rId483" Type="http://schemas.openxmlformats.org/officeDocument/2006/relationships/hyperlink" Target="https://onlinelibrary.wiley.com/doi/10.1002/anie.9633331?af=R" TargetMode="External"/><Relationship Id="rId484" Type="http://schemas.openxmlformats.org/officeDocument/2006/relationships/hyperlink" Target="https://doi.org/10.1002/anie.9633331" TargetMode="External"/><Relationship Id="rId485" Type="http://schemas.openxmlformats.org/officeDocument/2006/relationships/hyperlink" Target="https://onlinelibrary.wiley.com/doi/10.1002/anie.5533379?af=R" TargetMode="External"/><Relationship Id="rId486" Type="http://schemas.openxmlformats.org/officeDocument/2006/relationships/hyperlink" Target="https://doi.org/10.1002/anie.5533379" TargetMode="External"/><Relationship Id="rId487" Type="http://schemas.openxmlformats.org/officeDocument/2006/relationships/hyperlink" Target="https://onlinelibrary.wiley.com/doi/10.1002/anie.8821005?af=R" TargetMode="External"/><Relationship Id="rId488" Type="http://schemas.openxmlformats.org/officeDocument/2006/relationships/hyperlink" Target="https://doi.org/10.1002/anie.8821005" TargetMode="External"/><Relationship Id="rId489" Type="http://schemas.openxmlformats.org/officeDocument/2006/relationships/hyperlink" Target="http://dx.doi.org/10.1021/jacs.6c07733" TargetMode="External"/><Relationship Id="rId490" Type="http://schemas.openxmlformats.org/officeDocument/2006/relationships/hyperlink" Target="https://doi.org/10.1021/jacs.6c07733" TargetMode="External"/><Relationship Id="rId491" Type="http://schemas.openxmlformats.org/officeDocument/2006/relationships/hyperlink" Target="http://dx.doi.org/10.1021/acsenergylett.6c00867" TargetMode="External"/><Relationship Id="rId492" Type="http://schemas.openxmlformats.org/officeDocument/2006/relationships/hyperlink" Target="https://doi.org/10.1021/acsenergylett.6c00867" TargetMode="External"/><Relationship Id="rId493" Type="http://schemas.openxmlformats.org/officeDocument/2006/relationships/hyperlink" Target="http://dx.doi.org/10.1021/jacs.6c01683" TargetMode="External"/><Relationship Id="rId494" Type="http://schemas.openxmlformats.org/officeDocument/2006/relationships/hyperlink" Target="https://doi.org/10.1021/jacs.6c01683" TargetMode="External"/><Relationship Id="rId495" Type="http://schemas.openxmlformats.org/officeDocument/2006/relationships/hyperlink" Target="http://dx.doi.org/10.1021/jacs.6c04280" TargetMode="External"/><Relationship Id="rId496" Type="http://schemas.openxmlformats.org/officeDocument/2006/relationships/hyperlink" Target="https://doi.org/10.1021/jacs.6c04280" TargetMode="External"/><Relationship Id="rId497" Type="http://schemas.openxmlformats.org/officeDocument/2006/relationships/hyperlink" Target="http://dx.doi.org/10.1021/acs.chemrev.6c00030" TargetMode="External"/><Relationship Id="rId498" Type="http://schemas.openxmlformats.org/officeDocument/2006/relationships/hyperlink" Target="https://doi.org/10.1021/acs.chemrev.6c00030" TargetMode="External"/><Relationship Id="rId499" Type="http://schemas.openxmlformats.org/officeDocument/2006/relationships/hyperlink" Target="http://dx.doi.org/10.1021/acsenergylett.6c00782" TargetMode="External"/><Relationship Id="rId500" Type="http://schemas.openxmlformats.org/officeDocument/2006/relationships/hyperlink" Target="https://doi.org/10.1021/acsenergylett.6c00782" TargetMode="External"/><Relationship Id="rId501" Type="http://schemas.openxmlformats.org/officeDocument/2006/relationships/hyperlink" Target="http://dx.doi.org/10.1021/jacs.6c02817" TargetMode="External"/><Relationship Id="rId502" Type="http://schemas.openxmlformats.org/officeDocument/2006/relationships/hyperlink" Target="https://doi.org/10.1021/jacs.6c02817" TargetMode="External"/><Relationship Id="rId503" Type="http://schemas.openxmlformats.org/officeDocument/2006/relationships/hyperlink" Target="http://dx.doi.org/10.1021/jacs.6c03702" TargetMode="External"/><Relationship Id="rId504" Type="http://schemas.openxmlformats.org/officeDocument/2006/relationships/hyperlink" Target="https://doi.org/10.1021/jacs.6c03702" TargetMode="External"/><Relationship Id="rId505" Type="http://schemas.openxmlformats.org/officeDocument/2006/relationships/hyperlink" Target="http://pubs.rsc.org/en/Content/ArticleLanding/2026/CS/D6CS00079G" TargetMode="External"/><Relationship Id="rId506" Type="http://schemas.openxmlformats.org/officeDocument/2006/relationships/hyperlink" Target="http://pubs.rsc.org/en/Content/ArticleLanding/2026/CS/D6CS00157B" TargetMode="External"/><Relationship Id="rId507" Type="http://schemas.openxmlformats.org/officeDocument/2006/relationships/hyperlink" Target="http://pubs.rsc.org/en/Content/ArticleLanding/2026/CS/D5CS01292A" TargetMode="External"/><Relationship Id="rId508" Type="http://schemas.openxmlformats.org/officeDocument/2006/relationships/hyperlink" Target="https://academic.oup.com/nsr/advance-article/doi/10.1093/nsr/nwag282/8687745?rss=1" TargetMode="External"/><Relationship Id="rId509" Type="http://schemas.openxmlformats.org/officeDocument/2006/relationships/hyperlink" Target="https://doi.org/10.1093/nsr/nwag282" TargetMode="External"/><Relationship Id="rId510" Type="http://schemas.openxmlformats.org/officeDocument/2006/relationships/hyperlink" Target="https://www.nature.com/articles/d41586-026-01557-x" TargetMode="External"/><Relationship Id="rId511" Type="http://schemas.openxmlformats.org/officeDocument/2006/relationships/hyperlink" Target="https://doi.org/10.1038/d41586-026-01557-x" TargetMode="External"/><Relationship Id="rId512" Type="http://schemas.openxmlformats.org/officeDocument/2006/relationships/hyperlink" Target="https://www.nature.com/articles/d41586-026-01603-8" TargetMode="External"/><Relationship Id="rId513" Type="http://schemas.openxmlformats.org/officeDocument/2006/relationships/hyperlink" Target="https://doi.org/10.1038/d41586-026-01603-8" TargetMode="External"/><Relationship Id="rId514" Type="http://schemas.openxmlformats.org/officeDocument/2006/relationships/hyperlink" Target="https://www.nature.com/articles/d41586-026-01594-6" TargetMode="External"/><Relationship Id="rId515" Type="http://schemas.openxmlformats.org/officeDocument/2006/relationships/hyperlink" Target="https://doi.org/10.1038/d41586-026-01594-6" TargetMode="External"/><Relationship Id="rId516" Type="http://schemas.openxmlformats.org/officeDocument/2006/relationships/hyperlink" Target="https://www.nature.com/articles/d41586-026-01606-5" TargetMode="External"/><Relationship Id="rId517" Type="http://schemas.openxmlformats.org/officeDocument/2006/relationships/hyperlink" Target="https://doi.org/10.1038/d41586-026-01606-5" TargetMode="External"/><Relationship Id="rId518" Type="http://schemas.openxmlformats.org/officeDocument/2006/relationships/hyperlink" Target="https://www.nature.com/articles/d41586-026-01335-9" TargetMode="External"/><Relationship Id="rId519" Type="http://schemas.openxmlformats.org/officeDocument/2006/relationships/hyperlink" Target="https://doi.org/10.1038/d41586-026-01335-9" TargetMode="External"/><Relationship Id="rId520" Type="http://schemas.openxmlformats.org/officeDocument/2006/relationships/hyperlink" Target="https://www.nature.com/articles/d41586-026-01595-5" TargetMode="External"/><Relationship Id="rId521" Type="http://schemas.openxmlformats.org/officeDocument/2006/relationships/hyperlink" Target="https://doi.org/10.1038/d41586-026-01595-5" TargetMode="External"/><Relationship Id="rId522" Type="http://schemas.openxmlformats.org/officeDocument/2006/relationships/hyperlink" Target="https://www.nature.com/articles/d41586-026-01604-7" TargetMode="External"/><Relationship Id="rId523" Type="http://schemas.openxmlformats.org/officeDocument/2006/relationships/hyperlink" Target="https://doi.org/10.1038/d41586-026-01604-7" TargetMode="External"/><Relationship Id="rId524" Type="http://schemas.openxmlformats.org/officeDocument/2006/relationships/hyperlink" Target="https://www.nature.com/articles/d41586-026-01605-6" TargetMode="External"/><Relationship Id="rId525" Type="http://schemas.openxmlformats.org/officeDocument/2006/relationships/hyperlink" Target="https://doi.org/10.1038/d41586-026-01605-6" TargetMode="External"/><Relationship Id="rId526" Type="http://schemas.openxmlformats.org/officeDocument/2006/relationships/hyperlink" Target="https://www.nature.com/articles/d41586-026-01596-4" TargetMode="External"/><Relationship Id="rId527" Type="http://schemas.openxmlformats.org/officeDocument/2006/relationships/hyperlink" Target="https://doi.org/10.1038/d41586-026-01596-4" TargetMode="External"/><Relationship Id="rId528" Type="http://schemas.openxmlformats.org/officeDocument/2006/relationships/hyperlink" Target="https://www.nature.com/articles/d41586-026-01551-3" TargetMode="External"/><Relationship Id="rId529" Type="http://schemas.openxmlformats.org/officeDocument/2006/relationships/hyperlink" Target="https://doi.org/10.1038/d41586-026-01551-3" TargetMode="External"/><Relationship Id="rId530" Type="http://schemas.openxmlformats.org/officeDocument/2006/relationships/hyperlink" Target="https://www.nature.com/articles/d41586-026-01535-3" TargetMode="External"/><Relationship Id="rId531" Type="http://schemas.openxmlformats.org/officeDocument/2006/relationships/hyperlink" Target="https://doi.org/10.1038/d41586-026-01535-3" TargetMode="External"/><Relationship Id="rId532" Type="http://schemas.openxmlformats.org/officeDocument/2006/relationships/hyperlink" Target="https://www.nature.com/articles/s44286-026-00399-8" TargetMode="External"/><Relationship Id="rId533" Type="http://schemas.openxmlformats.org/officeDocument/2006/relationships/hyperlink" Target="https://doi.org/10.1038/s44286-026-00399-8" TargetMode="External"/><Relationship Id="rId534" Type="http://schemas.openxmlformats.org/officeDocument/2006/relationships/hyperlink" Target="https://www.nature.com/articles/d41586-026-01640-3" TargetMode="External"/><Relationship Id="rId535" Type="http://schemas.openxmlformats.org/officeDocument/2006/relationships/hyperlink" Target="https://doi.org/10.1038/d41586-026-01640-3" TargetMode="External"/><Relationship Id="rId536" Type="http://schemas.openxmlformats.org/officeDocument/2006/relationships/hyperlink" Target="https://www.nature.com/articles/s41586-026-10658-6" TargetMode="External"/><Relationship Id="rId537" Type="http://schemas.openxmlformats.org/officeDocument/2006/relationships/hyperlink" Target="https://doi.org/10.1038/s41586-026-10658-6" TargetMode="External"/><Relationship Id="rId538" Type="http://schemas.openxmlformats.org/officeDocument/2006/relationships/hyperlink" Target="https://www.nature.com/articles/s41893-026-01839-2" TargetMode="External"/><Relationship Id="rId539" Type="http://schemas.openxmlformats.org/officeDocument/2006/relationships/hyperlink" Target="https://doi.org/10.1038/s41893-026-01839-2" TargetMode="External"/><Relationship Id="rId540" Type="http://schemas.openxmlformats.org/officeDocument/2006/relationships/hyperlink" Target="https://www.nature.com/articles/s41928-026-01633-0" TargetMode="External"/><Relationship Id="rId541" Type="http://schemas.openxmlformats.org/officeDocument/2006/relationships/hyperlink" Target="https://doi.org/10.1038/s41928-026-01633-0" TargetMode="External"/><Relationship Id="rId542" Type="http://schemas.openxmlformats.org/officeDocument/2006/relationships/hyperlink" Target="https://www.nature.com/articles/d41586-026-01553-1" TargetMode="External"/><Relationship Id="rId543" Type="http://schemas.openxmlformats.org/officeDocument/2006/relationships/hyperlink" Target="https://doi.org/10.1038/d41586-026-01553-1" TargetMode="External"/><Relationship Id="rId544" Type="http://schemas.openxmlformats.org/officeDocument/2006/relationships/hyperlink" Target="https://www.nature.com/articles/s41560-026-02066-x" TargetMode="External"/><Relationship Id="rId545" Type="http://schemas.openxmlformats.org/officeDocument/2006/relationships/hyperlink" Target="https://doi.org/10.1038/s41560-026-02066-x" TargetMode="External"/><Relationship Id="rId546" Type="http://schemas.openxmlformats.org/officeDocument/2006/relationships/hyperlink" Target="https://www.nature.com/articles/d41586-026-01468-x" TargetMode="External"/><Relationship Id="rId547" Type="http://schemas.openxmlformats.org/officeDocument/2006/relationships/hyperlink" Target="https://doi.org/10.1038/d41586-026-01468-x" TargetMode="External"/><Relationship Id="rId548" Type="http://schemas.openxmlformats.org/officeDocument/2006/relationships/hyperlink" Target="https://www.nature.com/articles/d41586-026-01329-7" TargetMode="External"/><Relationship Id="rId549" Type="http://schemas.openxmlformats.org/officeDocument/2006/relationships/hyperlink" Target="https://doi.org/10.1038/d41586-026-01329-7" TargetMode="External"/><Relationship Id="rId550" Type="http://schemas.openxmlformats.org/officeDocument/2006/relationships/hyperlink" Target="https://www.sciencedirect.com/science/article/pii/S0306261926006264?dgcid=rss_sd_all" TargetMode="External"/><Relationship Id="rId551" Type="http://schemas.openxmlformats.org/officeDocument/2006/relationships/hyperlink" Target="https://www.sciencedirect.com/science/article/pii/S0306261926007117?dgcid=rss_sd_all" TargetMode="External"/><Relationship Id="rId552" Type="http://schemas.openxmlformats.org/officeDocument/2006/relationships/hyperlink" Target="https://www.nature.com/articles/s41928-026-01634-z" TargetMode="External"/><Relationship Id="rId553" Type="http://schemas.openxmlformats.org/officeDocument/2006/relationships/hyperlink" Target="https://doi.org/10.1038/s41928-026-01634-z" TargetMode="External"/><Relationship Id="rId554" Type="http://schemas.openxmlformats.org/officeDocument/2006/relationships/hyperlink" Target="https://www.sciencedirect.com/science/article/pii/S0306261926006689?dgcid=rss_sd_all" TargetMode="External"/><Relationship Id="rId555" Type="http://schemas.openxmlformats.org/officeDocument/2006/relationships/hyperlink" Target="https://www.nature.com/articles/s41565-026-02190-5" TargetMode="External"/><Relationship Id="rId556" Type="http://schemas.openxmlformats.org/officeDocument/2006/relationships/hyperlink" Target="https://doi.org/10.1038/s41565-026-02190-5" TargetMode="External"/><Relationship Id="rId557" Type="http://schemas.openxmlformats.org/officeDocument/2006/relationships/hyperlink" Target="https://advanced.onlinelibrary.wiley.com/doi/10.1002/adma.202600031?af=R" TargetMode="External"/><Relationship Id="rId558" Type="http://schemas.openxmlformats.org/officeDocument/2006/relationships/hyperlink" Target="https://doi.org/10.1002/adma.202600031" TargetMode="External"/><Relationship Id="rId559" Type="http://schemas.openxmlformats.org/officeDocument/2006/relationships/hyperlink" Target="https://www.pnas.org/doi/abs/10.1073/pnas.2528693123?mi=eymic2&amp;af=R&amp;access=on&amp;content=articlesChapters&amp;publication=pnas&amp;sortBy=Earliest&amp;target=default" TargetMode="External"/><Relationship Id="rId560" Type="http://schemas.openxmlformats.org/officeDocument/2006/relationships/hyperlink" Target="https://doi.org/10.1073/pnas.2528693123" TargetMode="External"/><Relationship Id="rId561" Type="http://schemas.openxmlformats.org/officeDocument/2006/relationships/hyperlink" Target="https://www.pnas.org/doi/abs/10.1073/pnas.2611864123?mi=eymic2&amp;af=R&amp;access=on&amp;content=articlesChapters&amp;publication=pnas&amp;sortBy=Earliest&amp;target=default" TargetMode="External"/><Relationship Id="rId562" Type="http://schemas.openxmlformats.org/officeDocument/2006/relationships/hyperlink" Target="https://doi.org/10.1073/pnas.2611864123" TargetMode="External"/><Relationship Id="rId563" Type="http://schemas.openxmlformats.org/officeDocument/2006/relationships/hyperlink" Target="https://www.pnas.org/doi/abs/10.1073/iti2026123?mi=eymic2&amp;af=R&amp;access=on&amp;content=articlesChapters&amp;publication=pnas&amp;sortBy=Earliest&amp;target=default" TargetMode="External"/><Relationship Id="rId564" Type="http://schemas.openxmlformats.org/officeDocument/2006/relationships/hyperlink" Target="https://doi.org/10.1073/iti2026123" TargetMode="External"/><Relationship Id="rId565" Type="http://schemas.openxmlformats.org/officeDocument/2006/relationships/hyperlink" Target="https://www.pnas.org/doi/abs/10.1073/pnas.2521414123?mi=eymic2&amp;af=R&amp;access=on&amp;content=articlesChapters&amp;publication=pnas&amp;sortBy=Earliest&amp;target=default" TargetMode="External"/><Relationship Id="rId566" Type="http://schemas.openxmlformats.org/officeDocument/2006/relationships/hyperlink" Target="https://doi.org/10.1073/pnas.2521414123" TargetMode="External"/><Relationship Id="rId567" Type="http://schemas.openxmlformats.org/officeDocument/2006/relationships/hyperlink" Target="https://www.pnas.org/doi/abs/10.1073/pnas.2522948123?mi=eymic2&amp;af=R&amp;access=on&amp;content=articlesChapters&amp;publication=pnas&amp;sortBy=Earliest&amp;target=default" TargetMode="External"/><Relationship Id="rId568" Type="http://schemas.openxmlformats.org/officeDocument/2006/relationships/hyperlink" Target="https://doi.org/10.1073/pnas.2522948123" TargetMode="External"/><Relationship Id="rId569" Type="http://schemas.openxmlformats.org/officeDocument/2006/relationships/hyperlink" Target="https://www.pnas.org/doi/abs/10.1073/pnas.2523204123?mi=eymic2&amp;af=R&amp;access=on&amp;content=articlesChapters&amp;publication=pnas&amp;sortBy=Earliest&amp;target=default" TargetMode="External"/><Relationship Id="rId570" Type="http://schemas.openxmlformats.org/officeDocument/2006/relationships/hyperlink" Target="https://doi.org/10.1073/pnas.2523204123" TargetMode="External"/><Relationship Id="rId571" Type="http://schemas.openxmlformats.org/officeDocument/2006/relationships/hyperlink" Target="https://www.pnas.org/doi/abs/10.1073/pnas.2525715123?mi=eymic2&amp;af=R&amp;access=on&amp;content=articlesChapters&amp;publication=pnas&amp;sortBy=Earliest&amp;target=default" TargetMode="External"/><Relationship Id="rId572" Type="http://schemas.openxmlformats.org/officeDocument/2006/relationships/hyperlink" Target="https://doi.org/10.1073/pnas.2525715123" TargetMode="External"/><Relationship Id="rId573" Type="http://schemas.openxmlformats.org/officeDocument/2006/relationships/hyperlink" Target="https://www.pnas.org/doi/abs/10.1073/pnas.2524472123?mi=eymic2&amp;af=R&amp;access=on&amp;content=articlesChapters&amp;publication=pnas&amp;sortBy=Earliest&amp;target=default" TargetMode="External"/><Relationship Id="rId574" Type="http://schemas.openxmlformats.org/officeDocument/2006/relationships/hyperlink" Target="https://doi.org/10.1073/pnas.2524472123" TargetMode="External"/><Relationship Id="rId575" Type="http://schemas.openxmlformats.org/officeDocument/2006/relationships/hyperlink" Target="https://www.pnas.org/doi/abs/10.1073/pnas.2600150123?mi=eymic2&amp;af=R&amp;access=on&amp;content=articlesChapters&amp;publication=pnas&amp;sortBy=Earliest&amp;target=default" TargetMode="External"/><Relationship Id="rId576" Type="http://schemas.openxmlformats.org/officeDocument/2006/relationships/hyperlink" Target="https://doi.org/10.1073/pnas.2600150123" TargetMode="External"/><Relationship Id="rId577" Type="http://schemas.openxmlformats.org/officeDocument/2006/relationships/hyperlink" Target="https://www.pnas.org/doi/abs/10.1073/pnas.2603682123?mi=eymic2&amp;af=R&amp;access=on&amp;content=articlesChapters&amp;publication=pnas&amp;sortBy=Earliest&amp;target=default" TargetMode="External"/><Relationship Id="rId578" Type="http://schemas.openxmlformats.org/officeDocument/2006/relationships/hyperlink" Target="https://doi.org/10.1073/pnas.2603682123" TargetMode="External"/><Relationship Id="rId579" Type="http://schemas.openxmlformats.org/officeDocument/2006/relationships/hyperlink" Target="https://www.pnas.org/doi/abs/10.1073/pnas.2601272123?mi=eymic2&amp;af=R&amp;access=on&amp;content=articlesChapters&amp;publication=pnas&amp;sortBy=Earliest&amp;target=default" TargetMode="External"/><Relationship Id="rId580" Type="http://schemas.openxmlformats.org/officeDocument/2006/relationships/hyperlink" Target="https://doi.org/10.1073/pnas.2601272123" TargetMode="External"/><Relationship Id="rId581" Type="http://schemas.openxmlformats.org/officeDocument/2006/relationships/hyperlink" Target="https://www.pnas.org/doi/abs/10.1073/pnas.2531588123?mi=eymic2&amp;af=R&amp;access=on&amp;content=articlesChapters&amp;publication=pnas&amp;sortBy=Earliest&amp;target=default" TargetMode="External"/><Relationship Id="rId582" Type="http://schemas.openxmlformats.org/officeDocument/2006/relationships/hyperlink" Target="https://doi.org/10.1073/pnas.2531588123" TargetMode="External"/><Relationship Id="rId583" Type="http://schemas.openxmlformats.org/officeDocument/2006/relationships/hyperlink" Target="https://www.pnas.org/doi/abs/10.1073/pnas.2531949123?mi=eymic2&amp;af=R&amp;access=on&amp;content=articlesChapters&amp;publication=pnas&amp;sortBy=Earliest&amp;target=default" TargetMode="External"/><Relationship Id="rId584" Type="http://schemas.openxmlformats.org/officeDocument/2006/relationships/hyperlink" Target="https://doi.org/10.1073/pnas.2531949123" TargetMode="External"/><Relationship Id="rId585" Type="http://schemas.openxmlformats.org/officeDocument/2006/relationships/hyperlink" Target="https://www.pnas.org/doi/abs/10.1073/pnas.2533861123?mi=eymic2&amp;af=R&amp;access=on&amp;content=articlesChapters&amp;publication=pnas&amp;sortBy=Earliest&amp;target=default" TargetMode="External"/><Relationship Id="rId586" Type="http://schemas.openxmlformats.org/officeDocument/2006/relationships/hyperlink" Target="https://doi.org/10.1073/pnas.2533861123" TargetMode="External"/><Relationship Id="rId587" Type="http://schemas.openxmlformats.org/officeDocument/2006/relationships/hyperlink" Target="https://www.pnas.org/doi/abs/10.1073/pnas.2535868123?mi=eymic2&amp;af=R&amp;access=on&amp;content=articlesChapters&amp;publication=pnas&amp;sortBy=Earliest&amp;target=default" TargetMode="External"/><Relationship Id="rId588" Type="http://schemas.openxmlformats.org/officeDocument/2006/relationships/hyperlink" Target="https://doi.org/10.1073/pnas.2535868123" TargetMode="External"/><Relationship Id="rId589" Type="http://schemas.openxmlformats.org/officeDocument/2006/relationships/hyperlink" Target="https://www.pnas.org/doi/abs/10.1073/pnas.2537226123?mi=eymic2&amp;af=R&amp;access=on&amp;content=articlesChapters&amp;publication=pnas&amp;sortBy=Earliest&amp;target=default" TargetMode="External"/><Relationship Id="rId590" Type="http://schemas.openxmlformats.org/officeDocument/2006/relationships/hyperlink" Target="https://doi.org/10.1073/pnas.2537226123" TargetMode="External"/><Relationship Id="rId591" Type="http://schemas.openxmlformats.org/officeDocument/2006/relationships/hyperlink" Target="https://www.pnas.org/doi/abs/10.1073/pnas.2537965123?mi=eymic2&amp;af=R&amp;access=on&amp;content=articlesChapters&amp;publication=pnas&amp;sortBy=Earliest&amp;target=default" TargetMode="External"/><Relationship Id="rId592" Type="http://schemas.openxmlformats.org/officeDocument/2006/relationships/hyperlink" Target="https://doi.org/10.1073/pnas.2537965123" TargetMode="External"/><Relationship Id="rId593" Type="http://schemas.openxmlformats.org/officeDocument/2006/relationships/hyperlink" Target="https://www.pnas.org/doi/abs/10.1073/pnas.2528309123?mi=eymic2&amp;af=R&amp;access=on&amp;content=articlesChapters&amp;publication=pnas&amp;sortBy=Earliest&amp;target=default" TargetMode="External"/><Relationship Id="rId594" Type="http://schemas.openxmlformats.org/officeDocument/2006/relationships/hyperlink" Target="https://doi.org/10.1073/pnas.2528309123" TargetMode="External"/><Relationship Id="rId595" Type="http://schemas.openxmlformats.org/officeDocument/2006/relationships/hyperlink" Target="https://www.pnas.org/doi/abs/10.1073/pnas.2601726123?mi=eymic2&amp;af=R&amp;access=on&amp;content=articlesChapters&amp;publication=pnas&amp;sortBy=Earliest&amp;target=default" TargetMode="External"/><Relationship Id="rId596" Type="http://schemas.openxmlformats.org/officeDocument/2006/relationships/hyperlink" Target="https://doi.org/10.1073/pnas.2601726123" TargetMode="External"/><Relationship Id="rId597" Type="http://schemas.openxmlformats.org/officeDocument/2006/relationships/hyperlink" Target="https://www.pnas.org/doi/abs/10.1073/pnas.2531024123?mi=eymic2&amp;af=R&amp;access=on&amp;content=articlesChapters&amp;publication=pnas&amp;sortBy=Earliest&amp;target=default" TargetMode="External"/><Relationship Id="rId598" Type="http://schemas.openxmlformats.org/officeDocument/2006/relationships/hyperlink" Target="https://doi.org/10.1073/pnas.2531024123" TargetMode="External"/><Relationship Id="rId599" Type="http://schemas.openxmlformats.org/officeDocument/2006/relationships/hyperlink" Target="https://advanced.onlinelibrary.wiley.com/doi/10.1002/adma.73406?af=R" TargetMode="External"/><Relationship Id="rId600" Type="http://schemas.openxmlformats.org/officeDocument/2006/relationships/hyperlink" Target="https://doi.org/10.1002/adma.73406" TargetMode="External"/><Relationship Id="rId601" Type="http://schemas.openxmlformats.org/officeDocument/2006/relationships/hyperlink" Target="https://advanced.onlinelibrary.wiley.com/doi/10.1002/adma.73423?af=R" TargetMode="External"/><Relationship Id="rId602" Type="http://schemas.openxmlformats.org/officeDocument/2006/relationships/hyperlink" Target="https://doi.org/10.1002/adma.73423" TargetMode="External"/><Relationship Id="rId603" Type="http://schemas.openxmlformats.org/officeDocument/2006/relationships/hyperlink" Target="https://onlinelibrary.wiley.com/doi/10.1002/anie.7340537?af=R" TargetMode="External"/><Relationship Id="rId604" Type="http://schemas.openxmlformats.org/officeDocument/2006/relationships/hyperlink" Target="https://doi.org/10.1002/anie.7340537" TargetMode="External"/><Relationship Id="rId605" Type="http://schemas.openxmlformats.org/officeDocument/2006/relationships/hyperlink" Target="http://dx.doi.org/10.1021/jacs.6c02962" TargetMode="External"/><Relationship Id="rId606" Type="http://schemas.openxmlformats.org/officeDocument/2006/relationships/hyperlink" Target="https://doi.org/10.1021/jacs.6c02962" TargetMode="External"/><Relationship Id="rId607" Type="http://schemas.openxmlformats.org/officeDocument/2006/relationships/hyperlink" Target="http://dx.doi.org/10.1021/jacs.6c03877" TargetMode="External"/><Relationship Id="rId608" Type="http://schemas.openxmlformats.org/officeDocument/2006/relationships/hyperlink" Target="https://doi.org/10.1021/jacs.6c03877" TargetMode="External"/><Relationship Id="rId609" Type="http://schemas.openxmlformats.org/officeDocument/2006/relationships/hyperlink" Target="http://dx.doi.org/10.1021/jacs.6c05335" TargetMode="External"/><Relationship Id="rId610" Type="http://schemas.openxmlformats.org/officeDocument/2006/relationships/hyperlink" Target="https://doi.org/10.1021/jacs.6c05335" TargetMode="External"/><Relationship Id="rId611" Type="http://schemas.openxmlformats.org/officeDocument/2006/relationships/hyperlink" Target="http://dx.doi.org/10.1021/jacs.6c09612" TargetMode="External"/><Relationship Id="rId612" Type="http://schemas.openxmlformats.org/officeDocument/2006/relationships/hyperlink" Target="https://doi.org/10.1021/jacs.6c09612" TargetMode="External"/><Relationship Id="rId613" Type="http://schemas.openxmlformats.org/officeDocument/2006/relationships/hyperlink" Target="http://dx.doi.org/10.1021/jacs.6c02368" TargetMode="External"/><Relationship Id="rId614" Type="http://schemas.openxmlformats.org/officeDocument/2006/relationships/hyperlink" Target="https://doi.org/10.1021/jacs.6c02368" TargetMode="External"/><Relationship Id="rId615" Type="http://schemas.openxmlformats.org/officeDocument/2006/relationships/hyperlink" Target="https://onlinelibrary.wiley.com/doi/10.1002/anie.8645967?af=R" TargetMode="External"/><Relationship Id="rId616" Type="http://schemas.openxmlformats.org/officeDocument/2006/relationships/hyperlink" Target="https://doi.org/10.1002/anie.8645967" TargetMode="External"/><Relationship Id="rId617" Type="http://schemas.openxmlformats.org/officeDocument/2006/relationships/hyperlink" Target="https://onlinelibrary.wiley.com/doi/10.1002/anie.5228347?af=R" TargetMode="External"/><Relationship Id="rId618" Type="http://schemas.openxmlformats.org/officeDocument/2006/relationships/hyperlink" Target="https://doi.org/10.1002/anie.5228347" TargetMode="External"/><Relationship Id="rId619" Type="http://schemas.openxmlformats.org/officeDocument/2006/relationships/hyperlink" Target="https://onlinelibrary.wiley.com/doi/10.1002/anie.1634100?af=R" TargetMode="External"/><Relationship Id="rId620" Type="http://schemas.openxmlformats.org/officeDocument/2006/relationships/hyperlink" Target="https://doi.org/10.1002/anie.1634100" TargetMode="External"/><Relationship Id="rId621" Type="http://schemas.openxmlformats.org/officeDocument/2006/relationships/hyperlink" Target="http://dx.doi.org/10.1021/jacs.6c01642" TargetMode="External"/><Relationship Id="rId622" Type="http://schemas.openxmlformats.org/officeDocument/2006/relationships/hyperlink" Target="https://doi.org/10.1021/jacs.6c01642" TargetMode="External"/><Relationship Id="rId623" Type="http://schemas.openxmlformats.org/officeDocument/2006/relationships/hyperlink" Target="https://onlinelibrary.wiley.com/doi/10.1002/anie.1188892?af=R" TargetMode="External"/><Relationship Id="rId624" Type="http://schemas.openxmlformats.org/officeDocument/2006/relationships/hyperlink" Target="https://doi.org/10.1002/anie.1188892" TargetMode="External"/><Relationship Id="rId625" Type="http://schemas.openxmlformats.org/officeDocument/2006/relationships/hyperlink" Target="https://onlinelibrary.wiley.com/doi/10.1002/anie.202507712?af=R" TargetMode="External"/><Relationship Id="rId626" Type="http://schemas.openxmlformats.org/officeDocument/2006/relationships/hyperlink" Target="https://doi.org/10.1002/anie.202507712" TargetMode="External"/><Relationship Id="rId627" Type="http://schemas.openxmlformats.org/officeDocument/2006/relationships/hyperlink" Target="https://onlinelibrary.wiley.com/doi/10.1002/anie.6216599?af=R" TargetMode="External"/><Relationship Id="rId628" Type="http://schemas.openxmlformats.org/officeDocument/2006/relationships/hyperlink" Target="https://doi.org/10.1002/anie.6216599" TargetMode="External"/><Relationship Id="rId629" Type="http://schemas.openxmlformats.org/officeDocument/2006/relationships/hyperlink" Target="https://onlinelibrary.wiley.com/doi/10.1002/anie.8070182?af=R" TargetMode="External"/><Relationship Id="rId630" Type="http://schemas.openxmlformats.org/officeDocument/2006/relationships/hyperlink" Target="https://doi.org/10.1002/anie.8070182" TargetMode="External"/><Relationship Id="rId631" Type="http://schemas.openxmlformats.org/officeDocument/2006/relationships/hyperlink" Target="https://onlinelibrary.wiley.com/doi/10.1002/anie.4999077?af=R" TargetMode="External"/><Relationship Id="rId632" Type="http://schemas.openxmlformats.org/officeDocument/2006/relationships/hyperlink" Target="https://doi.org/10.1002/anie.4999077" TargetMode="External"/><Relationship Id="rId633" Type="http://schemas.openxmlformats.org/officeDocument/2006/relationships/hyperlink" Target="https://onlinelibrary.wiley.com/doi/10.1002/anie.1249028?af=R" TargetMode="External"/><Relationship Id="rId634" Type="http://schemas.openxmlformats.org/officeDocument/2006/relationships/hyperlink" Target="https://doi.org/10.1002/anie.1249028" TargetMode="External"/><Relationship Id="rId635" Type="http://schemas.openxmlformats.org/officeDocument/2006/relationships/hyperlink" Target="https://onlinelibrary.wiley.com/doi/10.1002/anie.1024712?af=R" TargetMode="External"/><Relationship Id="rId636" Type="http://schemas.openxmlformats.org/officeDocument/2006/relationships/hyperlink" Target="https://doi.org/10.1002/anie.1024712" TargetMode="External"/><Relationship Id="rId637" Type="http://schemas.openxmlformats.org/officeDocument/2006/relationships/hyperlink" Target="https://onlinelibrary.wiley.com/doi/10.1002/anie.5162616?af=R" TargetMode="External"/><Relationship Id="rId638" Type="http://schemas.openxmlformats.org/officeDocument/2006/relationships/hyperlink" Target="https://doi.org/10.1002/anie.5162616" TargetMode="External"/><Relationship Id="rId639" Type="http://schemas.openxmlformats.org/officeDocument/2006/relationships/hyperlink" Target="https://onlinelibrary.wiley.com/doi/10.1002/anie.1777033?af=R" TargetMode="External"/><Relationship Id="rId640" Type="http://schemas.openxmlformats.org/officeDocument/2006/relationships/hyperlink" Target="https://doi.org/10.1002/anie.1777033" TargetMode="External"/><Relationship Id="rId641" Type="http://schemas.openxmlformats.org/officeDocument/2006/relationships/hyperlink" Target="http://dx.doi.org/10.1021/jacs.5c23410" TargetMode="External"/><Relationship Id="rId642" Type="http://schemas.openxmlformats.org/officeDocument/2006/relationships/hyperlink" Target="https://doi.org/10.1021/jacs.5c23410" TargetMode="External"/><Relationship Id="rId643" Type="http://schemas.openxmlformats.org/officeDocument/2006/relationships/hyperlink" Target="http://dx.doi.org/10.1021/jacs.6c00505" TargetMode="External"/><Relationship Id="rId644" Type="http://schemas.openxmlformats.org/officeDocument/2006/relationships/hyperlink" Target="https://doi.org/10.1021/jacs.6c00505" TargetMode="External"/><Relationship Id="rId645" Type="http://schemas.openxmlformats.org/officeDocument/2006/relationships/hyperlink" Target="http://dx.doi.org/10.1021/jacs.6c02162" TargetMode="External"/><Relationship Id="rId646" Type="http://schemas.openxmlformats.org/officeDocument/2006/relationships/hyperlink" Target="https://doi.org/10.1021/jacs.6c02162" TargetMode="External"/><Relationship Id="rId647" Type="http://schemas.openxmlformats.org/officeDocument/2006/relationships/hyperlink" Target="https://onlinelibrary.wiley.com/doi/10.1002/anie.7267440?af=R" TargetMode="External"/><Relationship Id="rId648" Type="http://schemas.openxmlformats.org/officeDocument/2006/relationships/hyperlink" Target="https://doi.org/10.1002/anie.7267440" TargetMode="External"/><Relationship Id="rId649" Type="http://schemas.openxmlformats.org/officeDocument/2006/relationships/hyperlink" Target="https://onlinelibrary.wiley.com/doi/10.1002/anie.8320434?af=R" TargetMode="External"/><Relationship Id="rId650" Type="http://schemas.openxmlformats.org/officeDocument/2006/relationships/hyperlink" Target="https://doi.org/10.1002/anie.8320434" TargetMode="External"/><Relationship Id="rId651" Type="http://schemas.openxmlformats.org/officeDocument/2006/relationships/hyperlink" Target="http://dx.doi.org/10.1021/jacs.6c08654" TargetMode="External"/><Relationship Id="rId652" Type="http://schemas.openxmlformats.org/officeDocument/2006/relationships/hyperlink" Target="https://doi.org/10.1021/jacs.6c08654" TargetMode="External"/><Relationship Id="rId653" Type="http://schemas.openxmlformats.org/officeDocument/2006/relationships/hyperlink" Target="http://dx.doi.org/10.1021/jacs.6c06952" TargetMode="External"/><Relationship Id="rId654" Type="http://schemas.openxmlformats.org/officeDocument/2006/relationships/hyperlink" Target="https://doi.org/10.1021/jacs.6c06952" TargetMode="External"/><Relationship Id="rId655" Type="http://schemas.openxmlformats.org/officeDocument/2006/relationships/hyperlink" Target="https://www.nature.com/articles/s41586-026-10479-7" TargetMode="External"/><Relationship Id="rId656" Type="http://schemas.openxmlformats.org/officeDocument/2006/relationships/hyperlink" Target="https://doi.org/10.1038/s41586-026-10479-7" TargetMode="External"/><Relationship Id="rId657" Type="http://schemas.openxmlformats.org/officeDocument/2006/relationships/hyperlink" Target="https://www.nature.com/articles/s41586-026-10533-4" TargetMode="External"/><Relationship Id="rId658" Type="http://schemas.openxmlformats.org/officeDocument/2006/relationships/hyperlink" Target="https://doi.org/10.1038/s41586-026-10533-4" TargetMode="External"/><Relationship Id="rId659" Type="http://schemas.openxmlformats.org/officeDocument/2006/relationships/hyperlink" Target="https://www.nature.com/articles/s41586-026-10566-9" TargetMode="External"/><Relationship Id="rId660" Type="http://schemas.openxmlformats.org/officeDocument/2006/relationships/hyperlink" Target="https://doi.org/10.1038/s41586-026-10566-9" TargetMode="External"/><Relationship Id="rId661" Type="http://schemas.openxmlformats.org/officeDocument/2006/relationships/hyperlink" Target="https://www.nature.com/articles/s41557-026-02157-y" TargetMode="External"/><Relationship Id="rId662" Type="http://schemas.openxmlformats.org/officeDocument/2006/relationships/hyperlink" Target="https://doi.org/10.1038/s41557-026-02157-y" TargetMode="External"/><Relationship Id="rId663" Type="http://schemas.openxmlformats.org/officeDocument/2006/relationships/hyperlink" Target="https://www.nature.com/articles/d41586-026-01615-4" TargetMode="External"/><Relationship Id="rId664" Type="http://schemas.openxmlformats.org/officeDocument/2006/relationships/hyperlink" Target="https://doi.org/10.1038/d41586-026-01615-4" TargetMode="External"/><Relationship Id="rId665" Type="http://schemas.openxmlformats.org/officeDocument/2006/relationships/hyperlink" Target="https://academic.oup.com/nsr/advance-article/doi/10.1093/nsr/nwag294/8688096?rss=1" TargetMode="External"/><Relationship Id="rId666" Type="http://schemas.openxmlformats.org/officeDocument/2006/relationships/hyperlink" Target="https://doi.org/10.1093/nsr/nwag294" TargetMode="External"/><Relationship Id="rId667" Type="http://schemas.openxmlformats.org/officeDocument/2006/relationships/hyperlink" Target="https://academic.oup.com/nsr/advance-article/doi/10.1093/nsr/nwag295/8688108?rss=1" TargetMode="External"/><Relationship Id="rId668" Type="http://schemas.openxmlformats.org/officeDocument/2006/relationships/hyperlink" Target="https://doi.org/10.1093/nsr/nwag295" TargetMode="External"/><Relationship Id="rId669" Type="http://schemas.openxmlformats.org/officeDocument/2006/relationships/hyperlink" Target="https://www.nature.com/articles/s41586-026-10564-x" TargetMode="External"/><Relationship Id="rId670" Type="http://schemas.openxmlformats.org/officeDocument/2006/relationships/hyperlink" Target="https://doi.org/10.1038/s41586-026-10564-x" TargetMode="External"/><Relationship Id="rId671" Type="http://schemas.openxmlformats.org/officeDocument/2006/relationships/hyperlink" Target="https://academic.oup.com/nsr/advance-article/doi/10.1093/nsr/nwag297/8688109?rss=1" TargetMode="External"/><Relationship Id="rId672" Type="http://schemas.openxmlformats.org/officeDocument/2006/relationships/hyperlink" Target="https://doi.org/10.1093/nsr/nwag297" TargetMode="External"/><Relationship Id="rId673" Type="http://schemas.openxmlformats.org/officeDocument/2006/relationships/hyperlink" Target="https://www.nature.com/articles/d41586-026-01554-0" TargetMode="External"/><Relationship Id="rId674" Type="http://schemas.openxmlformats.org/officeDocument/2006/relationships/hyperlink" Target="https://doi.org/10.1038/d41586-026-01554-0" TargetMode="External"/><Relationship Id="rId675" Type="http://schemas.openxmlformats.org/officeDocument/2006/relationships/hyperlink" Target="https://www.nature.com/articles/d41586-026-01085-8" TargetMode="External"/><Relationship Id="rId676" Type="http://schemas.openxmlformats.org/officeDocument/2006/relationships/hyperlink" Target="https://doi.org/10.1038/d41586-026-01085-8" TargetMode="External"/><Relationship Id="rId677" Type="http://schemas.openxmlformats.org/officeDocument/2006/relationships/hyperlink" Target="https://www.nature.com/articles/d41586-026-01324-y" TargetMode="External"/><Relationship Id="rId678" Type="http://schemas.openxmlformats.org/officeDocument/2006/relationships/hyperlink" Target="https://doi.org/10.1038/d41586-026-01324-y" TargetMode="External"/><Relationship Id="rId679" Type="http://schemas.openxmlformats.org/officeDocument/2006/relationships/hyperlink" Target="https://www.nature.com/articles/d41586-026-00824-1" TargetMode="External"/><Relationship Id="rId680" Type="http://schemas.openxmlformats.org/officeDocument/2006/relationships/hyperlink" Target="https://doi.org/10.1038/d41586-026-00824-1" TargetMode="External"/><Relationship Id="rId681" Type="http://schemas.openxmlformats.org/officeDocument/2006/relationships/hyperlink" Target="https://www.nature.com/articles/d41586-026-00430-1" TargetMode="External"/><Relationship Id="rId682" Type="http://schemas.openxmlformats.org/officeDocument/2006/relationships/hyperlink" Target="https://doi.org/10.1038/d41586-026-00430-1" TargetMode="External"/><Relationship Id="rId683" Type="http://schemas.openxmlformats.org/officeDocument/2006/relationships/hyperlink" Target="https://www.nature.com/articles/d41586-026-01564-y" TargetMode="External"/><Relationship Id="rId684" Type="http://schemas.openxmlformats.org/officeDocument/2006/relationships/hyperlink" Target="https://doi.org/10.1038/d41586-026-01564-y" TargetMode="External"/><Relationship Id="rId685" Type="http://schemas.openxmlformats.org/officeDocument/2006/relationships/hyperlink" Target="https://www.nature.com/articles/d41586-026-00432-z" TargetMode="External"/><Relationship Id="rId686" Type="http://schemas.openxmlformats.org/officeDocument/2006/relationships/hyperlink" Target="https://doi.org/10.1038/d41586-026-00432-z" TargetMode="External"/><Relationship Id="rId687" Type="http://schemas.openxmlformats.org/officeDocument/2006/relationships/hyperlink" Target="https://www.nature.com/articles/d41586-026-00429-8" TargetMode="External"/><Relationship Id="rId688" Type="http://schemas.openxmlformats.org/officeDocument/2006/relationships/hyperlink" Target="https://doi.org/10.1038/d41586-026-00429-8" TargetMode="External"/><Relationship Id="rId689" Type="http://schemas.openxmlformats.org/officeDocument/2006/relationships/hyperlink" Target="https://www.sciencedirect.com/science/article/pii/S0306261926006872?dgcid=rss_sd_all" TargetMode="External"/><Relationship Id="rId690" Type="http://schemas.openxmlformats.org/officeDocument/2006/relationships/hyperlink" Target="https://www.sciencedirect.com/science/article/pii/S0306261926006902?dgcid=rss_sd_all" TargetMode="External"/><Relationship Id="rId691" Type="http://schemas.openxmlformats.org/officeDocument/2006/relationships/hyperlink" Target="https://www.sciencedirect.com/science/article/pii/S0306261926007191?dgcid=rss_sd_all" TargetMode="External"/><Relationship Id="rId692" Type="http://schemas.openxmlformats.org/officeDocument/2006/relationships/hyperlink" Target="https://www.nature.com/articles/d41586-026-01327-9" TargetMode="External"/><Relationship Id="rId693" Type="http://schemas.openxmlformats.org/officeDocument/2006/relationships/hyperlink" Target="https://doi.org/10.1038/d41586-026-01327-9" TargetMode="External"/><Relationship Id="rId694" Type="http://schemas.openxmlformats.org/officeDocument/2006/relationships/hyperlink" Target="https://www.nature.com/articles/s41586-026-10512-9" TargetMode="External"/><Relationship Id="rId695" Type="http://schemas.openxmlformats.org/officeDocument/2006/relationships/hyperlink" Target="https://doi.org/10.1038/s41586-026-10512-9" TargetMode="External"/><Relationship Id="rId696" Type="http://schemas.openxmlformats.org/officeDocument/2006/relationships/hyperlink" Target="https://www.nature.com/articles/s41586-026-10527-2" TargetMode="External"/><Relationship Id="rId697" Type="http://schemas.openxmlformats.org/officeDocument/2006/relationships/hyperlink" Target="https://doi.org/10.1038/s41586-026-10527-2" TargetMode="External"/><Relationship Id="rId698" Type="http://schemas.openxmlformats.org/officeDocument/2006/relationships/hyperlink" Target="https://www.nature.com/articles/d41586-026-00928-8" TargetMode="External"/><Relationship Id="rId699" Type="http://schemas.openxmlformats.org/officeDocument/2006/relationships/hyperlink" Target="https://doi.org/10.1038/d41586-026-00928-8" TargetMode="External"/><Relationship Id="rId700" Type="http://schemas.openxmlformats.org/officeDocument/2006/relationships/hyperlink" Target="https://www.nature.com/articles/d41586-026-01548-y" TargetMode="External"/><Relationship Id="rId701" Type="http://schemas.openxmlformats.org/officeDocument/2006/relationships/hyperlink" Target="https://doi.org/10.1038/d41586-026-01548-y" TargetMode="External"/><Relationship Id="rId702" Type="http://schemas.openxmlformats.org/officeDocument/2006/relationships/hyperlink" Target="https://www.cell.com/one-earth/fulltext/S2590-3322(26)00118-1?rss=yes" TargetMode="External"/><Relationship Id="rId703" Type="http://schemas.openxmlformats.org/officeDocument/2006/relationships/hyperlink" Target="https://doi.org/10.1016/j.oneear.2026.101717" TargetMode="External"/><Relationship Id="rId704" Type="http://schemas.openxmlformats.org/officeDocument/2006/relationships/hyperlink" Target="https://www.nature.com/articles/d41586-026-01627-0" TargetMode="External"/><Relationship Id="rId705" Type="http://schemas.openxmlformats.org/officeDocument/2006/relationships/hyperlink" Target="https://doi.org/10.1038/d41586-026-01627-0" TargetMode="External"/><Relationship Id="rId706" Type="http://schemas.openxmlformats.org/officeDocument/2006/relationships/hyperlink" Target="https://www.nature.com/articles/s41586-026-10554-z" TargetMode="External"/><Relationship Id="rId707" Type="http://schemas.openxmlformats.org/officeDocument/2006/relationships/hyperlink" Target="https://doi.org/10.1038/s41586-026-10554-z" TargetMode="External"/><Relationship Id="rId708" Type="http://schemas.openxmlformats.org/officeDocument/2006/relationships/hyperlink" Target="https://www.nature.com/articles/s44286-026-00398-9" TargetMode="External"/><Relationship Id="rId709" Type="http://schemas.openxmlformats.org/officeDocument/2006/relationships/hyperlink" Target="https://doi.org/10.1038/s44286-026-00398-9" TargetMode="External"/><Relationship Id="rId710" Type="http://schemas.openxmlformats.org/officeDocument/2006/relationships/hyperlink" Target="https://www.nature.com/articles/s41586-026-10565-w" TargetMode="External"/><Relationship Id="rId711" Type="http://schemas.openxmlformats.org/officeDocument/2006/relationships/hyperlink" Target="https://doi.org/10.1038/s41586-026-10565-w" TargetMode="External"/><Relationship Id="rId712" Type="http://schemas.openxmlformats.org/officeDocument/2006/relationships/hyperlink" Target="https://www.nature.com/articles/s41586-026-10464-0" TargetMode="External"/><Relationship Id="rId713" Type="http://schemas.openxmlformats.org/officeDocument/2006/relationships/hyperlink" Target="https://doi.org/10.1038/s41586-026-10464-0" TargetMode="External"/><Relationship Id="rId714" Type="http://schemas.openxmlformats.org/officeDocument/2006/relationships/hyperlink" Target="https://www.nature.com/articles/d41586-026-01573-x" TargetMode="External"/><Relationship Id="rId715" Type="http://schemas.openxmlformats.org/officeDocument/2006/relationships/hyperlink" Target="https://doi.org/10.1038/d41586-026-01573-x" TargetMode="External"/><Relationship Id="rId716" Type="http://schemas.openxmlformats.org/officeDocument/2006/relationships/hyperlink" Target="https://www.nature.com/articles/s41586-026-10485-9" TargetMode="External"/><Relationship Id="rId717" Type="http://schemas.openxmlformats.org/officeDocument/2006/relationships/hyperlink" Target="https://doi.org/10.1038/s41586-026-10485-9" TargetMode="External"/><Relationship Id="rId718" Type="http://schemas.openxmlformats.org/officeDocument/2006/relationships/hyperlink" Target="https://www.nature.com/articles/s41560-026-02065-y" TargetMode="External"/><Relationship Id="rId719" Type="http://schemas.openxmlformats.org/officeDocument/2006/relationships/hyperlink" Target="https://doi.org/10.1038/s41560-026-02065-y" TargetMode="External"/><Relationship Id="rId720" Type="http://schemas.openxmlformats.org/officeDocument/2006/relationships/hyperlink" Target="https://www.nature.com/articles/s41586-026-10509-4" TargetMode="External"/><Relationship Id="rId721" Type="http://schemas.openxmlformats.org/officeDocument/2006/relationships/hyperlink" Target="https://doi.org/10.1038/s41586-026-10509-4" TargetMode="External"/><Relationship Id="rId722" Type="http://schemas.openxmlformats.org/officeDocument/2006/relationships/hyperlink" Target="https://www.nature.com/articles/s41586-026-10520-9" TargetMode="External"/><Relationship Id="rId723" Type="http://schemas.openxmlformats.org/officeDocument/2006/relationships/hyperlink" Target="https://doi.org/10.1038/s41586-026-10520-9" TargetMode="External"/><Relationship Id="rId724" Type="http://schemas.openxmlformats.org/officeDocument/2006/relationships/hyperlink" Target="https://www.nature.com/articles/s41586-026-10528-1" TargetMode="External"/><Relationship Id="rId725" Type="http://schemas.openxmlformats.org/officeDocument/2006/relationships/hyperlink" Target="https://doi.org/10.1038/s41586-026-10528-1" TargetMode="External"/><Relationship Id="rId726" Type="http://schemas.openxmlformats.org/officeDocument/2006/relationships/hyperlink" Target="https://www.nature.com/articles/s41586-026-10297-x" TargetMode="External"/><Relationship Id="rId727" Type="http://schemas.openxmlformats.org/officeDocument/2006/relationships/hyperlink" Target="https://doi.org/10.1038/s41586-026-10297-x" TargetMode="External"/><Relationship Id="rId728" Type="http://schemas.openxmlformats.org/officeDocument/2006/relationships/hyperlink" Target="https://www.nature.com/articles/s41586-026-10535-2" TargetMode="External"/><Relationship Id="rId729" Type="http://schemas.openxmlformats.org/officeDocument/2006/relationships/hyperlink" Target="https://doi.org/10.1038/s41586-026-10535-2" TargetMode="External"/><Relationship Id="rId730" Type="http://schemas.openxmlformats.org/officeDocument/2006/relationships/hyperlink" Target="https://www.nature.com/articles/s41586-026-10570-z" TargetMode="External"/><Relationship Id="rId731" Type="http://schemas.openxmlformats.org/officeDocument/2006/relationships/hyperlink" Target="https://doi.org/10.1038/s41586-026-10570-z" TargetMode="External"/><Relationship Id="rId732" Type="http://schemas.openxmlformats.org/officeDocument/2006/relationships/hyperlink" Target="https://www.nature.com/articles/s41586-026-10502-x" TargetMode="External"/><Relationship Id="rId733" Type="http://schemas.openxmlformats.org/officeDocument/2006/relationships/hyperlink" Target="https://doi.org/10.1038/s41586-026-10502-x" TargetMode="External"/><Relationship Id="rId734" Type="http://schemas.openxmlformats.org/officeDocument/2006/relationships/hyperlink" Target="https://www.nature.com/articles/s41586-026-10572-x" TargetMode="External"/><Relationship Id="rId735" Type="http://schemas.openxmlformats.org/officeDocument/2006/relationships/hyperlink" Target="https://doi.org/10.1038/s41586-026-10572-x" TargetMode="External"/><Relationship Id="rId736" Type="http://schemas.openxmlformats.org/officeDocument/2006/relationships/hyperlink" Target="https://www.sciencedirect.com/science/article/pii/S0306261926007129?dgcid=rss_sd_all" TargetMode="External"/><Relationship Id="rId737" Type="http://schemas.openxmlformats.org/officeDocument/2006/relationships/hyperlink" Target="https://www.nature.com/articles/s41586-026-10532-5" TargetMode="External"/><Relationship Id="rId738" Type="http://schemas.openxmlformats.org/officeDocument/2006/relationships/hyperlink" Target="https://doi.org/10.1038/s41586-026-10532-5" TargetMode="External"/><Relationship Id="rId739" Type="http://schemas.openxmlformats.org/officeDocument/2006/relationships/hyperlink" Target="https://www.nature.com/articles/s41928-026-01639-8" TargetMode="External"/><Relationship Id="rId740" Type="http://schemas.openxmlformats.org/officeDocument/2006/relationships/hyperlink" Target="https://doi.org/10.1038/s41928-026-01639-8" TargetMode="External"/><Relationship Id="rId741" Type="http://schemas.openxmlformats.org/officeDocument/2006/relationships/hyperlink" Target="https://www.cell.com/chem/fulltext/S2451-9294(26)00134-8?rss=yes" TargetMode="External"/><Relationship Id="rId742" Type="http://schemas.openxmlformats.org/officeDocument/2006/relationships/hyperlink" Target="https://doi.org/10.1016/j.chempr.2026.103068" TargetMode="External"/><Relationship Id="rId743" Type="http://schemas.openxmlformats.org/officeDocument/2006/relationships/hyperlink" Target="https://www.nature.com/articles/d41586-026-01323-z" TargetMode="External"/><Relationship Id="rId744" Type="http://schemas.openxmlformats.org/officeDocument/2006/relationships/hyperlink" Target="https://doi.org/10.1038/d41586-026-01323-z" TargetMode="External"/><Relationship Id="rId745" Type="http://schemas.openxmlformats.org/officeDocument/2006/relationships/hyperlink" Target="https://www.nature.com/articles/s41586-026-10642-0" TargetMode="External"/><Relationship Id="rId746" Type="http://schemas.openxmlformats.org/officeDocument/2006/relationships/hyperlink" Target="https://doi.org/10.1038/s41586-026-10642-0" TargetMode="External"/><Relationship Id="rId747" Type="http://schemas.openxmlformats.org/officeDocument/2006/relationships/hyperlink" Target="https://www.nature.com/articles/s41928-026-01616-1" TargetMode="External"/><Relationship Id="rId748" Type="http://schemas.openxmlformats.org/officeDocument/2006/relationships/hyperlink" Target="https://doi.org/10.1038/s41928-026-01616-1" TargetMode="External"/><Relationship Id="rId749" Type="http://schemas.openxmlformats.org/officeDocument/2006/relationships/hyperlink" Target="https://www.nature.com/articles/d41586-026-00431-0" TargetMode="External"/><Relationship Id="rId750" Type="http://schemas.openxmlformats.org/officeDocument/2006/relationships/hyperlink" Target="https://doi.org/10.1038/d41586-026-00431-0" TargetMode="External"/><Relationship Id="rId751" Type="http://schemas.openxmlformats.org/officeDocument/2006/relationships/hyperlink" Target="https://www.nature.com/articles/d41586-026-01643-0" TargetMode="External"/><Relationship Id="rId752" Type="http://schemas.openxmlformats.org/officeDocument/2006/relationships/hyperlink" Target="https://doi.org/10.1038/d41586-026-01643-0" TargetMode="External"/><Relationship Id="rId753" Type="http://schemas.openxmlformats.org/officeDocument/2006/relationships/hyperlink" Target="https://www.nature.com/articles/d41586-026-00428-9" TargetMode="External"/><Relationship Id="rId754" Type="http://schemas.openxmlformats.org/officeDocument/2006/relationships/hyperlink" Target="https://doi.org/10.1038/d41586-026-00428-9" TargetMode="External"/><Relationship Id="rId755" Type="http://schemas.openxmlformats.org/officeDocument/2006/relationships/hyperlink" Target="https://www.nature.com/articles/s41928-026-01637-w" TargetMode="External"/><Relationship Id="rId756" Type="http://schemas.openxmlformats.org/officeDocument/2006/relationships/hyperlink" Target="https://doi.org/10.1038/s41928-026-01637-w" TargetMode="External"/><Relationship Id="rId757" Type="http://schemas.openxmlformats.org/officeDocument/2006/relationships/hyperlink" Target="https://www.nature.com/articles/s41586-026-10659-5" TargetMode="External"/><Relationship Id="rId758" Type="http://schemas.openxmlformats.org/officeDocument/2006/relationships/hyperlink" Target="https://doi.org/10.1038/s41586-026-10659-5" TargetMode="External"/><Relationship Id="rId759" Type="http://schemas.openxmlformats.org/officeDocument/2006/relationships/hyperlink" Target="https://www.science.org/doi/abs/10.1126/sciadv.aec4849?af=R" TargetMode="External"/><Relationship Id="rId760" Type="http://schemas.openxmlformats.org/officeDocument/2006/relationships/hyperlink" Target="https://doi.org/10.1126/sciadv.aec4849" TargetMode="External"/><Relationship Id="rId761" Type="http://schemas.openxmlformats.org/officeDocument/2006/relationships/hyperlink" Target="https://www.science.org/doi/abs/10.1126/sciadv.aec9946?af=R" TargetMode="External"/><Relationship Id="rId762" Type="http://schemas.openxmlformats.org/officeDocument/2006/relationships/hyperlink" Target="https://doi.org/10.1126/sciadv.aec9946" TargetMode="External"/><Relationship Id="rId763" Type="http://schemas.openxmlformats.org/officeDocument/2006/relationships/hyperlink" Target="https://www.science.org/doi/abs/10.1126/sciadv.aeb1175?af=R" TargetMode="External"/><Relationship Id="rId764" Type="http://schemas.openxmlformats.org/officeDocument/2006/relationships/hyperlink" Target="https://doi.org/10.1126/sciadv.aeb1175" TargetMode="External"/><Relationship Id="rId765" Type="http://schemas.openxmlformats.org/officeDocument/2006/relationships/hyperlink" Target="https://www.science.org/doi/abs/10.1126/sciadv.aeb8034?af=R" TargetMode="External"/><Relationship Id="rId766" Type="http://schemas.openxmlformats.org/officeDocument/2006/relationships/hyperlink" Target="https://doi.org/10.1126/sciadv.aeb8034" TargetMode="External"/><Relationship Id="rId767" Type="http://schemas.openxmlformats.org/officeDocument/2006/relationships/hyperlink" Target="https://www.pnas.org/doi/abs/10.1073/pnas.2512042123?mi=eymic2&amp;af=R&amp;access=on&amp;content=articlesChapters&amp;publication=pnas&amp;sortBy=Earliest&amp;target=default" TargetMode="External"/><Relationship Id="rId768" Type="http://schemas.openxmlformats.org/officeDocument/2006/relationships/hyperlink" Target="https://doi.org/10.1073/pnas.2512042123" TargetMode="External"/><Relationship Id="rId769" Type="http://schemas.openxmlformats.org/officeDocument/2006/relationships/hyperlink" Target="https://www.pnas.org/doi/abs/10.1073/pnas.2513733123?mi=eymic2&amp;af=R&amp;access=on&amp;content=articlesChapters&amp;publication=pnas&amp;sortBy=Earliest&amp;target=default" TargetMode="External"/><Relationship Id="rId770" Type="http://schemas.openxmlformats.org/officeDocument/2006/relationships/hyperlink" Target="https://doi.org/10.1073/pnas.2513733123" TargetMode="External"/><Relationship Id="rId771" Type="http://schemas.openxmlformats.org/officeDocument/2006/relationships/hyperlink" Target="https://www.pnas.org/doi/abs/10.1073/pnas.2519235123?mi=eymic2&amp;af=R&amp;access=on&amp;content=articlesChapters&amp;publication=pnas&amp;sortBy=Earliest&amp;target=default" TargetMode="External"/><Relationship Id="rId772" Type="http://schemas.openxmlformats.org/officeDocument/2006/relationships/hyperlink" Target="https://doi.org/10.1073/pnas.2519235123" TargetMode="External"/><Relationship Id="rId773" Type="http://schemas.openxmlformats.org/officeDocument/2006/relationships/hyperlink" Target="https://www.science.org/doi/abs/10.1126/sciadv.ady3905?af=R" TargetMode="External"/><Relationship Id="rId774" Type="http://schemas.openxmlformats.org/officeDocument/2006/relationships/hyperlink" Target="https://doi.org/10.1126/sciadv.ady3905" TargetMode="External"/><Relationship Id="rId775" Type="http://schemas.openxmlformats.org/officeDocument/2006/relationships/hyperlink" Target="https://www.pnas.org/doi/abs/10.1073/pnas.2521491123?mi=eymic2&amp;af=R&amp;access=on&amp;content=articlesChapters&amp;publication=pnas&amp;sortBy=Earliest&amp;target=default" TargetMode="External"/><Relationship Id="rId776" Type="http://schemas.openxmlformats.org/officeDocument/2006/relationships/hyperlink" Target="https://doi.org/10.1073/pnas.2521491123" TargetMode="External"/><Relationship Id="rId777" Type="http://schemas.openxmlformats.org/officeDocument/2006/relationships/hyperlink" Target="https://www.science.org/doi/abs/10.1126/sciadv.aeb6751?af=R" TargetMode="External"/><Relationship Id="rId778" Type="http://schemas.openxmlformats.org/officeDocument/2006/relationships/hyperlink" Target="https://doi.org/10.1126/sciadv.aeb6751" TargetMode="External"/><Relationship Id="rId779" Type="http://schemas.openxmlformats.org/officeDocument/2006/relationships/hyperlink" Target="https://www.science.org/doi/abs/10.1126/sciadv.aee4450?af=R" TargetMode="External"/><Relationship Id="rId780" Type="http://schemas.openxmlformats.org/officeDocument/2006/relationships/hyperlink" Target="https://doi.org/10.1126/sciadv.aee4450" TargetMode="External"/><Relationship Id="rId781" Type="http://schemas.openxmlformats.org/officeDocument/2006/relationships/hyperlink" Target="https://www.science.org/doi/abs/10.1126/sciadv.aed1895?af=R" TargetMode="External"/><Relationship Id="rId782" Type="http://schemas.openxmlformats.org/officeDocument/2006/relationships/hyperlink" Target="https://doi.org/10.1126/sciadv.aed1895" TargetMode="External"/><Relationship Id="rId783" Type="http://schemas.openxmlformats.org/officeDocument/2006/relationships/hyperlink" Target="https://www.science.org/doi/abs/10.1126/sciadv.aeg0950?af=R" TargetMode="External"/><Relationship Id="rId784" Type="http://schemas.openxmlformats.org/officeDocument/2006/relationships/hyperlink" Target="https://doi.org/10.1126/sciadv.aeg0950" TargetMode="External"/><Relationship Id="rId785" Type="http://schemas.openxmlformats.org/officeDocument/2006/relationships/hyperlink" Target="https://www.science.org/doi/abs/10.1126/sciadv.aef6658?af=R" TargetMode="External"/><Relationship Id="rId786" Type="http://schemas.openxmlformats.org/officeDocument/2006/relationships/hyperlink" Target="https://doi.org/10.1126/sciadv.aef6658" TargetMode="External"/><Relationship Id="rId787" Type="http://schemas.openxmlformats.org/officeDocument/2006/relationships/hyperlink" Target="https://www.science.org/doi/abs/10.1126/sciadv.aed5473?af=R" TargetMode="External"/><Relationship Id="rId788" Type="http://schemas.openxmlformats.org/officeDocument/2006/relationships/hyperlink" Target="https://doi.org/10.1126/sciadv.aed5473" TargetMode="External"/><Relationship Id="rId789" Type="http://schemas.openxmlformats.org/officeDocument/2006/relationships/hyperlink" Target="https://www.science.org/doi/abs/10.1126/sciadv.aee6559?af=R" TargetMode="External"/><Relationship Id="rId790" Type="http://schemas.openxmlformats.org/officeDocument/2006/relationships/hyperlink" Target="https://doi.org/10.1126/sciadv.aee6559" TargetMode="External"/><Relationship Id="rId791" Type="http://schemas.openxmlformats.org/officeDocument/2006/relationships/hyperlink" Target="https://www.science.org/doi/abs/10.1126/sciadv.aed3138?af=R" TargetMode="External"/><Relationship Id="rId792" Type="http://schemas.openxmlformats.org/officeDocument/2006/relationships/hyperlink" Target="https://doi.org/10.1126/sciadv.aed3138" TargetMode="External"/><Relationship Id="rId793" Type="http://schemas.openxmlformats.org/officeDocument/2006/relationships/hyperlink" Target="https://www.science.org/doi/abs/10.1126/sciadv.aeb2316?af=R" TargetMode="External"/><Relationship Id="rId794" Type="http://schemas.openxmlformats.org/officeDocument/2006/relationships/hyperlink" Target="https://doi.org/10.1126/sciadv.aeb2316" TargetMode="External"/><Relationship Id="rId795" Type="http://schemas.openxmlformats.org/officeDocument/2006/relationships/hyperlink" Target="https://www.science.org/doi/abs/10.1126/sciadv.aed9796?af=R" TargetMode="External"/><Relationship Id="rId796" Type="http://schemas.openxmlformats.org/officeDocument/2006/relationships/hyperlink" Target="https://doi.org/10.1126/sciadv.aed9796" TargetMode="External"/><Relationship Id="rId797" Type="http://schemas.openxmlformats.org/officeDocument/2006/relationships/hyperlink" Target="https://www.science.org/doi/abs/10.1126/sciadv.aee1996?af=R" TargetMode="External"/><Relationship Id="rId798" Type="http://schemas.openxmlformats.org/officeDocument/2006/relationships/hyperlink" Target="https://doi.org/10.1126/sciadv.aee1996" TargetMode="External"/><Relationship Id="rId799" Type="http://schemas.openxmlformats.org/officeDocument/2006/relationships/hyperlink" Target="https://www.science.org/doi/abs/10.1126/sciadv.aed9517?af=R" TargetMode="External"/><Relationship Id="rId800" Type="http://schemas.openxmlformats.org/officeDocument/2006/relationships/hyperlink" Target="https://doi.org/10.1126/sciadv.aed9517" TargetMode="External"/><Relationship Id="rId801" Type="http://schemas.openxmlformats.org/officeDocument/2006/relationships/hyperlink" Target="https://www.pnas.org/doi/abs/10.1073/pnas.2524201123?mi=eymic2&amp;af=R&amp;access=on&amp;content=articlesChapters&amp;publication=pnas&amp;sortBy=Earliest&amp;target=default" TargetMode="External"/><Relationship Id="rId802" Type="http://schemas.openxmlformats.org/officeDocument/2006/relationships/hyperlink" Target="https://doi.org/10.1073/pnas.2524201123" TargetMode="External"/><Relationship Id="rId803" Type="http://schemas.openxmlformats.org/officeDocument/2006/relationships/hyperlink" Target="https://www.science.org/doi/abs/10.1126/sciadv.aea5936?af=R" TargetMode="External"/><Relationship Id="rId804" Type="http://schemas.openxmlformats.org/officeDocument/2006/relationships/hyperlink" Target="https://doi.org/10.1126/sciadv.aea5936" TargetMode="External"/><Relationship Id="rId805" Type="http://schemas.openxmlformats.org/officeDocument/2006/relationships/hyperlink" Target="https://www.pnas.org/doi/abs/10.1073/pnas.2528689123?mi=eymic2&amp;af=R&amp;access=on&amp;content=articlesChapters&amp;publication=pnas&amp;sortBy=Earliest&amp;target=default" TargetMode="External"/><Relationship Id="rId806" Type="http://schemas.openxmlformats.org/officeDocument/2006/relationships/hyperlink" Target="https://doi.org/10.1073/pnas.2528689123" TargetMode="External"/><Relationship Id="rId807" Type="http://schemas.openxmlformats.org/officeDocument/2006/relationships/hyperlink" Target="https://www.pnas.org/doi/abs/10.1073/pnas.2604848123?mi=eymic2&amp;af=R&amp;access=on&amp;content=articlesChapters&amp;publication=pnas&amp;sortBy=Earliest&amp;target=default" TargetMode="External"/><Relationship Id="rId808" Type="http://schemas.openxmlformats.org/officeDocument/2006/relationships/hyperlink" Target="https://doi.org/10.1073/pnas.2604848123" TargetMode="External"/><Relationship Id="rId809" Type="http://schemas.openxmlformats.org/officeDocument/2006/relationships/hyperlink" Target="https://www.pnas.org/doi/abs/10.1073/pnas.2534871123?mi=eymic2&amp;af=R&amp;access=on&amp;content=articlesChapters&amp;publication=pnas&amp;sortBy=Earliest&amp;target=default" TargetMode="External"/><Relationship Id="rId810" Type="http://schemas.openxmlformats.org/officeDocument/2006/relationships/hyperlink" Target="https://doi.org/10.1073/pnas.2534871123" TargetMode="External"/><Relationship Id="rId811" Type="http://schemas.openxmlformats.org/officeDocument/2006/relationships/hyperlink" Target="https://www.science.org/doi/abs/10.1126/sciadv.aea0652?af=R" TargetMode="External"/><Relationship Id="rId812" Type="http://schemas.openxmlformats.org/officeDocument/2006/relationships/hyperlink" Target="https://doi.org/10.1126/sciadv.aea0652" TargetMode="External"/><Relationship Id="rId813" Type="http://schemas.openxmlformats.org/officeDocument/2006/relationships/hyperlink" Target="https://www.pnas.org/doi/abs/10.1073/pnas.2534053123?mi=eymic2&amp;af=R&amp;access=on&amp;content=articlesChapters&amp;publication=pnas&amp;sortBy=Earliest&amp;target=default" TargetMode="External"/><Relationship Id="rId814" Type="http://schemas.openxmlformats.org/officeDocument/2006/relationships/hyperlink" Target="https://doi.org/10.1073/pnas.2534053123" TargetMode="External"/><Relationship Id="rId815" Type="http://schemas.openxmlformats.org/officeDocument/2006/relationships/hyperlink" Target="https://www.science.org/doi/abs/10.1126/sciadv.aed2480?af=R" TargetMode="External"/><Relationship Id="rId816" Type="http://schemas.openxmlformats.org/officeDocument/2006/relationships/hyperlink" Target="https://doi.org/10.1126/sciadv.aed2480" TargetMode="External"/><Relationship Id="rId817" Type="http://schemas.openxmlformats.org/officeDocument/2006/relationships/hyperlink" Target="https://www.science.org/doi/abs/10.1126/sciadv.ady2183?af=R" TargetMode="External"/><Relationship Id="rId818" Type="http://schemas.openxmlformats.org/officeDocument/2006/relationships/hyperlink" Target="https://doi.org/10.1126/sciadv.ady2183" TargetMode="External"/><Relationship Id="rId819" Type="http://schemas.openxmlformats.org/officeDocument/2006/relationships/hyperlink" Target="https://www.science.org/doi/abs/10.1126/sciadv.aeb1522?af=R" TargetMode="External"/><Relationship Id="rId820" Type="http://schemas.openxmlformats.org/officeDocument/2006/relationships/hyperlink" Target="https://doi.org/10.1126/sciadv.aeb1522" TargetMode="External"/><Relationship Id="rId821" Type="http://schemas.openxmlformats.org/officeDocument/2006/relationships/hyperlink" Target="https://www.science.org/doi/abs/10.1126/sciadv.aeb4888?af=R" TargetMode="External"/><Relationship Id="rId822" Type="http://schemas.openxmlformats.org/officeDocument/2006/relationships/hyperlink" Target="https://doi.org/10.1126/sciadv.aeb4888" TargetMode="External"/><Relationship Id="rId823" Type="http://schemas.openxmlformats.org/officeDocument/2006/relationships/hyperlink" Target="https://www.science.org/doi/abs/10.1126/sciadv.aeb1429?af=R" TargetMode="External"/><Relationship Id="rId824" Type="http://schemas.openxmlformats.org/officeDocument/2006/relationships/hyperlink" Target="https://doi.org/10.1126/sciadv.aeb1429" TargetMode="External"/><Relationship Id="rId825" Type="http://schemas.openxmlformats.org/officeDocument/2006/relationships/hyperlink" Target="https://www.science.org/doi/abs/10.1126/sciadv.aed9004?af=R" TargetMode="External"/><Relationship Id="rId826" Type="http://schemas.openxmlformats.org/officeDocument/2006/relationships/hyperlink" Target="https://doi.org/10.1126/sciadv.aed9004" TargetMode="External"/><Relationship Id="rId827" Type="http://schemas.openxmlformats.org/officeDocument/2006/relationships/hyperlink" Target="https://www.science.org/doi/abs/10.1126/sciadv.aeb0901?af=R" TargetMode="External"/><Relationship Id="rId828" Type="http://schemas.openxmlformats.org/officeDocument/2006/relationships/hyperlink" Target="https://doi.org/10.1126/sciadv.aeb0901" TargetMode="External"/><Relationship Id="rId829" Type="http://schemas.openxmlformats.org/officeDocument/2006/relationships/hyperlink" Target="https://www.science.org/doi/abs/10.1126/sciadv.aea0755?af=R" TargetMode="External"/><Relationship Id="rId830" Type="http://schemas.openxmlformats.org/officeDocument/2006/relationships/hyperlink" Target="https://doi.org/10.1126/sciadv.aea0755" TargetMode="External"/><Relationship Id="rId831" Type="http://schemas.openxmlformats.org/officeDocument/2006/relationships/hyperlink" Target="https://www.science.org/doi/abs/10.1126/sciadv.aed9464?af=R" TargetMode="External"/><Relationship Id="rId832" Type="http://schemas.openxmlformats.org/officeDocument/2006/relationships/hyperlink" Target="https://doi.org/10.1126/sciadv.aed9464" TargetMode="External"/><Relationship Id="rId833" Type="http://schemas.openxmlformats.org/officeDocument/2006/relationships/hyperlink" Target="https://www.science.org/doi/abs/10.1126/sciadv.adz8245?af=R" TargetMode="External"/><Relationship Id="rId834" Type="http://schemas.openxmlformats.org/officeDocument/2006/relationships/hyperlink" Target="https://doi.org/10.1126/sciadv.adz8245" TargetMode="External"/><Relationship Id="rId835" Type="http://schemas.openxmlformats.org/officeDocument/2006/relationships/hyperlink" Target="https://www.science.org/doi/abs/10.1126/sciadv.adz7117?af=R" TargetMode="External"/><Relationship Id="rId836" Type="http://schemas.openxmlformats.org/officeDocument/2006/relationships/hyperlink" Target="https://doi.org/10.1126/sciadv.adz7117" TargetMode="External"/><Relationship Id="rId837" Type="http://schemas.openxmlformats.org/officeDocument/2006/relationships/hyperlink" Target="https://www.science.org/doi/abs/10.1126/sciadv.ady2322?af=R" TargetMode="External"/><Relationship Id="rId838" Type="http://schemas.openxmlformats.org/officeDocument/2006/relationships/hyperlink" Target="https://doi.org/10.1126/sciadv.ady2322" TargetMode="External"/><Relationship Id="rId839" Type="http://schemas.openxmlformats.org/officeDocument/2006/relationships/hyperlink" Target="https://www.science.org/doi/abs/10.1126/sciadv.adq6577?af=R" TargetMode="External"/><Relationship Id="rId840" Type="http://schemas.openxmlformats.org/officeDocument/2006/relationships/hyperlink" Target="https://doi.org/10.1126/sciadv.adq6577" TargetMode="External"/><Relationship Id="rId841" Type="http://schemas.openxmlformats.org/officeDocument/2006/relationships/hyperlink" Target="https://www.pnas.org/doi/abs/10.1073/pnas.2615307123?mi=eymic2&amp;af=R&amp;access=on&amp;content=articlesChapters&amp;publication=pnas&amp;sortBy=Earliest&amp;target=default" TargetMode="External"/><Relationship Id="rId842" Type="http://schemas.openxmlformats.org/officeDocument/2006/relationships/hyperlink" Target="https://doi.org/10.1073/pnas.2615307123" TargetMode="External"/><Relationship Id="rId843" Type="http://schemas.openxmlformats.org/officeDocument/2006/relationships/hyperlink" Target="https://www.pnas.org/doi/abs/10.1073/pnas.2615114123?mi=eymic2&amp;af=R&amp;access=on&amp;content=articlesChapters&amp;publication=pnas&amp;sortBy=Earliest&amp;target=default" TargetMode="External"/><Relationship Id="rId844" Type="http://schemas.openxmlformats.org/officeDocument/2006/relationships/hyperlink" Target="https://doi.org/10.1073/pnas.2615114123" TargetMode="External"/><Relationship Id="rId845" Type="http://schemas.openxmlformats.org/officeDocument/2006/relationships/hyperlink" Target="https://www.pnas.org/doi/abs/10.1073/pnas.2608600123?mi=eymic2&amp;af=R&amp;access=on&amp;content=articlesChapters&amp;publication=pnas&amp;sortBy=Earliest&amp;target=default" TargetMode="External"/><Relationship Id="rId846" Type="http://schemas.openxmlformats.org/officeDocument/2006/relationships/hyperlink" Target="https://doi.org/10.1073/pnas.2608600123" TargetMode="External"/><Relationship Id="rId847" Type="http://schemas.openxmlformats.org/officeDocument/2006/relationships/hyperlink" Target="https://www.pnas.org/doi/abs/10.1073/pnas.2536912123?mi=eymic2&amp;af=R&amp;access=on&amp;content=articlesChapters&amp;publication=pnas&amp;sortBy=Earliest&amp;target=default" TargetMode="External"/><Relationship Id="rId848" Type="http://schemas.openxmlformats.org/officeDocument/2006/relationships/hyperlink" Target="https://doi.org/10.1073/pnas.2536912123" TargetMode="External"/><Relationship Id="rId849" Type="http://schemas.openxmlformats.org/officeDocument/2006/relationships/hyperlink" Target="https://www.pnas.org/doi/abs/10.1073/pnas.2536661123?mi=eymic2&amp;af=R&amp;access=on&amp;content=articlesChapters&amp;publication=pnas&amp;sortBy=Earliest&amp;target=default" TargetMode="External"/><Relationship Id="rId850" Type="http://schemas.openxmlformats.org/officeDocument/2006/relationships/hyperlink" Target="https://doi.org/10.1073/pnas.2536661123" TargetMode="External"/><Relationship Id="rId851" Type="http://schemas.openxmlformats.org/officeDocument/2006/relationships/hyperlink" Target="https://www.pnas.org/doi/abs/10.1073/pnas.2536550123?mi=eymic2&amp;af=R&amp;access=on&amp;content=articlesChapters&amp;publication=pnas&amp;sortBy=Earliest&amp;target=default" TargetMode="External"/><Relationship Id="rId852" Type="http://schemas.openxmlformats.org/officeDocument/2006/relationships/hyperlink" Target="https://doi.org/10.1073/pnas.2536550123" TargetMode="External"/><Relationship Id="rId853" Type="http://schemas.openxmlformats.org/officeDocument/2006/relationships/hyperlink" Target="https://www.science.org/doi/abs/10.1126/sciadv.adz9295?af=R" TargetMode="External"/><Relationship Id="rId854" Type="http://schemas.openxmlformats.org/officeDocument/2006/relationships/hyperlink" Target="https://doi.org/10.1126/sciadv.adz9295" TargetMode="External"/><Relationship Id="rId855" Type="http://schemas.openxmlformats.org/officeDocument/2006/relationships/hyperlink" Target="https://advanced.onlinelibrary.wiley.com/doi/10.1002/adma.202523668?af=R" TargetMode="External"/><Relationship Id="rId856" Type="http://schemas.openxmlformats.org/officeDocument/2006/relationships/hyperlink" Target="https://doi.org/10.1002/adma.202523668" TargetMode="External"/><Relationship Id="rId857" Type="http://schemas.openxmlformats.org/officeDocument/2006/relationships/hyperlink" Target="http://dx.doi.org/10.1021/jacs.6c00891" TargetMode="External"/><Relationship Id="rId858" Type="http://schemas.openxmlformats.org/officeDocument/2006/relationships/hyperlink" Target="https://doi.org/10.1021/jacs.6c00891" TargetMode="External"/><Relationship Id="rId859" Type="http://schemas.openxmlformats.org/officeDocument/2006/relationships/hyperlink" Target="http://dx.doi.org/10.1021/jacs.6c06502" TargetMode="External"/><Relationship Id="rId860" Type="http://schemas.openxmlformats.org/officeDocument/2006/relationships/hyperlink" Target="https://doi.org/10.1021/jacs.6c06502" TargetMode="External"/><Relationship Id="rId861" Type="http://schemas.openxmlformats.org/officeDocument/2006/relationships/hyperlink" Target="http://dx.doi.org/10.1021/jacs.6c02192" TargetMode="External"/><Relationship Id="rId862" Type="http://schemas.openxmlformats.org/officeDocument/2006/relationships/hyperlink" Target="https://doi.org/10.1021/jacs.6c02192" TargetMode="External"/><Relationship Id="rId863" Type="http://schemas.openxmlformats.org/officeDocument/2006/relationships/hyperlink" Target="http://dx.doi.org/10.1021/jacs.6c02433" TargetMode="External"/><Relationship Id="rId864" Type="http://schemas.openxmlformats.org/officeDocument/2006/relationships/hyperlink" Target="https://doi.org/10.1021/jacs.6c02433" TargetMode="External"/><Relationship Id="rId865" Type="http://schemas.openxmlformats.org/officeDocument/2006/relationships/hyperlink" Target="http://dx.doi.org/10.1021/jacs.6c07088" TargetMode="External"/><Relationship Id="rId866" Type="http://schemas.openxmlformats.org/officeDocument/2006/relationships/hyperlink" Target="https://doi.org/10.1021/jacs.6c07088" TargetMode="External"/><Relationship Id="rId867" Type="http://schemas.openxmlformats.org/officeDocument/2006/relationships/hyperlink" Target="http://dx.doi.org/10.1021/jacs.6c07579" TargetMode="External"/><Relationship Id="rId868" Type="http://schemas.openxmlformats.org/officeDocument/2006/relationships/hyperlink" Target="https://doi.org/10.1021/jacs.6c07579" TargetMode="External"/><Relationship Id="rId869" Type="http://schemas.openxmlformats.org/officeDocument/2006/relationships/hyperlink" Target="http://dx.doi.org/10.1021/acs.chemrev.5c00534" TargetMode="External"/><Relationship Id="rId870" Type="http://schemas.openxmlformats.org/officeDocument/2006/relationships/hyperlink" Target="https://doi.org/10.1021/acs.chemrev.5c00534" TargetMode="External"/><Relationship Id="rId871" Type="http://schemas.openxmlformats.org/officeDocument/2006/relationships/hyperlink" Target="http://dx.doi.org/10.1021/jacs.5c22149" TargetMode="External"/><Relationship Id="rId872" Type="http://schemas.openxmlformats.org/officeDocument/2006/relationships/hyperlink" Target="https://doi.org/10.1021/jacs.5c22149" TargetMode="External"/><Relationship Id="rId873" Type="http://schemas.openxmlformats.org/officeDocument/2006/relationships/hyperlink" Target="http://dx.doi.org/10.1021/jacs.5c20041" TargetMode="External"/><Relationship Id="rId874" Type="http://schemas.openxmlformats.org/officeDocument/2006/relationships/hyperlink" Target="https://doi.org/10.1021/jacs.5c20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