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2026-05-29</w:t>
      </w:r>
    </w:p>
    <w:p>
      <w:pPr>
        <w:spacing w:before="160" w:after="120"/>
      </w:pPr>
      <w:r>
        <w:rPr>
          <w:b/>
          <w:sz w:val="28"/>
        </w:rPr>
        <w:t>【光伏】</w:t>
      </w:r>
    </w:p>
    <w:p>
      <w:pPr>
        <w:spacing w:before="160" w:after="40" w:line="240" w:lineRule="auto"/>
      </w:pPr>
      <w:r>
        <w:rPr>
          <w:b/>
        </w:rPr>
        <w:t xml:space="preserve">[1] </w:t>
      </w:r>
      <w:hyperlink r:id="rId9">
        <w:r>
          <w:rPr>
            <w:color w:val="1155CC"/>
            <w:u w:val="single"/>
          </w:rPr>
          <w:t>CdS 缓冲剂的表面微观结构重建使低电压损耗钾长石太阳能电池的效率 &gt;15%</w:t>
        </w:r>
      </w:hyperlink>
    </w:p>
    <w:p>
      <w:pPr>
        <w:spacing w:before="0" w:after="80"/>
      </w:pPr>
      <w:r>
        <w:rPr>
          <w:i/>
          <w:sz w:val="20"/>
        </w:rPr>
        <w:t>EN: Surface Microstructural Reconstruction of CdS Buffers Enables Low‐Voltage‐Loss Kesterite Solar Cells With &gt;15% Efficiency</w:t>
      </w:r>
    </w:p>
    <w:p>
      <w:pPr>
        <w:spacing w:before="0" w:after="120"/>
      </w:pPr>
      <w:r>
        <w:rPr>
          <w:b/>
        </w:rPr>
        <w:t xml:space="preserve">Source: </w:t>
      </w:r>
      <w:r>
        <w:t>Wiley: Advanced Materials: Table of Contents</w:t>
      </w:r>
      <w:r>
        <w:t xml:space="preserve">    </w:t>
      </w:r>
      <w:r>
        <w:rPr>
          <w:b/>
        </w:rPr>
        <w:t xml:space="preserve">Pub date: </w:t>
      </w:r>
      <w:r>
        <w:t>2026-05-23 06:07:24+00:00</w:t>
      </w:r>
      <w:r>
        <w:t xml:space="preserve">    </w:t>
      </w:r>
      <w:r>
        <w:rPr>
          <w:b/>
        </w:rPr>
        <w:t xml:space="preserve">DOI: </w:t>
      </w:r>
      <w:hyperlink r:id="rId10">
        <w:r>
          <w:rPr>
            <w:color w:val="1155CC"/>
            <w:u w:val="single"/>
          </w:rPr>
          <w:t>10.1002/adma.73481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黄锡矿铜的性能</w:t>
      </w:r>
      <w:r>
        <w:rPr>
          <w:vertAlign w:val="subscript"/>
        </w:rPr>
        <w:t>2</w:t>
      </w:r>
      <w:r>
        <w:t>锌锡(S,Se)</w:t>
      </w:r>
      <w:r>
        <w:rPr>
          <w:vertAlign w:val="subscript"/>
        </w:rPr>
        <w:t>4</w:t>
      </w:r>
      <w:r>
        <w:t>(CZTSSe) 太阳能电池主要取决于 CZTSSe/CdS 异质结的质量；然而，CdS 缓冲层的形态、结晶度和缺陷景观本质上受到广泛使用的化学浴沉积 (CBD) 中同质和异质成核之间不可避免的竞争的限制。在这里，我们报告了一种基于化学抛光的简单而有效的表面微观结构重建策略，该策略克服了传统 CBD 工艺监管无法解决的这些挑战。具体来说，用 Na 抛光 CZTSSe/CdS 薄膜。</w:t>
      </w:r>
      <w:r>
        <w:rPr>
          <w:vertAlign w:val="subscript"/>
        </w:rPr>
        <w:t>2</w:t>
      </w:r>
      <w:r>
        <w:t>S/硫脲水溶液选择性地去除低质量的CdS颗粒，同时诱导表面重结晶和硫空位补偿。结果，CdS薄膜表现出显着改善的微观结构、增强的结晶度和更均匀的表面电性能。受益于抑制界面电荷复合和加速电荷传输，黄锡锌矿太阳能电池在高开路电压下实现了 15.3% 的冠军效率（</w:t>
      </w:r>
      <w:r>
        <w:t xml:space="preserve"> </w:t>
      </w:r>
      <w:r>
        <w:t>V</w:t>
      </w:r>
      <w:r>
        <w:t xml:space="preserve"> </w:t>
      </w:r>
      <w:r>
        <w:t>奥克</w:t>
      </w:r>
      <w:r>
        <w:t xml:space="preserve"> </w:t>
      </w:r>
      <w:r>
        <w:t>）为 560 mV，创历史新低</w:t>
      </w:r>
      <w:r>
        <w:t xml:space="preserve"> </w:t>
      </w:r>
      <w:r>
        <w:t>V</w:t>
      </w:r>
      <w:r>
        <w:t xml:space="preserve"> </w:t>
      </w:r>
      <w:r>
        <w:t>奥克</w:t>
      </w:r>
      <w:r>
        <w:t xml:space="preserve"> </w:t>
      </w:r>
      <w:r>
        <w:t>赤字（</w:t>
      </w:r>
      <w:r>
        <w:t xml:space="preserve"> </w:t>
      </w:r>
      <w:r>
        <w:t>乙</w:t>
      </w:r>
      <w:r>
        <w:t xml:space="preserve"> </w:t>
      </w:r>
      <w:r>
        <w:t>克</w:t>
      </w:r>
      <w:r>
        <w:t xml:space="preserve"> </w:t>
      </w:r>
      <w:r>
        <w:t>/</w:t>
      </w:r>
      <w:r>
        <w:t>e</w:t>
      </w:r>
      <w:r>
        <w:t xml:space="preserve"> </w:t>
      </w:r>
      <w:r>
        <w:t>‐</w:t>
      </w:r>
      <w:r>
        <w:t xml:space="preserve"> </w:t>
      </w:r>
      <w:r>
        <w:t>V</w:t>
      </w:r>
    </w:p>
    <w:p>
      <w:pPr>
        <w:spacing w:before="0" w:after="200" w:lineRule="auto" w:line="276"/>
      </w:pPr>
      <w:r>
        <w:rPr>
          <w:b/>
        </w:rPr>
        <w:t xml:space="preserve">Abstract (EN): </w:t>
      </w:r>
      <w:r>
        <w:t>The performance of kesterite Cu</w:t>
      </w:r>
      <w:r>
        <w:rPr>
          <w:vertAlign w:val="subscript"/>
        </w:rPr>
        <w:t>2</w:t>
      </w:r>
      <w:r>
        <w:t>ZnSn(S,Se)</w:t>
      </w:r>
      <w:r>
        <w:rPr>
          <w:vertAlign w:val="subscript"/>
        </w:rPr>
        <w:t>4</w:t>
      </w:r>
      <w:r>
        <w:t>(CZTSSe) solar cells is critically governed by the quality of the CZTSSe/CdS heterojunction; however, the morphology, crystallinity, and defect landscape of CdS buffer layers are intrinsically constrained by the inevitable competition between homogeneous and heterogeneous nucleation in widely used chemical bath deposition (CBD). Here, we report a simple yet effective surface microstructural reconstruction strategy based on chemical polishing that overcomes these challenges beyond the reach of conventional CBD process regulation. Specifically, polishing CZTSSe/CdS films with a Na</w:t>
      </w:r>
      <w:r>
        <w:rPr>
          <w:vertAlign w:val="subscript"/>
        </w:rPr>
        <w:t>2</w:t>
      </w:r>
      <w:r>
        <w:t>S/thiourea aqueous solution selectively removes low‐quality CdS particulates while inducing surface recrystallization and sulfur‐vacancy compensation. As a result, the CdS films exhibit markedly improved microstructure, enhanced crystallinity, and more homogeneous surface electrical properties. Benefiting from suppressed interfacial charge recombination and accelerated charge transport, kesterite solar cells achieve a champion efficiency of 15.3% with a high open‐circuit voltage (</w:t>
      </w:r>
      <w:r>
        <w:t xml:space="preserve"> </w:t>
      </w:r>
      <w:r>
        <w:t>V</w:t>
      </w:r>
      <w:r>
        <w:t xml:space="preserve"> </w:t>
      </w:r>
      <w:r>
        <w:t>OC</w:t>
      </w:r>
      <w:r>
        <w:t xml:space="preserve"> </w:t>
      </w:r>
      <w:r>
        <w:t>) of 560 mV and a record‐low</w:t>
      </w:r>
      <w:r>
        <w:t xml:space="preserve"> </w:t>
      </w:r>
      <w:r>
        <w:t>V</w:t>
      </w:r>
      <w:r>
        <w:t xml:space="preserve"> </w:t>
      </w:r>
      <w:r>
        <w:t>OC</w:t>
      </w:r>
      <w:r>
        <w:t xml:space="preserve"> </w:t>
      </w:r>
      <w:r>
        <w:t>deficit (</w:t>
      </w:r>
      <w:r>
        <w:t xml:space="preserve"> </w:t>
      </w:r>
      <w:r>
        <w:t>E</w:t>
      </w:r>
      <w:r>
        <w:t xml:space="preserve"> </w:t>
      </w:r>
      <w:r>
        <w:t>g</w:t>
      </w:r>
      <w:r>
        <w:t xml:space="preserve"> </w:t>
      </w:r>
      <w:r>
        <w:t>/</w:t>
      </w:r>
      <w:r>
        <w:t>e</w:t>
      </w:r>
      <w:r>
        <w:t xml:space="preserve"> </w:t>
      </w:r>
      <w:r>
        <w:t>‐</w:t>
      </w:r>
      <w:r>
        <w:t xml:space="preserve"> </w:t>
      </w:r>
      <w:r>
        <w:t>V</w:t>
      </w:r>
      <w:r>
        <w:t xml:space="preserve"> </w:t>
      </w:r>
      <w:r>
        <w:t>OC</w:t>
      </w:r>
      <w:r>
        <w:t xml:space="preserve"> </w:t>
      </w:r>
      <w:r>
        <w:t>) of &amp;lt; 0.5 V, significantly advancing kesterite photovoltaics toward low voltage loss. Moreover, this work establishes a broadly applicable post‐deposition paradigm for improving CBD‐CdS–based optoelectronic devices across a wide range of material systems and applications.</w:t>
      </w:r>
    </w:p>
    <w:p>
      <w:pPr>
        <w:spacing w:before="120" w:after="120"/>
      </w:pPr>
      <w:r>
        <w:rPr>
          <w:sz w:val="18"/>
        </w:rPr>
        <w:t>——————————————————————————————————————————————————————————————————————</w:t>
      </w:r>
    </w:p>
    <w:p>
      <w:pPr>
        <w:spacing w:before="160" w:after="40" w:line="240" w:lineRule="auto"/>
      </w:pPr>
      <w:r>
        <w:rPr>
          <w:b/>
        </w:rPr>
        <w:t xml:space="preserve">[2] </w:t>
      </w:r>
      <w:hyperlink r:id="rId11">
        <w:r>
          <w:rPr>
            <w:color w:val="1155CC"/>
            <w:u w:val="single"/>
          </w:rPr>
          <w:t>4-甲基吡啶介导的宽带隙钙钛矿薄膜均质化，用于高效全钙钛矿串联太阳能电池</w:t>
        </w:r>
      </w:hyperlink>
    </w:p>
    <w:p>
      <w:pPr>
        <w:spacing w:before="0" w:after="80"/>
      </w:pPr>
      <w:r>
        <w:rPr>
          <w:i/>
          <w:sz w:val="20"/>
        </w:rPr>
        <w:t>EN: 4‐Methylpyridine‐Mediated Homogenization of Wide‐Bandgap Perovskite Films for Efficient All‐Perovskite Tandem Solar Cells</w:t>
      </w:r>
    </w:p>
    <w:p>
      <w:pPr>
        <w:spacing w:before="0" w:after="120"/>
      </w:pPr>
      <w:r>
        <w:rPr>
          <w:b/>
        </w:rPr>
        <w:t xml:space="preserve">Source: </w:t>
      </w:r>
      <w:r>
        <w:t>Wiley: Advanced Materials: Table of Contents</w:t>
      </w:r>
      <w:r>
        <w:t xml:space="preserve">    </w:t>
      </w:r>
      <w:r>
        <w:rPr>
          <w:b/>
        </w:rPr>
        <w:t xml:space="preserve">Pub date: </w:t>
      </w:r>
      <w:r>
        <w:t>2026-05-23 15:01:33+00:00</w:t>
      </w:r>
      <w:r>
        <w:t xml:space="preserve">    </w:t>
      </w:r>
      <w:r>
        <w:rPr>
          <w:b/>
        </w:rPr>
        <w:t xml:space="preserve">DOI: </w:t>
      </w:r>
      <w:hyperlink r:id="rId12">
        <w:r>
          <w:rPr>
            <w:color w:val="1155CC"/>
            <w:u w:val="single"/>
          </w:rPr>
          <w:t>10.1002/adma.73477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混合卤化物宽带隙（WBG）钙钛矿由于其带隙可调和优异的光电性能，是用于多结光伏发电的有前景的顶部电池材料。然而，它们的溶液加工通常会遇到碘和溴物质之间结晶动力学不匹配的问题，导致成分不均匀和器件性能有限。在此，我们报告了通过引入 4-甲基吡啶 (4-MePy) 作为配位调节剂的溶剂工程策略。 4-MePy具有很强的配位能力和适中的沸点。它通过与溴化铅更强的相互作用来选择性地延迟富含溴的组分的快速结晶，从而使卤化物分布均匀。所得钙钛矿薄膜表现出低缺陷密度、减小的晶格应变以及均匀的成分和形貌。这些改进抑制了载流子复合并增加了卤化物迁移势垒。因此，带隙为 1.77 eV 的单结 WBG 电池实现了 20.68% 的冠军功率转换效率 (PCE) 和高开路电压 (</w:t>
      </w:r>
      <w:r>
        <w:t xml:space="preserve"> </w:t>
      </w:r>
      <w:r>
        <w:t>V</w:t>
      </w:r>
      <w:r>
        <w:t xml:space="preserve"> </w:t>
      </w:r>
      <w:r>
        <w:t>奥克</w:t>
      </w:r>
      <w:r>
        <w:t xml:space="preserve"> </w:t>
      </w:r>
      <w:r>
        <w:t>）为 1.35 V。当集成到全钙钛矿串联太阳能电池中时，该策略在 0.05 cm 上的 PCE 为 29.70%（认证为 29.17%）</w:t>
      </w:r>
      <w:r>
        <w:rPr>
          <w:vertAlign w:val="subscript"/>
        </w:rPr>
        <w:t>2</w:t>
      </w:r>
      <w:r>
        <w:t>1 厘米处为 29.00%</w:t>
      </w:r>
      <w:r>
        <w:rPr>
          <w:vertAlign w:val="subscript"/>
        </w:rPr>
        <w:t>2</w:t>
      </w:r>
      <w:r>
        <w:t>设备。</w:t>
      </w:r>
    </w:p>
    <w:p>
      <w:pPr>
        <w:spacing w:before="0" w:after="200" w:lineRule="auto" w:line="276"/>
      </w:pPr>
      <w:r>
        <w:rPr>
          <w:b/>
        </w:rPr>
        <w:t xml:space="preserve">Abstract (EN): </w:t>
      </w:r>
      <w:r>
        <w:t>Mixed‐halide wide‐bandgap (WBG) perovskites are promising top‑cell materials for multi‐junction photovoltaics owing to their tunable bandgap and excellent photoelectronic properties. However, their solution processing often suffers from mismatched crystallization kinetics between iodine and bromine species, leading to compositional inhomogeneity and limited device performance. Herein, we report a solvent engineering strategy by introducing 4‐methylpyridine (4‐MePy) as a coordinating modulator. 4‐MePy possesses strong coordinating ability and a moderate boiling point. It selectively retards the rapid crystallization of bromine‐rich components by interacting more strongly with lead bromide, thereby homogenizing the halide distribution. The resulting perovskite films exhibit low defect density, reduced lattice strain, and uniform composition and morphology. These improvements suppress carrier recombination and increase the halide migration barrier. Consequently, single‐junction WBG cells with a bandgap of 1.77 eV achieve a champion power conversion efficiency (PCE) of 20.68% and a high open‑circuit voltage (</w:t>
      </w:r>
      <w:r>
        <w:t xml:space="preserve"> </w:t>
      </w:r>
      <w:r>
        <w:t>V</w:t>
      </w:r>
      <w:r>
        <w:t xml:space="preserve"> </w:t>
      </w:r>
      <w:r>
        <w:t>OC</w:t>
      </w:r>
      <w:r>
        <w:t xml:space="preserve"> </w:t>
      </w:r>
      <w:r>
        <w:t>) of 1.35 V. When integrated into all‐perovskite tandem solar cells, this strategy delivers PCEs of 29.70% (certified 29.17%) on 0.05 cm</w:t>
      </w:r>
      <w:r>
        <w:rPr>
          <w:vertAlign w:val="subscript"/>
        </w:rPr>
        <w:t>2</w:t>
      </w:r>
      <w:r>
        <w:t>and 29.00% on 1 cm</w:t>
      </w:r>
      <w:r>
        <w:rPr>
          <w:vertAlign w:val="subscript"/>
        </w:rPr>
        <w:t>2</w:t>
      </w:r>
      <w:r>
        <w:t>devices.</w:t>
      </w:r>
    </w:p>
    <w:p>
      <w:pPr>
        <w:spacing w:before="120" w:after="120"/>
      </w:pPr>
      <w:r>
        <w:rPr>
          <w:sz w:val="18"/>
        </w:rPr>
        <w:t>——————————————————————————————————————————————————————————————————————</w:t>
      </w:r>
    </w:p>
    <w:p>
      <w:pPr>
        <w:spacing w:before="160" w:after="40" w:line="240" w:lineRule="auto"/>
      </w:pPr>
      <w:r>
        <w:rPr>
          <w:b/>
        </w:rPr>
        <w:t xml:space="preserve">[3] </w:t>
      </w:r>
      <w:hyperlink r:id="rId13">
        <w:r>
          <w:rPr>
            <w:color w:val="1155CC"/>
            <w:u w:val="single"/>
          </w:rPr>
          <w:t>晶格匹配的二维模板可实现高效的铯锡卤化物钙钛矿太阳能电池</w:t>
        </w:r>
      </w:hyperlink>
    </w:p>
    <w:p>
      <w:pPr>
        <w:spacing w:before="0" w:after="80"/>
      </w:pPr>
      <w:r>
        <w:rPr>
          <w:i/>
          <w:sz w:val="20"/>
        </w:rPr>
        <w:t>EN: Lattice‐Matched 2D Template Enables Efficient Cesium Tin Halide Perovskite Solar Cells</w:t>
      </w:r>
    </w:p>
    <w:p>
      <w:pPr>
        <w:spacing w:before="0" w:after="120"/>
      </w:pPr>
      <w:r>
        <w:rPr>
          <w:b/>
        </w:rPr>
        <w:t xml:space="preserve">Source: </w:t>
      </w:r>
      <w:r>
        <w:t>Wiley: Advanced Materials: Table of Contents</w:t>
      </w:r>
      <w:r>
        <w:t xml:space="preserve">    </w:t>
      </w:r>
      <w:r>
        <w:rPr>
          <w:b/>
        </w:rPr>
        <w:t xml:space="preserve">Pub date: </w:t>
      </w:r>
      <w:r>
        <w:t>2026-05-23 18:53:58+00:00</w:t>
      </w:r>
      <w:r>
        <w:t xml:space="preserve">    </w:t>
      </w:r>
      <w:r>
        <w:rPr>
          <w:b/>
        </w:rPr>
        <w:t xml:space="preserve">DOI: </w:t>
      </w:r>
      <w:hyperlink r:id="rId14">
        <w:r>
          <w:rPr>
            <w:color w:val="1155CC"/>
            <w:u w:val="single"/>
          </w:rPr>
          <w:t>10.1002/adma.202519143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碘化铯锡（CsSnI</w:t>
      </w:r>
      <w:r>
        <w:rPr>
          <w:vertAlign w:val="subscript"/>
        </w:rPr>
        <w:t>3</w:t>
      </w:r>
      <w:r>
        <w:t>由于其 1.3 eV 的理想带隙和固有的热稳定性，已成为无铅钙钛矿太阳能电池 (PSC) 的一种有前途的无机光吸收剂。然而，其应用受到随机结晶和自发 δ-CsSnI 的限制</w:t>
      </w:r>
      <w:r>
        <w:rPr>
          <w:vertAlign w:val="subscript"/>
        </w:rPr>
        <w:t>3</w:t>
      </w:r>
      <w:r>
        <w:t>相变，导致光伏性能大幅损失。在这里，我们采用晶格匹配的 2D 钙钛矿模板来诱导 3D 钙钛矿的定向生长，从而实现纯相 2D/3D 钙钛矿异质结构，从而实现高效耐用的 CsSnI</w:t>
      </w:r>
      <w:r>
        <w:rPr>
          <w:vertAlign w:val="subscript"/>
        </w:rPr>
        <w:t>3</w:t>
      </w:r>
      <w:r>
        <w:t>‐基于 PSC。与烷基对应物相比，采用芳香族间隔阳离子的二维钙钛矿引入了额外的中间层</w:t>
      </w:r>
      <w:r>
        <w:t xml:space="preserve"> </w:t>
      </w:r>
      <w:r>
        <w:t>π</w:t>
      </w:r>
      <w:r>
        <w:t xml:space="preserve"> </w:t>
      </w:r>
      <w:r>
        <w:t>–</w:t>
      </w:r>
      <w:r>
        <w:t xml:space="preserve"> </w:t>
      </w:r>
      <w:r>
        <w:t>π</w:t>
      </w:r>
      <w:r>
        <w:t xml:space="preserve"> </w:t>
      </w:r>
      <w:r>
        <w:t>堆叠以抑制八面体倾斜并最大限度地减少其与 3D CsSnI 的晶格间距失配</w:t>
      </w:r>
      <w:r>
        <w:rPr>
          <w:vertAlign w:val="subscript"/>
        </w:rPr>
        <w:t>3</w:t>
      </w:r>
      <w:r>
        <w:t>。这种改进的晶体相容性促进了 2D/3D 异质结构沿 (110) 平面的定向生长，调节结晶动力学并产生额外的能量势垒来抑制 δ-CsSnI</w:t>
      </w:r>
      <w:r>
        <w:rPr>
          <w:vertAlign w:val="subscript"/>
        </w:rPr>
        <w:t>3</w:t>
      </w:r>
      <w:r>
        <w:t>相的形成。因此，优化后的 CsSnI</w:t>
      </w:r>
      <w:r>
        <w:rPr>
          <w:vertAlign w:val="subscript"/>
        </w:rPr>
        <w:t>3</w:t>
      </w:r>
      <w:r>
        <w:t>‐基于 PSC 的冠军功率转换效率 (PCE) 为 15.27%，开路电压为 0.90 V。受益于陷阱状态的减少和消除</w:t>
      </w:r>
    </w:p>
    <w:p>
      <w:pPr>
        <w:spacing w:before="0" w:after="200" w:lineRule="auto" w:line="276"/>
      </w:pPr>
      <w:r>
        <w:rPr>
          <w:b/>
        </w:rPr>
        <w:t xml:space="preserve">Abstract (EN): </w:t>
      </w:r>
      <w:r>
        <w:t>Cesium tin iodide (CsSnI</w:t>
      </w:r>
      <w:r>
        <w:rPr>
          <w:vertAlign w:val="subscript"/>
        </w:rPr>
        <w:t>3</w:t>
      </w:r>
      <w:r>
        <w:t>) has emerged as a promising inorganic light‐absorber for lead‐free perovskite solar cells (PSCs) due to its ideal bandgap of 1.3 eV and intrinsic thermal stability. However, its application is limited by random crystallization and spontaneous δ‐CsSnI</w:t>
      </w:r>
      <w:r>
        <w:rPr>
          <w:vertAlign w:val="subscript"/>
        </w:rPr>
        <w:t>3</w:t>
      </w:r>
      <w:r>
        <w:t>phase transition, causing substantial photovoltaic performance losses. Here, we employ lattice‐matched 2D perovskite templates to induce the oriented growth of 3D perovskites, enabling phase‐pure 2D/3D perovskite heterostructures for efficient and durable CsSnI</w:t>
      </w:r>
      <w:r>
        <w:rPr>
          <w:vertAlign w:val="subscript"/>
        </w:rPr>
        <w:t>3</w:t>
      </w:r>
      <w:r>
        <w:t>‐based PSCs. Compared to their alkyl counterparts, 2D perovskites adopting aromatic spacer cations introduce additional interlayer</w:t>
      </w:r>
      <w:r>
        <w:t xml:space="preserve"> </w:t>
      </w:r>
      <w:r>
        <w:t>π</w:t>
      </w:r>
      <w:r>
        <w:t xml:space="preserve"> </w:t>
      </w:r>
      <w:r>
        <w:t>–</w:t>
      </w:r>
      <w:r>
        <w:t xml:space="preserve"> </w:t>
      </w:r>
      <w:r>
        <w:t>π</w:t>
      </w:r>
      <w:r>
        <w:t xml:space="preserve"> </w:t>
      </w:r>
      <w:r>
        <w:t>stacking to inhibit octahedral tilting and minimize their lattice spacing mismatch with 3D CsSnI</w:t>
      </w:r>
      <w:r>
        <w:rPr>
          <w:vertAlign w:val="subscript"/>
        </w:rPr>
        <w:t>3</w:t>
      </w:r>
      <w:r>
        <w:t>. This improved crystallographic compatibility promotes oriented growth of 2D/3D heterostructures along the (110) plane, regulating the crystallization kinetics and creating an additional energy barrier that suppresses δ‐CsSnI</w:t>
      </w:r>
      <w:r>
        <w:rPr>
          <w:vertAlign w:val="subscript"/>
        </w:rPr>
        <w:t>3</w:t>
      </w:r>
      <w:r>
        <w:t>phase formation. As a result, the optimized CsSnI</w:t>
      </w:r>
      <w:r>
        <w:rPr>
          <w:vertAlign w:val="subscript"/>
        </w:rPr>
        <w:t>3</w:t>
      </w:r>
      <w:r>
        <w:t>‐based PSCs deliver a champion power conversion efficiency (PCE) of 15.27% with a high open‐circuit voltage of 0.90 V. Benefiting from reduced trap states and eliminated δ‐CsSnI</w:t>
      </w:r>
      <w:r>
        <w:rPr>
          <w:vertAlign w:val="subscript"/>
        </w:rPr>
        <w:t>3</w:t>
      </w:r>
      <w:r>
        <w:t>phase impurities, the target devices exhibit markedly improved operational stability, retaining over 95% of their initial PCE after 1280 h at maximum power point tracking under continuous one‐sun illumination in nitrogen without encapsulation.</w:t>
      </w:r>
    </w:p>
    <w:p>
      <w:pPr>
        <w:spacing w:before="120" w:after="120"/>
      </w:pPr>
      <w:r>
        <w:rPr>
          <w:sz w:val="18"/>
        </w:rPr>
        <w:t>——————————————————————————————————————————————————————————————————————</w:t>
      </w:r>
    </w:p>
    <w:p>
      <w:pPr>
        <w:spacing w:before="160" w:after="40" w:line="240" w:lineRule="auto"/>
      </w:pPr>
      <w:r>
        <w:rPr>
          <w:b/>
        </w:rPr>
        <w:t xml:space="preserve">[4] </w:t>
      </w:r>
      <w:hyperlink r:id="rId15">
        <w:r>
          <w:rPr>
            <w:color w:val="1155CC"/>
            <w:u w:val="single"/>
          </w:rPr>
          <w:t>互锁界面增强了热循环稳定钙钛矿太阳能电池的机械完整性，认证效率为 26.82%</w:t>
        </w:r>
      </w:hyperlink>
    </w:p>
    <w:p>
      <w:pPr>
        <w:spacing w:before="0" w:after="80"/>
      </w:pPr>
      <w:r>
        <w:rPr>
          <w:i/>
          <w:sz w:val="20"/>
        </w:rPr>
        <w:t>EN: Interlocked Interface Enhances Mechanical Integrity for Thermal‐Cycling‐Stable Perovskite Solar Cells With 26.82% Certified Efficiency</w:t>
      </w:r>
    </w:p>
    <w:p>
      <w:pPr>
        <w:spacing w:before="0" w:after="120"/>
      </w:pPr>
      <w:r>
        <w:rPr>
          <w:b/>
        </w:rPr>
        <w:t xml:space="preserve">Source: </w:t>
      </w:r>
      <w:r>
        <w:t>Wiley: Advanced Materials: Table of Contents</w:t>
      </w:r>
      <w:r>
        <w:t xml:space="preserve">    </w:t>
      </w:r>
      <w:r>
        <w:rPr>
          <w:b/>
        </w:rPr>
        <w:t xml:space="preserve">Pub date: </w:t>
      </w:r>
      <w:r>
        <w:t>2026-05-25 07:48:19+00:00</w:t>
      </w:r>
      <w:r>
        <w:t xml:space="preserve">    </w:t>
      </w:r>
      <w:r>
        <w:rPr>
          <w:b/>
        </w:rPr>
        <w:t xml:space="preserve">DOI: </w:t>
      </w:r>
      <w:hyperlink r:id="rId16">
        <w:r>
          <w:rPr>
            <w:color w:val="1155CC"/>
            <w:u w:val="single"/>
          </w:rPr>
          <w:t>10.1002/adma.73489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PSC）会经历热循环下温度变化引起的机械损伤和失效（即降解和断裂）。然而，很少有研究能够同时抑制界面分层和延迟化学降解，以确保钙钛矿薄膜在热冲击下的机械完整性，这使得提高PSC的热循环稳定性具有挑战性。我们报告了一种通过聚甲基（氢）/聚甲基乙烯基硅氮烷（PHVS）改性的通用联锁策略，该策略通过与基底的缩合反应、与钙钛矿薄膜的氢键作用以及自交联反应实现界面联锁。互锁界面显着增强了界面粘附韧性并释放了钙钛矿薄膜的残余应力，从而抑制了界面分层并延缓了热循环下的化学降解。 PHVS 改性 PSC 的认证效率为 26.82%。经过 200 个循环的热循环测试后，封装的 PSC 仍能保持 96% 的原始效率，而钙钛矿模块在 1000 小时的日夜户外测试后仍能保持 95% 的原始效率。这项工作强调了在热循环下增强钙钛矿薄膜机械完整性的重要性，并为实现高效率的热循环稳定PSC提供了一种有前途的方法。</w:t>
      </w:r>
    </w:p>
    <w:p>
      <w:pPr>
        <w:spacing w:before="0" w:after="200" w:lineRule="auto" w:line="276"/>
      </w:pPr>
      <w:r>
        <w:rPr>
          <w:b/>
        </w:rPr>
        <w:t xml:space="preserve">Abstract (EN): </w:t>
      </w:r>
      <w:r>
        <w:t>Perovskite solar cells (PSCs) experience mechanical damage and failure (i.e. degradation and fracture) induced by temperature changes under thermal cycling. However, few studies have been able to simultaneously suppress interface delamination and delay chemical degradation to ensure the mechanical integrity of perovskite film under thermal shock, making it challenging to improve the thermal cycling stability of PSCs. We report a universal interlocking strategy via the modification of polymethyl(hydro)/polymethylvinylsilazane (PHVS), which achieves interfacial interlocking through the condensation reactions with substrates, hydrogen bonding with the perovskite film, and a self‐crosslinking reaction. The interlocked interface significantly enhances the interfacial adhesion toughness and releases the residual stress of the perovskite film, thereby suppressing the interface delamination and delaying the chemical degradation under thermal cycling. The PHVS‐modified PSCs exhibit a certified efficiency of 26.82%. The encapsulated PSCs retain 96% of their original efficiency after 200 cycles of thermal cycling testing, and the perovskite modules maintain 95% of their original efficiency after 1000 h, day and night, outdoor testing. This work highlights the significance of enhancing the mechanical integrity of perovskite films under thermal cycling and provides a promising approach for achieving thermal cycling‐stable PSCs with high efficiency.</w:t>
      </w:r>
    </w:p>
    <w:p>
      <w:pPr>
        <w:spacing w:before="120" w:after="120"/>
      </w:pPr>
      <w:r>
        <w:rPr>
          <w:sz w:val="18"/>
        </w:rPr>
        <w:t>——————————————————————————————————————————————————————————————————————</w:t>
      </w:r>
    </w:p>
    <w:p>
      <w:pPr>
        <w:spacing w:before="160" w:after="40" w:line="240" w:lineRule="auto"/>
      </w:pPr>
      <w:r>
        <w:rPr>
          <w:b/>
        </w:rPr>
        <w:t xml:space="preserve">[5] </w:t>
      </w:r>
      <w:hyperlink r:id="rId17">
        <w:r>
          <w:rPr>
            <w:color w:val="1155CC"/>
            <w:u w:val="single"/>
          </w:rPr>
          <w:t>引导中间相晶体取向可促进碳基 CsPbI3 钙钛矿太阳能电池的效率超过 20%</w:t>
        </w:r>
      </w:hyperlink>
    </w:p>
    <w:p>
      <w:pPr>
        <w:spacing w:before="0" w:after="80"/>
      </w:pPr>
      <w:r>
        <w:rPr>
          <w:i/>
          <w:sz w:val="20"/>
        </w:rPr>
        <w:t>EN: Directing intermediate phase crystallographic orientation promotes carbon-based CsPbI3 perovskite solar cells to beyond 20% efficiency</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无机 CsPbI3 钙钛矿以其高化学稳定性和接近理想的带隙而闻名，为限制钙钛矿太阳能电池 (PSC) 寿命的有机-无机杂化钙钛矿的不稳定性提供了一种有前景的解决方案。然而，传统的中间相（二甲基碘化铅，DMAPbI3）模板方法存在相转换效率低下的问题，阻碍了高性能PSC的开发。为了克服这一限制，我们设计了 DMAPbI3 的晶体取向，以促进 DMAI 的快速挥发并加速转化。通过化学浴沉积过程中将 Pb2+ 络合基团 (-F 4) 原位锚定在 TiO2 基底上，我们引导 DMAPbI3 的富 Pb (100) 平面优先面内生长，增强其 [100] 取向。至关重要的是，更强的络合基团会产生更高的取向度，从而加速热转化为具有更高纯度和更好光电性能的高度取向的 CsPbI3 钙钛矿。该策略使碳基、无空穴传输层的 CsPbI3 PSC 的效率达到创纪录的 20.72%（认证为 20.35%）。在 1 太阳光照下连续最大功率点跟踪 1156 小时后，未封装的器件仍保持其初始效率的 85% 以上。</w:t>
      </w:r>
    </w:p>
    <w:p>
      <w:pPr>
        <w:spacing w:before="0" w:after="200" w:lineRule="auto" w:line="276"/>
      </w:pPr>
      <w:r>
        <w:rPr>
          <w:b/>
        </w:rPr>
        <w:t xml:space="preserve">Abstract (EN): </w:t>
      </w:r>
      <w:r>
        <w:t>Inorganic CsPbI3 perovskite, known for its high chemical stability and near-ideal bandgap, offers a promising solution to the instability of organic-inorganic hybrid perovskites that limit perovskite solar cells (PSCs) longevity. However, the conventional intermediate phase (dimethylammonium lead iodide, DMAPbI3) templating method suffers from inefficient phase conversion, hindering high-performance PSC development. To overcome this limitation, we engineered the crystallographic orientation of DMAPbI3 to promote rapid volatilization of DMAI and accelerating the transformation. Through in situ anchoring of Pb2+-complexing groups (-F 4) on TiO2 substrates during chemical bath deposition, we direct the preferential in-plane growth of Pb-rich (100) planes of DMAPbI3, enhancing its [100] orientation. Crucially, stronger complexing groups yield higher orientation degrees, accelerating thermal conversion into highly oriented CsPbI3 perovskite with higher purity and better optoelectronic properties. This strategy enables carbon-based, hole-transport-layer-free CsPbI3 PSCs to achieve a record 20.72% efficiency (certified as 20.35%). Unencapsulated device retains &gt; 85% of their initial efficiency after 1156 h of continuous maximum power point tracking under 1-sun illumination.</w:t>
      </w:r>
    </w:p>
    <w:p>
      <w:pPr>
        <w:spacing w:before="120" w:after="120"/>
      </w:pPr>
      <w:r>
        <w:rPr>
          <w:sz w:val="18"/>
        </w:rPr>
        <w:t>——————————————————————————————————————————————————————————————————————</w:t>
      </w:r>
    </w:p>
    <w:p>
      <w:pPr>
        <w:spacing w:before="160" w:after="40" w:line="240" w:lineRule="auto"/>
      </w:pPr>
      <w:r>
        <w:rPr>
          <w:b/>
        </w:rPr>
        <w:t xml:space="preserve">[6] </w:t>
      </w:r>
      <w:hyperlink r:id="rId18">
        <w:r>
          <w:rPr>
            <w:color w:val="1155CC"/>
            <w:u w:val="single"/>
          </w:rPr>
          <w:t>稳定的锡铅钙钛矿油墨，用于高效的全钙钛矿串联</w:t>
        </w:r>
      </w:hyperlink>
    </w:p>
    <w:p>
      <w:pPr>
        <w:spacing w:before="0" w:after="80"/>
      </w:pPr>
      <w:r>
        <w:rPr>
          <w:i/>
          <w:sz w:val="20"/>
        </w:rPr>
        <w:t>EN: Stable tin–lead perovskite inks for efficient all-perovskite tandems</w:t>
      </w:r>
    </w:p>
    <w:p>
      <w:pPr>
        <w:spacing w:before="0" w:after="120"/>
      </w:pPr>
      <w:r>
        <w:rPr>
          <w:b/>
        </w:rPr>
        <w:t xml:space="preserve">Source: </w:t>
      </w:r>
      <w:r>
        <w:t>Nature Energy</w:t>
      </w:r>
      <w:r>
        <w:t xml:space="preserve">    </w:t>
      </w:r>
      <w:r>
        <w:rPr>
          <w:b/>
        </w:rPr>
        <w:t xml:space="preserve">Pub date: </w:t>
      </w:r>
      <w:r>
        <w:t>2026-05-26 00:00:00+00:00</w:t>
      </w:r>
      <w:r>
        <w:t xml:space="preserve">    </w:t>
      </w:r>
      <w:r>
        <w:rPr>
          <w:b/>
        </w:rPr>
        <w:t xml:space="preserve">DOI: </w:t>
      </w:r>
      <w:hyperlink r:id="rId19">
        <w:r>
          <w:rPr>
            <w:color w:val="1155CC"/>
            <w:u w:val="single"/>
          </w:rPr>
          <w:t>10.1038/s41560-026-02077-8</w:t>
        </w:r>
      </w:hyperlink>
    </w:p>
    <w:p>
      <w:pPr>
        <w:spacing w:before="0" w:after="120"/>
      </w:pPr>
      <w:r>
        <w:rPr>
          <w:b/>
        </w:rPr>
        <w:t xml:space="preserve">Notes: </w:t>
      </w:r>
      <w:r>
        <w:t>abstract_source=nature_html</w:t>
      </w:r>
    </w:p>
    <w:p>
      <w:pPr>
        <w:spacing w:before="0" w:after="80" w:lineRule="auto" w:line="276"/>
      </w:pPr>
      <w:r>
        <w:rPr>
          <w:b/>
        </w:rPr>
        <w:t xml:space="preserve">摘要（ZH）: </w:t>
      </w:r>
      <w:r>
        <w:t>低带隙（例如~1.25 eV）锡铅钙钛矿太阳能电池在构建高效全钙钛矿串联太阳能电池（TSC）方面具有巨大潜力。然而，由于 Sn2+ 容易氧化，钙钛矿前体溶液的快速降解仍然是一个主要挑战。在这里，我们阐明了 Sn-Pb 钙钛矿前体的氧化途径。我们进一步引入碱性氨基酸和碱性氨基酸硫酸盐（BAAS）作为质子清除剂，可稳定墨水超过300天。 BAAS 中和过量的质子以减轻二甲亚砜驱动的氧化反应，而硫酸根离子则协调 Sn2+ 以钝化缺陷并调节结晶。优化后的低带隙钙钛矿太阳能电池在开路电压为0.905 V时实现了24.06%的功率转换效率，使得两端全钙钛矿TSC的功率转换效率达到30.24%（认证为29.56%）。经过 BAAS 钝化的 TSC 在 1 太阳光照下以最大功率点运行 1,000 小时后，仍保留了 85% 以上的初始性能。</w:t>
      </w:r>
    </w:p>
    <w:p>
      <w:pPr>
        <w:spacing w:before="0" w:after="200" w:lineRule="auto" w:line="276"/>
      </w:pPr>
      <w:r>
        <w:rPr>
          <w:b/>
        </w:rPr>
        <w:t xml:space="preserve">Abstract (EN): </w:t>
      </w:r>
      <w:r>
        <w:t>Low-bandgap (Eg ~ 1.25 eV) tin–lead perovskite solar cells hold great potential for constructing efficient all-perovskite tandem solar cells (TSCs). However, rapid degradation of perovskite precursor solutions, owing to easy oxidation of Sn2+, remains a major challenge. Here we elucidate oxidation pathways in Sn–Pb perovskite precursors. We further introduce basic amino acids and basic amino acids sulfate (BAAS) as proton scavengers, which stabilize the ink for over 300 days. BAAS neutralizes excess protons to mitigate dimethyl sulfoxide-driven oxidation reactions, whereas sulfate ions coordinate Sn2+ to passivate defects and regulate crystallization. The optimized low-bandgap perovskite solar cell achieves a power conversion efficiency of 24.06% with an open-circuit voltage of 0.905 V, enabling two-terminal all-perovskite TSCs with a power conversion efficiency of 30.24% (certified 29.56%). The BAAS-passivated TSCs retain over 85% of their initial performance after 1,000 hours of the maximum power point operation under 1-sun illumination.</w:t>
      </w:r>
    </w:p>
    <w:p>
      <w:pPr>
        <w:spacing w:before="120" w:after="120"/>
      </w:pPr>
      <w:r>
        <w:rPr>
          <w:sz w:val="18"/>
        </w:rPr>
        <w:t>——————————————————————————————————————————————————————————————————————</w:t>
      </w:r>
    </w:p>
    <w:p>
      <w:pPr>
        <w:spacing w:before="160" w:after="40" w:line="240" w:lineRule="auto"/>
      </w:pPr>
      <w:r>
        <w:rPr>
          <w:b/>
        </w:rPr>
        <w:t xml:space="preserve">[7] </w:t>
      </w:r>
      <w:hyperlink r:id="rId20">
        <w:r>
          <w:rPr>
            <w:color w:val="1155CC"/>
            <w:u w:val="single"/>
          </w:rPr>
          <w:t>使用 pvlib python 分析农业光伏系统</w:t>
        </w:r>
      </w:hyperlink>
    </w:p>
    <w:p>
      <w:pPr>
        <w:spacing w:before="0" w:after="80"/>
      </w:pPr>
      <w:r>
        <w:rPr>
          <w:i/>
          <w:sz w:val="20"/>
        </w:rPr>
        <w:t>EN: Analysing agrivoltaic systems with pvlib python</w:t>
      </w:r>
    </w:p>
    <w:p>
      <w:pPr>
        <w:spacing w:before="0" w:after="120"/>
      </w:pPr>
      <w:r>
        <w:rPr>
          <w:b/>
        </w:rPr>
        <w:t xml:space="preserve">Source: </w:t>
      </w:r>
      <w:r>
        <w:t>Nature Reviews Clean Technology</w:t>
      </w:r>
      <w:r>
        <w:t xml:space="preserve">    </w:t>
      </w:r>
      <w:r>
        <w:rPr>
          <w:b/>
        </w:rPr>
        <w:t xml:space="preserve">Pub date: </w:t>
      </w:r>
      <w:r>
        <w:t>2026-05-26 00:00:00+00:00</w:t>
      </w:r>
      <w:r>
        <w:t xml:space="preserve">    </w:t>
      </w:r>
      <w:r>
        <w:rPr>
          <w:b/>
        </w:rPr>
        <w:t xml:space="preserve">DOI: </w:t>
      </w:r>
      <w:hyperlink r:id="rId21">
        <w:r>
          <w:rPr>
            <w:color w:val="1155CC"/>
            <w:u w:val="single"/>
          </w:rPr>
          <w:t>10.1038/s44359-026-00181-2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2">
        <w:r>
          <w:rPr>
            <w:color w:val="1155CC"/>
            <w:u w:val="single"/>
          </w:rPr>
          <w:t>通过简单非稠环电子受体的结晶工程实现破纪录的 19.05% 效率有机太阳能电池</w:t>
        </w:r>
      </w:hyperlink>
    </w:p>
    <w:p>
      <w:pPr>
        <w:spacing w:before="0" w:after="80"/>
      </w:pPr>
      <w:r>
        <w:rPr>
          <w:i/>
          <w:sz w:val="20"/>
        </w:rPr>
        <w:t>EN: Enabling Record‐Breaking 19.05% Efficiency Organic Solar Cells by Crystallization Engineering of Simple Nonfused Ring Electron Acceptors</w:t>
      </w:r>
    </w:p>
    <w:p>
      <w:pPr>
        <w:spacing w:before="0" w:after="120"/>
      </w:pPr>
      <w:r>
        <w:rPr>
          <w:b/>
        </w:rPr>
        <w:t xml:space="preserve">Source: </w:t>
      </w:r>
      <w:r>
        <w:t>Wiley: Advanced Energy Materials: Table of Contents</w:t>
      </w:r>
      <w:r>
        <w:t xml:space="preserve">    </w:t>
      </w:r>
      <w:r>
        <w:rPr>
          <w:b/>
        </w:rPr>
        <w:t xml:space="preserve">Pub date: </w:t>
      </w:r>
      <w:r>
        <w:t>2026-05-26 06:40:40+00:00</w:t>
      </w:r>
      <w:r>
        <w:t xml:space="preserve">    </w:t>
      </w:r>
      <w:r>
        <w:rPr>
          <w:b/>
        </w:rPr>
        <w:t xml:space="preserve">DOI: </w:t>
      </w:r>
      <w:hyperlink r:id="rId23">
        <w:r>
          <w:rPr>
            <w:color w:val="1155CC"/>
            <w:u w:val="single"/>
          </w:rPr>
          <w:t>10.1002/aenm.71099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我们报告了一种新型非稠环电子受体 2BTh-2Cl，其具有氯化端基，可显着增强受体的分子间相互作用。 2BTh-2Cl 比类似物 2BTh-2F 显示出更低的溶解度但更高的结晶度。由于相似的分子骨架，2BTh-2Cl与2BTh-2F表现出优异的混溶性，同时保持高结晶度。通过采用三元共混策略，将2BTh-2Cl引入到D18:2BTh-2F体系中，受体之间的分子间相互作用显着增强，促进了高结晶度受体合金相的形成。通过这种结晶工程策略，由D18:2BTh-2F:2BTh-2Cl组成的三元共混薄膜表现出卓越的结晶度和迁移率，实现了破纪录的19.05%的功率转换效率。这一成果为基于非稠环电子受体的有机太阳能电池领域树立了新的标杆。总体而言，这项工作通过合理的分子设计和三元共混策略，有效提高了非稠环受体的结晶度和迁移率，最终形成了高效的OSC。</w:t>
      </w:r>
    </w:p>
    <w:p>
      <w:pPr>
        <w:spacing w:before="0" w:after="200" w:lineRule="auto" w:line="276"/>
      </w:pPr>
      <w:r>
        <w:rPr>
          <w:b/>
        </w:rPr>
        <w:t xml:space="preserve">Abstract (EN): </w:t>
      </w:r>
      <w:r>
        <w:t>We report a novel nonfused ring electron acceptor, 2BTh‐2Cl, featuring a chlorinated end group that significantly enhances intermolecular interactions of acceptors. 2BTh‐2Cl displays lower solubility but higher crystallinity than the analogue 2BTh‐2F. Owing to the similar molecular skeleton, 2BTh‐2Cl exhibits excellent miscibility with 2BTh‐2F while maintaining high crystallinity. By adopting a ternary blend strategy and introducing 2BTh‐2Cl into the D18:2BTh‐2F system, the intermolecular interactions between acceptors are significantly enhanced, promoting the formation of a high‐crystallinity acceptor alloy phase. Through this crystallization engineering strategy, the ternary blend film composed of D18:2BTh‐2F:2BTh‐2Cl demonstrates remarkable crystallinity and mobility, achieving a record‐breaking power conversion efficiency of 19.05%. This achievement sets a new benchmark in the field of organic solar cells based on nonfused ring electron acceptors. Overall, this work effectively improves the crystallinity and mobility of nonfused‐ring acceptors through rational molecular design and ternary‐blend strategy, culminating in highly efficient OSCs.</w:t>
      </w:r>
    </w:p>
    <w:p>
      <w:pPr>
        <w:spacing w:before="120" w:after="120"/>
      </w:pPr>
      <w:r>
        <w:rPr>
          <w:sz w:val="18"/>
        </w:rPr>
        <w:t>——————————————————————————————————————————————————————————————————————</w:t>
      </w:r>
    </w:p>
    <w:p>
      <w:pPr>
        <w:spacing w:before="160" w:after="40" w:line="240" w:lineRule="auto"/>
      </w:pPr>
      <w:r>
        <w:rPr>
          <w:b/>
        </w:rPr>
        <w:t xml:space="preserve">[9] </w:t>
      </w:r>
      <w:hyperlink r:id="rId24">
        <w:r>
          <w:rPr>
            <w:color w:val="1155CC"/>
            <w:u w:val="single"/>
          </w:rPr>
          <w:t>富铅掩埋界面促进高效稳定的碳基钙钛矿太阳能电池和微型模块的向上单向结晶</w:t>
        </w:r>
      </w:hyperlink>
    </w:p>
    <w:p>
      <w:pPr>
        <w:spacing w:before="0" w:after="80"/>
      </w:pPr>
      <w:r>
        <w:rPr>
          <w:i/>
          <w:sz w:val="20"/>
        </w:rPr>
        <w:t>EN: Pb‐Rich Buried Interface Promoting Upward Unidirectional Crystallization for Efficient and Stable Carbon‐Based Perovskite Solar Cells and Mini‐Modules</w:t>
      </w:r>
    </w:p>
    <w:p>
      <w:pPr>
        <w:spacing w:before="0" w:after="120"/>
      </w:pPr>
      <w:r>
        <w:rPr>
          <w:b/>
        </w:rPr>
        <w:t xml:space="preserve">Source: </w:t>
      </w:r>
      <w:r>
        <w:t>Wiley: Advanced Materials: Table of Contents</w:t>
      </w:r>
      <w:r>
        <w:t xml:space="preserve">    </w:t>
      </w:r>
      <w:r>
        <w:rPr>
          <w:b/>
        </w:rPr>
        <w:t xml:space="preserve">Pub date: </w:t>
      </w:r>
      <w:r>
        <w:t>2026-05-26 06:46:06+00:00</w:t>
      </w:r>
      <w:r>
        <w:t xml:space="preserve">    </w:t>
      </w:r>
      <w:r>
        <w:rPr>
          <w:b/>
        </w:rPr>
        <w:t xml:space="preserve">DOI: </w:t>
      </w:r>
      <w:hyperlink r:id="rId25">
        <w:r>
          <w:rPr>
            <w:color w:val="1155CC"/>
            <w:u w:val="single"/>
          </w:rPr>
          <w:t>10.1002/adma.73502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提高钙钛矿薄膜的结晶质量是构建高性能碳基钙钛矿太阳能电池（C-PSC）的最有效方法。特别是，高度（100）取向的单层钙钛矿薄膜可以有效抑制缺陷引起的复合，同时增强电荷传输，从而减少C-PSC中的非辐射复合损失。在这项工作中，我们提出了一种可扩展的策略，用于构建具有丰富 Pb 位点的富 Pb 改性埋入界面，从而促进钙钛矿成核并诱导向上单向结晶过程，从而产生大晶粒、（100）取向的钙钛矿薄膜。此外，Pb的富Pb界面层</w:t>
      </w:r>
      <w:r>
        <w:rPr>
          <w:vertAlign w:val="subscript"/>
        </w:rPr>
        <w:t>10</w:t>
      </w:r>
      <w:r>
        <w:t>（采购订单</w:t>
      </w:r>
      <w:r>
        <w:rPr>
          <w:vertAlign w:val="subscript"/>
        </w:rPr>
        <w:t>4</w:t>
      </w:r>
      <w:r>
        <w:t>）</w:t>
      </w:r>
      <w:r>
        <w:rPr>
          <w:vertAlign w:val="subscript"/>
        </w:rPr>
        <w:t>6</w:t>
      </w:r>
      <w:r>
        <w:t>O与钙钛矿表现出更好的晶格匹配，显着减轻埋入界面处的界面晶格应变。结果，所制造的 C-PSC 的效率达到了 21.56%，碳基微型模块（10.08 cm）的效率为 18.12%。</w:t>
      </w:r>
      <w:r>
        <w:rPr>
          <w:vertAlign w:val="subscript"/>
        </w:rPr>
        <w:t>2</w:t>
      </w:r>
      <w:r>
        <w:t>），这是无空穴传输层平面 C-PSC 报道的最佳效率之一。此外，未封装器件的最大功率点跟踪提供了出色的性能</w:t>
      </w:r>
      <w:r>
        <w:t xml:space="preserve"> </w:t>
      </w:r>
      <w:r>
        <w:t>时间</w:t>
      </w:r>
      <w:r>
        <w:rPr>
          <w:vertAlign w:val="subscript"/>
        </w:rPr>
        <w:t>90</w:t>
      </w:r>
      <w:r>
        <w:t>根据 ISOS-L-1I 标准协议，使用寿命超过 1000 小时。这些结果证实了上述策略具有优异的性能</w:t>
      </w:r>
    </w:p>
    <w:p>
      <w:pPr>
        <w:spacing w:before="0" w:after="200" w:lineRule="auto" w:line="276"/>
      </w:pPr>
      <w:r>
        <w:rPr>
          <w:b/>
        </w:rPr>
        <w:t xml:space="preserve">Abstract (EN): </w:t>
      </w:r>
      <w:r>
        <w:t>Improving the crystalline quality of perovskite films is the most effective approach for constructing high‐performance carbon‐based perovskite solar cells (C‐PSCs). In particular, highly (100)‐oriented monolayer perovskite films can effectively suppress defect‐induced recombination while enhancing charge transport, thereby reducing non‐radiative recombination losses in C‐PSCs. In this work, we propose a scalable strategy for constructing a Pb‐rich modified buried interface with abundant Pb sites, which promotes perovskite nucleation and induces an upward unidirectional crystallization process, resulting in large‐grained, (100)‐oriented perovskite films. Moreover, the Pb‐rich interface layer of Pb</w:t>
      </w:r>
      <w:r>
        <w:rPr>
          <w:vertAlign w:val="subscript"/>
        </w:rPr>
        <w:t>10</w:t>
      </w:r>
      <w:r>
        <w:t>(PO</w:t>
      </w:r>
      <w:r>
        <w:rPr>
          <w:vertAlign w:val="subscript"/>
        </w:rPr>
        <w:t>4</w:t>
      </w:r>
      <w:r>
        <w:t>)</w:t>
      </w:r>
      <w:r>
        <w:rPr>
          <w:vertAlign w:val="subscript"/>
        </w:rPr>
        <w:t>6</w:t>
      </w:r>
      <w:r>
        <w:t>O exhibits better lattice matching with perovskite, significantly alleviating interfacial lattice strain at the buried interface. As a result, the fabricated C‐PSCs achieved a champion efficiency of 21.56%, as well as an efficiency of 18.12% for the carbon‐based mini‐module (10.08 cm</w:t>
      </w:r>
      <w:r>
        <w:rPr>
          <w:vertAlign w:val="subscript"/>
        </w:rPr>
        <w:t>2</w:t>
      </w:r>
      <w:r>
        <w:t>), which is among the best reported efficiencies for hole transport layer‐free planar C‐PSCs. In addition, the maximum power point tracking of unencapsulated devices offered an outstanding</w:t>
      </w:r>
      <w:r>
        <w:t xml:space="preserve"> </w:t>
      </w:r>
      <w:r>
        <w:t>T</w:t>
      </w:r>
      <w:r>
        <w:rPr>
          <w:vertAlign w:val="subscript"/>
        </w:rPr>
        <w:t>90</w:t>
      </w:r>
      <w:r>
        <w:t>lifetime exceeding 1000 h under the ISOS‐L‐1I standard protocol. These results confirm that the above strategy possesses excellent scalability and strong potential for large‐area perovskite photovoltaics.</w:t>
      </w:r>
    </w:p>
    <w:p>
      <w:pPr>
        <w:spacing w:before="120" w:after="120"/>
      </w:pPr>
      <w:r>
        <w:rPr>
          <w:sz w:val="18"/>
        </w:rPr>
        <w:t>——————————————————————————————————————————————————————————————————————</w:t>
      </w:r>
    </w:p>
    <w:p>
      <w:pPr>
        <w:spacing w:before="160" w:after="40" w:line="240" w:lineRule="auto"/>
      </w:pPr>
      <w:r>
        <w:rPr>
          <w:b/>
        </w:rPr>
        <w:t xml:space="preserve">[10] </w:t>
      </w:r>
      <w:hyperlink r:id="rId26">
        <w:r>
          <w:rPr>
            <w:color w:val="1155CC"/>
            <w:u w:val="single"/>
          </w:rPr>
          <w:t>用于增强有机太阳能电池空穴传输的拓扑工程配位聚合物</w:t>
        </w:r>
      </w:hyperlink>
    </w:p>
    <w:p>
      <w:pPr>
        <w:spacing w:before="0" w:after="80"/>
      </w:pPr>
      <w:r>
        <w:rPr>
          <w:i/>
          <w:sz w:val="20"/>
        </w:rPr>
        <w:t>EN: Topology‐Engineered Coordination Polymers for Enhanced Hole Transport in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2026-05-26 16:10:17+00:00</w:t>
      </w:r>
      <w:r>
        <w:t xml:space="preserve">    </w:t>
      </w:r>
      <w:r>
        <w:rPr>
          <w:b/>
        </w:rPr>
        <w:t xml:space="preserve">DOI: </w:t>
      </w:r>
      <w:hyperlink r:id="rId27">
        <w:r>
          <w:rPr>
            <w:color w:val="1155CC"/>
            <w:u w:val="single"/>
          </w:rPr>
          <w:t>10.1002/anie.9811085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商业化的PEDOT:PSS由于其溶液可加工性、良好的透明度以及在不同材料体系中的通用性，是有机太阳能电池（OSC）中最常用的空穴传输材料。然而，其相对较浅的功函数（WF）和不令人满意的纵向电导率限制了器件的性能。在这里，我们基于碘化铜（CuI）和2,7-二（吡啶-4-基）吖啶（DPA）开发了三种具有可调节空间拓扑的配位聚合物（CP），并揭示了拓扑工程调节介导PEDOT:PSS和活性层的性质以及OSC性能的机制。通过配位引起的分离和拓扑引起的堆积增强效应，共混的CPs-PEDOT:PSS薄膜表现出更好的π-π堆积、更高的纵向电导率和更深的WF能级，有利于载流子动力学并减少界面电压损失。由此产生的基于二元有源层的冠军器件表现出超过 20% 的高效率。这项工作展示了拓扑工程CP作为空穴传输材料的应用潜力，并提供了构建坚固中间层的合理策略。</w:t>
      </w:r>
    </w:p>
    <w:p>
      <w:pPr>
        <w:spacing w:before="0" w:after="200" w:lineRule="auto" w:line="276"/>
      </w:pPr>
      <w:r>
        <w:rPr>
          <w:b/>
        </w:rPr>
        <w:t xml:space="preserve">Abstract (EN): </w:t>
      </w:r>
      <w:r>
        <w:t>The commercialized PEDOT:PSS is the most commonly used hole‐transporting material in organic solar cells (OSCs) due to its solution processability, good transparency, and universality across different material systems. However, its relatively shallow work function (WF) and unsatisfactory longitudinal conductivity constrain the device performance. Here, we develop three coordination polymers (CPs) with adjustable spatial topologies based on copper iodide (CuI) and 2,7‐di(pyridine‐4‐yl)acridine (DPA), and reveal the mechanism by which topology‐engineered regulation mediates the properties of PEDOT:PSS and the active layer as well as OSC performance. Through the functions of coordination‐induced separation and stacking enhancement effect induced by topology, the blended CPs‐PEDOT:PSS films exhibit better π‐π stacking, higher longitudinal conductivity and a deeper WF level, facilitating carrier dynamics and reducing interfacial voltage loss. The resulting champion device based on the binary active layer exhibits a high efficiency of over 20%. This work demonstrates the application potential of topology‐engineered CPs as hole‐transporting materials and provides a rational strategy to construct robust interlayers.</w:t>
      </w:r>
    </w:p>
    <w:p>
      <w:pPr>
        <w:spacing w:before="120" w:after="120"/>
      </w:pPr>
      <w:r>
        <w:rPr>
          <w:sz w:val="18"/>
        </w:rPr>
        <w:t>——————————————————————————————————————————————————————————————————————</w:t>
      </w:r>
    </w:p>
    <w:p>
      <w:pPr>
        <w:spacing w:before="160" w:after="40" w:line="240" w:lineRule="auto"/>
      </w:pPr>
      <w:r>
        <w:rPr>
          <w:b/>
        </w:rPr>
        <w:t xml:space="preserve">[11] </w:t>
      </w:r>
      <w:hyperlink r:id="rId28">
        <w:r>
          <w:rPr>
            <w:color w:val="1155CC"/>
            <w:u w:val="single"/>
          </w:rPr>
          <w:t>气相晶界锚定可在中试规模的卷对卷印刷柔性钙钛矿模块中实现分子增韧和创纪录的弯曲耐力</w:t>
        </w:r>
      </w:hyperlink>
    </w:p>
    <w:p>
      <w:pPr>
        <w:spacing w:before="0" w:after="80"/>
      </w:pPr>
      <w:r>
        <w:rPr>
          <w:i/>
          <w:sz w:val="20"/>
        </w:rPr>
        <w:t>EN: Vapor‐Phase Grain‐Boundary Anchoring Enables Molecular Toughening and Record Bending Endurance in Pilot‐Scale Roll‐to‐Roll‐Printed Flexible Perovskite Modules</w:t>
      </w:r>
    </w:p>
    <w:p>
      <w:pPr>
        <w:spacing w:before="0" w:after="120"/>
      </w:pPr>
      <w:r>
        <w:rPr>
          <w:b/>
        </w:rPr>
        <w:t xml:space="preserve">Source: </w:t>
      </w:r>
      <w:r>
        <w:t>Wiley: Angewandte Chemie International Edition: Table of Contents</w:t>
      </w:r>
      <w:r>
        <w:t xml:space="preserve">    </w:t>
      </w:r>
      <w:r>
        <w:rPr>
          <w:b/>
        </w:rPr>
        <w:t xml:space="preserve">Pub date: </w:t>
      </w:r>
      <w:r>
        <w:t>2026-05-26 16:12:15+00:00</w:t>
      </w:r>
      <w:r>
        <w:t xml:space="preserve">    </w:t>
      </w:r>
      <w:r>
        <w:rPr>
          <w:b/>
        </w:rPr>
        <w:t xml:space="preserve">DOI: </w:t>
      </w:r>
      <w:hyperlink r:id="rId29">
        <w:r>
          <w:rPr>
            <w:color w:val="1155CC"/>
            <w:u w:val="single"/>
          </w:rPr>
          <w:t>10.1002/anie.7292679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碳电极的柔性卤化铅钙钛矿太阳能模块（C-fPSM）由于其成本低廉且与卷对卷（R2R）制造兼容，因此在印刷光伏发电中很有前景。然而，微晶钙钛矿薄膜由于其高晶界密度而导致机械脆性，限制了其实际应用。在这里，我们报告了一种通过硫醇蒸气退火来分子增韧印刷钙钛矿层的气相晶界锚定策略。硫醇分子与中间物质相互作用，并优先锚定在表面和晶界上，重新编程整个薄膜的结晶。这种化学机械调节促进晶粒生长，降低陷阱密度，并将变形行为从脆性断裂转变为延性应变调节，杨氏模量降低、屈服应变增加和断裂韧性显着增强就证明了这一点。结果，经过处理的器件在 25,000 次弯曲循环后仍保留了 93% 的初始性能，代表了柔性钙钛矿电池的新基准。此外，改进的薄膜均匀性和界面接触使 R2R 印刷电池的功率转换效率达到 15.7%，模块（20.25 cm）的功率转换效率达到 12.1%</w:t>
      </w:r>
      <w:r>
        <w:rPr>
          <w:vertAlign w:val="subscript"/>
        </w:rPr>
        <w:t>2</w:t>
      </w:r>
      <w:r>
        <w:t>），可扩展性高达 900 厘米</w:t>
      </w:r>
      <w:r>
        <w:rPr>
          <w:vertAlign w:val="subscript"/>
        </w:rPr>
        <w:t>2</w:t>
      </w:r>
      <w:r>
        <w:t>（17.26%）。这项工作提供了一种可扩展的策略，可以同时增强机械鲁棒性和光伏性能。</w:t>
      </w:r>
    </w:p>
    <w:p>
      <w:pPr>
        <w:spacing w:before="0" w:after="200" w:lineRule="auto" w:line="276"/>
      </w:pPr>
      <w:r>
        <w:rPr>
          <w:b/>
        </w:rPr>
        <w:t xml:space="preserve">Abstract (EN): </w:t>
      </w:r>
      <w:r>
        <w:t>Flexible lead‐halide perovskite solar modules with carbon electrodes (C‐fPSMs) are promising for printed photovoltaics due to their low cost and compatibility with roll‐to‐roll (R2R) fabrication. However, the mechanical fragility of microcrystalline perovskite films, arising from their high grain‐boundary density, limits their practical application. Here, we report a vapor‐phase grain‐boundary anchoring strategy via thiol vapor annealing to molecularly toughen printed perovskite layers. Thiol molecules interact with intermediate species and preferentially anchor at surfaces and grain boundaries, reprogramming crystallization across the film. This chemomechanical conditioning promotes grain growth, reduces trap density, and transforms the deformation behavior from brittle fracture to ductile strain accommodation, as evidenced by reduced Young's modulus, increased yield strain, and significantly enhanced fracture toughness. As a result, treated devices retain 93% of their initial performance after 25 000 bending cycles, representing a new benchmark for flexible perovskite cells. In addition, improved film uniformity and interfacial contact enable power conversion efficiencies of 15.7% for R2R‐printed cells and 12.1% for modules (20.25 cm</w:t>
      </w:r>
      <w:r>
        <w:rPr>
          <w:vertAlign w:val="subscript"/>
        </w:rPr>
        <w:t>2</w:t>
      </w:r>
      <w:r>
        <w:t>), with scalability demonstrated up to 900 cm</w:t>
      </w:r>
      <w:r>
        <w:rPr>
          <w:vertAlign w:val="subscript"/>
        </w:rPr>
        <w:t>2</w:t>
      </w:r>
      <w:r>
        <w:t>(17.26%). This work provides a scalable strategy to simultaneously enhance mechanical robustness and photovoltaic performance.</w:t>
      </w:r>
    </w:p>
    <w:p>
      <w:pPr>
        <w:spacing w:before="120" w:after="120"/>
      </w:pPr>
      <w:r>
        <w:rPr>
          <w:sz w:val="18"/>
        </w:rPr>
        <w:t>——————————————————————————————————————————————————————————————————————</w:t>
      </w:r>
    </w:p>
    <w:p>
      <w:pPr>
        <w:spacing w:before="160" w:after="40" w:line="240" w:lineRule="auto"/>
      </w:pPr>
      <w:r>
        <w:rPr>
          <w:b/>
        </w:rPr>
        <w:t xml:space="preserve">[12] </w:t>
      </w:r>
      <w:hyperlink r:id="rId30">
        <w:r>
          <w:rPr>
            <w:color w:val="1155CC"/>
            <w:u w:val="single"/>
          </w:rPr>
          <w:t>[ASAP] 正电压系统缓解钙钛矿光伏电池的电势诱导降解</w:t>
        </w:r>
      </w:hyperlink>
    </w:p>
    <w:p>
      <w:pPr>
        <w:spacing w:before="0" w:after="80"/>
      </w:pPr>
      <w:r>
        <w:rPr>
          <w:i/>
          <w:sz w:val="20"/>
        </w:rPr>
        <w:t>EN: [ASAP] Potential-Induced Degradation in Perovskite Photovoltaics Mitigated by Positive-Voltage Systems</w:t>
      </w:r>
    </w:p>
    <w:p>
      <w:pPr>
        <w:spacing w:before="0" w:after="120"/>
      </w:pPr>
      <w:r>
        <w:rPr>
          <w:b/>
        </w:rPr>
        <w:t xml:space="preserve">Source: </w:t>
      </w:r>
      <w:r>
        <w:t>ACS Energy Letters: Latest Articles (ACS Publications)</w:t>
      </w:r>
      <w:r>
        <w:t xml:space="preserve">    </w:t>
      </w:r>
      <w:r>
        <w:rPr>
          <w:b/>
        </w:rPr>
        <w:t xml:space="preserve">Pub date: </w:t>
      </w:r>
      <w:r>
        <w:t>2026-05-26 19:00:00+00:00</w:t>
      </w:r>
      <w:r>
        <w:t xml:space="preserve">    </w:t>
      </w:r>
      <w:r>
        <w:rPr>
          <w:b/>
        </w:rPr>
        <w:t xml:space="preserve">DOI: </w:t>
      </w:r>
      <w:hyperlink r:id="rId31">
        <w:r>
          <w:rPr>
            <w:color w:val="1155CC"/>
            <w:u w:val="single"/>
          </w:rPr>
          <w:t>10.1021/acsenergylett.6c00863</w:t>
        </w:r>
      </w:hyperlink>
    </w:p>
    <w:p>
      <w:pPr>
        <w:spacing w:before="0" w:after="120"/>
      </w:pPr>
      <w:r>
        <w:rPr>
          <w:b/>
        </w:rPr>
        <w:t xml:space="preserve">Notes: </w:t>
      </w:r>
      <w:r>
        <w:t>abstract_source=openalex</w:t>
      </w:r>
    </w:p>
    <w:p>
      <w:pPr>
        <w:spacing w:before="0" w:after="80" w:lineRule="auto" w:line="276"/>
      </w:pPr>
      <w:r>
        <w:rPr>
          <w:b/>
        </w:rPr>
        <w:t xml:space="preserve">摘要（ZH）: </w:t>
      </w:r>
      <w:r>
        <w:t>长期可靠性仍然是钙钛矿光伏商业化的主要障碍，电势诱导退化（PID）成为一种关键的系统级故障模式。具体来说，在强负电压下的薄膜钙钛矿太阳能电池中观察到PID，这归因于钠离子从玻璃基板迁移到电池。在这里，我们报告了封装倒置 (p-i-n) 钙钛矿太阳能电池的 PID 研究，该电池按照 IEC 铝箔测试协议在正负电压 (±1000 V) 下持续 168 小时。我们发现正电压下的器件保留了 95% 以上的初始功率输出，满足通常应用于商业模块的资格标准。这些结果凸显了 PID 可以在系统级解决，从而放松电池和模块级的约束。</w:t>
      </w:r>
    </w:p>
    <w:p>
      <w:pPr>
        <w:spacing w:before="0" w:after="200" w:lineRule="auto" w:line="276"/>
      </w:pPr>
      <w:r>
        <w:rPr>
          <w:b/>
        </w:rPr>
        <w:t xml:space="preserve">Abstract (EN): </w:t>
      </w:r>
      <w:r>
        <w:t>Long-term reliability remains a major barrier to the commercialization of perovskite photovoltaics, with potential-induced degradation (PID) emerging as a critical system-level failure mode. Specifically, PID has been observed in thin-film perovskite solar cells under strong negative voltage and was attributed to sodium ions migrating from the glass substrate to the cell. Here, we report a PID study of encapsulated inverted (p-i-n) perovskite solar cells subjected to positive and negative voltage (±1000 V) for 168 h following the IEC aluminum-foil testing protocol. We find that devices under positive voltage retained more than 95% of the initial power output, meeting the qualification criterion typically applied to commercial modules. These results highlight that PID can be resolved at the system level, thereby relaxing constraints at both the cell and module levels.</w:t>
      </w:r>
    </w:p>
    <w:p>
      <w:pPr>
        <w:spacing w:before="120" w:after="120"/>
      </w:pPr>
      <w:r>
        <w:rPr>
          <w:sz w:val="18"/>
        </w:rPr>
        <w:t>——————————————————————————————————————————————————————————————————————</w:t>
      </w:r>
    </w:p>
    <w:p>
      <w:pPr>
        <w:spacing w:before="160" w:after="40" w:line="240" w:lineRule="auto"/>
      </w:pPr>
      <w:r>
        <w:rPr>
          <w:b/>
        </w:rPr>
        <w:t xml:space="preserve">[13] </w:t>
      </w:r>
      <w:hyperlink r:id="rId32">
        <w:r>
          <w:rPr>
            <w:color w:val="1155CC"/>
            <w:u w:val="single"/>
          </w:rPr>
          <w:t>时滞对并网光伏系统爬坡率控制的影响：电网规范合规性的确定性方法</w:t>
        </w:r>
      </w:hyperlink>
    </w:p>
    <w:p>
      <w:pPr>
        <w:spacing w:before="0" w:after="80"/>
      </w:pPr>
      <w:r>
        <w:rPr>
          <w:i/>
          <w:sz w:val="20"/>
        </w:rPr>
        <w:t>EN: Time delay consequences on ramp rate control for grid-connected PV systems: A deterministic approach to grid code compliance</w:t>
      </w:r>
    </w:p>
    <w:p>
      <w:pPr>
        <w:spacing w:before="0" w:after="120"/>
      </w:pPr>
      <w:r>
        <w:rPr>
          <w:b/>
        </w:rPr>
        <w:t xml:space="preserve">Source: </w:t>
      </w:r>
      <w:r>
        <w:t>ScienceDirect Publication: Applied Energy</w:t>
      </w:r>
      <w:r>
        <w:t xml:space="preserve">    </w:t>
      </w:r>
      <w:r>
        <w:rPr>
          <w:b/>
        </w:rPr>
        <w:t xml:space="preserve">Pub date: </w:t>
      </w:r>
      <w:r>
        <w:t>2026-05-27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3">
        <w:r>
          <w:rPr>
            <w:color w:val="1155CC"/>
            <w:u w:val="single"/>
          </w:rPr>
          <w:t>用于超过 100 cm2 柔性有机光伏组件的超薄膜银透明电极的高热稳定性</w:t>
        </w:r>
      </w:hyperlink>
    </w:p>
    <w:p>
      <w:pPr>
        <w:spacing w:before="0" w:after="80"/>
      </w:pPr>
      <w:r>
        <w:rPr>
          <w:i/>
          <w:sz w:val="20"/>
        </w:rPr>
        <w:t>EN: High Thermal Stability of Ultrathin‐Film Silver Transparent Electrodes for Over 100 cm2 Flexible Organic Photovoltaic Modules</w:t>
      </w:r>
    </w:p>
    <w:p>
      <w:pPr>
        <w:spacing w:before="0" w:after="120"/>
      </w:pPr>
      <w:r>
        <w:rPr>
          <w:b/>
        </w:rPr>
        <w:t xml:space="preserve">Source: </w:t>
      </w:r>
      <w:r>
        <w:t>Wiley: Advanced Energy Materials: Table of Contents</w:t>
      </w:r>
      <w:r>
        <w:t xml:space="preserve">    </w:t>
      </w:r>
      <w:r>
        <w:rPr>
          <w:b/>
        </w:rPr>
        <w:t xml:space="preserve">Pub date: </w:t>
      </w:r>
      <w:r>
        <w:t>2026-05-27 05:20:32+00:00</w:t>
      </w:r>
      <w:r>
        <w:t xml:space="preserve">    </w:t>
      </w:r>
      <w:r>
        <w:rPr>
          <w:b/>
        </w:rPr>
        <w:t xml:space="preserve">DOI: </w:t>
      </w:r>
      <w:hyperlink r:id="rId34">
        <w:r>
          <w:rPr>
            <w:color w:val="1155CC"/>
            <w:u w:val="single"/>
          </w:rPr>
          <w:t>10.1002/aenm.71131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超薄（&lt; 10 nm）银（Ag）透明电极的热稳定性问题限制了其在大面积柔性有机光伏（OPV）中的应用。在这项工作中，我们通过开发真空沉积氧化锡（SnO</w:t>
      </w:r>
      <w:r>
        <w:rPr>
          <w:vertAlign w:val="subscript"/>
        </w:rPr>
        <w:t>2</w:t>
      </w:r>
      <w:r>
        <w:t>（蒸发），1 nm）种子层，用于生长超薄银透明电极。在 SnO 上生长的 4 nm Ag 透明电极</w:t>
      </w:r>
      <w:r>
        <w:rPr>
          <w:vertAlign w:val="subscript"/>
        </w:rPr>
        <w:t>2</w:t>
      </w:r>
      <w:r>
        <w:t>（蒸发）表面可以在没有任何保护层的情况下在空气中承受高达 250°C–300°C 的温度，这比在其他表面（包括玻璃、聚乙烯亚胺、金、镍、铬、铜、氧化钨、氧化钼和 SnO）上生长的银膜（4 nm）表现出更高的耐热性</w:t>
      </w:r>
      <w:r>
        <w:rPr>
          <w:vertAlign w:val="subscript"/>
        </w:rPr>
        <w:t>2</w:t>
      </w:r>
      <w:r>
        <w:t>（原子层沉积，ALD）。 SnO 上生长的超薄 Ag 薄膜具有高耐热性和高光电特性</w:t>
      </w:r>
      <w:r>
        <w:rPr>
          <w:vertAlign w:val="subscript"/>
        </w:rPr>
        <w:t>2</w:t>
      </w:r>
      <w:r>
        <w:t>（蒸发）可能归因于界面 Sn-O-Ag 化学键。基于薄Ag/SnO</w:t>
      </w:r>
      <w:r>
        <w:rPr>
          <w:vertAlign w:val="subscript"/>
        </w:rPr>
        <w:t>2</w:t>
      </w:r>
      <w:r>
        <w:t>（蒸发）透明电极，活性面积为 108 cm 的柔性 OPV 模块</w:t>
      </w:r>
      <w:r>
        <w:rPr>
          <w:vertAlign w:val="subscript"/>
        </w:rPr>
        <w:t>2</w:t>
      </w:r>
      <w:r>
        <w:t>PCE 为 13.51%。通过最大功率输出点（MPP）跟踪进一步评估了柔性模块的户外运行稳定性。经过一个多月的户外跟踪，柔性 OPV 模块表现出与硅参考器件相当的高运行稳定性。灵活的 OPV 模块</w:t>
      </w:r>
    </w:p>
    <w:p>
      <w:pPr>
        <w:spacing w:before="0" w:after="200" w:lineRule="auto" w:line="276"/>
      </w:pPr>
      <w:r>
        <w:rPr>
          <w:b/>
        </w:rPr>
        <w:t xml:space="preserve">Abstract (EN): </w:t>
      </w:r>
      <w:r>
        <w:t>Thermal stability issue of ultrathin (&amp;lt; 10 nm) silver (Ag) transparent electrodes limit their applications for large‐area flexible organic photovoltaics (OPVs). In this work, we address this issue by developing a vacuum‐deposited tin oxide (SnO</w:t>
      </w:r>
      <w:r>
        <w:rPr>
          <w:vertAlign w:val="subscript"/>
        </w:rPr>
        <w:t>2</w:t>
      </w:r>
      <w:r>
        <w:t>(evap.), 1 nm) seed layer for growing an ultrathin Ag transparent electrode. The 4 nm Ag transparent electrode grown on SnO</w:t>
      </w:r>
      <w:r>
        <w:rPr>
          <w:vertAlign w:val="subscript"/>
        </w:rPr>
        <w:t>2</w:t>
      </w:r>
      <w:r>
        <w:t>(evap.) surface could withstand temperature as high as 250°C–300°C in air without any protection layer, which showed much higher thermal robustness than Ag films (4 nm) grown on other surfaces, including glass, polyethyleneimine, gold, nickel, chromium, copper, tungsten oxide, molybdenum oxide, and SnO</w:t>
      </w:r>
      <w:r>
        <w:rPr>
          <w:vertAlign w:val="subscript"/>
        </w:rPr>
        <w:t>2</w:t>
      </w:r>
      <w:r>
        <w:t>(atomic layer deposition, ALD). The high thermal robustness and high optoelectronic properties of the ultrathin Ag film grown on SnO</w:t>
      </w:r>
      <w:r>
        <w:rPr>
          <w:vertAlign w:val="subscript"/>
        </w:rPr>
        <w:t>2</w:t>
      </w:r>
      <w:r>
        <w:t>(evap.) are likely attributed to interfacial Sn–O–Ag chemical linkages. Based on the thin Ag/SnO</w:t>
      </w:r>
      <w:r>
        <w:rPr>
          <w:vertAlign w:val="subscript"/>
        </w:rPr>
        <w:t>2</w:t>
      </w:r>
      <w:r>
        <w:t>(evap.) transparent electrodes, a flexible OPV module with an active area of 108 cm</w:t>
      </w:r>
      <w:r>
        <w:rPr>
          <w:vertAlign w:val="subscript"/>
        </w:rPr>
        <w:t>2</w:t>
      </w:r>
      <w:r>
        <w:t>exhibits a PCE of 13.51%. Outdoor operational stability of the flexible module was further conducted via maximum power output point (MPP) tracking. After over one‐month outdoor tracking, the flexible OPV module showed high operational stability comparable to the silicon reference device. The flexible OPV module displayed higher power output than silicon reference devices under dim illumination.</w:t>
      </w:r>
    </w:p>
    <w:p>
      <w:pPr>
        <w:spacing w:before="120" w:after="120"/>
      </w:pPr>
      <w:r>
        <w:rPr>
          <w:sz w:val="18"/>
        </w:rPr>
        <w:t>——————————————————————————————————————————————————————————————————————</w:t>
      </w:r>
    </w:p>
    <w:p>
      <w:pPr>
        <w:spacing w:before="160" w:after="40" w:line="240" w:lineRule="auto"/>
      </w:pPr>
      <w:r>
        <w:rPr>
          <w:b/>
        </w:rPr>
        <w:t xml:space="preserve">[15] </w:t>
      </w:r>
      <w:hyperlink r:id="rId35">
        <w:r>
          <w:rPr>
            <w:color w:val="1155CC"/>
            <w:u w:val="single"/>
          </w:rPr>
          <w:t>对“分子不对称性和短连接体的协同工程实现钙钛矿太阳能电池中的高性能空穴选择性接触”的修正</w:t>
        </w:r>
      </w:hyperlink>
    </w:p>
    <w:p>
      <w:pPr>
        <w:spacing w:before="0" w:after="80"/>
      </w:pPr>
      <w:r>
        <w:rPr>
          <w:i/>
          <w:sz w:val="20"/>
        </w:rPr>
        <w:t>EN: Correction to “Synergistic Engineering of Molecular Asymmetry and Short Linkers Enables High‐Performance Hole‐Selective Contacts in Perovskite Solar Cells”</w:t>
      </w:r>
    </w:p>
    <w:p>
      <w:pPr>
        <w:spacing w:before="0" w:after="120"/>
      </w:pPr>
      <w:r>
        <w:rPr>
          <w:b/>
        </w:rPr>
        <w:t xml:space="preserve">Source: </w:t>
      </w:r>
      <w:r>
        <w:t>Wiley: Advanced Materials: Table of Contents</w:t>
      </w:r>
      <w:r>
        <w:t xml:space="preserve">    </w:t>
      </w:r>
      <w:r>
        <w:rPr>
          <w:b/>
        </w:rPr>
        <w:t xml:space="preserve">Pub date: </w:t>
      </w:r>
      <w:r>
        <w:t>2026-05-27 05:52:54+00:00</w:t>
      </w:r>
      <w:r>
        <w:t xml:space="preserve">    </w:t>
      </w:r>
      <w:r>
        <w:rPr>
          <w:b/>
        </w:rPr>
        <w:t xml:space="preserve">DOI: </w:t>
      </w:r>
      <w:hyperlink r:id="rId36">
        <w:r>
          <w:rPr>
            <w:color w:val="1155CC"/>
            <w:u w:val="single"/>
          </w:rPr>
          <w:t>10.1002/adma.73532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37">
        <w:r>
          <w:rPr>
            <w:color w:val="1155CC"/>
            <w:u w:val="single"/>
          </w:rPr>
          <w:t>柔性钙钛矿/硅串联太阳能电池规模化效率超过 30%</w:t>
        </w:r>
      </w:hyperlink>
    </w:p>
    <w:p>
      <w:pPr>
        <w:spacing w:before="0" w:after="80"/>
      </w:pPr>
      <w:r>
        <w:rPr>
          <w:i/>
          <w:sz w:val="20"/>
        </w:rPr>
        <w:t>EN: Flexible Perovskite/Silicon Tandem Solar Cells Exceeding 30% Efficiency at Scale</w:t>
      </w:r>
    </w:p>
    <w:p>
      <w:pPr>
        <w:spacing w:before="0" w:after="120"/>
      </w:pPr>
      <w:r>
        <w:rPr>
          <w:b/>
        </w:rPr>
        <w:t xml:space="preserve">Source: </w:t>
      </w:r>
      <w:r>
        <w:t>Wiley: Advanced Materials: Table of Contents</w:t>
      </w:r>
      <w:r>
        <w:t xml:space="preserve">    </w:t>
      </w:r>
      <w:r>
        <w:rPr>
          <w:b/>
        </w:rPr>
        <w:t xml:space="preserve">Pub date: </w:t>
      </w:r>
      <w:r>
        <w:t>2026-05-27 05:54:02+00:00</w:t>
      </w:r>
      <w:r>
        <w:t xml:space="preserve">    </w:t>
      </w:r>
      <w:r>
        <w:rPr>
          <w:b/>
        </w:rPr>
        <w:t xml:space="preserve">DOI: </w:t>
      </w:r>
      <w:hyperlink r:id="rId38">
        <w:r>
          <w:rPr>
            <w:color w:val="1155CC"/>
            <w:u w:val="single"/>
          </w:rPr>
          <w:t>10.1002/adma.73479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柔性钙钛矿/硅串联太阳能电池（FTSC）代表了高功率密度、顺应性电子产品的前沿，但其商业可行性受到钙钛矿/碳的界面载流子复合和机械分层的双重挑战的阻碍。</w:t>
      </w:r>
      <w:r>
        <w:rPr>
          <w:vertAlign w:val="subscript"/>
        </w:rPr>
        <w:t>60</w:t>
      </w:r>
      <w:r>
        <w:t>界面。在这里，我们展示了一种双分子哌嗪衍生的界面工程策略，可同时优化界面光物理和结构完整性。通过应用哌嗪二盐酸盐(PDCl)和1-(4-氯苯基)哌嗪盐酸盐的协同组合(</w:t>
      </w:r>
      <w:r>
        <w:t xml:space="preserve"> </w:t>
      </w:r>
      <w:r>
        <w:t>p</w:t>
      </w:r>
      <w:r>
        <w:t xml:space="preserve"> </w:t>
      </w:r>
      <w:r>
        <w:t>‐ClPh-PCl)，我们实现了互补的场效应钝化和稳定的低维模板的原位形成。虽然 PDCl 有效抑制界面陷阱态并调节能带排列以加速电子提取，但</w:t>
      </w:r>
      <w:r>
        <w:t xml:space="preserve"> </w:t>
      </w:r>
      <w:r>
        <w:t>p</w:t>
      </w:r>
      <w:r>
        <w:t xml:space="preserve"> </w:t>
      </w:r>
      <w:r>
        <w:t>‐ClPh-PCl 促进均匀的 C</w:t>
      </w:r>
      <w:r>
        <w:rPr>
          <w:vertAlign w:val="subscript"/>
        </w:rPr>
        <w:t>60</w:t>
      </w:r>
      <w:r>
        <w:t>生长，防止富勒烯聚集并增强界面粘附力。这种统一的分子设计使我们能够达到31.51%（1 cm</w:t>
      </w:r>
      <w:r>
        <w:rPr>
          <w:vertAlign w:val="subscript"/>
        </w:rPr>
        <w:t>2</w:t>
      </w:r>
      <w:r>
        <w:t>）和大面积（17.64 cm</w:t>
      </w:r>
      <w:r>
        <w:rPr>
          <w:vertAlign w:val="subscript"/>
        </w:rPr>
        <w:t>2</w:t>
      </w:r>
      <w:r>
        <w:t>) FTSC，在超过 10 cm 的 FTSC 中 PCE 首次超过 30%</w:t>
      </w:r>
      <w:r>
        <w:rPr>
          <w:vertAlign w:val="subscript"/>
        </w:rPr>
        <w:t>2</w:t>
      </w:r>
      <w:r>
        <w:t>在设备区域。此外，这些设备表现出卓越的耐用性，保留了 95% 的初始值</w:t>
      </w:r>
    </w:p>
    <w:p>
      <w:pPr>
        <w:spacing w:before="0" w:after="200" w:lineRule="auto" w:line="276"/>
      </w:pPr>
      <w:r>
        <w:rPr>
          <w:b/>
        </w:rPr>
        <w:t xml:space="preserve">Abstract (EN): </w:t>
      </w:r>
      <w:r>
        <w:t>Flexible perovskite/silicon tandem solar cells (FTSCs) represent a frontier for high‐power‐density, conformable electronics, yet their commercial viability is hindered by the dual challenges of interfacial carrier recombination and mechanical delamination at the perovskite/C</w:t>
      </w:r>
      <w:r>
        <w:rPr>
          <w:vertAlign w:val="subscript"/>
        </w:rPr>
        <w:t>60</w:t>
      </w:r>
      <w:r>
        <w:t>interface. Here, we demonstrate a bimolecular piperazine‐derived interface engineering strategy that simultaneously optimizes interfacial photophysics and structural integrity. By applying a synergistic combination of piperazine dihydrochloride (PDCl) and 1‐(4‐chlorophenyl) piperazine hydrochloride (</w:t>
      </w:r>
      <w:r>
        <w:t xml:space="preserve"> </w:t>
      </w:r>
      <w:r>
        <w:t>p</w:t>
      </w:r>
      <w:r>
        <w:t xml:space="preserve"> </w:t>
      </w:r>
      <w:r>
        <w:t>‐ClPh‐PCl), we achieve complementary field‐effect passivation and in situ formation of a stabilizing low‐dimensional template. While PDCl effectively suppresses interfacial trap states and modulates band alignment for accelerated electron extraction, the</w:t>
      </w:r>
      <w:r>
        <w:t xml:space="preserve"> </w:t>
      </w:r>
      <w:r>
        <w:t>p</w:t>
      </w:r>
      <w:r>
        <w:t xml:space="preserve"> </w:t>
      </w:r>
      <w:r>
        <w:t>‐ClPh‐PCl facilitates uniform C</w:t>
      </w:r>
      <w:r>
        <w:rPr>
          <w:vertAlign w:val="subscript"/>
        </w:rPr>
        <w:t>60</w:t>
      </w:r>
      <w:r>
        <w:t>growth, preventing fullerene aggregation and reinforcing interfacial adhesion. This unified molecular design enables us to reach a power conversion efficiency of 31.51% (1 cm</w:t>
      </w:r>
      <w:r>
        <w:rPr>
          <w:vertAlign w:val="subscript"/>
        </w:rPr>
        <w:t>2</w:t>
      </w:r>
      <w:r>
        <w:t>) and a 30.31% for large‐area (17.64 cm</w:t>
      </w:r>
      <w:r>
        <w:rPr>
          <w:vertAlign w:val="subscript"/>
        </w:rPr>
        <w:t>2</w:t>
      </w:r>
      <w:r>
        <w:t>) FTSCs, surpassing 30% PCE for the first time in FTSCs exceeding 10 cm</w:t>
      </w:r>
      <w:r>
        <w:rPr>
          <w:vertAlign w:val="subscript"/>
        </w:rPr>
        <w:t>2</w:t>
      </w:r>
      <w:r>
        <w:t>in device area. Furthermore, these devices exhibit exceptional durability, retaining 95% of their initial efficiency after 20,000 bending cycles and 650 h of continuous illumination.</w:t>
      </w:r>
    </w:p>
    <w:p>
      <w:pPr>
        <w:spacing w:before="120" w:after="120"/>
      </w:pPr>
      <w:r>
        <w:rPr>
          <w:sz w:val="18"/>
        </w:rPr>
        <w:t>——————————————————————————————————————————————————————————————————————</w:t>
      </w:r>
    </w:p>
    <w:p>
      <w:pPr>
        <w:spacing w:before="160" w:after="40" w:line="240" w:lineRule="auto"/>
      </w:pPr>
      <w:r>
        <w:rPr>
          <w:b/>
        </w:rPr>
        <w:t xml:space="preserve">[17] </w:t>
      </w:r>
      <w:hyperlink r:id="rId39">
        <w:r>
          <w:rPr>
            <w:color w:val="1155CC"/>
            <w:u w:val="single"/>
          </w:rPr>
          <w:t>结构特性、多晶型和多尺度无序揭示苝二酰亚胺半导体的能量传输限制</w:t>
        </w:r>
      </w:hyperlink>
    </w:p>
    <w:p>
      <w:pPr>
        <w:spacing w:before="0" w:after="80"/>
      </w:pPr>
      <w:r>
        <w:rPr>
          <w:i/>
          <w:sz w:val="20"/>
        </w:rPr>
        <w:t>EN: Structural properties, polymorphism, and multiscale disorder unravel energy transport limitations in perylene diimide semiconductors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40">
        <w:r>
          <w:rPr>
            <w:color w:val="1155CC"/>
            <w:u w:val="single"/>
          </w:rPr>
          <w:t>10.1126/sciadv.aed0037</w:t>
        </w:r>
      </w:hyperlink>
    </w:p>
    <w:p>
      <w:pPr>
        <w:spacing w:before="0" w:after="120"/>
      </w:pPr>
      <w:r>
        <w:rPr>
          <w:b/>
        </w:rPr>
        <w:t xml:space="preserve">Notes: </w:t>
      </w:r>
      <w:r>
        <w:t>abstract_source=crossref</w:t>
      </w:r>
    </w:p>
    <w:p>
      <w:pPr>
        <w:spacing w:before="0" w:after="80" w:lineRule="auto" w:line="276"/>
      </w:pPr>
      <w:r>
        <w:rPr>
          <w:b/>
        </w:rPr>
        <w:t xml:space="preserve">摘要（ZH）: </w:t>
      </w:r>
      <w:r>
        <w:t>从光伏到电子，有机半导体继续取得显着的性能提升。然而，了解固态结构的差异如何导致能量传输特性的巨大差异仍然悬而未决。我们报道了两种苝二酰亚胺（PDI）衍生物的微晶仅在端基[环己基（CH）和4-庚基（ST）]上有所不同，其激子扩散系数相差两个以上数量级。应用最先进的微晶结构测定技术，我们报告了 CH-PDI 和 ST-PDI 的两种多晶型物的晶体结构。扫描电子衍射揭示了 ST-PDI 微晶中一系列由多晶型共生引起的晶体学缺陷，而电子能量损失光谱将这些缺陷与纳米级电子结构变化联系起来。计算模型表明，旋转无序可以解释激子扩散系数的差异。我们的观察证实了缺陷引起的取向紊乱作为外在能量紊乱的来源的重要性，强调了有机半导体技术中缺陷管理的必要性。</w:t>
      </w:r>
    </w:p>
    <w:p>
      <w:pPr>
        <w:spacing w:before="0" w:after="200" w:lineRule="auto" w:line="276"/>
      </w:pPr>
      <w:r>
        <w:rPr>
          <w:b/>
        </w:rPr>
        <w:t xml:space="preserve">Abstract (EN): </w:t>
      </w:r>
      <w:r>
        <w:t>Organic semiconductors continue to make substantial performance gains from photovoltaics to electronics. However, understanding how differences in solid-state structure give rise to large differences in energy transport properties remains unresolved. We report that microcrystals of two perylene diimide (PDI) derivatives differing only in their terminal groups [cyclohexyl (CH) and 4-heptyl (ST)] have exciton diffusion coefficients differing by more than two orders of magnitude. Applying state-of-the-art techniques for microcrystal structure determination, we report the crystal structures of CH-PDI and two polymorphs of ST-PDI. Scanning electron diffraction reveals a range of crystallographic defects in ST-PDI microcrystals, attributed to polymorph intergrowths, while electron energy loss spectroscopy links these defects to nanoscale electronic structure changes. Computational modeling demonstrates that rotational disorder explains the difference in exciton diffusion coefficients. Our observations establish the importance of defect-induced orientational disorder as a source of extrinsic energetic disorder, highlighting the need for defect management in organic semiconductor technologies.</w:t>
      </w:r>
    </w:p>
    <w:p>
      <w:pPr>
        <w:spacing w:before="120" w:after="120"/>
      </w:pPr>
      <w:r>
        <w:rPr>
          <w:sz w:val="18"/>
        </w:rPr>
        <w:t>——————————————————————————————————————————————————————————————————————</w:t>
      </w:r>
    </w:p>
    <w:p>
      <w:pPr>
        <w:spacing w:before="160" w:after="40" w:line="240" w:lineRule="auto"/>
      </w:pPr>
      <w:r>
        <w:rPr>
          <w:b/>
        </w:rPr>
        <w:t xml:space="preserve">[18] </w:t>
      </w:r>
      <w:hyperlink r:id="rId41">
        <w:r>
          <w:rPr>
            <w:color w:val="1155CC"/>
            <w:u w:val="single"/>
          </w:rPr>
          <w:t>调节聚合物受体的共面性有利于高效稳定的半透明太阳能电池的分层全聚合物异质结</w:t>
        </w:r>
      </w:hyperlink>
    </w:p>
    <w:p>
      <w:pPr>
        <w:spacing w:before="0" w:after="80"/>
      </w:pPr>
      <w:r>
        <w:rPr>
          <w:i/>
          <w:sz w:val="20"/>
        </w:rPr>
        <w:t>EN: Modulating Coplanarity of Polymer Acceptor Facilitates Hierarchical All‐Polymer Heterojunction for Efficient and Stable Semitransparent Solar Cells</w:t>
      </w:r>
    </w:p>
    <w:p>
      <w:pPr>
        <w:spacing w:before="0" w:after="120"/>
      </w:pPr>
      <w:r>
        <w:rPr>
          <w:b/>
        </w:rPr>
        <w:t xml:space="preserve">Source: </w:t>
      </w:r>
      <w:r>
        <w:t>Wiley: Advanced Materials: Table of Contents</w:t>
      </w:r>
      <w:r>
        <w:t xml:space="preserve">    </w:t>
      </w:r>
      <w:r>
        <w:rPr>
          <w:b/>
        </w:rPr>
        <w:t xml:space="preserve">Pub date: </w:t>
      </w:r>
      <w:r>
        <w:t>2026-05-27 13:13:51+00:00</w:t>
      </w:r>
      <w:r>
        <w:t xml:space="preserve">    </w:t>
      </w:r>
      <w:r>
        <w:rPr>
          <w:b/>
        </w:rPr>
        <w:t xml:space="preserve">DOI: </w:t>
      </w:r>
      <w:hyperlink r:id="rId42">
        <w:r>
          <w:rPr>
            <w:color w:val="1155CC"/>
            <w:u w:val="single"/>
          </w:rPr>
          <w:t>10.1002/adma.73498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聚合物基半透明有机太阳能电池（ST-OSC）由于其卓越的运行稳定性，比小分子类似物更适合建筑一体化光伏发电。然而，它们的部署受到低光利用率（LUE）的阻碍，这主要归因于体异质结架构内的暗示形态控制。为了减轻这些限制，我们在这里将聚合物供体层减薄策略与准平面异质结（QPHJ）结构中的新型星形聚合物受体相结合。两种这样的受体，PYBSe-B和PYBSe-L，是用基于空间位阻BTSe核心的扭曲π主链设计和合成的，两侧是可定制的侧链，以调节分子平面性和自聚集行为。通过纳入 QPHJ 中 PM6 供体的底层，相对平面的 PYBSe-L 在 PM6 域之间聚集，而无定形 PYBSe-B 则充分混合。研究发现 PYBSe-L 可以扩大域间间距并促进上部 PYIT 受体的渗透，从而增强光学透射率和激子解离。全聚合物 ST-OSC 的冠军器件实现了 11.16% 的效率和 4.80% 的创纪录的 LUE。值得注意的是，QPHJ 结构形成的刚性分层聚合物渗透网络极大地增强了未封装器件的存储稳定性，外推</w:t>
      </w:r>
      <w:r>
        <w:t xml:space="preserve"> </w:t>
      </w:r>
      <w:r>
        <w:t>时间</w:t>
      </w:r>
      <w:r>
        <w:rPr>
          <w:vertAlign w:val="subscript"/>
        </w:rPr>
        <w:t>80</w:t>
      </w:r>
      <w:r>
        <w:t>寿命（退化至初始 LUE 值的 80%）超过 1310 小时且</w:t>
      </w:r>
    </w:p>
    <w:p>
      <w:pPr>
        <w:spacing w:before="0" w:after="200" w:lineRule="auto" w:line="276"/>
      </w:pPr>
      <w:r>
        <w:rPr>
          <w:b/>
        </w:rPr>
        <w:t xml:space="preserve">Abstract (EN): </w:t>
      </w:r>
      <w:r>
        <w:t>All‐polymer‐based semitransparent organic solar cells (ST‐OSCs) are better‐suited candidates than small‐molecule analogues for building‐integrated photovoltaics due to their superior operational stability. Their deployment is however hindered by low light utilization efficiency (LUE), mainly ascribed to intimating morphological control within bulk‐heterojunction architectures. To mitigate these constraints, here we synergize the polymer donor‐layer thinning strategy with a novel star‐shaped polymer acceptor in a quasi‐planar heterojunction (QPHJ) structure. Two such acceptors, PYBSe‐B and PYBSe‐L, are designed and synthesized with twisted π‐backbones based on a sterically hindered BTSe core flanked with tailorable side‐chains to regulate molecular planarity and self‐aggregation behavior. By inclusion into the bottom layer of PM6 donor in QPHJs, the relatively planar PYBSe‐L is aggregated between the PM6 domains whereas the amorphous PYBSe‐B is well‐mixed. PYBSe‐L is found to expand interdomain spacing and promote infiltration of the upper PYIT acceptor, strengthening optical transmittance and exciton dissociation. The champion devices achieved an efficiency of 11.16% and a record LUE of 4.80% for all‐polymer ST‐OSCs. Remarkably, the rigid hierarchical polymer–infiltration network formed by the QPHJ structure greatly reinforced storage stability of the unencapsulated device with an extrapolated</w:t>
      </w:r>
      <w:r>
        <w:t xml:space="preserve"> </w:t>
      </w:r>
      <w:r>
        <w:t>T</w:t>
      </w:r>
      <w:r>
        <w:rPr>
          <w:vertAlign w:val="subscript"/>
        </w:rPr>
        <w:t>80</w:t>
      </w:r>
      <w:r>
        <w:t>lifetime (degradation to 80% of initial LUE values) of over 1310 h under ambient conditions.</w:t>
      </w:r>
    </w:p>
    <w:p>
      <w:pPr>
        <w:spacing w:before="120" w:after="120"/>
      </w:pPr>
      <w:r>
        <w:rPr>
          <w:sz w:val="18"/>
        </w:rPr>
        <w:t>——————————————————————————————————————————————————————————————————————</w:t>
      </w:r>
    </w:p>
    <w:p>
      <w:pPr>
        <w:spacing w:before="160" w:after="40" w:line="240" w:lineRule="auto"/>
      </w:pPr>
      <w:r>
        <w:rPr>
          <w:b/>
        </w:rPr>
        <w:t xml:space="preserve">[19] </w:t>
      </w:r>
      <w:hyperlink r:id="rId43">
        <w:r>
          <w:rPr>
            <w:color w:val="1155CC"/>
            <w:u w:val="single"/>
          </w:rPr>
          <w:t>用于增强钙钛矿太阳能电池稳定性和光伏性能的多功能缓冲层</w:t>
        </w:r>
      </w:hyperlink>
    </w:p>
    <w:p>
      <w:pPr>
        <w:spacing w:before="0" w:after="80"/>
      </w:pPr>
      <w:r>
        <w:rPr>
          <w:i/>
          <w:sz w:val="20"/>
        </w:rPr>
        <w:t>EN: Multifunctional Buffer Layer for Bolstering the Stability and Photovoltaic Performance of Perovskite Solar Cells</w:t>
      </w:r>
    </w:p>
    <w:p>
      <w:pPr>
        <w:spacing w:before="0" w:after="120"/>
      </w:pPr>
      <w:r>
        <w:rPr>
          <w:b/>
        </w:rPr>
        <w:t xml:space="preserve">Source: </w:t>
      </w:r>
      <w:r>
        <w:t>Wiley: Advanced Materials: Table of Contents</w:t>
      </w:r>
      <w:r>
        <w:t xml:space="preserve">    </w:t>
      </w:r>
      <w:r>
        <w:rPr>
          <w:b/>
        </w:rPr>
        <w:t xml:space="preserve">Pub date: </w:t>
      </w:r>
      <w:r>
        <w:t>2026-05-27 13:14:50+00:00</w:t>
      </w:r>
      <w:r>
        <w:t xml:space="preserve">    </w:t>
      </w:r>
      <w:r>
        <w:rPr>
          <w:b/>
        </w:rPr>
        <w:t xml:space="preserve">DOI: </w:t>
      </w:r>
      <w:hyperlink r:id="rId44">
        <w:r>
          <w:rPr>
            <w:color w:val="1155CC"/>
            <w:u w:val="single"/>
          </w:rPr>
          <w:t>10.1002/adma.73529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尽管钙钛矿太阳能电池（PSC）具有令人印象深刻的功率转换效率（PCE），但其长期运行稳定性仍然受到内源离子迁移和界面复合的影响。在此，我们报告了一种稳健的策略，引入了一种基于 4,4'-((1,10-菲咯啉-3,8-二基)双(乙炔-2,1-二基))联苯胺 (BAE-Phen) 的新型多功能阴极缓冲层，该缓冲层表现出优异的热稳定性。理论模拟和实验表征表明，BAE-Phen 通过协同机制发挥作用：其菲咯啉核心与金属离子强烈配位，以减缓有害的电极腐蚀，而其延伸的 π 共轭主链增强了电极腐蚀。</w:t>
      </w:r>
      <w:r>
        <w:t xml:space="preserve"> </w:t>
      </w:r>
      <w:r>
        <w:t>π-π</w:t>
      </w:r>
      <w:r>
        <w:t xml:space="preserve"> </w:t>
      </w:r>
      <w:r>
        <w:t>与[6,6]-苯基-C堆叠</w:t>
      </w:r>
      <w:r>
        <w:rPr>
          <w:vertAlign w:val="subscript"/>
        </w:rPr>
        <w:t>61</w:t>
      </w:r>
      <w:r>
        <w:t>‐丁酸甲酯（PCBM）电子传输层，促进有效的电荷传输。因此，基于 BAE-Phen 的优化设备实现了 27.07% 的冠军 PCE（认证为 26.85%）。值得注意的是，未封装的器件在 85°C 下热老化 2000 小时后仍保留了 90.5% 的初始 PCE。此外，在 1 太阳光照下连续最大功率点跟踪 2200 小时后，封装器件仍保持了近 100% 的初始性能，表现出卓越的热稳定性和操作稳定性。这项工作提出了一种使用多功能分子缓冲剂的战略界面工程方法，为电荷转移的协同优化提供了关键的见解。</w:t>
      </w:r>
    </w:p>
    <w:p>
      <w:pPr>
        <w:spacing w:before="0" w:after="200" w:lineRule="auto" w:line="276"/>
      </w:pPr>
      <w:r>
        <w:rPr>
          <w:b/>
        </w:rPr>
        <w:t xml:space="preserve">Abstract (EN): </w:t>
      </w:r>
      <w:r>
        <w:t>Despite the impressive power conversion efficiency (PCE) of perovskite solar cells (PSCs), their long‐term operational stability remains compromised by endogenous ion migration and interfacial recombination. Herein, we report a robust strategy by introducing a novel multifunctional cathode buffer layer based on 4,4′‐((1,10‐Phenanthroline‐3,8‐diyl)bis(ethyne‐2,1‐diyl))dianiline (BAE‐Phen), which exhibits excellent thermal stability. Theoretical simulations and experimental characterizations reveal that BAE‐Phen operates through synergistic mechanisms: its phenanthroline core strongly coordinates with metal ions to decelerate detrimental electrode corrosion, while its extended π‐conjugated backbone enhances</w:t>
      </w:r>
      <w:r>
        <w:t xml:space="preserve"> </w:t>
      </w:r>
      <w:r>
        <w:t>π–π</w:t>
      </w:r>
      <w:r>
        <w:t xml:space="preserve"> </w:t>
      </w:r>
      <w:r>
        <w:t>stacking with the [6,6]‐phenyl‐C</w:t>
      </w:r>
      <w:r>
        <w:rPr>
          <w:vertAlign w:val="subscript"/>
        </w:rPr>
        <w:t>61</w:t>
      </w:r>
      <w:r>
        <w:t>‐butyric acid methyl ester (PCBM) electron transport layer, facilitating efficient charge transfer. Consequently, the optimized BAE‐Phen‐based devices achieve a champion PCE of 27.07% (certified 26.85%). Notably, unencapsulated devices retained 90.5% of their initial PCE after 2000 h of thermal aging at 85°C. Furthermore, encapsulated devices maintain nearly 100% of their initial performance after 2200 h of continuous maximum power point tracking under 1‐sun illumination, demonstrating exceptional thermal and operational stability. This work presents a strategic interface engineering approach using a multifunctional molecular buffer, providing pivotal insights into the synergistic optimization of charge transmission and ionic to electronic stability for next‐generation photovoltaics.</w:t>
      </w:r>
    </w:p>
    <w:p>
      <w:pPr>
        <w:spacing w:before="120" w:after="120"/>
      </w:pPr>
      <w:r>
        <w:rPr>
          <w:sz w:val="18"/>
        </w:rPr>
        <w:t>——————————————————————————————————————————————————————————————————————</w:t>
      </w:r>
    </w:p>
    <w:p>
      <w:pPr>
        <w:spacing w:before="160" w:after="40" w:line="240" w:lineRule="auto"/>
      </w:pPr>
      <w:r>
        <w:rPr>
          <w:b/>
        </w:rPr>
        <w:t xml:space="preserve">[20] </w:t>
      </w:r>
      <w:hyperlink r:id="rId45">
        <w:r>
          <w:rPr>
            <w:color w:val="1155CC"/>
            <w:u w:val="single"/>
          </w:rPr>
          <w:t>钙钛矿串联太阳能电池中八面体畸变诱导的缺陷形成导致 Sn(II) 氧化</w:t>
        </w:r>
      </w:hyperlink>
    </w:p>
    <w:p>
      <w:pPr>
        <w:spacing w:before="0" w:after="80"/>
      </w:pPr>
      <w:r>
        <w:rPr>
          <w:i/>
          <w:sz w:val="20"/>
        </w:rPr>
        <w:t>EN: Octahedral distortion-induced defect formation leads to Sn(II) oxidation in perovskite tandem solar cells</w:t>
      </w:r>
    </w:p>
    <w:p>
      <w:pPr>
        <w:spacing w:before="0" w:after="120"/>
      </w:pPr>
      <w:r>
        <w:rPr>
          <w:b/>
        </w:rPr>
        <w:t xml:space="preserve">Source: </w:t>
      </w:r>
      <w:r>
        <w:t>Joule</w:t>
      </w:r>
      <w:r>
        <w:t xml:space="preserve">    </w:t>
      </w:r>
      <w:r>
        <w:rPr>
          <w:b/>
        </w:rPr>
        <w:t xml:space="preserve">Pub date: </w:t>
      </w:r>
      <w:r>
        <w:t>2026-05-28 00:00:00+00:00</w:t>
      </w:r>
      <w:r>
        <w:t xml:space="preserve">    </w:t>
      </w:r>
      <w:r>
        <w:rPr>
          <w:b/>
        </w:rPr>
        <w:t xml:space="preserve">DOI: </w:t>
      </w:r>
      <w:hyperlink r:id="rId46">
        <w:r>
          <w:rPr>
            <w:color w:val="1155CC"/>
            <w:u w:val="single"/>
          </w:rPr>
          <w:t>10.1016/j.joule.2026.102495</w:t>
        </w:r>
      </w:hyperlink>
    </w:p>
    <w:p>
      <w:pPr>
        <w:spacing w:before="0" w:after="120"/>
      </w:pPr>
      <w:r>
        <w:rPr>
          <w:b/>
        </w:rPr>
        <w:t xml:space="preserve">Notes: </w:t>
      </w:r>
      <w:r>
        <w:t>abstract_source=rss_cell</w:t>
      </w:r>
    </w:p>
    <w:p>
      <w:pPr>
        <w:spacing w:before="0" w:after="80" w:lineRule="auto" w:line="276"/>
      </w:pPr>
      <w:r>
        <w:rPr>
          <w:b/>
        </w:rPr>
        <w:t xml:space="preserve">摘要（ZH）: </w:t>
      </w:r>
      <w:r>
        <w:t>全钙钛矿串联提供高效、热稳定的光伏器件，但 Sn2+ 氧化限制了窄带隙 Cs(Sn, Pb)I3 器件。我们将晶格畸变确定为 Sn2+ 氧化、相分离和缺陷形成的结构根源。二甲基铵的掺入可稳定四方相，抑制畸变驱动的降解，并在两端串联中实现 19.3% 的稳态效率。</w:t>
      </w:r>
    </w:p>
    <w:p>
      <w:pPr>
        <w:spacing w:before="0" w:after="200" w:lineRule="auto" w:line="276"/>
      </w:pPr>
      <w:r>
        <w:rPr>
          <w:b/>
        </w:rPr>
        <w:t xml:space="preserve">Abstract (EN): </w:t>
      </w:r>
      <w:r>
        <w:t>All-perovskite tandems offer efficient, thermally stable photovoltaics, but Sn2+ oxidation limits narrow-band-gap Cs(Sn, Pb)I3 devices. We identify lattice distortion as the structural origin of Sn2+ oxidation, phase separation, and defect formation. Dimethylammonium incorporation stabilizes the tetragonal phase, suppresses distortion-driven degradation, and enables 19.3% steady-state efficiency in two-terminal tandems.</w:t>
      </w:r>
    </w:p>
    <w:p>
      <w:pPr>
        <w:spacing w:before="120" w:after="120"/>
      </w:pPr>
      <w:r>
        <w:rPr>
          <w:sz w:val="18"/>
        </w:rPr>
        <w:t>——————————————————————————————————————————————————————————————————————</w:t>
      </w:r>
    </w:p>
    <w:p>
      <w:pPr>
        <w:spacing w:before="160" w:after="40" w:line="240" w:lineRule="auto"/>
      </w:pPr>
      <w:r>
        <w:rPr>
          <w:b/>
        </w:rPr>
        <w:t xml:space="preserve">[21] </w:t>
      </w:r>
      <w:hyperlink r:id="rId47">
        <w:r>
          <w:rPr>
            <w:color w:val="1155CC"/>
            <w:u w:val="single"/>
          </w:rPr>
          <w:t>太阳能电池效率表：版本 68</w:t>
        </w:r>
      </w:hyperlink>
    </w:p>
    <w:p>
      <w:pPr>
        <w:spacing w:before="0" w:after="80"/>
      </w:pPr>
      <w:r>
        <w:rPr>
          <w:i/>
          <w:sz w:val="20"/>
        </w:rPr>
        <w:t>EN: Solar cell efficiency tables: Version 68</w:t>
      </w:r>
    </w:p>
    <w:p>
      <w:pPr>
        <w:spacing w:before="0" w:after="120"/>
      </w:pPr>
      <w:r>
        <w:rPr>
          <w:b/>
        </w:rPr>
        <w:t xml:space="preserve">Source: </w:t>
      </w:r>
      <w:r>
        <w:t>Joule</w:t>
      </w:r>
      <w:r>
        <w:t xml:space="preserve">    </w:t>
      </w:r>
      <w:r>
        <w:rPr>
          <w:b/>
        </w:rPr>
        <w:t xml:space="preserve">Pub date: </w:t>
      </w:r>
      <w:r>
        <w:t>2026-05-28 00:00:00+00:00</w:t>
      </w:r>
      <w:r>
        <w:t xml:space="preserve">    </w:t>
      </w:r>
      <w:r>
        <w:rPr>
          <w:b/>
        </w:rPr>
        <w:t xml:space="preserve">DOI: </w:t>
      </w:r>
      <w:hyperlink r:id="rId48">
        <w:r>
          <w:rPr>
            <w:color w:val="1155CC"/>
            <w:u w:val="single"/>
          </w:rPr>
          <w:t>10.1016/j.joule.2026.102494</w:t>
        </w:r>
      </w:hyperlink>
    </w:p>
    <w:p>
      <w:pPr>
        <w:spacing w:before="0" w:after="120"/>
      </w:pPr>
      <w:r>
        <w:rPr>
          <w:b/>
        </w:rPr>
        <w:t xml:space="preserve">Notes: </w:t>
      </w:r>
      <w:r>
        <w:t>abstract_source=rss_cell</w:t>
      </w:r>
    </w:p>
    <w:p>
      <w:pPr>
        <w:spacing w:before="0" w:after="80" w:lineRule="auto" w:line="276"/>
      </w:pPr>
      <w:r>
        <w:rPr>
          <w:b/>
        </w:rPr>
        <w:t xml:space="preserve">摘要（ZH）: </w:t>
      </w:r>
      <w:r>
        <w:t>太阳能电池和模块在标准化的基础上进行评级，其性能参考标准温度和太阳光谱以及规定的阳光能量分布。从历史上看，性能通常是通过小幅增量来提高的，并在必要时尽早建立独立的测量来声明改进。本文报告了一系列符合准则的太阳能电池和组件技术的最高认证性能，确保了测量的一致性，特别关注自 2026 年 1 月以来的新结果。</w:t>
      </w:r>
    </w:p>
    <w:p>
      <w:pPr>
        <w:spacing w:before="0" w:after="200" w:lineRule="auto" w:line="276"/>
      </w:pPr>
      <w:r>
        <w:rPr>
          <w:b/>
        </w:rPr>
        <w:t xml:space="preserve">Abstract (EN): </w:t>
      </w:r>
      <w:r>
        <w:t>Solar cells and modules are rated on a standardized basis with performance referenced to a standard temperature and to a solar spectrum with a prescribed sunlight energy distribution. Historically, performance has improved generally through small increments, with independent measurement early established as necessary to claim improvements. This paper reports the highest certified performance for a range of solar cell and module technologies meeting guidelines, ensuring measurement consistency, especially focusing on new results since January 2026.</w:t>
      </w:r>
    </w:p>
    <w:p>
      <w:pPr>
        <w:spacing w:before="120" w:after="120"/>
      </w:pPr>
      <w:r>
        <w:rPr>
          <w:sz w:val="18"/>
        </w:rPr>
        <w:t>——————————————————————————————————————————————————————————————————————</w:t>
      </w:r>
    </w:p>
    <w:p>
      <w:pPr>
        <w:spacing w:before="160" w:after="40" w:line="240" w:lineRule="auto"/>
      </w:pPr>
      <w:r>
        <w:rPr>
          <w:b/>
        </w:rPr>
        <w:t xml:space="preserve">[22] </w:t>
      </w:r>
      <w:hyperlink r:id="rId49">
        <w:r>
          <w:rPr>
            <w:color w:val="1155CC"/>
            <w:u w:val="single"/>
          </w:rPr>
          <w:t>在钙钛矿太阳能电池的高保真 ToF-SIMS 深度分析中解开离子迁移与伪影的关系</w:t>
        </w:r>
      </w:hyperlink>
    </w:p>
    <w:p>
      <w:pPr>
        <w:spacing w:before="0" w:after="80"/>
      </w:pPr>
      <w:r>
        <w:rPr>
          <w:i/>
          <w:sz w:val="20"/>
        </w:rPr>
        <w:t>EN: Disentangling ion migration from artifacts in high-fidelity ToF-SIMS depth profiling of perovskite solar cells</w:t>
      </w:r>
    </w:p>
    <w:p>
      <w:pPr>
        <w:spacing w:before="0" w:after="120"/>
      </w:pPr>
      <w:r>
        <w:rPr>
          <w:b/>
        </w:rPr>
        <w:t xml:space="preserve">Source: </w:t>
      </w:r>
      <w:r>
        <w:t>Joule</w:t>
      </w:r>
      <w:r>
        <w:t xml:space="preserve">    </w:t>
      </w:r>
      <w:r>
        <w:rPr>
          <w:b/>
        </w:rPr>
        <w:t xml:space="preserve">Pub date: </w:t>
      </w:r>
      <w:r>
        <w:t>2026-05-28 00:00:00+00:00</w:t>
      </w:r>
      <w:r>
        <w:t xml:space="preserve">    </w:t>
      </w:r>
      <w:r>
        <w:rPr>
          <w:b/>
        </w:rPr>
        <w:t xml:space="preserve">DOI: </w:t>
      </w:r>
      <w:hyperlink r:id="rId50">
        <w:r>
          <w:rPr>
            <w:color w:val="1155CC"/>
            <w:u w:val="single"/>
          </w:rPr>
          <w:t>10.1016/j.joule.2026.102488</w:t>
        </w:r>
      </w:hyperlink>
    </w:p>
    <w:p>
      <w:pPr>
        <w:spacing w:before="0" w:after="120"/>
      </w:pPr>
      <w:r>
        <w:rPr>
          <w:b/>
        </w:rPr>
        <w:t xml:space="preserve">Notes: </w:t>
      </w:r>
      <w:r>
        <w:t>abstract_source=rss_cell</w:t>
      </w:r>
    </w:p>
    <w:p>
      <w:pPr>
        <w:spacing w:before="0" w:after="80" w:lineRule="auto" w:line="276"/>
      </w:pPr>
      <w:r>
        <w:rPr>
          <w:b/>
        </w:rPr>
        <w:t xml:space="preserve">摘要（ZH）: </w:t>
      </w:r>
      <w:r>
        <w:t>飞行时间二次离子质谱（ToF-SIMS）可探测钙钛矿太阳能电池中的埋入界面，但在多层结构中可能会产生误导。我们提供经过统计验证的深度分析框架，识别模拟离子迁移的溅射引起的伪影，并提供环境老化下掩埋 SAM 重新分布的直接化学证据。</w:t>
      </w:r>
    </w:p>
    <w:p>
      <w:pPr>
        <w:spacing w:before="0" w:after="200" w:lineRule="auto" w:line="276"/>
      </w:pPr>
      <w:r>
        <w:rPr>
          <w:b/>
        </w:rPr>
        <w:t xml:space="preserve">Abstract (EN): </w:t>
      </w:r>
      <w:r>
        <w:t>Time-of-flight secondary ion mass spectrometry (ToF-SIMS) probes buried interfaces in perovskite solar cells but can be misleading in multilayer architectures. We deliver a statistically validated depth profiling framework, identify sputter-induced artifacts mimicking ion migration, and provide direct chemical evidence of buried SAM redistribution under ambient aging.</w:t>
      </w:r>
    </w:p>
    <w:p>
      <w:pPr>
        <w:spacing w:before="120" w:after="120"/>
      </w:pPr>
      <w:r>
        <w:rPr>
          <w:sz w:val="18"/>
        </w:rPr>
        <w:t>——————————————————————————————————————————————————————————————————————</w:t>
      </w:r>
    </w:p>
    <w:p>
      <w:pPr>
        <w:spacing w:before="160" w:after="40" w:line="240" w:lineRule="auto"/>
      </w:pPr>
      <w:r>
        <w:rPr>
          <w:b/>
        </w:rPr>
        <w:t xml:space="preserve">[23] </w:t>
      </w:r>
      <w:hyperlink r:id="rId51">
        <w:r>
          <w:rPr>
            <w:color w:val="1155CC"/>
            <w:u w:val="single"/>
          </w:rPr>
          <w:t>DSDINet：深度语义解耦与集成光伏太阳能电池缺陷分割网络</w:t>
        </w:r>
      </w:hyperlink>
    </w:p>
    <w:p>
      <w:pPr>
        <w:spacing w:before="0" w:after="80"/>
      </w:pPr>
      <w:r>
        <w:rPr>
          <w:i/>
          <w:sz w:val="20"/>
        </w:rPr>
        <w:t>EN: DSDINet: Deep semantic decoupling and integration photovoltaic solar cell defect segmentation network</w:t>
      </w:r>
    </w:p>
    <w:p>
      <w:pPr>
        <w:spacing w:before="0" w:after="120"/>
      </w:pPr>
      <w:r>
        <w:rPr>
          <w:b/>
        </w:rPr>
        <w:t xml:space="preserve">Source: </w:t>
      </w:r>
      <w:r>
        <w:t>ScienceDirect Publication: Applied Energy</w:t>
      </w:r>
      <w:r>
        <w:t xml:space="preserve">    </w:t>
      </w:r>
      <w:r>
        <w:rPr>
          <w:b/>
        </w:rPr>
        <w:t xml:space="preserve">Pub date: </w:t>
      </w:r>
      <w:r>
        <w:t>2026-05-28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52">
        <w:r>
          <w:rPr>
            <w:color w:val="1155CC"/>
            <w:u w:val="single"/>
          </w:rPr>
          <w:t>通过纳米流体光谱调制途径评估极端大气衰减下光伏能源的可用性</w:t>
        </w:r>
      </w:hyperlink>
    </w:p>
    <w:p>
      <w:pPr>
        <w:spacing w:before="0" w:after="80"/>
      </w:pPr>
      <w:r>
        <w:rPr>
          <w:i/>
          <w:sz w:val="20"/>
        </w:rPr>
        <w:t>EN: Evaluation of photovoltaic energy availability under extreme atmospheric attenuation through nanofluid spectral modulation pathways</w:t>
      </w:r>
    </w:p>
    <w:p>
      <w:pPr>
        <w:spacing w:before="0" w:after="120"/>
      </w:pPr>
      <w:r>
        <w:rPr>
          <w:b/>
        </w:rPr>
        <w:t xml:space="preserve">Source: </w:t>
      </w:r>
      <w:r>
        <w:t>ScienceDirect Publication: Applied Energy</w:t>
      </w:r>
      <w:r>
        <w:t xml:space="preserve">    </w:t>
      </w:r>
      <w:r>
        <w:rPr>
          <w:b/>
        </w:rPr>
        <w:t xml:space="preserve">Pub date: </w:t>
      </w:r>
      <w:r>
        <w:t>2026-05-28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53">
        <w:r>
          <w:rPr>
            <w:color w:val="1155CC"/>
            <w:u w:val="single"/>
          </w:rPr>
          <w:t>超高介电受体可实现 21% 的效率且对厚度不敏感的有机太阳能电池</w:t>
        </w:r>
      </w:hyperlink>
    </w:p>
    <w:p>
      <w:pPr>
        <w:spacing w:before="0" w:after="80"/>
      </w:pPr>
      <w:r>
        <w:rPr>
          <w:i/>
          <w:sz w:val="20"/>
        </w:rPr>
        <w:t>EN: Ultra‐High Dielectric Acceptor Enables 21% Efficiency and Thickness‐Insensitive Organic Solar Cells</w:t>
      </w:r>
    </w:p>
    <w:p>
      <w:pPr>
        <w:spacing w:before="0" w:after="120"/>
      </w:pPr>
      <w:r>
        <w:rPr>
          <w:b/>
        </w:rPr>
        <w:t xml:space="preserve">Source: </w:t>
      </w:r>
      <w:r>
        <w:t>Wiley: Advanced Materials: Table of Contents</w:t>
      </w:r>
      <w:r>
        <w:t xml:space="preserve">    </w:t>
      </w:r>
      <w:r>
        <w:rPr>
          <w:b/>
        </w:rPr>
        <w:t xml:space="preserve">Pub date: </w:t>
      </w:r>
      <w:r>
        <w:t>2026-05-28 09:38:09+00:00</w:t>
      </w:r>
      <w:r>
        <w:t xml:space="preserve">    </w:t>
      </w:r>
      <w:r>
        <w:rPr>
          <w:b/>
        </w:rPr>
        <w:t xml:space="preserve">DOI: </w:t>
      </w:r>
      <w:hyperlink r:id="rId54">
        <w:r>
          <w:rPr>
            <w:color w:val="1155CC"/>
            <w:u w:val="single"/>
          </w:rPr>
          <w:t>10.1002/adma.73497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介电常数（ε</w:t>
      </w:r>
      <w:r>
        <w:t xml:space="preserve"> </w:t>
      </w:r>
      <w:r>
        <w:t>r</w:t>
      </w:r>
      <w:r>
        <w:t xml:space="preserve"> </w:t>
      </w:r>
      <w:r>
        <w:t>非富勒烯受体（NFA）的（NFAs）是有机太阳能电池（OSC）中的一个关键参数，显着影响激子解离效率和电荷复合动力学。然而，最先进的 NFA 通常表现出相对较低的介电常数（ε</w:t>
      </w:r>
      <w:r>
        <w:t xml:space="preserve"> </w:t>
      </w:r>
      <w:r>
        <w:t>r</w:t>
      </w:r>
      <w:r>
        <w:t xml:space="preserve"> </w:t>
      </w:r>
      <w:r>
        <w:t>≈ 3-5），这通过促进大量的复合损失而本质上限制了器件的性能。在此，通过用二甲醚单元取代L8-BO上的支链烷基链，报道了一种名为L8-BO-FO的新客体受体，其具有更高的ε</w:t>
      </w:r>
      <w:r>
        <w:t xml:space="preserve"> </w:t>
      </w:r>
      <w:r>
        <w:t>r</w:t>
      </w:r>
      <w:r>
        <w:t xml:space="preserve"> </w:t>
      </w:r>
      <w:r>
        <w:t>值 7.41 高于 L8-BO (4.57)。随后，高ε</w:t>
      </w:r>
      <w:r>
        <w:t xml:space="preserve"> </w:t>
      </w:r>
      <w:r>
        <w:t>r</w:t>
      </w:r>
      <w:r>
        <w:t xml:space="preserve"> </w:t>
      </w:r>
      <w:r>
        <w:t>L8-BO-FO 被引入到 PM6:L8-BO 系统中以改善有源层的介电性能，令人鼓舞的是，增加了 ε</w:t>
      </w:r>
      <w:r>
        <w:t xml:space="preserve"> </w:t>
      </w:r>
      <w:r>
        <w:t>r</w:t>
      </w:r>
      <w:r>
        <w:t xml:space="preserve"> </w:t>
      </w:r>
      <w:r>
        <w:t>活性层的值，加速激子动力学，并抑制非辐射电荷复合。结果，三元OSC的功率转换效率（PCE）提升至21.0%。令人惊讶的是，即使活性层厚度增加到 300 nm，三元 OSC 仍保持着 19.1% 的出色 PCE。这项工作为通过介电工程设计具有出色厚度公差的高性能 OSC 带来了新的见解，这对于 OSC 的高通量和放大制造至关重要。</w:t>
      </w:r>
    </w:p>
    <w:p>
      <w:pPr>
        <w:spacing w:before="0" w:after="200" w:lineRule="auto" w:line="276"/>
      </w:pPr>
      <w:r>
        <w:rPr>
          <w:b/>
        </w:rPr>
        <w:t xml:space="preserve">Abstract (EN): </w:t>
      </w:r>
      <w:r>
        <w:t>Dielectric constant (ε</w:t>
      </w:r>
      <w:r>
        <w:t xml:space="preserve"> </w:t>
      </w:r>
      <w:r>
        <w:t>r</w:t>
      </w:r>
      <w:r>
        <w:t xml:space="preserve"> </w:t>
      </w:r>
      <w:r>
        <w:t>) of non‐fullerene acceptors (NFAs) is a crucial parameter in organic solar cells (OSCs), significantly influencing exciton dissociation efficiency and charge recombination dynamics. However, the state‐of‐the‐art NFAs typically exhibit relatively low dielectric constants (ε</w:t>
      </w:r>
      <w:r>
        <w:t xml:space="preserve"> </w:t>
      </w:r>
      <w:r>
        <w:t>r</w:t>
      </w:r>
      <w:r>
        <w:t xml:space="preserve"> </w:t>
      </w:r>
      <w:r>
        <w:t>≈ 3–5), which inherently limit device performance by promoting substantial recombination losses. Herein, a new guest acceptor named L8‐BO‐FO is reported by replacing the branched alkyl chains on L8‐BO with dimethyl ether units, which presents a higher ε</w:t>
      </w:r>
      <w:r>
        <w:t xml:space="preserve"> </w:t>
      </w:r>
      <w:r>
        <w:t>r</w:t>
      </w:r>
      <w:r>
        <w:t xml:space="preserve"> </w:t>
      </w:r>
      <w:r>
        <w:t>value of 7.41 than that of L8‐BO (4.57). Subsequently, the high‐ε</w:t>
      </w:r>
      <w:r>
        <w:t xml:space="preserve"> </w:t>
      </w:r>
      <w:r>
        <w:t>r</w:t>
      </w:r>
      <w:r>
        <w:t xml:space="preserve"> </w:t>
      </w:r>
      <w:r>
        <w:t>L8‐BO‐FO was introduced into the PM6:L8‐BO system to improve the dielectric property of the active layer, which, encouragingly, increases the ε</w:t>
      </w:r>
      <w:r>
        <w:t xml:space="preserve"> </w:t>
      </w:r>
      <w:r>
        <w:t>r</w:t>
      </w:r>
      <w:r>
        <w:t xml:space="preserve"> </w:t>
      </w:r>
      <w:r>
        <w:t>value of the active layer, accelerates exciton dynamics, and suppresses the nonradiative charge recombination. As a result, the power conversion efficiency (PCE) of the ternary OSCs is boosted up to 21.0%. Surprisingly, the ternary OSCs maintained an outstanding PCE of 19.1% even when the active‐layer thickness increased to 300 nm. This work brings new insights into the design of high‐performance OSCs with excellent thickness tolerance by dielectric engineering, which is essential for high‐throughput and scale‐up fabrication of OSCs.</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55">
        <w:r>
          <w:rPr>
            <w:color w:val="1155CC"/>
            <w:u w:val="single"/>
          </w:rPr>
          <w:t>多尺度动力学增强和相间稳定的分层架构设计可实现快速充电和长寿命钠离子电池</w:t>
        </w:r>
      </w:hyperlink>
    </w:p>
    <w:p>
      <w:pPr>
        <w:spacing w:before="0" w:after="80"/>
      </w:pPr>
      <w:r>
        <w:rPr>
          <w:i/>
          <w:sz w:val="20"/>
        </w:rPr>
        <w:t>EN: Multiscale Kinetics‐Enhanced and Interphase‐Stabilized Hierarchical Architecture Design Enables Fast‐Charging and Longevous Sodium‐Ion Batteries</w:t>
      </w:r>
    </w:p>
    <w:p>
      <w:pPr>
        <w:spacing w:before="0" w:after="120"/>
      </w:pPr>
      <w:r>
        <w:rPr>
          <w:b/>
        </w:rPr>
        <w:t xml:space="preserve">Source: </w:t>
      </w:r>
      <w:r>
        <w:t>Wiley: Advanced Energy Materials: Table of Contents</w:t>
      </w:r>
      <w:r>
        <w:t xml:space="preserve">    </w:t>
      </w:r>
      <w:r>
        <w:rPr>
          <w:b/>
        </w:rPr>
        <w:t xml:space="preserve">Pub date: </w:t>
      </w:r>
      <w:r>
        <w:t>2026-05-23 17:09:00+00:00</w:t>
      </w:r>
      <w:r>
        <w:t xml:space="preserve">    </w:t>
      </w:r>
      <w:r>
        <w:rPr>
          <w:b/>
        </w:rPr>
        <w:t xml:space="preserve">DOI: </w:t>
      </w:r>
      <w:hyperlink r:id="rId56">
        <w:r>
          <w:rPr>
            <w:color w:val="1155CC"/>
            <w:u w:val="single"/>
          </w:rPr>
          <w:t>10.1002/aenm.71059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 (Na) 离子电池 (SIB) 阳极实现超快充电能力和长期耐用性受到高度追捧，但本质上受到其缓慢的 Na 的限制。</w:t>
      </w:r>
      <w:r>
        <w:t xml:space="preserve"> </w:t>
      </w:r>
      <w:r>
        <w:t>+</w:t>
      </w:r>
      <w:r>
        <w:t xml:space="preserve"> </w:t>
      </w:r>
      <w:r>
        <w:t>传输动力学和激进的界面降解。在这里，我们提出了一种合理设计的铋限域微棒@氮掺杂碳（Bi-MR@NC）复合材料来解决这些限制。该工程结构在片状组装的碳微棒（8-12微米）结构中实现了超高纳米Bi含量（90纳米，91重量％）的完全封装，实现了致密电极结构，同时保持快速的离子/电子传输动力学，以及长期循环过程中强大的界面稳定性，正如详细的材料表征和电化学证据所确定的那样。因此，Bi-MR@NC 阳极在 10 A g-1 电流下经过 25,000 次循环后可提供卓越的长期循环性能，容量保持率为 82.4%</w:t>
      </w:r>
      <w:r>
        <w:t xml:space="preserve"> </w:t>
      </w:r>
      <w:r>
        <w:t>−1</w:t>
      </w:r>
      <w:r>
        <w:t xml:space="preserve"> </w:t>
      </w:r>
      <w:r>
        <w:t>，超快充电能力（220 A g</w:t>
      </w:r>
      <w:r>
        <w:t xml:space="preserve"> </w:t>
      </w:r>
      <w:r>
        <w:t>−1</w:t>
      </w:r>
      <w:r>
        <w:t xml:space="preserve"> </w:t>
      </w:r>
      <w:r>
        <w:t>，充电/放电在 9.2 秒内完成），实际相关面积容量为 2.4 mAh cm</w:t>
      </w:r>
      <w:r>
        <w:t xml:space="preserve"> </w:t>
      </w:r>
      <w:r>
        <w:t>−2</w:t>
      </w:r>
      <w:r>
        <w:t xml:space="preserve"> </w:t>
      </w:r>
      <w:r>
        <w:t>在 8.97 mA cm 下经过 1000 次循环后</w:t>
      </w:r>
      <w:r>
        <w:t xml:space="preserve"> </w:t>
      </w:r>
      <w:r>
        <w:t>−2</w:t>
      </w:r>
      <w:r>
        <w:t xml:space="preserve"> </w:t>
      </w:r>
      <w:r>
        <w:t>。值得注意的是，具有实用的高质量负载 Na 的全电池</w:t>
      </w:r>
      <w:r>
        <w:rPr>
          <w:vertAlign w:val="subscript"/>
        </w:rPr>
        <w:t>3</w:t>
      </w:r>
      <w:r>
        <w:t>V</w:t>
      </w:r>
      <w:r>
        <w:rPr>
          <w:vertAlign w:val="subscript"/>
        </w:rPr>
        <w:t>2</w:t>
      </w:r>
      <w:r>
        <w:t>（采购订单</w:t>
      </w:r>
      <w:r>
        <w:rPr>
          <w:vertAlign w:val="subscript"/>
        </w:rPr>
        <w:t>4</w:t>
      </w:r>
      <w:r>
        <w:t>）</w:t>
      </w:r>
      <w:r>
        <w:rPr>
          <w:vertAlign w:val="subscript"/>
        </w:rPr>
        <w:t>3</w:t>
      </w:r>
      <w:r>
        <w:t>(NVP) 阴极 (19.48 mg cm</w:t>
      </w:r>
    </w:p>
    <w:p>
      <w:pPr>
        <w:spacing w:before="0" w:after="200" w:lineRule="auto" w:line="276"/>
      </w:pPr>
      <w:r>
        <w:rPr>
          <w:b/>
        </w:rPr>
        <w:t xml:space="preserve">Abstract (EN): </w:t>
      </w:r>
      <w:r>
        <w:t>Achieving ultrafast chargeability and long‐term durability in sodium (Na) ion battery (SIB) anodes is highly sought after, but intrinsically limited by their sluggish Na</w:t>
      </w:r>
      <w:r>
        <w:t xml:space="preserve"> </w:t>
      </w:r>
      <w:r>
        <w:t>+</w:t>
      </w:r>
      <w:r>
        <w:t xml:space="preserve"> </w:t>
      </w:r>
      <w:r>
        <w:t>transport kinetics and aggressive interfacial degradation. Here, we proposed a rationally designed bismuth‐confined micro‐rod@nitrogen‐doped carbon (Bi‐MR@NC) composite to address these limitations. The engineered structure achieves full encapsulation of ultrahigh nano‐Bi content (90 nm, 91 wt.%) in a sheet‐assembled carbon microrod (8–12 µm) architecture, enabling dense electrode construction while maintaining rapid ion/electron transport kinetics, and robust interfacial stability during long‐term cycling, as ascertained by detailed material characterizations and electrochemical evidences. Therefore, Bi‐MR@NC anode delivers exceptional long‐term cyclability of 82.4% capacity retention over 25 000 cycles at 10 A g</w:t>
      </w:r>
      <w:r>
        <w:t xml:space="preserve"> </w:t>
      </w:r>
      <w:r>
        <w:t>−1</w:t>
      </w:r>
      <w:r>
        <w:t xml:space="preserve"> </w:t>
      </w:r>
      <w:r>
        <w:t>, ultrafast charging capability (220 A g</w:t>
      </w:r>
      <w:r>
        <w:t xml:space="preserve"> </w:t>
      </w:r>
      <w:r>
        <w:t>−1</w:t>
      </w:r>
      <w:r>
        <w:t xml:space="preserve"> </w:t>
      </w:r>
      <w:r>
        <w:t>, charge/discharge completed in 9.2 s), and practically relevant areal capacity of 2.4 mAh cm</w:t>
      </w:r>
      <w:r>
        <w:t xml:space="preserve"> </w:t>
      </w:r>
      <w:r>
        <w:t>−2</w:t>
      </w:r>
      <w:r>
        <w:t xml:space="preserve"> </w:t>
      </w:r>
      <w:r>
        <w:t>after 1000 cycles at 8.97 mA cm</w:t>
      </w:r>
      <w:r>
        <w:t xml:space="preserve"> </w:t>
      </w:r>
      <w:r>
        <w:t>−2</w:t>
      </w:r>
      <w:r>
        <w:t xml:space="preserve"> </w:t>
      </w:r>
      <w:r>
        <w:t>. Remarkably, full cells with a practical high‐mass‐loading Na</w:t>
      </w:r>
      <w:r>
        <w:rPr>
          <w:vertAlign w:val="subscript"/>
        </w:rPr>
        <w:t>3</w:t>
      </w:r>
      <w:r>
        <w:t>V</w:t>
      </w:r>
      <w:r>
        <w:rPr>
          <w:vertAlign w:val="subscript"/>
        </w:rPr>
        <w:t>2</w:t>
      </w:r>
      <w:r>
        <w:t>(PO</w:t>
      </w:r>
      <w:r>
        <w:rPr>
          <w:vertAlign w:val="subscript"/>
        </w:rPr>
        <w:t>4</w:t>
      </w:r>
      <w:r>
        <w:t>)</w:t>
      </w:r>
      <w:r>
        <w:rPr>
          <w:vertAlign w:val="subscript"/>
        </w:rPr>
        <w:t>3</w:t>
      </w:r>
      <w:r>
        <w:t>(NVP) cathode (19.48 mg cm</w:t>
      </w:r>
      <w:r>
        <w:t xml:space="preserve"> </w:t>
      </w:r>
      <w:r>
        <w:t>−2</w:t>
      </w:r>
      <w:r>
        <w:t xml:space="preserve"> </w:t>
      </w:r>
      <w:r>
        <w:t>) sustain 1.56 mAh cm</w:t>
      </w:r>
      <w:r>
        <w:t xml:space="preserve"> </w:t>
      </w:r>
      <w:r>
        <w:t>−2</w:t>
      </w:r>
      <w:r>
        <w:t xml:space="preserve"> </w:t>
      </w:r>
      <w:r>
        <w:t>with 86.9% capacity retention after 1000 cycles at 3.9 mA cm</w:t>
      </w:r>
      <w:r>
        <w:t xml:space="preserve"> </w:t>
      </w:r>
      <w:r>
        <w:t>−2</w:t>
      </w:r>
      <w:r>
        <w:t xml:space="preserve"> </w:t>
      </w:r>
      <w:r>
        <w:t>. Pouch cell tested under 10 C fast‐charging condition demonstrates long‐lasting cyclability over 3000 cycles with only 0.01% capacity fading per cycle. This work establishes a generalizable architectural strategy for fast‐charging and long‐life alloy anodes in next‐generation batteries.</w:t>
      </w:r>
    </w:p>
    <w:p>
      <w:pPr>
        <w:spacing w:before="120" w:after="120"/>
      </w:pPr>
      <w:r>
        <w:rPr>
          <w:sz w:val="18"/>
        </w:rPr>
        <w:t>——————————————————————————————————————————————————————————————————————</w:t>
      </w:r>
    </w:p>
    <w:p>
      <w:pPr>
        <w:spacing w:before="160" w:after="40" w:line="240" w:lineRule="auto"/>
      </w:pPr>
      <w:r>
        <w:rPr>
          <w:b/>
        </w:rPr>
        <w:t xml:space="preserve">[2] </w:t>
      </w:r>
      <w:hyperlink r:id="rId57">
        <w:r>
          <w:rPr>
            <w:color w:val="1155CC"/>
            <w:u w:val="single"/>
          </w:rPr>
          <w:t>通过界面工程共溶剂调节重建溶剂化化学以获得稳定的高压 O3 型阴极</w:t>
        </w:r>
      </w:hyperlink>
    </w:p>
    <w:p>
      <w:pPr>
        <w:spacing w:before="0" w:after="80"/>
      </w:pPr>
      <w:r>
        <w:rPr>
          <w:i/>
          <w:sz w:val="20"/>
        </w:rPr>
        <w:t>EN: Reconstructing Solvation Chemistry via Cosolvent Regulation for Interfacial Engineering Toward Stable High‐Voltage O3‐Type Cathodes</w:t>
      </w:r>
    </w:p>
    <w:p>
      <w:pPr>
        <w:spacing w:before="0" w:after="120"/>
      </w:pPr>
      <w:r>
        <w:rPr>
          <w:b/>
        </w:rPr>
        <w:t xml:space="preserve">Source: </w:t>
      </w:r>
      <w:r>
        <w:t>Wiley: Angewandte Chemie International Edition: Table of Contents</w:t>
      </w:r>
      <w:r>
        <w:t xml:space="preserve">    </w:t>
      </w:r>
      <w:r>
        <w:rPr>
          <w:b/>
        </w:rPr>
        <w:t xml:space="preserve">Pub date: </w:t>
      </w:r>
      <w:r>
        <w:t>2026-05-25 08:57:13+00:00</w:t>
      </w:r>
      <w:r>
        <w:t xml:space="preserve">    </w:t>
      </w:r>
      <w:r>
        <w:rPr>
          <w:b/>
        </w:rPr>
        <w:t xml:space="preserve">DOI: </w:t>
      </w:r>
      <w:hyperlink r:id="rId58">
        <w:r>
          <w:rPr>
            <w:color w:val="1155CC"/>
            <w:u w:val="single"/>
          </w:rPr>
          <w:t>10.1002/anie.1924612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O3型层状氧化物由于其高可逆容量而成为有前景的钠离子电池（SIB）正极材料。然而，它们在高电压运行下的快速充电和长期循环性能受到界面和结构降解的限制，例如电解质分解、氧气释放、过渡金属溶解和不可逆相变。在此，将二氟丙二酸二甲酯（DMDF）的多功能共溶剂引入碳酸酯电解液中以稳定O3型Na</w:t>
      </w:r>
      <w:r>
        <w:t xml:space="preserve"> </w:t>
      </w:r>
      <w:r>
        <w:t>0.85</w:t>
      </w:r>
      <w:r>
        <w:t xml:space="preserve"> </w:t>
      </w:r>
      <w:r>
        <w:t>锰</w:t>
      </w:r>
      <w:r>
        <w:t xml:space="preserve"> </w:t>
      </w:r>
      <w:r>
        <w:t>0.45</w:t>
      </w:r>
      <w:r>
        <w:t xml:space="preserve"> </w:t>
      </w:r>
      <w:r>
        <w:t>镍</w:t>
      </w:r>
      <w:r>
        <w:t xml:space="preserve"> </w:t>
      </w:r>
      <w:r>
        <w:t>0.25</w:t>
      </w:r>
      <w:r>
        <w:t xml:space="preserve"> </w:t>
      </w:r>
      <w:r>
        <w:t>李</w:t>
      </w:r>
      <w:r>
        <w:t xml:space="preserve"> </w:t>
      </w:r>
      <w:r>
        <w:t>0.05</w:t>
      </w:r>
      <w:r>
        <w:t xml:space="preserve"> </w:t>
      </w:r>
      <w:r>
        <w:t>铜</w:t>
      </w:r>
      <w:r>
        <w:t xml:space="preserve"> </w:t>
      </w:r>
      <w:r>
        <w:t>0.1</w:t>
      </w:r>
      <w:r>
        <w:t xml:space="preserve"> </w:t>
      </w:r>
      <w:r>
        <w:t>钛</w:t>
      </w:r>
      <w:r>
        <w:t xml:space="preserve"> </w:t>
      </w:r>
      <w:r>
        <w:t>0.15</w:t>
      </w:r>
      <w:r>
        <w:t xml:space="preserve"> </w:t>
      </w:r>
      <w:r>
        <w:t>氧</w:t>
      </w:r>
      <w:r>
        <w:rPr>
          <w:vertAlign w:val="subscript"/>
        </w:rPr>
        <w:t>2</w:t>
      </w:r>
      <w:r>
        <w:t>(NMNLCTO) 阴极在 1.5–4.5 V 的电压范围内。原位/异位表征和理论计算表明，DMDF 有助于形成坚固的富含 NaF 的阴极电解质界面，抑制电解质分解，并调节快速 Na2 的溶剂化结构</w:t>
      </w:r>
      <w:r>
        <w:t xml:space="preserve"> </w:t>
      </w:r>
      <w:r>
        <w:t>+</w:t>
      </w:r>
      <w:r>
        <w:t xml:space="preserve"> </w:t>
      </w:r>
      <w:r>
        <w:t>运输。配制的 NaClO</w:t>
      </w:r>
      <w:r>
        <w:rPr>
          <w:vertAlign w:val="subscript"/>
        </w:rPr>
        <w:t>4</w:t>
      </w:r>
      <w:r>
        <w:t>/carbonate-DMDF 电解质赋予 NMNLCTO 正极破纪录的循环稳定性，在 500 mA g-1 下 600 次循环后实现 80% 的容量保持率</w:t>
      </w:r>
      <w:r>
        <w:t xml:space="preserve"> </w:t>
      </w:r>
      <w:r>
        <w:t>-</w:t>
      </w:r>
      <w:r>
        <w:rPr>
          <w:vertAlign w:val="subscript"/>
        </w:rPr>
        <w:t>1</w:t>
      </w:r>
      <w:r>
        <w:t>。组装好的硬碳//NMNLCTO全电池可提供高</w:t>
      </w:r>
    </w:p>
    <w:p>
      <w:pPr>
        <w:spacing w:before="0" w:after="200" w:lineRule="auto" w:line="276"/>
      </w:pPr>
      <w:r>
        <w:rPr>
          <w:b/>
        </w:rPr>
        <w:t xml:space="preserve">Abstract (EN): </w:t>
      </w:r>
      <w:r>
        <w:t>O3‐type layered oxides have emerged as promising cathode materials for sodium‐ion batteries (SIBs) due to their high reversible capacity. However, their fast‐charging and long‐term cyclability under high‐voltage operation are limited by interfacial and structural degradation, such as electrolyte decomposition, oxygen release, transition‐metal dissolution, and irreversible phase transitions. Herein, a multifunctional co‐solvent of dimethyl difluoromalonate (DMDF) is introduced into carbonate electrolytes to stabilize O3‐type Na</w:t>
      </w:r>
      <w:r>
        <w:t xml:space="preserve"> </w:t>
      </w:r>
      <w:r>
        <w:t>0.85</w:t>
      </w:r>
      <w:r>
        <w:t xml:space="preserve"> </w:t>
      </w:r>
      <w:r>
        <w:t>Mn</w:t>
      </w:r>
      <w:r>
        <w:t xml:space="preserve"> </w:t>
      </w:r>
      <w:r>
        <w:t>0.45</w:t>
      </w:r>
      <w:r>
        <w:t xml:space="preserve"> </w:t>
      </w:r>
      <w:r>
        <w:t>Ni</w:t>
      </w:r>
      <w:r>
        <w:t xml:space="preserve"> </w:t>
      </w:r>
      <w:r>
        <w:t>0.25</w:t>
      </w:r>
      <w:r>
        <w:t xml:space="preserve"> </w:t>
      </w:r>
      <w:r>
        <w:t>Li</w:t>
      </w:r>
      <w:r>
        <w:t xml:space="preserve"> </w:t>
      </w:r>
      <w:r>
        <w:t>0.05</w:t>
      </w:r>
      <w:r>
        <w:t xml:space="preserve"> </w:t>
      </w:r>
      <w:r>
        <w:t>Cu</w:t>
      </w:r>
      <w:r>
        <w:t xml:space="preserve"> </w:t>
      </w:r>
      <w:r>
        <w:t>0.1</w:t>
      </w:r>
      <w:r>
        <w:t xml:space="preserve"> </w:t>
      </w:r>
      <w:r>
        <w:t>Ti</w:t>
      </w:r>
      <w:r>
        <w:t xml:space="preserve"> </w:t>
      </w:r>
      <w:r>
        <w:t>0.15</w:t>
      </w:r>
      <w:r>
        <w:t xml:space="preserve"> </w:t>
      </w:r>
      <w:r>
        <w:t>O</w:t>
      </w:r>
      <w:r>
        <w:rPr>
          <w:vertAlign w:val="subscript"/>
        </w:rPr>
        <w:t>2</w:t>
      </w:r>
      <w:r>
        <w:t>(NMNLCTO) cathode within a voltage range of 1.5–4.5 V. In/ex situ characterizations and theoretical calculations reveal that the DMDF facilitates the formation of a robust NaF‐rich cathode‐electrolyte interface, suppresses electrolyte decomposition, and regulates solvation structure for fast Na</w:t>
      </w:r>
      <w:r>
        <w:t xml:space="preserve"> </w:t>
      </w:r>
      <w:r>
        <w:t>+</w:t>
      </w:r>
      <w:r>
        <w:t xml:space="preserve"> </w:t>
      </w:r>
      <w:r>
        <w:t>transport. The formulated NaClO</w:t>
      </w:r>
      <w:r>
        <w:rPr>
          <w:vertAlign w:val="subscript"/>
        </w:rPr>
        <w:t>4</w:t>
      </w:r>
      <w:r>
        <w:t>/carbonate‐DMDF electrolyte endows the NMNLCTO cathode with record‐breaking cycling stability, achieving 80% capacity retention over 600 cycles at 500 mA g</w:t>
      </w:r>
      <w:r>
        <w:t xml:space="preserve"> </w:t>
      </w:r>
      <w:r>
        <w:t>−</w:t>
      </w:r>
      <w:r>
        <w:rPr>
          <w:vertAlign w:val="subscript"/>
        </w:rPr>
        <w:t>1</w:t>
      </w:r>
      <w:r>
        <w:t>. The assembled hard carbon//NMNLCTO full cells deliver high energy densities of 304.5 and 156.4 Wh kg</w:t>
      </w:r>
      <w:r>
        <w:t xml:space="preserve"> </w:t>
      </w:r>
      <w:r>
        <w:t>−</w:t>
      </w:r>
      <w:r>
        <w:rPr>
          <w:vertAlign w:val="subscript"/>
        </w:rPr>
        <w:t>1</w:t>
      </w:r>
      <w:r>
        <w:t>(based on the mass of the cathode and anode) at 20 and 800 mA g</w:t>
      </w:r>
      <w:r>
        <w:t xml:space="preserve"> </w:t>
      </w:r>
      <w:r>
        <w:t>−</w:t>
      </w:r>
      <w:r>
        <w:rPr>
          <w:vertAlign w:val="subscript"/>
        </w:rPr>
        <w:t>1</w:t>
      </w:r>
      <w:r>
        <w:t>, respectively. This work indicates that dimethyl difluoromalonate acts as an efficient co‐solvent to upgrade O3‐type SIB cathodes under high‐voltage operation.</w:t>
      </w:r>
    </w:p>
    <w:p>
      <w:pPr>
        <w:spacing w:before="120" w:after="120"/>
      </w:pPr>
      <w:r>
        <w:rPr>
          <w:sz w:val="18"/>
        </w:rPr>
        <w:t>——————————————————————————————————————————————————————————————————————</w:t>
      </w:r>
    </w:p>
    <w:p>
      <w:pPr>
        <w:spacing w:before="160" w:after="40" w:line="240" w:lineRule="auto"/>
      </w:pPr>
      <w:r>
        <w:rPr>
          <w:b/>
        </w:rPr>
        <w:t xml:space="preserve">[3] </w:t>
      </w:r>
      <w:hyperlink r:id="rId59">
        <w:r>
          <w:rPr>
            <w:color w:val="1155CC"/>
            <w:u w:val="single"/>
          </w:rPr>
          <w:t>阻止α-氢的氧化使非氟化溶剂在锂电池中实现高电位稳定性</w:t>
        </w:r>
      </w:hyperlink>
    </w:p>
    <w:p>
      <w:pPr>
        <w:spacing w:before="0" w:after="80"/>
      </w:pPr>
      <w:r>
        <w:rPr>
          <w:i/>
          <w:sz w:val="20"/>
        </w:rPr>
        <w:t>EN: Blocking oxidation of α-hydrogens enables non-fluorinated solvents to achieve high-potential stability in lithium batteries</w:t>
      </w:r>
    </w:p>
    <w:p>
      <w:pPr>
        <w:spacing w:before="0" w:after="120"/>
      </w:pPr>
      <w:r>
        <w:rPr>
          <w:b/>
        </w:rPr>
        <w:t xml:space="preserve">Source: </w:t>
      </w:r>
      <w:r>
        <w:t>Nature Chemistry</w:t>
      </w:r>
      <w:r>
        <w:t xml:space="preserve">    </w:t>
      </w:r>
      <w:r>
        <w:rPr>
          <w:b/>
        </w:rPr>
        <w:t xml:space="preserve">Pub date: </w:t>
      </w:r>
      <w:r>
        <w:t>2026-05-26 00:00:00+00:00</w:t>
      </w:r>
      <w:r>
        <w:t xml:space="preserve">    </w:t>
      </w:r>
      <w:r>
        <w:rPr>
          <w:b/>
        </w:rPr>
        <w:t xml:space="preserve">DOI: </w:t>
      </w:r>
      <w:hyperlink r:id="rId60">
        <w:r>
          <w:rPr>
            <w:color w:val="1155CC"/>
            <w:u w:val="single"/>
          </w:rPr>
          <w:t>10.1038/s41557-026-02161-2</w:t>
        </w:r>
      </w:hyperlink>
    </w:p>
    <w:p>
      <w:pPr>
        <w:spacing w:before="0" w:after="120"/>
      </w:pPr>
      <w:r>
        <w:rPr>
          <w:b/>
        </w:rPr>
        <w:t xml:space="preserve">Notes: </w:t>
      </w:r>
      <w:r>
        <w:t>abstract_source=nature_html</w:t>
      </w:r>
    </w:p>
    <w:p>
      <w:pPr>
        <w:spacing w:before="0" w:after="80" w:lineRule="auto" w:line="276"/>
      </w:pPr>
      <w:r>
        <w:rPr>
          <w:b/>
        </w:rPr>
        <w:t xml:space="preserve">摘要（ZH）: </w:t>
      </w:r>
      <w:r>
        <w:t>开发高能、低成本、环保的下一代电池对于工业应用至关重要。富锂锰基氧化物正极可提供大量的比能量，这得益于其在高充电电位（相对于 Li/Li+ 而言&gt;4.6 V）下的高比容量。然而，在如此高的电势下稳定运行仍然具有挑战性，因为大多数电解质依赖于对环境不友好的氟化溶剂。在这里，我们确定羰基的α-氧化是羧酸酯的主要氧化机制。通过去除乙酸甲酯的所有活性 α-氢，我们证明三甲基乙酸甲酯是一种非氟化、高电位稳定的溶剂。与 Li/Li+ 相比，该溶剂在高达 5.6 V 的电压下表现出出色的氧化稳定性，并且使用基于三甲基乙酸甲酯的电解质的电化学电池可在 4.6/4.7 V 下保持稳定的循环，优于许多氟化系统。工业规模的 7.2-Ah 软包电池在 0.1 C/0.2 C 下循环 28 次后达到了 652.4 Wh kg−1 的最大比能量，容量保持率为 94.5%。这项工作提供了一种简单的分子设计策略，可解决下一代高压锂电池的比能量、成本和可持续性问题。该图像的替代文本可能是使用 AI 生成的。</w:t>
      </w:r>
    </w:p>
    <w:p>
      <w:pPr>
        <w:spacing w:before="0" w:after="200" w:lineRule="auto" w:line="276"/>
      </w:pPr>
      <w:r>
        <w:rPr>
          <w:b/>
        </w:rPr>
        <w:t xml:space="preserve">Abstract (EN): </w:t>
      </w:r>
      <w:r>
        <w:t>Developing next-generation batteries that are high-energy, low-cost and eco-friendly is crucial for industrial applications. Lithium-rich manganese-based oxide positive electrodes offer substantial specific energy, enabled by their high specific capacity at high charging potential (&gt;4.6 V versus Li/Li+). However, stable operation at such high potentials remains challenging, as most electrolytes rely on environmentally unfriendly fluorinated solvents. Here we identified α-oxidation of the carbonyl group as the main oxidation mechanism of carboxylate esters. By removing all the reactive α-hydrogens of methyl acetate, we demonstrate that methyl trimethylacetate is a non-fluorinated, high-potential-stable solvent. This solvent exhibits outstanding oxidative stability up to 5.6 V versus Li/Li+, and electrochemical cells using methyl-trimethylacetate-based electrolytes maintain stable cycling at 4.6/4.7 V, outperforming many fluorinated systems. An industrial-scale 7.2-Ah pouch cell reached a maximum specific energy of 652.4 Wh kg−1 with 94.5% capacity retention after 28 cycles at 0.1 C/0.2 C. This work provides a simple molecular design strategy that addresses specific energy, cost and sustainability in next-generation high-voltage lithium batteries.The alternative text for this image may have been generated using AI.</w:t>
      </w:r>
    </w:p>
    <w:p>
      <w:pPr>
        <w:spacing w:before="120" w:after="120"/>
      </w:pPr>
      <w:r>
        <w:rPr>
          <w:sz w:val="18"/>
        </w:rPr>
        <w:t>——————————————————————————————————————————————————————————————————————</w:t>
      </w:r>
    </w:p>
    <w:p>
      <w:pPr>
        <w:spacing w:before="160" w:after="40" w:line="240" w:lineRule="auto"/>
      </w:pPr>
      <w:r>
        <w:rPr>
          <w:b/>
        </w:rPr>
        <w:t xml:space="preserve">[4] </w:t>
      </w:r>
      <w:hyperlink r:id="rId61">
        <w:r>
          <w:rPr>
            <w:color w:val="1155CC"/>
            <w:u w:val="single"/>
          </w:rPr>
          <w:t>离子液体触发非晶化工程设计用于实用锂硫电池的具有电偶极域的对称破缺p块氧化铋</w:t>
        </w:r>
      </w:hyperlink>
    </w:p>
    <w:p>
      <w:pPr>
        <w:spacing w:before="0" w:after="80"/>
      </w:pPr>
      <w:r>
        <w:rPr>
          <w:i/>
          <w:sz w:val="20"/>
        </w:rPr>
        <w:t>EN: Ionic‐Liquid‐Triggered Amorphization Engineers Symmetry‐Breaking p‐Block Bismuth Oxides with Electric Dipole Domains for Practical Lithium‐Sulfur Batteries</w:t>
      </w:r>
    </w:p>
    <w:p>
      <w:pPr>
        <w:spacing w:before="0" w:after="120"/>
      </w:pPr>
      <w:r>
        <w:rPr>
          <w:b/>
        </w:rPr>
        <w:t xml:space="preserve">Source: </w:t>
      </w:r>
      <w:r>
        <w:t>Wiley: Advanced Materials: Table of Contents</w:t>
      </w:r>
      <w:r>
        <w:t xml:space="preserve">    </w:t>
      </w:r>
      <w:r>
        <w:rPr>
          <w:b/>
        </w:rPr>
        <w:t xml:space="preserve">Pub date: </w:t>
      </w:r>
      <w:r>
        <w:t>2026-05-26 06:28:03+00:00</w:t>
      </w:r>
      <w:r>
        <w:t xml:space="preserve">    </w:t>
      </w:r>
      <w:r>
        <w:rPr>
          <w:b/>
        </w:rPr>
        <w:t xml:space="preserve">DOI: </w:t>
      </w:r>
      <w:hyperlink r:id="rId62">
        <w:r>
          <w:rPr>
            <w:color w:val="1155CC"/>
            <w:u w:val="single"/>
          </w:rPr>
          <w:t>10.1002/adma.73469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硫氧化还原动力学缓慢和臭名昭著的多硫化锂（LiPS）穿梭效应严重阻碍了锂硫电池的实际应用。在此，我们报告了一种利用铁基离子液体触发非晶化、工程对称性破缺的策略</w:t>
      </w:r>
      <w:r>
        <w:t xml:space="preserve"> </w:t>
      </w:r>
      <w:r>
        <w:t>p</w:t>
      </w:r>
      <w:r>
        <w:t xml:space="preserve"> </w:t>
      </w:r>
      <w:r>
        <w:t>‐具有电偶极域和不对称 Fe 的碳纳米纤维 (CNF) 上的氧化铋</w:t>
      </w:r>
      <w:r>
        <w:rPr>
          <w:vertAlign w:val="subscript"/>
        </w:rPr>
        <w:t>1</w:t>
      </w:r>
      <w:r>
        <w:t>‐O-Bi电子桥（Fe</w:t>
      </w:r>
      <w:r>
        <w:rPr>
          <w:vertAlign w:val="subscript"/>
        </w:rPr>
        <w:t>1</w:t>
      </w:r>
      <w:r>
        <w:t>⊂A/C-Bi</w:t>
      </w:r>
      <w:r>
        <w:rPr>
          <w:vertAlign w:val="subscript"/>
        </w:rPr>
        <w:t>2</w:t>
      </w:r>
      <w:r>
        <w:t>氧</w:t>
      </w:r>
      <w:r>
        <w:rPr>
          <w:vertAlign w:val="subscript"/>
        </w:rPr>
        <w:t>3</w:t>
      </w:r>
      <w:r>
        <w:t>@CNF）。非晶相引起显着的电子离域，促进大量轨道重叠并为 LiPS 的快速氧化还原创建电子传输通道。具体来说，不对称Fe</w:t>
      </w:r>
      <w:r>
        <w:rPr>
          <w:vertAlign w:val="subscript"/>
        </w:rPr>
        <w:t>1</w:t>
      </w:r>
      <w:r>
        <w:t>‐O-Bi 电子桥降低了</w:t>
      </w:r>
      <w:r>
        <w:t xml:space="preserve"> </w:t>
      </w:r>
      <w:r>
        <w:t>p</w:t>
      </w:r>
      <w:r>
        <w:t xml:space="preserve"> </w:t>
      </w:r>
      <w:r>
        <w:t>‐频带中心至 3</w:t>
      </w:r>
      <w:r>
        <w:t xml:space="preserve"> </w:t>
      </w:r>
      <w:r>
        <w:t>d</w:t>
      </w:r>
      <w:r>
        <w:t xml:space="preserve"> </w:t>
      </w:r>
      <w:r>
        <w:t>‐2</w:t>
      </w:r>
      <w:r>
        <w:t xml:space="preserve"> </w:t>
      </w:r>
      <w:r>
        <w:t>p</w:t>
      </w:r>
      <w:r>
        <w:t xml:space="preserve"> </w:t>
      </w:r>
      <w:r>
        <w:t>‐6</w:t>
      </w:r>
      <w:r>
        <w:t xml:space="preserve"> </w:t>
      </w:r>
      <w:r>
        <w:t>p</w:t>
      </w:r>
      <w:r>
        <w:t xml:space="preserve"> </w:t>
      </w:r>
      <w:r>
        <w:t>多轨道耦合，优化LiPSs的化学吸附并防止活性位点中毒。电子偶极域充当电子/Li</w:t>
      </w:r>
      <w:r>
        <w:t xml:space="preserve"> </w:t>
      </w:r>
      <w:r>
        <w:t>+</w:t>
      </w:r>
      <w:r>
        <w:t xml:space="preserve"> </w:t>
      </w:r>
      <w:r>
        <w:t>“泵”增强电荷转移和Li</w:t>
      </w:r>
      <w:r>
        <w:t xml:space="preserve"> </w:t>
      </w:r>
      <w:r>
        <w:t>+</w:t>
      </w:r>
      <w:r>
        <w:t xml:space="preserve"> </w:t>
      </w:r>
      <w:r>
        <w:t>扩散。此外，电偶极域诱导偶极-偶极相互作用，促进Li─S键极化和裂解</w:t>
      </w:r>
    </w:p>
    <w:p>
      <w:pPr>
        <w:spacing w:before="0" w:after="200" w:lineRule="auto" w:line="276"/>
      </w:pPr>
      <w:r>
        <w:rPr>
          <w:b/>
        </w:rPr>
        <w:t xml:space="preserve">Abstract (EN): </w:t>
      </w:r>
      <w:r>
        <w:t>The practical application of lithium‐sulfur batteries is severely hindered by the sluggish sulfur redox kinetics and the notorious lithium polysulfides (LiPSs) shuttle effect. Herein, we report a strategy utilizing an Fe‐based ionic liquid to trigger amorphization, engineering symmetry‐breaking</w:t>
      </w:r>
      <w:r>
        <w:t xml:space="preserve"> </w:t>
      </w:r>
      <w:r>
        <w:t>p</w:t>
      </w:r>
      <w:r>
        <w:t xml:space="preserve"> </w:t>
      </w:r>
      <w:r>
        <w:t>‐block bismuth oxides on carbon nanofibers (CNFs) with electric dipole domains and asymmetric Fe</w:t>
      </w:r>
      <w:r>
        <w:rPr>
          <w:vertAlign w:val="subscript"/>
        </w:rPr>
        <w:t>1</w:t>
      </w:r>
      <w:r>
        <w:t>‐O‐Bi electronic bridges (Fe</w:t>
      </w:r>
      <w:r>
        <w:rPr>
          <w:vertAlign w:val="subscript"/>
        </w:rPr>
        <w:t>1</w:t>
      </w:r>
      <w:r>
        <w:t>⊂A/C‐Bi</w:t>
      </w:r>
      <w:r>
        <w:rPr>
          <w:vertAlign w:val="subscript"/>
        </w:rPr>
        <w:t>2</w:t>
      </w:r>
      <w:r>
        <w:t>O</w:t>
      </w:r>
      <w:r>
        <w:rPr>
          <w:vertAlign w:val="subscript"/>
        </w:rPr>
        <w:t>3</w:t>
      </w:r>
      <w:r>
        <w:t>@CNFs). The amorphous phase induces significant electronic delocalization, facilitating substantial orbital overlap and creating electron transport channels for rapid redox of LiPSs. Specifically, the asymmetric Fe</w:t>
      </w:r>
      <w:r>
        <w:rPr>
          <w:vertAlign w:val="subscript"/>
        </w:rPr>
        <w:t>1</w:t>
      </w:r>
      <w:r>
        <w:t>‐O‐Bi electron bridges lower the</w:t>
      </w:r>
      <w:r>
        <w:t xml:space="preserve"> </w:t>
      </w:r>
      <w:r>
        <w:t>p</w:t>
      </w:r>
      <w:r>
        <w:t xml:space="preserve"> </w:t>
      </w:r>
      <w:r>
        <w:t>‐band center through 3</w:t>
      </w:r>
      <w:r>
        <w:t xml:space="preserve"> </w:t>
      </w:r>
      <w:r>
        <w:t>d</w:t>
      </w:r>
      <w:r>
        <w:t xml:space="preserve"> </w:t>
      </w:r>
      <w:r>
        <w:t>‐2</w:t>
      </w:r>
      <w:r>
        <w:t xml:space="preserve"> </w:t>
      </w:r>
      <w:r>
        <w:t>p</w:t>
      </w:r>
      <w:r>
        <w:t xml:space="preserve"> </w:t>
      </w:r>
      <w:r>
        <w:t>‐6</w:t>
      </w:r>
      <w:r>
        <w:t xml:space="preserve"> </w:t>
      </w:r>
      <w:r>
        <w:t>p</w:t>
      </w:r>
      <w:r>
        <w:t xml:space="preserve"> </w:t>
      </w:r>
      <w:r>
        <w:t>multi‐orbital coupling, optimizing the chemical adsorption of LiPSs and preventing active site poisoning. The electronic dipole domain functions as an electron/Li</w:t>
      </w:r>
      <w:r>
        <w:t xml:space="preserve"> </w:t>
      </w:r>
      <w:r>
        <w:t>+</w:t>
      </w:r>
      <w:r>
        <w:t xml:space="preserve"> </w:t>
      </w:r>
      <w:r>
        <w:t>“pump” to enhance charge transfer and Li</w:t>
      </w:r>
      <w:r>
        <w:t xml:space="preserve"> </w:t>
      </w:r>
      <w:r>
        <w:t>+</w:t>
      </w:r>
      <w:r>
        <w:t xml:space="preserve"> </w:t>
      </w:r>
      <w:r>
        <w:t>diffusion. In addition, the electric dipole domain induces dipole‐dipole interactions, facilitating Li─S bond polarization and cleavage. As a result, the Fe</w:t>
      </w:r>
      <w:r>
        <w:rPr>
          <w:vertAlign w:val="subscript"/>
        </w:rPr>
        <w:t>1</w:t>
      </w:r>
      <w:r>
        <w:t>⊂A/C‐Bi</w:t>
      </w:r>
      <w:r>
        <w:rPr>
          <w:vertAlign w:val="subscript"/>
        </w:rPr>
        <w:t>2</w:t>
      </w:r>
      <w:r>
        <w:t>O</w:t>
      </w:r>
      <w:r>
        <w:rPr>
          <w:vertAlign w:val="subscript"/>
        </w:rPr>
        <w:t>3</w:t>
      </w:r>
      <w:r>
        <w:t>‐based cell achieved a cyclability of 698 mAh g</w:t>
      </w:r>
      <w:r>
        <w:t xml:space="preserve"> </w:t>
      </w:r>
      <w:r>
        <w:t>−1</w:t>
      </w:r>
      <w:r>
        <w:t xml:space="preserve"> </w:t>
      </w:r>
      <w:r>
        <w:t>at 1.0 C over 1000 cycles with a degradation rate of 0.026% per cycle, and a high areal capacity of 6.8 mAh cm</w:t>
      </w:r>
      <w:r>
        <w:t xml:space="preserve"> </w:t>
      </w:r>
      <w:r>
        <w:t>−2</w:t>
      </w:r>
      <w:r>
        <w:t xml:space="preserve"> </w:t>
      </w:r>
      <w:r>
        <w:t>under a sulfur loading of 7.4 mg cm</w:t>
      </w:r>
      <w:r>
        <w:t xml:space="preserve"> </w:t>
      </w:r>
      <w:r>
        <w:t>−2</w:t>
      </w:r>
      <w:r>
        <w:t xml:space="preserve"> </w:t>
      </w:r>
      <w:r>
        <w:t>. The strategy of constructing an electronic dipole domain through amorphization provides a new direction for the rational design of efficient catalysts for sulfur redox reactions.</w:t>
      </w:r>
    </w:p>
    <w:p>
      <w:pPr>
        <w:spacing w:before="120" w:after="120"/>
      </w:pPr>
      <w:r>
        <w:rPr>
          <w:sz w:val="18"/>
        </w:rPr>
        <w:t>——————————————————————————————————————————————————————————————————————</w:t>
      </w:r>
    </w:p>
    <w:p>
      <w:pPr>
        <w:spacing w:before="160" w:after="40" w:line="240" w:lineRule="auto"/>
      </w:pPr>
      <w:r>
        <w:rPr>
          <w:b/>
        </w:rPr>
        <w:t xml:space="preserve">[5] </w:t>
      </w:r>
      <w:hyperlink r:id="rId63">
        <w:r>
          <w:rPr>
            <w:color w:val="1155CC"/>
            <w:u w:val="single"/>
          </w:rPr>
          <w:t>阳离子电势驱动的表面重构实现了稳定的高压圆柱形钠离子电池</w:t>
        </w:r>
      </w:hyperlink>
    </w:p>
    <w:p>
      <w:pPr>
        <w:spacing w:before="0" w:after="80"/>
      </w:pPr>
      <w:r>
        <w:rPr>
          <w:i/>
          <w:sz w:val="20"/>
        </w:rPr>
        <w:t>EN: Cationic Potential‐Driven Surface Reconstruction Enables Stable High‐Voltage Cylindrical Sodium‐Ion Batteries</w:t>
      </w:r>
    </w:p>
    <w:p>
      <w:pPr>
        <w:spacing w:before="0" w:after="120"/>
      </w:pPr>
      <w:r>
        <w:rPr>
          <w:b/>
        </w:rPr>
        <w:t xml:space="preserve">Source: </w:t>
      </w:r>
      <w:r>
        <w:t>Wiley: Advanced Materials: Table of Contents</w:t>
      </w:r>
      <w:r>
        <w:t xml:space="preserve">    </w:t>
      </w:r>
      <w:r>
        <w:rPr>
          <w:b/>
        </w:rPr>
        <w:t xml:space="preserve">Pub date: </w:t>
      </w:r>
      <w:r>
        <w:t>2026-05-26 08:12:31+00:00</w:t>
      </w:r>
      <w:r>
        <w:t xml:space="preserve">    </w:t>
      </w:r>
      <w:r>
        <w:rPr>
          <w:b/>
        </w:rPr>
        <w:t xml:space="preserve">DOI: </w:t>
      </w:r>
      <w:hyperlink r:id="rId64">
        <w:r>
          <w:rPr>
            <w:color w:val="1155CC"/>
            <w:u w:val="single"/>
          </w:rPr>
          <w:t>10.1002/adma.73500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协调高比容量和高电压结构稳定性之间的权衡是先进钠离子电池的“圣杯”。虽然构建 O3/P2 多相异质结构提供了理论解决方案，但在可扩展合成过程中保持原子级精度的同时防止随机相分布仍然是一个巨大的障碍。在此，开发了一种可扩展的阳离子电势驱动的表面重建策略来设计 O3 型层状阴极（O3-Na</w:t>
      </w:r>
      <w:r>
        <w:t xml:space="preserve"> </w:t>
      </w:r>
      <w:r>
        <w:t>0.9</w:t>
      </w:r>
      <w:r>
        <w:t xml:space="preserve"> </w:t>
      </w:r>
      <w:r>
        <w:t>镁</w:t>
      </w:r>
      <w:r>
        <w:t xml:space="preserve"> </w:t>
      </w:r>
      <w:r>
        <w:t>0.1</w:t>
      </w:r>
      <w:r>
        <w:t xml:space="preserve"> </w:t>
      </w:r>
      <w:r>
        <w:t>镍</w:t>
      </w:r>
      <w:r>
        <w:t xml:space="preserve"> </w:t>
      </w:r>
      <w:r>
        <w:t>0.35</w:t>
      </w:r>
      <w:r>
        <w:t xml:space="preserve"> </w:t>
      </w:r>
      <w:r>
        <w:t>锰</w:t>
      </w:r>
      <w:r>
        <w:t xml:space="preserve"> </w:t>
      </w:r>
      <w:r>
        <w:t>0.35</w:t>
      </w:r>
      <w:r>
        <w:t xml:space="preserve"> </w:t>
      </w:r>
      <w:r>
        <w:t>钛</w:t>
      </w:r>
      <w:r>
        <w:t xml:space="preserve"> </w:t>
      </w:r>
      <w:r>
        <w:t>0.20</w:t>
      </w:r>
      <w:r>
        <w:t xml:space="preserve"> </w:t>
      </w:r>
      <w:r>
        <w:t>氧</w:t>
      </w:r>
      <w:r>
        <w:rPr>
          <w:vertAlign w:val="subscript"/>
        </w:rPr>
        <w:t>2</w:t>
      </w:r>
      <w:r>
        <w:t>）。利用显着的离子势梯度，掺入高离子势改性剂诱导形成自限性、纳米级和缺钠的 P2 壳，该壳通过连贯的外延界面均匀地封装 O3 核。这种稳健的结构有效抑制晶格氧释放和过渡金属迁移，同时保留扩大的层间距以实现快速Na</w:t>
      </w:r>
      <w:r>
        <w:t xml:space="preserve"> </w:t>
      </w:r>
      <w:r>
        <w:t>+</w:t>
      </w:r>
      <w:r>
        <w:t xml:space="preserve"> </w:t>
      </w:r>
      <w:r>
        <w:t>动力学。因此，所得的O3-核@P2-壳材料具有出色的循环稳定性，在2 C（2.0-4.4 V）下循环400次后仍保留76.3%的容量，远远优于原始对应物（47.8%）。值得注意的是，该策略的工业可行性（550克/批次）是有价值的</w:t>
      </w:r>
    </w:p>
    <w:p>
      <w:pPr>
        <w:spacing w:before="0" w:after="200" w:lineRule="auto" w:line="276"/>
      </w:pPr>
      <w:r>
        <w:rPr>
          <w:b/>
        </w:rPr>
        <w:t xml:space="preserve">Abstract (EN): </w:t>
      </w:r>
      <w:r>
        <w:t>Reconciling the trade‐off between high specific capacity and high‐voltage structural stability is the “holy grail” for advanced sodium‐ion batteries. While constructing O3/P2 multiphase heterostructures offers a theoretical solution, preventing stochastic phase distribution while maintaining atomic‐level precision during scalable synthesis remains a formidable hurdle. Herein, a scalable cationic‐potential‐driven surface reconstruction strategy is developed to engineer the interface of O3‐type layered cathodes (O3‐Na</w:t>
      </w:r>
      <w:r>
        <w:t xml:space="preserve"> </w:t>
      </w:r>
      <w:r>
        <w:t>0.9</w:t>
      </w:r>
      <w:r>
        <w:t xml:space="preserve"> </w:t>
      </w:r>
      <w:r>
        <w:t>Mg</w:t>
      </w:r>
      <w:r>
        <w:t xml:space="preserve"> </w:t>
      </w:r>
      <w:r>
        <w:t>0.1</w:t>
      </w:r>
      <w:r>
        <w:t xml:space="preserve"> </w:t>
      </w:r>
      <w:r>
        <w:t>Ni</w:t>
      </w:r>
      <w:r>
        <w:t xml:space="preserve"> </w:t>
      </w:r>
      <w:r>
        <w:t>0.35</w:t>
      </w:r>
      <w:r>
        <w:t xml:space="preserve"> </w:t>
      </w:r>
      <w:r>
        <w:t>Mn</w:t>
      </w:r>
      <w:r>
        <w:t xml:space="preserve"> </w:t>
      </w:r>
      <w:r>
        <w:t>0.35</w:t>
      </w:r>
      <w:r>
        <w:t xml:space="preserve"> </w:t>
      </w:r>
      <w:r>
        <w:t>Ti</w:t>
      </w:r>
      <w:r>
        <w:t xml:space="preserve"> </w:t>
      </w:r>
      <w:r>
        <w:t>0.20</w:t>
      </w:r>
      <w:r>
        <w:t xml:space="preserve"> </w:t>
      </w:r>
      <w:r>
        <w:t>O</w:t>
      </w:r>
      <w:r>
        <w:rPr>
          <w:vertAlign w:val="subscript"/>
        </w:rPr>
        <w:t>2</w:t>
      </w:r>
      <w:r>
        <w:t>). Leveraging a significant ionic potential gradient, the incorporation of a high‐ionic‐potential modifier induces a self‐limiting, nanometric, and Na‐deficient P2 shell that homogeneously encapsulates the O3 core via a coherent epitaxial interface. This robust architecture effectively suppresses lattice oxygen release and transition metal migration while preserving expanded interlayer spacing for rapid Na</w:t>
      </w:r>
      <w:r>
        <w:t xml:space="preserve"> </w:t>
      </w:r>
      <w:r>
        <w:t>+</w:t>
      </w:r>
      <w:r>
        <w:t xml:space="preserve"> </w:t>
      </w:r>
      <w:r>
        <w:t>kinetics. Consequently, the resulting O3‐core@P2‐shell material delivers excellent cycling stability, retaining 76.3% of its capacity after 400 cycles at 2 C (2.0–4.4 V), vastly outperforming the pristine counterpart (47.8%). Notably, the industrial feasibility (550 g/batch) of this strategy is validated in 1.5 Ah 18650 high‐voltage cylindrical batteries, which maintain 82% capacity after 400 cycles. This work establishes an effective paradigm for harmonizing atomic‐level precision with mass production, unlocking a tangible pathway for high‐energy‐density and long‐life sodium‐ion storage.</w:t>
      </w:r>
    </w:p>
    <w:p>
      <w:pPr>
        <w:spacing w:before="120" w:after="120"/>
      </w:pPr>
      <w:r>
        <w:rPr>
          <w:sz w:val="18"/>
        </w:rPr>
        <w:t>——————————————————————————————————————————————————————————————————————</w:t>
      </w:r>
    </w:p>
    <w:p>
      <w:pPr>
        <w:spacing w:before="160" w:after="40" w:line="240" w:lineRule="auto"/>
      </w:pPr>
      <w:r>
        <w:rPr>
          <w:b/>
        </w:rPr>
        <w:t xml:space="preserve">[6] </w:t>
      </w:r>
      <w:hyperlink r:id="rId65">
        <w:r>
          <w:rPr>
            <w:color w:val="1155CC"/>
            <w:u w:val="single"/>
          </w:rPr>
          <w:t>通过强负电配体场进行表面自旋态操控，实现废锂离子电池阴极的直接再生</w:t>
        </w:r>
      </w:hyperlink>
    </w:p>
    <w:p>
      <w:pPr>
        <w:spacing w:before="0" w:after="80"/>
      </w:pPr>
      <w:r>
        <w:rPr>
          <w:i/>
          <w:sz w:val="20"/>
        </w:rPr>
        <w:t>EN: Surface Spin‐State Manipulation via a Strong Electronegative Ligand Field Enables Direct Regeneration of Spent Lithium‐Ion Battery Cathodes</w:t>
      </w:r>
    </w:p>
    <w:p>
      <w:pPr>
        <w:spacing w:before="0" w:after="120"/>
      </w:pPr>
      <w:r>
        <w:rPr>
          <w:b/>
        </w:rPr>
        <w:t xml:space="preserve">Source: </w:t>
      </w:r>
      <w:r>
        <w:t>Wiley: Angewandte Chemie International Edition: Table of Contents</w:t>
      </w:r>
      <w:r>
        <w:t xml:space="preserve">    </w:t>
      </w:r>
      <w:r>
        <w:rPr>
          <w:b/>
        </w:rPr>
        <w:t xml:space="preserve">Pub date: </w:t>
      </w:r>
      <w:r>
        <w:t>2026-05-26 16:20:11+00:00</w:t>
      </w:r>
      <w:r>
        <w:t xml:space="preserve">    </w:t>
      </w:r>
      <w:r>
        <w:rPr>
          <w:b/>
        </w:rPr>
        <w:t xml:space="preserve">DOI: </w:t>
      </w:r>
      <w:hyperlink r:id="rId66">
        <w:r>
          <w:rPr>
            <w:color w:val="1155CC"/>
            <w:u w:val="single"/>
          </w:rPr>
          <w:t>10.1002/anie.2888520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锂离子电池的快速增长加剧了对废锂镍高效回收的需求</w:t>
      </w:r>
      <w:r>
        <w:t xml:space="preserve"> </w:t>
      </w:r>
      <w:r>
        <w:t>0.5</w:t>
      </w:r>
      <w:r>
        <w:t xml:space="preserve"> </w:t>
      </w:r>
      <w:r>
        <w:t>钴</w:t>
      </w:r>
      <w:r>
        <w:t xml:space="preserve"> </w:t>
      </w:r>
      <w:r>
        <w:t>0.2</w:t>
      </w:r>
      <w:r>
        <w:t xml:space="preserve"> </w:t>
      </w:r>
      <w:r>
        <w:t>锰</w:t>
      </w:r>
      <w:r>
        <w:t xml:space="preserve"> </w:t>
      </w:r>
      <w:r>
        <w:t>0.3</w:t>
      </w:r>
      <w:r>
        <w:t xml:space="preserve"> </w:t>
      </w:r>
      <w:r>
        <w:t>氧</w:t>
      </w:r>
      <w:r>
        <w:rPr>
          <w:vertAlign w:val="subscript"/>
        </w:rPr>
        <w:t>2</w:t>
      </w:r>
      <w:r>
        <w:t>（NCM）阴极。然而，Ni的高自旋态阻碍了直接再生</w:t>
      </w:r>
      <w:r>
        <w:t xml:space="preserve"> </w:t>
      </w:r>
      <w:r>
        <w:t>2+</w:t>
      </w:r>
      <w:r>
        <w:t xml:space="preserve"> </w:t>
      </w:r>
      <w:r>
        <w:t>（</w:t>
      </w:r>
      <w:r>
        <w:t xml:space="preserve"> </w:t>
      </w:r>
      <w:r>
        <w:t>S</w:t>
      </w:r>
      <w:r>
        <w:t xml:space="preserve"> </w:t>
      </w:r>
      <w:r>
        <w:t>= 1) 表面结构退化，阻碍了 Li</w:t>
      </w:r>
      <w:r>
        <w:t xml:space="preserve"> </w:t>
      </w:r>
      <w:r>
        <w:t>+</w:t>
      </w:r>
      <w:r>
        <w:t xml:space="preserve"> </w:t>
      </w:r>
      <w:r>
        <w:t>插层并限制修复效率。在这里，我们引入强电负性配体场来调节表面 NiO</w:t>
      </w:r>
      <w:r>
        <w:rPr>
          <w:vertAlign w:val="subscript"/>
        </w:rPr>
        <w:t>6</w:t>
      </w:r>
      <w:r>
        <w:t>配位环境，能够精确调控Ni自旋态和电子结构。该策略改变了 Ni e 的占用率</w:t>
      </w:r>
      <w:r>
        <w:t xml:space="preserve"> </w:t>
      </w:r>
      <w:r>
        <w:t>克</w:t>
      </w:r>
      <w:r>
        <w:t xml:space="preserve"> </w:t>
      </w:r>
      <w:r>
        <w:t>轨道，转化高自旋Ni</w:t>
      </w:r>
      <w:r>
        <w:t xml:space="preserve"> </w:t>
      </w:r>
      <w:r>
        <w:t>2+</w:t>
      </w:r>
      <w:r>
        <w:t xml:space="preserve"> </w:t>
      </w:r>
      <w:r>
        <w:t>（t</w:t>
      </w:r>
      <w:r>
        <w:rPr>
          <w:vertAlign w:val="subscript"/>
        </w:rPr>
        <w:t>2</w:t>
      </w:r>
      <w:r>
        <w:t xml:space="preserve"> </w:t>
      </w:r>
      <w:r>
        <w:t>克</w:t>
      </w:r>
      <w:r>
        <w:t xml:space="preserve"> </w:t>
      </w:r>
      <w:r>
        <w:rPr>
          <w:vertAlign w:val="subscript"/>
        </w:rPr>
        <w:t>6</w:t>
      </w:r>
      <w:r>
        <w:t>e</w:t>
      </w:r>
      <w:r>
        <w:t xml:space="preserve"> </w:t>
      </w:r>
      <w:r>
        <w:t>克</w:t>
      </w:r>
      <w:r>
        <w:t xml:space="preserve"> </w:t>
      </w:r>
      <w:r>
        <w:rPr>
          <w:vertAlign w:val="subscript"/>
        </w:rPr>
        <w:t>2</w:t>
      </w:r>
      <w:r>
        <w:t>,</w:t>
      </w:r>
      <w:r>
        <w:t xml:space="preserve"> </w:t>
      </w:r>
      <w:r>
        <w:t>S</w:t>
      </w:r>
      <w:r>
        <w:t xml:space="preserve"> </w:t>
      </w:r>
      <w:r>
        <w:t>= 1) 至低自旋 Ni</w:t>
      </w:r>
      <w:r>
        <w:t xml:space="preserve"> </w:t>
      </w:r>
      <w:r>
        <w:t>3+</w:t>
      </w:r>
      <w:r>
        <w:t xml:space="preserve"> </w:t>
      </w:r>
      <w:r>
        <w:t>（t</w:t>
      </w:r>
      <w:r>
        <w:rPr>
          <w:vertAlign w:val="subscript"/>
        </w:rPr>
        <w:t>2</w:t>
      </w:r>
      <w:r>
        <w:t xml:space="preserve"> </w:t>
      </w:r>
      <w:r>
        <w:t>克</w:t>
      </w:r>
      <w:r>
        <w:t xml:space="preserve"> </w:t>
      </w:r>
      <w:r>
        <w:rPr>
          <w:vertAlign w:val="subscript"/>
        </w:rPr>
        <w:t>6</w:t>
      </w:r>
      <w:r>
        <w:t>e</w:t>
      </w:r>
    </w:p>
    <w:p>
      <w:pPr>
        <w:spacing w:before="0" w:after="200" w:lineRule="auto" w:line="276"/>
      </w:pPr>
      <w:r>
        <w:rPr>
          <w:b/>
        </w:rPr>
        <w:t xml:space="preserve">Abstract (EN): </w:t>
      </w:r>
      <w:r>
        <w:t>The rapid growth of lithium‐ion batteries has intensified the need for efficient recycling of spent LiNi</w:t>
      </w:r>
      <w:r>
        <w:t xml:space="preserve"> </w:t>
      </w:r>
      <w:r>
        <w:t>0.5</w:t>
      </w:r>
      <w:r>
        <w:t xml:space="preserve"> </w:t>
      </w:r>
      <w:r>
        <w:t>Co</w:t>
      </w:r>
      <w:r>
        <w:t xml:space="preserve"> </w:t>
      </w:r>
      <w:r>
        <w:t>0.2</w:t>
      </w:r>
      <w:r>
        <w:t xml:space="preserve"> </w:t>
      </w:r>
      <w:r>
        <w:t>Mn</w:t>
      </w:r>
      <w:r>
        <w:t xml:space="preserve"> </w:t>
      </w:r>
      <w:r>
        <w:t>0.3</w:t>
      </w:r>
      <w:r>
        <w:t xml:space="preserve"> </w:t>
      </w:r>
      <w:r>
        <w:t>O</w:t>
      </w:r>
      <w:r>
        <w:rPr>
          <w:vertAlign w:val="subscript"/>
        </w:rPr>
        <w:t>2</w:t>
      </w:r>
      <w:r>
        <w:t>(NCM) cathodes. However, direct regeneration is hindered by the high‐spin state of Ni</w:t>
      </w:r>
      <w:r>
        <w:t xml:space="preserve"> </w:t>
      </w:r>
      <w:r>
        <w:t>2+</w:t>
      </w:r>
      <w:r>
        <w:t xml:space="preserve"> </w:t>
      </w:r>
      <w:r>
        <w:t>(</w:t>
      </w:r>
      <w:r>
        <w:t xml:space="preserve"> </w:t>
      </w:r>
      <w:r>
        <w:t>S</w:t>
      </w:r>
      <w:r>
        <w:t xml:space="preserve"> </w:t>
      </w:r>
      <w:r>
        <w:t>= 1) in degraded surface structures, which impedes Li</w:t>
      </w:r>
      <w:r>
        <w:t xml:space="preserve"> </w:t>
      </w:r>
      <w:r>
        <w:t>+</w:t>
      </w:r>
      <w:r>
        <w:t xml:space="preserve"> </w:t>
      </w:r>
      <w:r>
        <w:t>intercalation and limits repair efficiency. Here, we introduce a strong electronegative ligand field to modulate the surface NiO</w:t>
      </w:r>
      <w:r>
        <w:rPr>
          <w:vertAlign w:val="subscript"/>
        </w:rPr>
        <w:t>6</w:t>
      </w:r>
      <w:r>
        <w:t>coordination environment, enabling precise regulation of Ni spin state and electronic structure. This strategy alters the occupancy of Ni e</w:t>
      </w:r>
      <w:r>
        <w:t xml:space="preserve"> </w:t>
      </w:r>
      <w:r>
        <w:t>g</w:t>
      </w:r>
      <w:r>
        <w:t xml:space="preserve"> </w:t>
      </w:r>
      <w:r>
        <w:t>orbitals, converting high‐spin Ni</w:t>
      </w:r>
      <w:r>
        <w:t xml:space="preserve"> </w:t>
      </w:r>
      <w:r>
        <w:t>2+</w:t>
      </w:r>
      <w:r>
        <w:t xml:space="preserve"> </w:t>
      </w:r>
      <w:r>
        <w:t>(t</w:t>
      </w:r>
      <w:r>
        <w:rPr>
          <w:vertAlign w:val="subscript"/>
        </w:rPr>
        <w:t>2</w:t>
      </w:r>
      <w:r>
        <w:t xml:space="preserve"> </w:t>
      </w:r>
      <w:r>
        <w:t>g</w:t>
      </w:r>
      <w:r>
        <w:t xml:space="preserve"> </w:t>
      </w:r>
      <w:r>
        <w:rPr>
          <w:vertAlign w:val="subscript"/>
        </w:rPr>
        <w:t>6</w:t>
      </w:r>
      <w:r>
        <w:t>e</w:t>
      </w:r>
      <w:r>
        <w:t xml:space="preserve"> </w:t>
      </w:r>
      <w:r>
        <w:t>g</w:t>
      </w:r>
      <w:r>
        <w:t xml:space="preserve"> </w:t>
      </w:r>
      <w:r>
        <w:rPr>
          <w:vertAlign w:val="subscript"/>
        </w:rPr>
        <w:t>2</w:t>
      </w:r>
      <w:r>
        <w:t>,</w:t>
      </w:r>
      <w:r>
        <w:t xml:space="preserve"> </w:t>
      </w:r>
      <w:r>
        <w:t>S</w:t>
      </w:r>
      <w:r>
        <w:t xml:space="preserve"> </w:t>
      </w:r>
      <w:r>
        <w:t>= 1) to low‐spin Ni</w:t>
      </w:r>
      <w:r>
        <w:t xml:space="preserve"> </w:t>
      </w:r>
      <w:r>
        <w:t>3+</w:t>
      </w:r>
      <w:r>
        <w:t xml:space="preserve"> </w:t>
      </w:r>
      <w:r>
        <w:t>(t</w:t>
      </w:r>
      <w:r>
        <w:rPr>
          <w:vertAlign w:val="subscript"/>
        </w:rPr>
        <w:t>2</w:t>
      </w:r>
      <w:r>
        <w:t xml:space="preserve"> </w:t>
      </w:r>
      <w:r>
        <w:t>g</w:t>
      </w:r>
      <w:r>
        <w:t xml:space="preserve"> </w:t>
      </w:r>
      <w:r>
        <w:rPr>
          <w:vertAlign w:val="subscript"/>
        </w:rPr>
        <w:t>6</w:t>
      </w:r>
      <w:r>
        <w:t>e</w:t>
      </w:r>
      <w:r>
        <w:t xml:space="preserve"> </w:t>
      </w:r>
      <w:r>
        <w:t>g</w:t>
      </w:r>
      <w:r>
        <w:t xml:space="preserve"> </w:t>
      </w:r>
      <w:r>
        <w:rPr>
          <w:vertAlign w:val="subscript"/>
        </w:rPr>
        <w:t>1</w:t>
      </w:r>
      <w:r>
        <w:t>,</w:t>
      </w:r>
      <w:r>
        <w:t xml:space="preserve"> </w:t>
      </w:r>
      <w:r>
        <w:t>S</w:t>
      </w:r>
      <w:r>
        <w:t xml:space="preserve"> </w:t>
      </w:r>
      <w:r>
        <w:t>= 1/2) while downshifting the Ni</w:t>
      </w:r>
      <w:r>
        <w:t xml:space="preserve"> </w:t>
      </w:r>
      <w:r>
        <w:t>d</w:t>
      </w:r>
      <w:r>
        <w:t xml:space="preserve"> </w:t>
      </w:r>
      <w:r>
        <w:t>‐band center. The resulting electronic reconfiguration weakens Ni‐Li interactions, enabling efficient lithiation and regeneration of the degraded NCM black mass. The regenerated cathode, when assembled into pouch cells, exhibits Ah‐level capacity with electrochemical performance comparable to commercial counterparts. This work establishes a direct correlation between Li</w:t>
      </w:r>
      <w:r>
        <w:t xml:space="preserve"> </w:t>
      </w:r>
      <w:r>
        <w:t>+</w:t>
      </w:r>
      <w:r>
        <w:t xml:space="preserve"> </w:t>
      </w:r>
      <w:r>
        <w:t>transport kinetics and the Ni spin‐state regulation, offering a new chemical paradigm for the direct regeneration of degraded cathodes.</w:t>
      </w:r>
    </w:p>
    <w:p>
      <w:pPr>
        <w:spacing w:before="120" w:after="120"/>
      </w:pPr>
      <w:r>
        <w:rPr>
          <w:sz w:val="18"/>
        </w:rPr>
        <w:t>——————————————————————————————————————————————————————————————————————</w:t>
      </w:r>
    </w:p>
    <w:p>
      <w:pPr>
        <w:spacing w:before="160" w:after="40" w:line="240" w:lineRule="auto"/>
      </w:pPr>
      <w:r>
        <w:rPr>
          <w:b/>
        </w:rPr>
        <w:t xml:space="preserve">[7] </w:t>
      </w:r>
      <w:hyperlink r:id="rId67">
        <w:r>
          <w:rPr>
            <w:color w:val="1155CC"/>
            <w:u w:val="single"/>
          </w:rPr>
          <w:t>自限性共价连接机制使有机硫化物全固态锂电池具有异常高的界面相容性</w:t>
        </w:r>
      </w:hyperlink>
    </w:p>
    <w:p>
      <w:pPr>
        <w:spacing w:before="0" w:after="80"/>
      </w:pPr>
      <w:r>
        <w:rPr>
          <w:i/>
          <w:sz w:val="20"/>
        </w:rPr>
        <w:t>EN: Self‐Limiting Covalent Ligation Mechanism Enabling Anomalously High Interfacial Compatibility in Organic‐in‐Sulfide All‐Solid‐State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2026-05-26 16:23:14+00:00</w:t>
      </w:r>
      <w:r>
        <w:t xml:space="preserve">    </w:t>
      </w:r>
      <w:r>
        <w:rPr>
          <w:b/>
        </w:rPr>
        <w:t xml:space="preserve">DOI: </w:t>
      </w:r>
      <w:hyperlink r:id="rId68">
        <w:r>
          <w:rPr>
            <w:color w:val="1155CC"/>
            <w:u w:val="single"/>
          </w:rPr>
          <w:t>10.1002/anie.9377760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聚合物复合电解质由于其按需成型和快速离子扩散率而成为全固态锂电池（ASSLB）的非常有前途的候选者。然而，环氧乙烷系链聚丙烯酸酯（EO-PA）出现了一个惊人的悖论：它们的高极性/强亲核倾向对硫化物稳定性构成主要威胁，但在实践中却表现出异常高的聚合物/硫化物相容性。根本机制仍然是一个不确定的问题。在这里，我们首先揭示了一种自限性共价连接机制，可以解释这种相容性悖论。这一原则的核心是识别末端 -CH 之间的密切相互作用</w:t>
      </w:r>
      <w:r>
        <w:rPr>
          <w:vertAlign w:val="subscript"/>
        </w:rPr>
        <w:t>3</w:t>
      </w:r>
      <w:r>
        <w:t>在 EO-PA 和 PS 中</w:t>
      </w:r>
      <w:r>
        <w:rPr>
          <w:vertAlign w:val="subscript"/>
        </w:rPr>
        <w:t>4</w:t>
      </w:r>
      <w:r>
        <w:t>3−</w:t>
      </w:r>
      <w:r>
        <w:t>单位为李</w:t>
      </w:r>
      <w:r>
        <w:rPr>
          <w:vertAlign w:val="subscript"/>
        </w:rPr>
        <w:t>6</w:t>
      </w:r>
      <w:r>
        <w:t>聚苯乙烯</w:t>
      </w:r>
      <w:r>
        <w:rPr>
          <w:vertAlign w:val="subscript"/>
        </w:rPr>
        <w:t>5</w:t>
      </w:r>
      <w:r>
        <w:t>Cl不仅抑制EO配体的寄生亲核反应，而且增强空气稳定性。自限制界面经过密度泛函理论计算的严格验证，</w:t>
      </w:r>
      <w:r>
        <w:rPr>
          <w:vertAlign w:val="subscript"/>
        </w:rPr>
        <w:t>31</w:t>
      </w:r>
      <w:r>
        <w:t>P 固态核磁共振、X 射线计算机断层扫描和飞行时间二次离子质谱。坚固的硫化物聚合物电解质可在 3 mA cm 电流下实现超过 1200 小时的无枝晶锂电镀/剥离</w:t>
      </w:r>
      <w:r>
        <w:t xml:space="preserve"> </w:t>
      </w:r>
      <w:r>
        <w:t>−2</w:t>
      </w:r>
      <w:r>
        <w:t xml:space="preserve"> </w:t>
      </w:r>
      <w:r>
        <w:t>在 NCM811 基础上，经过 1000 次循环后，容量保持率约为 100%</w:t>
      </w:r>
    </w:p>
    <w:p>
      <w:pPr>
        <w:spacing w:before="0" w:after="200" w:lineRule="auto" w:line="276"/>
      </w:pPr>
      <w:r>
        <w:rPr>
          <w:b/>
        </w:rPr>
        <w:t xml:space="preserve">Abstract (EN): </w:t>
      </w:r>
      <w:r>
        <w:t>Polymer‐in‐sulfide composite electrolytes have emerged as highly promising candidates for all‐solid‐state lithium batteries (ASSLBs) due to their on‐demand shaping and rapid ion diffusivity. However, a striking paradox arises in the case of ethylene oxide‐tethered polyacrylates (EO‐PAs): their high polarity/strong nucleophilic tendencies constitute a major threat to sulfide stability yet exhibit anomalously high polymer/sulfide compatibility in practice. The underlying mechanism remains a matter of uncertainty. Herein, we first reveal a self‐limiting covalent ligation mechanism that accounts for this compatibility paradox. Central to this principle is the identification of intimate interactions between terminal −CH</w:t>
      </w:r>
      <w:r>
        <w:rPr>
          <w:vertAlign w:val="subscript"/>
        </w:rPr>
        <w:t>3</w:t>
      </w:r>
      <w:r>
        <w:t>in EO‐PAs and PS</w:t>
      </w:r>
      <w:r>
        <w:rPr>
          <w:vertAlign w:val="subscript"/>
        </w:rPr>
        <w:t>4</w:t>
      </w:r>
      <w:r>
        <w:t>3−</w:t>
      </w:r>
      <w:r>
        <w:t>units in Li</w:t>
      </w:r>
      <w:r>
        <w:rPr>
          <w:vertAlign w:val="subscript"/>
        </w:rPr>
        <w:t>6</w:t>
      </w:r>
      <w:r>
        <w:t>PS</w:t>
      </w:r>
      <w:r>
        <w:rPr>
          <w:vertAlign w:val="subscript"/>
        </w:rPr>
        <w:t>5</w:t>
      </w:r>
      <w:r>
        <w:t>Cl, not only suppressing parasitic nucleophilic reactions by EO ligands but also enhancing air stability. The self‐limiting interface was rigorously validated by density functional theory calculations,</w:t>
      </w:r>
      <w:r>
        <w:rPr>
          <w:vertAlign w:val="subscript"/>
        </w:rPr>
        <w:t>31</w:t>
      </w:r>
      <w:r>
        <w:t>P solid‐state nuclear magnetic resonance, x‐ray computed tomography, and time of flight secondary ion mass spectrometry. The robust polymer‐in‐sulfide electrolyte achieves dendrite‐free Li plating/stripping for over 1200 h at 3 mA cm</w:t>
      </w:r>
      <w:r>
        <w:t xml:space="preserve"> </w:t>
      </w:r>
      <w:r>
        <w:t>−2</w:t>
      </w:r>
      <w:r>
        <w:t xml:space="preserve"> </w:t>
      </w:r>
      <w:r>
        <w:t>and delivers approximately 100% capacity retention over 1000 cycles in NCM811‐based ASSLBs. These findings elucidate the core mechanism of interface regulation and provide pivotal guidance for the development of high‐performance ASSLBs.</w:t>
      </w:r>
    </w:p>
    <w:p>
      <w:pPr>
        <w:spacing w:before="120" w:after="120"/>
      </w:pPr>
      <w:r>
        <w:rPr>
          <w:sz w:val="18"/>
        </w:rPr>
        <w:t>——————————————————————————————————————————————————————————————————————</w:t>
      </w:r>
    </w:p>
    <w:p>
      <w:pPr>
        <w:spacing w:before="160" w:after="40" w:line="240" w:lineRule="auto"/>
      </w:pPr>
      <w:r>
        <w:rPr>
          <w:b/>
        </w:rPr>
        <w:t xml:space="preserve">[8] </w:t>
      </w:r>
      <w:hyperlink r:id="rId69">
        <w:r>
          <w:rPr>
            <w:color w:val="1155CC"/>
            <w:u w:val="single"/>
          </w:rPr>
          <w:t>通过共价晶格调制调节 NASICON 阴极的氧化还原电位</w:t>
        </w:r>
      </w:hyperlink>
    </w:p>
    <w:p>
      <w:pPr>
        <w:spacing w:before="0" w:after="80"/>
      </w:pPr>
      <w:r>
        <w:rPr>
          <w:i/>
          <w:sz w:val="20"/>
        </w:rPr>
        <w:t>EN: Tuning Redox Potentials in NASICON Cathode via Covalent Lattice Modulation</w:t>
      </w:r>
    </w:p>
    <w:p>
      <w:pPr>
        <w:spacing w:before="0" w:after="120"/>
      </w:pPr>
      <w:r>
        <w:rPr>
          <w:b/>
        </w:rPr>
        <w:t xml:space="preserve">Source: </w:t>
      </w:r>
      <w:r>
        <w:t>Wiley: Angewandte Chemie International Edition: Table of Contents</w:t>
      </w:r>
      <w:r>
        <w:t xml:space="preserve">    </w:t>
      </w:r>
      <w:r>
        <w:rPr>
          <w:b/>
        </w:rPr>
        <w:t xml:space="preserve">Pub date: </w:t>
      </w:r>
      <w:r>
        <w:t>2026-05-26 16:24:41+00:00</w:t>
      </w:r>
      <w:r>
        <w:t xml:space="preserve">    </w:t>
      </w:r>
      <w:r>
        <w:rPr>
          <w:b/>
        </w:rPr>
        <w:t xml:space="preserve">DOI: </w:t>
      </w:r>
      <w:hyperlink r:id="rId70">
        <w:r>
          <w:rPr>
            <w:color w:val="1155CC"/>
            <w:u w:val="single"/>
          </w:rPr>
          <w:t>10.1002/anie.7090074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NASICON型Na</w:t>
      </w:r>
      <w:r>
        <w:rPr>
          <w:vertAlign w:val="subscript"/>
        </w:rPr>
        <w:t>3</w:t>
      </w:r>
      <w:r>
        <w:t>锰钛(PO</w:t>
      </w:r>
      <w:r>
        <w:rPr>
          <w:vertAlign w:val="subscript"/>
        </w:rPr>
        <w:t>4</w:t>
      </w:r>
      <w:r>
        <w:t>）</w:t>
      </w:r>
      <w:r>
        <w:rPr>
          <w:vertAlign w:val="subscript"/>
        </w:rPr>
        <w:t>3</w:t>
      </w:r>
      <w:r>
        <w:t>是一种很有前途的钠离子电池（SIB）阴极，但其能量密度仍然受到高电位锰氧化还原对的不完全激活的限制。这项研究表明，铬的策略性掺入有效地调节了 Mn-O 共价键，从而降低了反键 Mn 的能量（3</w:t>
      </w:r>
      <w:r>
        <w:t xml:space="preserve"> </w:t>
      </w:r>
      <w:r>
        <w:t>d</w:t>
      </w:r>
      <w:r>
        <w:t xml:space="preserve"> </w:t>
      </w:r>
      <w:r>
        <w:t>‐</w:t>
      </w:r>
      <w:r>
        <w:t xml:space="preserve"> </w:t>
      </w:r>
      <w:r>
        <w:t>e</w:t>
      </w:r>
      <w:r>
        <w:t xml:space="preserve"> </w:t>
      </w:r>
      <w:r>
        <w:t>克</w:t>
      </w:r>
      <w:r>
        <w:t xml:space="preserve"> </w:t>
      </w:r>
      <w:r>
        <w:t>*) 轨道，从而提高 Mn 的氧化还原电位</w:t>
      </w:r>
      <w:r>
        <w:t xml:space="preserve"> </w:t>
      </w:r>
      <w:r>
        <w:t>3+/2+</w:t>
      </w:r>
      <w:r>
        <w:t xml:space="preserve"> </w:t>
      </w:r>
      <w:r>
        <w:t>和锰</w:t>
      </w:r>
      <w:r>
        <w:t xml:space="preserve"> </w:t>
      </w:r>
      <w:r>
        <w:t>4+/3+</w:t>
      </w:r>
      <w:r>
        <w:t xml:space="preserve"> </w:t>
      </w:r>
      <w:r>
        <w:t>情侣。由此产生的Na</w:t>
      </w:r>
      <w:r>
        <w:t xml:space="preserve"> </w:t>
      </w:r>
      <w:r>
        <w:t>3.5</w:t>
      </w:r>
      <w:r>
        <w:t xml:space="preserve"> </w:t>
      </w:r>
      <w:r>
        <w:t>锰钛</w:t>
      </w:r>
      <w:r>
        <w:t xml:space="preserve"> </w:t>
      </w:r>
      <w:r>
        <w:t>0.5</w:t>
      </w:r>
      <w:r>
        <w:t xml:space="preserve"> </w:t>
      </w:r>
      <w:r>
        <w:t>铬</w:t>
      </w:r>
      <w:r>
        <w:t xml:space="preserve"> </w:t>
      </w:r>
      <w:r>
        <w:t>0.5</w:t>
      </w:r>
      <w:r>
        <w:t xml:space="preserve"> </w:t>
      </w:r>
      <w:r>
        <w:t>（采购订单</w:t>
      </w:r>
      <w:r>
        <w:rPr>
          <w:vertAlign w:val="subscript"/>
        </w:rPr>
        <w:t>4</w:t>
      </w:r>
      <w:r>
        <w:t>）</w:t>
      </w:r>
      <w:r>
        <w:rPr>
          <w:vertAlign w:val="subscript"/>
        </w:rPr>
        <w:t>3</w:t>
      </w:r>
      <w:r>
        <w:t>阴极实现了 3.40 V 的高平均放电电压（相对于 Na</w:t>
      </w:r>
      <w:r>
        <w:t xml:space="preserve"> </w:t>
      </w:r>
      <w:r>
        <w:t>+</w:t>
      </w:r>
      <w:r>
        <w:t xml:space="preserve"> </w:t>
      </w:r>
      <w:r>
        <w:t>/Na) 和具有竞争力的能量密度 586 Wh kg</w:t>
      </w:r>
      <w:r>
        <w:t xml:space="preserve"> </w:t>
      </w:r>
      <w:r>
        <w:t>-</w:t>
      </w:r>
      <w:r>
        <w:rPr>
          <w:vertAlign w:val="subscript"/>
        </w:rPr>
        <w:t>1</w:t>
      </w:r>
      <w:r>
        <w:t>，超过了许多最近报道的 NASICON 阴极。机理研究表明，该材料在最小体积膨胀 (2.5%) 内表现出高度可逆的单相固溶体反应，从而实现卓越的循环稳定性（20°C 下 5000 次循环后保持 87.6%），并在宽温度范围内保持稳定的性能。</w:t>
      </w:r>
    </w:p>
    <w:p>
      <w:pPr>
        <w:spacing w:before="0" w:after="200" w:lineRule="auto" w:line="276"/>
      </w:pPr>
      <w:r>
        <w:rPr>
          <w:b/>
        </w:rPr>
        <w:t xml:space="preserve">Abstract (EN): </w:t>
      </w:r>
      <w:r>
        <w:t>NASICON‐type Na</w:t>
      </w:r>
      <w:r>
        <w:rPr>
          <w:vertAlign w:val="subscript"/>
        </w:rPr>
        <w:t>3</w:t>
      </w:r>
      <w:r>
        <w:t>MnTi(PO</w:t>
      </w:r>
      <w:r>
        <w:rPr>
          <w:vertAlign w:val="subscript"/>
        </w:rPr>
        <w:t>4</w:t>
      </w:r>
      <w:r>
        <w:t>)</w:t>
      </w:r>
      <w:r>
        <w:rPr>
          <w:vertAlign w:val="subscript"/>
        </w:rPr>
        <w:t>3</w:t>
      </w:r>
      <w:r>
        <w:t>is a promising cathode for sodium‐ion batteries (SIBs), yet its energy density remains limited by the incomplete activation of high‐potential Mn redox couples. This study shows that the strategic incorporation of chromium effectively modulates Mn–O covalency, thereby lowering the energy of antibonding Mn (3</w:t>
      </w:r>
      <w:r>
        <w:t xml:space="preserve"> </w:t>
      </w:r>
      <w:r>
        <w:t>d</w:t>
      </w:r>
      <w:r>
        <w:t xml:space="preserve"> </w:t>
      </w:r>
      <w:r>
        <w:t>‐</w:t>
      </w:r>
      <w:r>
        <w:t xml:space="preserve"> </w:t>
      </w:r>
      <w:r>
        <w:t>e</w:t>
      </w:r>
      <w:r>
        <w:t xml:space="preserve"> </w:t>
      </w:r>
      <w:r>
        <w:t>g</w:t>
      </w:r>
      <w:r>
        <w:t xml:space="preserve"> </w:t>
      </w:r>
      <w:r>
        <w:t>*) orbital and consequently elevating the redox potentials of the Mn</w:t>
      </w:r>
      <w:r>
        <w:t xml:space="preserve"> </w:t>
      </w:r>
      <w:r>
        <w:t>3+/2+</w:t>
      </w:r>
      <w:r>
        <w:t xml:space="preserve"> </w:t>
      </w:r>
      <w:r>
        <w:t>and Mn</w:t>
      </w:r>
      <w:r>
        <w:t xml:space="preserve"> </w:t>
      </w:r>
      <w:r>
        <w:t>4+/3+</w:t>
      </w:r>
      <w:r>
        <w:t xml:space="preserve"> </w:t>
      </w:r>
      <w:r>
        <w:t>couples. The resulting Na</w:t>
      </w:r>
      <w:r>
        <w:t xml:space="preserve"> </w:t>
      </w:r>
      <w:r>
        <w:t>3.5</w:t>
      </w:r>
      <w:r>
        <w:t xml:space="preserve"> </w:t>
      </w:r>
      <w:r>
        <w:t>MnTi</w:t>
      </w:r>
      <w:r>
        <w:t xml:space="preserve"> </w:t>
      </w:r>
      <w:r>
        <w:t>0.5</w:t>
      </w:r>
      <w:r>
        <w:t xml:space="preserve"> </w:t>
      </w:r>
      <w:r>
        <w:t>Cr</w:t>
      </w:r>
      <w:r>
        <w:t xml:space="preserve"> </w:t>
      </w:r>
      <w:r>
        <w:t>0.5</w:t>
      </w:r>
      <w:r>
        <w:t xml:space="preserve"> </w:t>
      </w:r>
      <w:r>
        <w:t>(PO</w:t>
      </w:r>
      <w:r>
        <w:rPr>
          <w:vertAlign w:val="subscript"/>
        </w:rPr>
        <w:t>4</w:t>
      </w:r>
      <w:r>
        <w:t>)</w:t>
      </w:r>
      <w:r>
        <w:rPr>
          <w:vertAlign w:val="subscript"/>
        </w:rPr>
        <w:t>3</w:t>
      </w:r>
      <w:r>
        <w:t>cathode achieves a high average discharge voltage of 3.40 V (vs. Na</w:t>
      </w:r>
      <w:r>
        <w:t xml:space="preserve"> </w:t>
      </w:r>
      <w:r>
        <w:t>+</w:t>
      </w:r>
      <w:r>
        <w:t xml:space="preserve"> </w:t>
      </w:r>
      <w:r>
        <w:t>/Na) and a competitive energy density of 586 Wh kg</w:t>
      </w:r>
      <w:r>
        <w:t xml:space="preserve"> </w:t>
      </w:r>
      <w:r>
        <w:t>−</w:t>
      </w:r>
      <w:r>
        <w:rPr>
          <w:vertAlign w:val="subscript"/>
        </w:rPr>
        <w:t>1</w:t>
      </w:r>
      <w:r>
        <w:t>, which surpasses many recently reported NASICON cathodes. Mechanistic studies reveal this material exhibits a highly reversible single‐phase solid‐solution reaction within minimal volume expansion (2.5%), enabling exceptional cycling stability (87.6% retention over 5000 cycles at 20 C) and robust performance across a wide temperature range (−30 to 40 °C). The high level of cyclability exhibited by the Na</w:t>
      </w:r>
      <w:r>
        <w:t xml:space="preserve"> </w:t>
      </w:r>
      <w:r>
        <w:t>3.5</w:t>
      </w:r>
      <w:r>
        <w:t xml:space="preserve"> </w:t>
      </w:r>
      <w:r>
        <w:t>MnTi</w:t>
      </w:r>
      <w:r>
        <w:t xml:space="preserve"> </w:t>
      </w:r>
      <w:r>
        <w:t>0.5</w:t>
      </w:r>
      <w:r>
        <w:t xml:space="preserve"> </w:t>
      </w:r>
      <w:r>
        <w:t>Cr</w:t>
      </w:r>
      <w:r>
        <w:t xml:space="preserve"> </w:t>
      </w:r>
      <w:r>
        <w:t>0.5</w:t>
      </w:r>
      <w:r>
        <w:t xml:space="preserve"> </w:t>
      </w:r>
      <w:r>
        <w:t>(PO</w:t>
      </w:r>
      <w:r>
        <w:rPr>
          <w:vertAlign w:val="subscript"/>
        </w:rPr>
        <w:t>4</w:t>
      </w:r>
      <w:r>
        <w:t>)</w:t>
      </w:r>
      <w:r>
        <w:rPr>
          <w:vertAlign w:val="subscript"/>
        </w:rPr>
        <w:t>3</w:t>
      </w:r>
      <w:r>
        <w:t>//hard carbon full‑cell (88.6% capacity retention after 1000 cycles at 2 C) further validates its practical viability. This work underscores the effectiveness of covalent modulation in tuning electronic structures, offering a generalizable strategy for designing high‐voltage polyanionic frameworks for next‐generation energy storage.</w:t>
      </w:r>
    </w:p>
    <w:p>
      <w:pPr>
        <w:spacing w:before="120" w:after="120"/>
      </w:pPr>
      <w:r>
        <w:rPr>
          <w:sz w:val="18"/>
        </w:rPr>
        <w:t>——————————————————————————————————————————————————————————————————————</w:t>
      </w:r>
    </w:p>
    <w:p>
      <w:pPr>
        <w:spacing w:before="160" w:after="40" w:line="240" w:lineRule="auto"/>
      </w:pPr>
      <w:r>
        <w:rPr>
          <w:b/>
        </w:rPr>
        <w:t xml:space="preserve">[9] </w:t>
      </w:r>
      <w:hyperlink r:id="rId71">
        <w:r>
          <w:rPr>
            <w:color w:val="1155CC"/>
            <w:u w:val="single"/>
          </w:rPr>
          <w:t>受蜘蛛丝启发的 3D 打印可持续锌离子电池，具有超高稳定性</w:t>
        </w:r>
      </w:hyperlink>
    </w:p>
    <w:p>
      <w:pPr>
        <w:spacing w:before="0" w:after="80"/>
      </w:pPr>
      <w:r>
        <w:rPr>
          <w:i/>
          <w:sz w:val="20"/>
        </w:rPr>
        <w:t>EN: Spider Dragline Silk-Inspired 3D Printed Sustainable Zinc Ion Battery with Ultrahigh Stability</w:t>
      </w:r>
    </w:p>
    <w:p>
      <w:pPr>
        <w:spacing w:before="0" w:after="120"/>
      </w:pPr>
      <w:r>
        <w:rPr>
          <w:b/>
        </w:rPr>
        <w:t xml:space="preserve">Source: </w:t>
      </w:r>
      <w:r>
        <w:t>RSC - Energy Environ. Sci. latest articles</w:t>
      </w:r>
      <w:r>
        <w:t xml:space="preserve">    </w:t>
      </w:r>
      <w:r>
        <w:rPr>
          <w:b/>
        </w:rPr>
        <w:t xml:space="preserve">Pub date: </w:t>
      </w:r>
      <w:r>
        <w:t>2026-05-26 23:00:00+00:00</w:t>
      </w:r>
    </w:p>
    <w:p>
      <w:pPr>
        <w:spacing w:before="0" w:after="120"/>
      </w:pPr>
      <w:r>
        <w:rPr>
          <w:b/>
        </w:rPr>
        <w:t xml:space="preserve">Notes: </w:t>
      </w:r>
      <w:r>
        <w:t>abstract_source=rsc_html</w:t>
      </w:r>
    </w:p>
    <w:p>
      <w:pPr>
        <w:spacing w:before="0" w:after="80" w:lineRule="auto" w:line="276"/>
      </w:pPr>
      <w:r>
        <w:rPr>
          <w:b/>
        </w:rPr>
        <w:t xml:space="preserve">摘要（ZH）: </w:t>
      </w:r>
      <w:r>
        <w:t>水系锌离子电池因其成本低廉、本质安全、环境友好等优点在大规模储能领域受到广泛关注。然而，锌金属阳极在循环触发电极结构失效和寿命衰减过程中遇到的不可控枝晶生长和析氢反应的问题严重阻碍了其商业化进程。在此，我们采用绿色工艺从废藻中提取回收海藻酸盐（rSA），并通过一步交联获得具有高离子电导率的水凝胶载体（rSP）。受蜘蛛丝仿生结构的启发，将rSP与MXene导电网络结合，通过多波段UV 3D打印技术直接制造双网络锌阳极（rSP/MXene/ZP）。综合实验和理论分析表明，rSP的交联确保了多氧配位网络的形成，以创建快速离子传导路径，同时建立多个氢键以构成动态交联网络。因此，对称电池可实现超过 3,000 小时的卓越循环稳定性。 rSP/MXene/ZP 阳极与有机阴极材料 (G-PAQS) 兼容，组装的锌有机电池在 10,560 次循环中表现出增强的电化学性能和卓越的稳定性。</w:t>
      </w:r>
    </w:p>
    <w:p>
      <w:pPr>
        <w:spacing w:before="0" w:after="200" w:lineRule="auto" w:line="276"/>
      </w:pPr>
      <w:r>
        <w:rPr>
          <w:b/>
        </w:rPr>
        <w:t xml:space="preserve">Abstract (EN): </w:t>
      </w:r>
      <w:r>
        <w:t>Aqueous zinc-ion batteries have garnered considerable attention in the field of large-scale energy storage due to their low cost, inherent safety, and environmental friendliness. Nevertheless, the issues of uncontrollable dendrite growth and hydrogen evolution reaction encountered by Zn metal anodes during cycling trigger electrode structural failure and lifespan decay, severely impeding their commercialization process. Here, we utilize a green process to extract recovered alginate (rSA) from the waste algae and obtain a hydrogel carrier (rSP) with high ionic conductivity through one-step crosslinking.Inspired by the bionic structure of spider silk, rSP was combined with an MXene conductive network to directly fabricate a dual-network Zn anode (rSP/MXene/ZP) via multi-band UV 3D printing technology. Integrated experimental and theoretical analyses reveal that the cross-linking of rSP ensures the formation of a polyoxygen coordination network to create fast ionconducting pathways, while simultaneously establishing multiple hydrogen bonds to constitute a dynamic cross-linking network. Consequently, symmetrical cells achieve the exceptional cyclic stability over 3,000 h. The rSP/MXene/ZP anode is compatible with organic cathode materials (G-PAQS), and the assembled Zn-organic cell exhibits enhanced electrochemical performance and superior stability over 10,560 cycles.</w:t>
      </w:r>
    </w:p>
    <w:p>
      <w:pPr>
        <w:spacing w:before="120" w:after="120"/>
      </w:pPr>
      <w:r>
        <w:rPr>
          <w:sz w:val="18"/>
        </w:rPr>
        <w:t>——————————————————————————————————————————————————————————————————————</w:t>
      </w:r>
    </w:p>
    <w:p>
      <w:pPr>
        <w:spacing w:before="160" w:after="40" w:line="240" w:lineRule="auto"/>
      </w:pPr>
      <w:r>
        <w:rPr>
          <w:b/>
        </w:rPr>
        <w:t xml:space="preserve">[10] </w:t>
      </w:r>
      <w:hyperlink r:id="rId72">
        <w:r>
          <w:rPr>
            <w:color w:val="1155CC"/>
            <w:u w:val="single"/>
          </w:rPr>
          <w:t>次氯酸盐氧化还原化学使高电压和高功率盐水电池成为可能</w:t>
        </w:r>
      </w:hyperlink>
    </w:p>
    <w:p>
      <w:pPr>
        <w:spacing w:before="0" w:after="80"/>
      </w:pPr>
      <w:r>
        <w:rPr>
          <w:i/>
          <w:sz w:val="20"/>
        </w:rPr>
        <w:t>EN: Hypochlorite Redox Chemistry Enables High‐Voltage and High‐Power Saltwater Batteries</w:t>
      </w:r>
    </w:p>
    <w:p>
      <w:pPr>
        <w:spacing w:before="0" w:after="120"/>
      </w:pPr>
      <w:r>
        <w:rPr>
          <w:b/>
        </w:rPr>
        <w:t xml:space="preserve">Source: </w:t>
      </w:r>
      <w:r>
        <w:t>Wiley: Advanced Energy Materials: Table of Contents</w:t>
      </w:r>
      <w:r>
        <w:t xml:space="preserve">    </w:t>
      </w:r>
      <w:r>
        <w:rPr>
          <w:b/>
        </w:rPr>
        <w:t xml:space="preserve">Pub date: </w:t>
      </w:r>
      <w:r>
        <w:t>2026-05-27 05:23:21+00:00</w:t>
      </w:r>
      <w:r>
        <w:t xml:space="preserve">    </w:t>
      </w:r>
      <w:r>
        <w:rPr>
          <w:b/>
        </w:rPr>
        <w:t xml:space="preserve">DOI: </w:t>
      </w:r>
      <w:hyperlink r:id="rId73">
        <w:r>
          <w:rPr>
            <w:color w:val="1155CC"/>
            <w:u w:val="single"/>
          </w:rPr>
          <w:t>10.1002/aenm.71116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盐水电池（SWB）是用于大规模固定储能的锂离子电池的有前途的替代品。然而，传统的基于氧氧化还原的盐水电池系统的性能通常受到阴极缓慢的析氧和还原反应（OER/ORR）的限制，导致电压效率低和功率密度有限。在这里，通过将次氯酸钠引入盐水中，OER和ORR被基于次氯酸盐的氧化还原反应所取代。</w:t>
      </w:r>
      <w:r>
        <w:t xml:space="preserve"> </w:t>
      </w:r>
      <w:r>
        <w:t>操作</w:t>
      </w:r>
      <w:r>
        <w:t xml:space="preserve"> </w:t>
      </w:r>
      <w:r>
        <w:t>pH 和溶解氧测量证实 OER 和 ORR 最小化，并且次氯酸盐氧化还原反应主导阴极行为。由于更高的工作电位和更快的反应动力学，基于次氯酸盐-氧化还原的SWB可提供3.3 V的更高放电电压，并将充放电电压极化降低至0.66 V。通过将盐水pH值调整至接近中性条件，将放电电压提高至3.5 V并将峰值功率增加一倍以上，可以实现进一步的改进。次氯酸盐氧化还原环境还表现出与关键电池组件（包括固体电解质和阴极集电器）的化学稳定性。串联电池和采用硬碳阳极的电池的运行表现出可扩展性以及与替代阳极材料的兼容性。这些结果为针对大规模固定储能应用的下一代SWB提供了坚实的基础。</w:t>
      </w:r>
    </w:p>
    <w:p>
      <w:pPr>
        <w:spacing w:before="0" w:after="200" w:lineRule="auto" w:line="276"/>
      </w:pPr>
      <w:r>
        <w:rPr>
          <w:b/>
        </w:rPr>
        <w:t xml:space="preserve">Abstract (EN): </w:t>
      </w:r>
      <w:r>
        <w:t>Saltwater batteries (SWBs) are promising alternatives to lithium‐ion batteries for large‐scale stationary energy storage. However, the performance of conventional oxygen redox‐based saltwater battery systems is often constrained by sluggish oxygen evolution and reduction reactions (OER/ORR) at the cathode, leading to low voltage efficiency and limited power density. Here, OER and ORR are replaced by hypochlorite‐based redox reactions through the introduction of sodium hypochlorite into saltwater.</w:t>
      </w:r>
      <w:r>
        <w:t xml:space="preserve"> </w:t>
      </w:r>
      <w:r>
        <w:t>Operando</w:t>
      </w:r>
      <w:r>
        <w:t xml:space="preserve"> </w:t>
      </w:r>
      <w:r>
        <w:t>pH and dissolved oxygen measurements confirm that OER and ORR are minimized and that hypochlorite redox reactions dominate the cathode behavior. Owing to the higher operating potential and faster reaction kinetics, the hypochlorite‐redox‐based SWBs delivers a higher discharge voltage of 3.3 V and reduced charge‐discharge voltage polarization to 0.66 V. Further improvement is achieved by adjusting the saltwater pH to near‐neutral conditions, increasing the discharge voltage to 3.5 V and more than doubling the peak power. The hypochlorite redox environment also exhibits chemical stability with key cell components, including the solid electrolyte and cathode current collectors. Operation of series‐connected cells and cells employing hard carbon anodes demonstrates scalability and compatibility with alternative anode materials. These results provide a strong foundation for next‐generation SWBs targeting large‐scale stationary energy storage applications.</w:t>
      </w:r>
    </w:p>
    <w:p>
      <w:pPr>
        <w:spacing w:before="120" w:after="120"/>
      </w:pPr>
      <w:r>
        <w:rPr>
          <w:sz w:val="18"/>
        </w:rPr>
        <w:t>——————————————————————————————————————————————————————————————————————</w:t>
      </w:r>
    </w:p>
    <w:p>
      <w:pPr>
        <w:spacing w:before="160" w:after="40" w:line="240" w:lineRule="auto"/>
      </w:pPr>
      <w:r>
        <w:rPr>
          <w:b/>
        </w:rPr>
        <w:t xml:space="preserve">[11] </w:t>
      </w:r>
      <w:hyperlink r:id="rId74">
        <w:r>
          <w:rPr>
            <w:color w:val="1155CC"/>
            <w:u w:val="single"/>
          </w:rPr>
          <w:t>高压有机阴极的分子设计策略</w:t>
        </w:r>
      </w:hyperlink>
    </w:p>
    <w:p>
      <w:pPr>
        <w:spacing w:before="0" w:after="80"/>
      </w:pPr>
      <w:r>
        <w:rPr>
          <w:i/>
          <w:sz w:val="20"/>
        </w:rPr>
        <w:t>EN: Molecular Design Strategies for High‐Voltage Organic Cathodes</w:t>
      </w:r>
    </w:p>
    <w:p>
      <w:pPr>
        <w:spacing w:before="0" w:after="120"/>
      </w:pPr>
      <w:r>
        <w:rPr>
          <w:b/>
        </w:rPr>
        <w:t xml:space="preserve">Source: </w:t>
      </w:r>
      <w:r>
        <w:t>Wiley: Advanced Energy Materials: Table of Contents</w:t>
      </w:r>
      <w:r>
        <w:t xml:space="preserve">    </w:t>
      </w:r>
      <w:r>
        <w:rPr>
          <w:b/>
        </w:rPr>
        <w:t xml:space="preserve">Pub date: </w:t>
      </w:r>
      <w:r>
        <w:t>2026-05-27 05:24:38+00:00</w:t>
      </w:r>
      <w:r>
        <w:t xml:space="preserve">    </w:t>
      </w:r>
      <w:r>
        <w:rPr>
          <w:b/>
        </w:rPr>
        <w:t xml:space="preserve">DOI: </w:t>
      </w:r>
      <w:hyperlink r:id="rId75">
        <w:r>
          <w:rPr>
            <w:color w:val="1155CC"/>
            <w:u w:val="single"/>
          </w:rPr>
          <w:t>10.1002/aenm.71122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有机电极材料（OEM）为可持续和高性能可充电电池提供了有前景的途径，但其实际应用受到刚性晶体结构、差的电子传导性和低氧化还原电位的限制。  在这里，我们通过计算和实验相结合的方法，对两种有机阴极：吩嗪-1,4,6,9-四酮（PzTO）和二硫英稠合萘醌（5,8-二羟基-1,4-萘醌）（DNP）进行了系统的分子水平研究。溶液相循环伏安法揭示了它们之间存在很大的氧化还原电位差，DNP 的还原电位比 PzTO 高约 500 mV。这种差异在固态测量中变得更加明显，其中第一还原电位相对于 Li 达到~3.68 V</w:t>
      </w:r>
      <w:r>
        <w:t xml:space="preserve"> </w:t>
      </w:r>
      <w:r>
        <w:t>+</w:t>
      </w:r>
      <w:r>
        <w:t xml:space="preserve"> </w:t>
      </w:r>
      <w:r>
        <w:t>DNP 为 /Li，PzTO 为 3.08 V。通过剖析这些趋势的分子起源，我们确定了两个控制特征：(i) 还原时芳香性的变化（差异芳香性）和 (ii) Li─O 配位数。密度泛函理论计算证实这些特征强烈调节锂化自由能。将我们的分析扩展到 PzTO 和 DNP 的一系列假设衍生物，我们在微分芳香性和锂化自由能之间建立了线性关系，并表明引入额外的 Li─O 配位可增强氧化还原电位。总而言之，这些分子工程见解为合理化高压 PE 提供了机械基础。</w:t>
      </w:r>
    </w:p>
    <w:p>
      <w:pPr>
        <w:spacing w:before="0" w:after="200" w:lineRule="auto" w:line="276"/>
      </w:pPr>
      <w:r>
        <w:rPr>
          <w:b/>
        </w:rPr>
        <w:t xml:space="preserve">Abstract (EN): </w:t>
      </w:r>
      <w:r>
        <w:t>Organic electrode materials (OEMs) offer promising pathways toward sustainable and high‐performance rechargeable batteries, yet their practical implementation is limited by rigid crystal structures, poor electronic conductivity, and low redox potential.  Here, we conduct a systematic molecular‐level investigation of two organic cathodes, phenazine‐1,4,6,9‐tetrone (PzTO) and dithiin‐fused naphthazarin (5,8‐dihydroxy‐1,4‐naphthoquinone) (DNP), through a combined computational and experimental approach. Solution‐phase cyclic voltammetry reveals a substantial redox potential gap between them, with DNP exhibiting a reduction potential ∼500 mV higher than PzTO. This difference becomes more pronounced in solid state measurements, where the first reduction potentials reach ∼3.68 V vs. Li</w:t>
      </w:r>
      <w:r>
        <w:t xml:space="preserve"> </w:t>
      </w:r>
      <w:r>
        <w:t>+</w:t>
      </w:r>
      <w:r>
        <w:t xml:space="preserve"> </w:t>
      </w:r>
      <w:r>
        <w:t>/Li for DNP and 3.08 V for PzTO. By dissecting the molecular origins of these trends, we identify two governing features: (i) changes of aromaticity upon reduction (differential aromaticity) and (ii) Li─O coordination number. Density functional theory calculations confirm that these features strongly modulate lithiation free energies. Extending our analysis to a series of hypothetical derivatives of PzTO and DNP, we establish a linear relationship between differential aromaticity and lithiation free energy and show that the introduction of additional Li─O coordination enhances redox potentials. Taken together, these molecular engineering insights offer a mechanistic foundation for rationalizing high‐voltage performance and guiding the design of next‐generation OEMs.</w:t>
      </w:r>
    </w:p>
    <w:p>
      <w:pPr>
        <w:spacing w:before="120" w:after="120"/>
      </w:pPr>
      <w:r>
        <w:rPr>
          <w:sz w:val="18"/>
        </w:rPr>
        <w:t>——————————————————————————————————————————————————————————————————————</w:t>
      </w:r>
    </w:p>
    <w:p>
      <w:pPr>
        <w:spacing w:before="160" w:after="40" w:line="240" w:lineRule="auto"/>
      </w:pPr>
      <w:r>
        <w:rPr>
          <w:b/>
        </w:rPr>
        <w:t xml:space="preserve">[12] </w:t>
      </w:r>
      <w:hyperlink r:id="rId76">
        <w:r>
          <w:rPr>
            <w:color w:val="1155CC"/>
            <w:u w:val="single"/>
          </w:rPr>
          <w:t>氧空位梯度的轻松形成使得氧化钒薄膜电池能够原位均匀预锂化</w:t>
        </w:r>
      </w:hyperlink>
    </w:p>
    <w:p>
      <w:pPr>
        <w:spacing w:before="0" w:after="80"/>
      </w:pPr>
      <w:r>
        <w:rPr>
          <w:i/>
          <w:sz w:val="20"/>
        </w:rPr>
        <w:t>EN: Facile Formation of Oxygen‐Vacancy Gradient Enables In Situ Uniform Prelithiation in Vanadium Oxide Thin‐Film Batteries</w:t>
      </w:r>
    </w:p>
    <w:p>
      <w:pPr>
        <w:spacing w:before="0" w:after="120"/>
      </w:pPr>
      <w:r>
        <w:rPr>
          <w:b/>
        </w:rPr>
        <w:t xml:space="preserve">Source: </w:t>
      </w:r>
      <w:r>
        <w:t>Wiley: Angewandte Chemie International Edition: Table of Contents</w:t>
      </w:r>
      <w:r>
        <w:t xml:space="preserve">    </w:t>
      </w:r>
      <w:r>
        <w:rPr>
          <w:b/>
        </w:rPr>
        <w:t xml:space="preserve">Pub date: </w:t>
      </w:r>
      <w:r>
        <w:t>2026-05-27 07:17:01+00:00</w:t>
      </w:r>
      <w:r>
        <w:t xml:space="preserve">    </w:t>
      </w:r>
      <w:r>
        <w:rPr>
          <w:b/>
        </w:rPr>
        <w:t xml:space="preserve">DOI: </w:t>
      </w:r>
      <w:hyperlink r:id="rId77">
        <w:r>
          <w:rPr>
            <w:color w:val="1155CC"/>
            <w:u w:val="single"/>
          </w:rPr>
          <w:t>10.1002/anie.8496886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氧化钒（VO</w:t>
      </w:r>
      <w:r>
        <w:t xml:space="preserve"> </w:t>
      </w:r>
      <w:r>
        <w:t>x</w:t>
      </w:r>
      <w:r>
        <w:t xml:space="preserve"> </w:t>
      </w:r>
      <w:r>
        <w:t>）由于其高理论容量和与微电子制造的兼容性，是一种有前途的薄膜全固态锂离子电池（TF-ASSLIB）正极材料。然而，其不含锂的性质导致初始库仑效率低和循环稳定性差，因此需要有效的预锂化策略。传统方法受到缓慢的锂扩散动力学的限制，导致锂分布不均匀、表面积累和体渗透不足。在这里，我们设计了一个氧空位（O</w:t>
      </w:r>
      <w:r>
        <w:t xml:space="preserve"> </w:t>
      </w:r>
      <w:r>
        <w:t>V</w:t>
      </w:r>
      <w:r>
        <w:t xml:space="preserve"> </w:t>
      </w:r>
      <w:r>
        <w:t>) VO 中的梯度</w:t>
      </w:r>
      <w:r>
        <w:t xml:space="preserve"> </w:t>
      </w:r>
      <w:r>
        <w:t>x</w:t>
      </w:r>
      <w:r>
        <w:t xml:space="preserve"> </w:t>
      </w:r>
      <w:r>
        <w:t>, 与 O</w:t>
      </w:r>
      <w:r>
        <w:t xml:space="preserve"> </w:t>
      </w:r>
      <w:r>
        <w:t>V</w:t>
      </w:r>
      <w:r>
        <w:t xml:space="preserve"> </w:t>
      </w:r>
      <w:r>
        <w:t>浓度从表面到内部增加，通过两种协同效应使锂分布均匀：(i) O</w:t>
      </w:r>
      <w:r>
        <w:t xml:space="preserve"> </w:t>
      </w:r>
      <w:r>
        <w:t>V</w:t>
      </w:r>
      <w:r>
        <w:t xml:space="preserve"> </w:t>
      </w:r>
      <w:r>
        <w:t>创造额外的李</w:t>
      </w:r>
      <w:r>
        <w:t xml:space="preserve"> </w:t>
      </w:r>
      <w:r>
        <w:t>+</w:t>
      </w:r>
      <w:r>
        <w:t xml:space="preserve"> </w:t>
      </w:r>
      <w:r>
        <w:t>扩散途径，加速预锂化动力学； (二)O</w:t>
      </w:r>
      <w:r>
        <w:t xml:space="preserve"> </w:t>
      </w:r>
      <w:r>
        <w:t>V</w:t>
      </w:r>
      <w:r>
        <w:t xml:space="preserve"> </w:t>
      </w:r>
      <w:r>
        <w:t>梯度逐渐降低扩散势垒，从而实现深锂</w:t>
      </w:r>
      <w:r>
        <w:t xml:space="preserve"> </w:t>
      </w:r>
      <w:r>
        <w:t>+</w:t>
      </w:r>
      <w:r>
        <w:t xml:space="preserve"> </w:t>
      </w:r>
      <w:r>
        <w:t>渗透力和分布均匀。值得注意的是，这个O</w:t>
      </w:r>
      <w:r>
        <w:t xml:space="preserve"> </w:t>
      </w:r>
      <w:r>
        <w:t>V</w:t>
      </w:r>
      <w:r>
        <w:t xml:space="preserve"> </w:t>
      </w:r>
      <w:r>
        <w:t>VO 期间自发形成梯度</w:t>
      </w:r>
      <w:r>
        <w:t xml:space="preserve"> </w:t>
      </w:r>
      <w:r>
        <w:t>x</w:t>
      </w:r>
      <w:r>
        <w:t xml:space="preserve"> </w:t>
      </w:r>
      <w:r>
        <w:t>通过 Pt 的适度氧吸附在 Pt 集电器上沉积，产生更高的 O2</w:t>
      </w:r>
      <w:r>
        <w:t xml:space="preserve"> </w:t>
      </w:r>
      <w:r>
        <w:t>V</w:t>
      </w:r>
      <w:r>
        <w:t xml:space="preserve"> </w:t>
      </w:r>
      <w:r>
        <w:t>浓缩物</w:t>
      </w:r>
    </w:p>
    <w:p>
      <w:pPr>
        <w:spacing w:before="0" w:after="200" w:lineRule="auto" w:line="276"/>
      </w:pPr>
      <w:r>
        <w:rPr>
          <w:b/>
        </w:rPr>
        <w:t xml:space="preserve">Abstract (EN): </w:t>
      </w:r>
      <w:r>
        <w:t>Vanadium oxide (VO</w:t>
      </w:r>
      <w:r>
        <w:t xml:space="preserve"> </w:t>
      </w:r>
      <w:r>
        <w:t>x</w:t>
      </w:r>
      <w:r>
        <w:t xml:space="preserve"> </w:t>
      </w:r>
      <w:r>
        <w:t>) is a promising cathode material for thin‐film all‐solid‐state lithium‐ion batteries (TF‐ASSLIBs) owing to its high theoretical capacity and compatibility with microelectronic fabrication. However, its lithium‐free nature results in low initial Coulombic efficiency and poor cycling stability, necessitating an effective prelithiation strategy. Conventional methods are limited by sluggish lithium diffusion kinetics, causing inhomogeneous lithium distribution with surface accumulation and insufficient bulk penetration. Herein, we engineer an oxygen vacancy (O</w:t>
      </w:r>
      <w:r>
        <w:t xml:space="preserve"> </w:t>
      </w:r>
      <w:r>
        <w:t>V</w:t>
      </w:r>
      <w:r>
        <w:t xml:space="preserve"> </w:t>
      </w:r>
      <w:r>
        <w:t>) gradient in VO</w:t>
      </w:r>
      <w:r>
        <w:t xml:space="preserve"> </w:t>
      </w:r>
      <w:r>
        <w:t>x</w:t>
      </w:r>
      <w:r>
        <w:t xml:space="preserve"> </w:t>
      </w:r>
      <w:r>
        <w:t>, with O</w:t>
      </w:r>
      <w:r>
        <w:t xml:space="preserve"> </w:t>
      </w:r>
      <w:r>
        <w:t>V</w:t>
      </w:r>
      <w:r>
        <w:t xml:space="preserve"> </w:t>
      </w:r>
      <w:r>
        <w:t>concentration increasing from surface to interior, to homogenize lithium distribution through two synergistic effects: (i) O</w:t>
      </w:r>
      <w:r>
        <w:t xml:space="preserve"> </w:t>
      </w:r>
      <w:r>
        <w:t>V</w:t>
      </w:r>
      <w:r>
        <w:t xml:space="preserve"> </w:t>
      </w:r>
      <w:r>
        <w:t>creates additional Li</w:t>
      </w:r>
      <w:r>
        <w:t xml:space="preserve"> </w:t>
      </w:r>
      <w:r>
        <w:t>+</w:t>
      </w:r>
      <w:r>
        <w:t xml:space="preserve"> </w:t>
      </w:r>
      <w:r>
        <w:t>diffusion pathways, accelerating prelithiation kinetics; (ii) O</w:t>
      </w:r>
      <w:r>
        <w:t xml:space="preserve"> </w:t>
      </w:r>
      <w:r>
        <w:t>V</w:t>
      </w:r>
      <w:r>
        <w:t xml:space="preserve"> </w:t>
      </w:r>
      <w:r>
        <w:t>gradient progressively lowers diffusion barriers, enabling deep Li</w:t>
      </w:r>
      <w:r>
        <w:t xml:space="preserve"> </w:t>
      </w:r>
      <w:r>
        <w:t>+</w:t>
      </w:r>
      <w:r>
        <w:t xml:space="preserve"> </w:t>
      </w:r>
      <w:r>
        <w:t>penetration and uniform distribution. Notably, this O</w:t>
      </w:r>
      <w:r>
        <w:t xml:space="preserve"> </w:t>
      </w:r>
      <w:r>
        <w:t>V</w:t>
      </w:r>
      <w:r>
        <w:t xml:space="preserve"> </w:t>
      </w:r>
      <w:r>
        <w:t>gradient forms spontaneously during VO</w:t>
      </w:r>
      <w:r>
        <w:t xml:space="preserve"> </w:t>
      </w:r>
      <w:r>
        <w:t>x</w:t>
      </w:r>
      <w:r>
        <w:t xml:space="preserve"> </w:t>
      </w:r>
      <w:r>
        <w:t>deposition on Pt current collectors via moderate oxygen adsorption of Pt, which generates a higher O</w:t>
      </w:r>
      <w:r>
        <w:t xml:space="preserve"> </w:t>
      </w:r>
      <w:r>
        <w:t>V</w:t>
      </w:r>
      <w:r>
        <w:t xml:space="preserve"> </w:t>
      </w:r>
      <w:r>
        <w:t>concentration near the Pt interface, thereby facilitating uniform and efficient prelithiation during subsequent in situ electrolyte deposition. TF‐ASSLIBs comprising an O</w:t>
      </w:r>
      <w:r>
        <w:t xml:space="preserve"> </w:t>
      </w:r>
      <w:r>
        <w:t>V</w:t>
      </w:r>
      <w:r>
        <w:t xml:space="preserve"> </w:t>
      </w:r>
      <w:r>
        <w:t>‐gradient VO</w:t>
      </w:r>
      <w:r>
        <w:t xml:space="preserve"> </w:t>
      </w:r>
      <w:r>
        <w:t>x</w:t>
      </w:r>
      <w:r>
        <w:t xml:space="preserve"> </w:t>
      </w:r>
      <w:r>
        <w:t>cathode|LiPON electrolyte|NiO anode exhibit substantially enhanced electrochemical performance over control devices, delivering higher initial Coulombic efficiency (76.5% vs. 43.5%), superior areal capacity (37.5 vs. 6.5 µAh cm</w:t>
      </w:r>
      <w:r>
        <w:t xml:space="preserve"> </w:t>
      </w:r>
      <w:r>
        <w:t>−2</w:t>
      </w:r>
      <w:r>
        <w:t xml:space="preserve"> </w:t>
      </w:r>
      <w:r>
        <w:t>), and better cycling stability (91.5% vs. 73.4% capacity retention@2000 cycles). This work provides a facile and scalable strategy for developing high‐performance cathodes and TF‐ASSLIBs.</w:t>
      </w:r>
    </w:p>
    <w:p>
      <w:pPr>
        <w:spacing w:before="120" w:after="120"/>
      </w:pPr>
      <w:r>
        <w:rPr>
          <w:sz w:val="18"/>
        </w:rPr>
        <w:t>——————————————————————————————————————————————————————————————————————</w:t>
      </w:r>
    </w:p>
    <w:p>
      <w:pPr>
        <w:spacing w:before="160" w:after="40" w:line="240" w:lineRule="auto"/>
      </w:pPr>
      <w:r>
        <w:rPr>
          <w:b/>
        </w:rPr>
        <w:t xml:space="preserve">[13] </w:t>
      </w:r>
      <w:hyperlink r:id="rId78">
        <w:r>
          <w:rPr>
            <w:color w:val="1155CC"/>
            <w:u w:val="single"/>
          </w:rPr>
          <w:t>通过耦合体晶格钉扎与相间自重构来抑制高压富镍阴极的机械化学失效</w:t>
        </w:r>
      </w:hyperlink>
    </w:p>
    <w:p>
      <w:pPr>
        <w:spacing w:before="0" w:after="80"/>
      </w:pPr>
      <w:r>
        <w:rPr>
          <w:i/>
          <w:sz w:val="20"/>
        </w:rPr>
        <w:t>EN: Restraining Mechanochemical Failure in High‐Voltage Ni‐Rich Cathode by Coupling Bulk Lattice Pinning With Interphase Self‐Reconstruction</w:t>
      </w:r>
    </w:p>
    <w:p>
      <w:pPr>
        <w:spacing w:before="0" w:after="120"/>
      </w:pPr>
      <w:r>
        <w:rPr>
          <w:b/>
        </w:rPr>
        <w:t xml:space="preserve">Source: </w:t>
      </w:r>
      <w:r>
        <w:t>Wiley: Advanced Energy Materials: Table of Contents</w:t>
      </w:r>
      <w:r>
        <w:t xml:space="preserve">    </w:t>
      </w:r>
      <w:r>
        <w:rPr>
          <w:b/>
        </w:rPr>
        <w:t xml:space="preserve">Pub date: </w:t>
      </w:r>
      <w:r>
        <w:t>2026-05-27 19:01:56+00:00</w:t>
      </w:r>
      <w:r>
        <w:t xml:space="preserve">    </w:t>
      </w:r>
      <w:r>
        <w:rPr>
          <w:b/>
        </w:rPr>
        <w:t xml:space="preserve">DOI: </w:t>
      </w:r>
      <w:hyperlink r:id="rId79">
        <w:r>
          <w:rPr>
            <w:color w:val="1155CC"/>
            <w:u w:val="single"/>
          </w:rPr>
          <w:t>10.1002/aenm.71110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高镍层状氧化物为锂离子电池（LIB）提供卓越的能量和功率密度。然而，它们会因累积的晶内应变和晶间寄生反应而遭受严重的晶内和晶间裂纹。在此，提出了一种将体晶格钉扎与相间自重构耦合的协同策略，以同时抑制这些跨尺度的机械化学降解。连贯生长的LiTaO</w:t>
      </w:r>
      <w:r>
        <w:rPr>
          <w:vertAlign w:val="subscript"/>
        </w:rPr>
        <w:t>3</w:t>
      </w:r>
      <w:r>
        <w:t>将相稳定剂引入层状晶格中，通过钉扎效应抑制晶胞体积和c轴波动，从而显着降低各向异性应变。这种稳定的框架进一步促进了初级颗粒的细化和拉长，消除了晶间空隙，从而抑制了晶内裂纹并保持了整体结构的完整性。同时，通过 H 原位生成自重建界面相</w:t>
      </w:r>
      <w:r>
        <w:t xml:space="preserve"> </w:t>
      </w:r>
      <w:r>
        <w:t>+</w:t>
      </w:r>
      <w:r>
        <w:t xml:space="preserve"> </w:t>
      </w:r>
      <w:r>
        <w:t>‐循环过程中供体分解，形成坚固的LiF和Li</w:t>
      </w:r>
      <w:r>
        <w:rPr>
          <w:vertAlign w:val="subscript"/>
        </w:rPr>
        <w:t>3</w:t>
      </w:r>
      <w:r>
        <w:t>采购订单</w:t>
      </w:r>
      <w:r>
        <w:rPr>
          <w:vertAlign w:val="subscript"/>
        </w:rPr>
        <w:t>4</w:t>
      </w:r>
      <w:r>
        <w:t>无机掩蔽剂，可屏蔽寄生反应并抑制高电压下的晶间裂纹。这种双本体界面相协同稳定作用使阴极在恶劣条件（4.8 V、60°C 和 5 C）下具有优异的机械化学稳定性和反应均匀性。因此，在 4.6 V 电压下循环 200 次后，正极实现了 94.3% 的容量保持率，而实际的软袋 c</w:t>
      </w:r>
    </w:p>
    <w:p>
      <w:pPr>
        <w:spacing w:before="0" w:after="200" w:lineRule="auto" w:line="276"/>
      </w:pPr>
      <w:r>
        <w:rPr>
          <w:b/>
        </w:rPr>
        <w:t xml:space="preserve">Abstract (EN): </w:t>
      </w:r>
      <w:r>
        <w:t>Ultrahigh‐nickel layered oxides deliver exceptional energy and power densities for lithium‐ion batteries (LIBs). However, they suffer from severe intra‐ and intergranular cracking driven by accumulated intragranular strain and intergranular parasitic reactions. Herein, a synergistic strategy coupling bulk lattice pinning with interphase self‐reconstruction is proposed to simultaneously suppress these cross‐scale mechanochemical degradation. A coherently grown LiTaO</w:t>
      </w:r>
      <w:r>
        <w:rPr>
          <w:vertAlign w:val="subscript"/>
        </w:rPr>
        <w:t>3</w:t>
      </w:r>
      <w:r>
        <w:t>phase stabilizer is introduced into the layered lattice, markedly reducing anisotropic strain by suppressing unit‐cell volume and c‐axis fluctuations through a pinning effect. This stabilized framework further promotes finer and elongated primary particles with eliminated intergranular voids, thereby restraining intragranular cracking and preserving bulk structural integrity. Concurrently, a self‐reconstructing interphase is in situ generated via H</w:t>
      </w:r>
      <w:r>
        <w:t xml:space="preserve"> </w:t>
      </w:r>
      <w:r>
        <w:t>+</w:t>
      </w:r>
      <w:r>
        <w:t xml:space="preserve"> </w:t>
      </w:r>
      <w:r>
        <w:t>‐donor decomposition during cycling, forming robust LiF and Li</w:t>
      </w:r>
      <w:r>
        <w:rPr>
          <w:vertAlign w:val="subscript"/>
        </w:rPr>
        <w:t>3</w:t>
      </w:r>
      <w:r>
        <w:t>PO</w:t>
      </w:r>
      <w:r>
        <w:rPr>
          <w:vertAlign w:val="subscript"/>
        </w:rPr>
        <w:t>4</w:t>
      </w:r>
      <w:r>
        <w:t>inorganic maskants that shield parasitic reactions and inhibit intergranular cracking under high voltage. This dual bulk‐interphase synergistic stabilization enables the cathode superior mechanochemical stability and reaction homogeneity under harsh conditions (4.8 V, 60°C, and 5 C). Consequently, the cathode achieves 94.3% capacity retention after 200 cycles at 4.6 V, while practical pouch cells maintain 83.1% capacity over 600 cycles. By fundamentally arresting multi‐scale mechanochemical failure, this strategy enables durable, high‐voltage Ni‐rich cathodes for safe, long‐life LIBs.</w:t>
      </w:r>
    </w:p>
    <w:p>
      <w:pPr>
        <w:spacing w:before="120" w:after="120"/>
      </w:pPr>
      <w:r>
        <w:rPr>
          <w:sz w:val="18"/>
        </w:rPr>
        <w:t>——————————————————————————————————————————————————————————————————————</w:t>
      </w:r>
    </w:p>
    <w:p>
      <w:pPr>
        <w:spacing w:before="160" w:after="40" w:line="240" w:lineRule="auto"/>
      </w:pPr>
      <w:r>
        <w:rPr>
          <w:b/>
        </w:rPr>
        <w:t xml:space="preserve">[14] </w:t>
      </w:r>
      <w:hyperlink r:id="rId80">
        <w:r>
          <w:rPr>
            <w:color w:val="1155CC"/>
            <w:u w:val="single"/>
          </w:rPr>
          <w:t>通过钠诱导晶格激活和电导率重新布线实现高性能 LiFePO4 再生</w:t>
        </w:r>
      </w:hyperlink>
    </w:p>
    <w:p>
      <w:pPr>
        <w:spacing w:before="0" w:after="80"/>
      </w:pPr>
      <w:r>
        <w:rPr>
          <w:i/>
          <w:sz w:val="20"/>
        </w:rPr>
        <w:t>EN: High-Performance LiFePO4 Regeneration through Na-Induced Lattice Activation and Conductivity Rewiring</w:t>
      </w:r>
    </w:p>
    <w:p>
      <w:pPr>
        <w:spacing w:before="0" w:after="120"/>
      </w:pPr>
      <w:r>
        <w:rPr>
          <w:b/>
        </w:rPr>
        <w:t xml:space="preserve">Source: </w:t>
      </w:r>
      <w:r>
        <w:t>RSC - Energy Environ. Sci. latest articles</w:t>
      </w:r>
      <w:r>
        <w:t xml:space="preserve">    </w:t>
      </w:r>
      <w:r>
        <w:rPr>
          <w:b/>
        </w:rPr>
        <w:t xml:space="preserve">Pub date: </w:t>
      </w:r>
      <w:r>
        <w:t>2026-05-27 23:00:00+00:00</w:t>
      </w:r>
    </w:p>
    <w:p>
      <w:pPr>
        <w:spacing w:before="0" w:after="120"/>
      </w:pPr>
      <w:r>
        <w:rPr>
          <w:b/>
        </w:rPr>
        <w:t xml:space="preserve">Notes: </w:t>
      </w:r>
      <w:r>
        <w:t>abstract_source=rsc_html</w:t>
      </w:r>
    </w:p>
    <w:p>
      <w:pPr>
        <w:spacing w:before="0" w:after="80" w:lineRule="auto" w:line="276"/>
      </w:pPr>
      <w:r>
        <w:rPr>
          <w:b/>
        </w:rPr>
        <w:t xml:space="preserve">摘要（ZH）: </w:t>
      </w:r>
      <w:r>
        <w:t>废旧磷酸铁锂（LFP）的回收对于锂离子电池的可持续发展至关重要。然而，传统的补锂修复只能将材料恢复到原始状态，达不到下一代电极所需的性能。在此，我们提出了一种晶格协同激活策略，通过同时增强电子和Li+传输途径来实现降解的LFP的升级循环。通过在Li位点掺杂Na，再生LFP的晶格被有效激活。 Na+ 较大的离子半径扩大了 Li+ 扩散通道，并显着加速了 Li+ 传输动力学。此外，Na+和O2-之间更强的电子云重叠将电子密度从O2-转移到Na+。为了保持电荷中性，电子从 Fe2+ 迁移到 O2-，从而诱导 Fe2+ 部分氧化为 Fe3+。 Fe2+/Fe3+的共存降低了穿过Fe 3d轨道的电子迁移势垒，从而显着提高了电子电导率。结果，含有 5% Na 的再生 LFP 在 1 C 下具有 141.1 mAh g-1 的高放电容量，100 次循环后容量保持率为 99.4%。即使在 5 C 的高倍率下，其在 400 次循环后仍能保持 99.0% 的保留率。这种Na诱导晶格激活策略绕过了传统Fe位掺杂（通常需要破坏Fe-O键）的局限性，为锂电池材料的再生和性能升级开辟了新途径。</w:t>
      </w:r>
    </w:p>
    <w:p>
      <w:pPr>
        <w:spacing w:before="0" w:after="200" w:lineRule="auto" w:line="276"/>
      </w:pPr>
      <w:r>
        <w:rPr>
          <w:b/>
        </w:rPr>
        <w:t xml:space="preserve">Abstract (EN): </w:t>
      </w:r>
      <w:r>
        <w:t>The recycling of spent LiFePO4 (LFP) is crucial for the sustainable development of Li-ion batteries. However, conventional lithium-replenishment repair merely restores the material to its original state, falling short of the performance required for next-generation electrodes. Herein, we propose a lattice-synergistic activation strategy that enables the upcycling of degraded LFP by simultaneously enhancing both electronic and Li+ transport pathways. Through Na doping at Li sites, the lattice of regenerated LFP is effectively activated. The larger ionic radius of Na+ expands the Li+ diffusion channels and significantly accelerates Li+ transport kinetics. Moreover, the stronger electron-cloud overlap between Na+ and O2- shifts electron density from O2- to Na+. To maintain charge neutrality, electrons migrate from Fe2+ to O2-, inducing partial oxidation of Fe2+ to Fe3+. The coexistence of Fe2+/Fe3+ lowers the electron migration barrier across Fe 3d orbitals, leading to a marked improvement in electronic conductivity. As a result, the regenerated LFP with 5% Na delivers a high discharge capacity of 141.1 mAh g-1 at 1 C with 99.4% capacity retention after 100 cycles. Even at a high rate of 5 C, it maintains 99.0% retention over 400 cycles. This Na-induced lattice-activation strategy bypasses the limitations of traditional Fe-site doping, which typically requires breaking the Fe-O bond, and opens a new avenue for both the regeneration and performance upgrading of lithium battery materials.</w:t>
      </w:r>
    </w:p>
    <w:p>
      <w:pPr>
        <w:spacing w:before="120" w:after="120"/>
      </w:pPr>
      <w:r>
        <w:rPr>
          <w:sz w:val="18"/>
        </w:rPr>
        <w:t>——————————————————————————————————————————————————————————————————————</w:t>
      </w:r>
    </w:p>
    <w:p>
      <w:pPr>
        <w:spacing w:before="160" w:after="40" w:line="240" w:lineRule="auto"/>
      </w:pPr>
      <w:r>
        <w:rPr>
          <w:b/>
        </w:rPr>
        <w:t xml:space="preserve">[15] </w:t>
      </w:r>
      <w:hyperlink r:id="rId81">
        <w:r>
          <w:rPr>
            <w:color w:val="1155CC"/>
            <w:u w:val="single"/>
          </w:rPr>
          <w:t>通过电子钉扎界面工程促进高能量密度锂硫电池的固-固转换动力学</w:t>
        </w:r>
      </w:hyperlink>
    </w:p>
    <w:p>
      <w:pPr>
        <w:spacing w:before="0" w:after="80"/>
      </w:pPr>
      <w:r>
        <w:rPr>
          <w:i/>
          <w:sz w:val="20"/>
        </w:rPr>
        <w:t>EN: Boosting Solid–Solid Conversion Kinetics via Electron‐Pinned Interface Engineering for High‐Energy‐Density Li‐S Batteries</w:t>
      </w:r>
    </w:p>
    <w:p>
      <w:pPr>
        <w:spacing w:before="0" w:after="120"/>
      </w:pPr>
      <w:r>
        <w:rPr>
          <w:b/>
        </w:rPr>
        <w:t xml:space="preserve">Source: </w:t>
      </w:r>
      <w:r>
        <w:t>Wiley: Advanced Materials: Table of Contents</w:t>
      </w:r>
      <w:r>
        <w:t xml:space="preserve">    </w:t>
      </w:r>
      <w:r>
        <w:rPr>
          <w:b/>
        </w:rPr>
        <w:t xml:space="preserve">Pub date: </w:t>
      </w:r>
      <w:r>
        <w:t>2026-05-28 06:17:37+00:00</w:t>
      </w:r>
      <w:r>
        <w:t xml:space="preserve">    </w:t>
      </w:r>
      <w:r>
        <w:rPr>
          <w:b/>
        </w:rPr>
        <w:t xml:space="preserve">DOI: </w:t>
      </w:r>
      <w:hyperlink r:id="rId82">
        <w:r>
          <w:rPr>
            <w:color w:val="1155CC"/>
            <w:u w:val="single"/>
          </w:rPr>
          <w:t>10.1002/adma.73517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追求高能量密度的锂硫（Li-S）电池需要使用贫电解液条件。然而，这一目标受到硫还原反应（SRR）缓慢动力学的严重阻碍，特别是在“固-固”转化阶段，其中每个步骤都需要具有特定给电子能力的不同活性位点。在此，我们报告了一种将“长程有序”与“局部无序”相结合的催化剂结构，通过非晶纳米域修饰和精确的局部电子结构调节创建梯度有序的活性位点。这种催化剂称为电子钉扎界面催化剂（EPIC），表示为</w:t>
      </w:r>
      <w:r>
        <w:t xml:space="preserve"> </w:t>
      </w:r>
      <w:r>
        <w:t>一个</w:t>
      </w:r>
      <w:r>
        <w:t xml:space="preserve"> </w:t>
      </w:r>
      <w:r>
        <w:t>‐FeOOH@Fe/Al2O</w:t>
      </w:r>
      <w:r>
        <w:t xml:space="preserve"> </w:t>
      </w:r>
      <w:r>
        <w:t>x</w:t>
      </w:r>
      <w:r>
        <w:t xml:space="preserve"> </w:t>
      </w:r>
      <w:r>
        <w:t>，通过多级电子相互作用表现出协同催化增强作用。操作研究和 DFT 模拟表明，催化剂通过其梯度供电子特性建立了导电通路，从而解耦 SRR 过程并显着提高“固-固”转换效率。在贫电解质条件下，该催化剂实现了 10.7 mAh·cm 的高面积容量</w:t>
      </w:r>
      <w:r>
        <w:t xml:space="preserve"> </w:t>
      </w:r>
      <w:r>
        <w:t>−2</w:t>
      </w:r>
      <w:r>
        <w:t xml:space="preserve"> </w:t>
      </w:r>
      <w:r>
        <w:t>硫负载量为 10.2 mg·cm</w:t>
      </w:r>
      <w:r>
        <w:t xml:space="preserve"> </w:t>
      </w:r>
      <w:r>
        <w:t>−2</w:t>
      </w:r>
      <w:r>
        <w:t xml:space="preserve"> </w:t>
      </w:r>
      <w:r>
        <w:t>软包电池循环150次后容量保持率为94.2%，可稳定运行能量密度为418.6Wh·kg的3.6Ah软包电池</w:t>
      </w:r>
      <w:r>
        <w:t xml:space="preserve"> </w:t>
      </w:r>
      <w:r>
        <w:t>−1</w:t>
      </w:r>
      <w:r>
        <w:t xml:space="preserve"> </w:t>
      </w:r>
      <w:r>
        <w:t>。这个策略</w:t>
      </w:r>
    </w:p>
    <w:p>
      <w:pPr>
        <w:spacing w:before="0" w:after="200" w:lineRule="auto" w:line="276"/>
      </w:pPr>
      <w:r>
        <w:rPr>
          <w:b/>
        </w:rPr>
        <w:t xml:space="preserve">Abstract (EN): </w:t>
      </w:r>
      <w:r>
        <w:t>The pursuit of high‐energy‐density lithium–sulfur (Li–S) batteries necessitates the use of lean electrolyte conditions. However, this goal is severely hampered by the sluggish kinetics of the sulfur reduction reaction (SRR), especially in the “solid–solid” conversion stage, where each step requires distinct active sites with specific electron‐donating capabilities. Herein, we report a catalyst architecture that integrates “long‐range order” with “local disorder”, creating gradient‐ordered active sites through amorphous nanodomain modification and precise local electronic structure regulation. This catalyst, termed an electron‐pinned interface catalyst (EPIC) and denoted as</w:t>
      </w:r>
      <w:r>
        <w:t xml:space="preserve"> </w:t>
      </w:r>
      <w:r>
        <w:t>a</w:t>
      </w:r>
      <w:r>
        <w:t xml:space="preserve"> </w:t>
      </w:r>
      <w:r>
        <w:t>‐FeOOH@Fe/AlO</w:t>
      </w:r>
      <w:r>
        <w:t xml:space="preserve"> </w:t>
      </w:r>
      <w:r>
        <w:t>x</w:t>
      </w:r>
      <w:r>
        <w:t xml:space="preserve"> </w:t>
      </w:r>
      <w:r>
        <w:t>, exhibits synergistic catalytic enhancement via multi‐level electronic interactions. Operando studies and DFT simulations reveal that the catalyst establishes conductive pathways facilitated by its gradient electron‐donating properties, thereby decoupling the SRR process and significantly enhancing the “solid–solid” conversion efficiency. Under lean electrolyte conditions, this catalyst achieves a high areal capacity of 10.7 mAh·cm</w:t>
      </w:r>
      <w:r>
        <w:t xml:space="preserve"> </w:t>
      </w:r>
      <w:r>
        <w:t>−2</w:t>
      </w:r>
      <w:r>
        <w:t xml:space="preserve"> </w:t>
      </w:r>
      <w:r>
        <w:t>at a sulfur loading of 10.2 mg·cm</w:t>
      </w:r>
      <w:r>
        <w:t xml:space="preserve"> </w:t>
      </w:r>
      <w:r>
        <w:t>−2</w:t>
      </w:r>
      <w:r>
        <w:t xml:space="preserve"> </w:t>
      </w:r>
      <w:r>
        <w:t>, exhibits 94.2% capacity retention after 150 cycles in a pouch cell, and enables stable operation of a 3.6 Ah pouch cell with an energy density of 418.6 Wh·kg</w:t>
      </w:r>
      <w:r>
        <w:t xml:space="preserve"> </w:t>
      </w:r>
      <w:r>
        <w:t>−1</w:t>
      </w:r>
      <w:r>
        <w:t xml:space="preserve"> </w:t>
      </w:r>
      <w:r>
        <w:t>. This strategy effectively overcomes the reaction kinetic limitations in lean electrolyte conditions, providing valuable insights and a novel design paradigm for future high‐energy‐density Li–S batteries.</w:t>
      </w:r>
    </w:p>
    <w:p>
      <w:pPr>
        <w:spacing w:before="120" w:after="120"/>
      </w:pPr>
      <w:r>
        <w:rPr>
          <w:sz w:val="18"/>
        </w:rPr>
        <w:t>——————————————————————————————————————————————————————————————————————</w:t>
      </w:r>
    </w:p>
    <w:p>
      <w:pPr>
        <w:spacing w:before="160" w:after="40" w:line="240" w:lineRule="auto"/>
      </w:pPr>
      <w:r>
        <w:rPr>
          <w:b/>
        </w:rPr>
        <w:t xml:space="preserve">[16] </w:t>
      </w:r>
      <w:hyperlink r:id="rId83">
        <w:r>
          <w:rPr>
            <w:color w:val="1155CC"/>
            <w:u w:val="single"/>
          </w:rPr>
          <w:t>通过液相脱水抑制富钠普鲁士蓝阴极的表面降解</w:t>
        </w:r>
      </w:hyperlink>
    </w:p>
    <w:p>
      <w:pPr>
        <w:spacing w:before="0" w:after="80"/>
      </w:pPr>
      <w:r>
        <w:rPr>
          <w:i/>
          <w:sz w:val="20"/>
        </w:rPr>
        <w:t>EN: Suppressing Surface Degradation in Na‐Rich Prussian Blue Cathodes via Liquid‐Phase Dehydration</w:t>
      </w:r>
    </w:p>
    <w:p>
      <w:pPr>
        <w:spacing w:before="0" w:after="120"/>
      </w:pPr>
      <w:r>
        <w:rPr>
          <w:b/>
        </w:rPr>
        <w:t xml:space="preserve">Source: </w:t>
      </w:r>
      <w:r>
        <w:t>Wiley: Advanced Materials: Table of Contents</w:t>
      </w:r>
      <w:r>
        <w:t xml:space="preserve">    </w:t>
      </w:r>
      <w:r>
        <w:rPr>
          <w:b/>
        </w:rPr>
        <w:t xml:space="preserve">Pub date: </w:t>
      </w:r>
      <w:r>
        <w:t>2026-05-28 06:19:58+00:00</w:t>
      </w:r>
      <w:r>
        <w:t xml:space="preserve">    </w:t>
      </w:r>
      <w:r>
        <w:rPr>
          <w:b/>
        </w:rPr>
        <w:t xml:space="preserve">DOI: </w:t>
      </w:r>
      <w:hyperlink r:id="rId84">
        <w:r>
          <w:rPr>
            <w:color w:val="1155CC"/>
            <w:u w:val="single"/>
          </w:rPr>
          <w:t>10.1002/adma.73507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富钠普鲁士蓝 (PB) 因其高容量和低成本而成为一种有吸引力的钠离子电池正极，但其框架中约 10 wt.% 的结晶水会引起电解质副反应和 Fe 溶解。传统的热脱水已用于去除结晶水，但它始终会导致容量衰减和空气稳定性差。在这里，实验证明降解的主要原因是热处理过程中 Fe-O 键形成驱动的表面氧化。在这一见解的指导下，引入了基于氮气鼓泡的液相低温脱水策略，该策略可同时消除结晶水并稳定表面。该方法可以无缝集成到电极制造中，以最大限度地减少空气暴露并提高循环稳定性。总体而言，这项工作阐明了湿敏PB阴极中表面氧化的机制作用，并强调了表面化学控制在实现稳定的电化学性能方面的至关重要性。</w:t>
      </w:r>
    </w:p>
    <w:p>
      <w:pPr>
        <w:spacing w:before="0" w:after="200" w:lineRule="auto" w:line="276"/>
      </w:pPr>
      <w:r>
        <w:rPr>
          <w:b/>
        </w:rPr>
        <w:t xml:space="preserve">Abstract (EN): </w:t>
      </w:r>
      <w:r>
        <w:t>Na‐rich Prussian Blue (PB) is an attractive sodium‐ion battery cathode owing to its high capacity and low cost, yet approximately 10 wt.% of crystal water in its framework induces electrolyte side reactions and Fe dissolution. Conventional thermal dehydration has been used to remove crystal water, but it consistently results in capacity fading and poor air stability. Here, the primary cause of degradation is experimentally demonstrated to be surface oxidation driven by Fe–O bond formation during heat treatment. Guided by this insight, a liquid‐phase, low‐temperature dehydration strategy based on nitrogen bubbling is introduced, which simultaneously eliminates crystal water and stabilizes the surface. The approach can be seamlessly integrated into electrode fabrication to minimize air exposure and improve cycling stability. Overall, this work clarifies the mechanistic role of surface oxidation in moisture‐sensitive PB cathodes and highlights the critical importance of surface chemistry control in achieving stable electrochemical performance.</w:t>
      </w:r>
    </w:p>
    <w:p>
      <w:pPr>
        <w:spacing w:before="120" w:after="120"/>
      </w:pPr>
      <w:r>
        <w:rPr>
          <w:sz w:val="18"/>
        </w:rPr>
        <w:t>——————————————————————————————————————————————————————————————————————</w:t>
      </w:r>
    </w:p>
    <w:p>
      <w:pPr>
        <w:spacing w:before="160" w:after="40" w:line="240" w:lineRule="auto"/>
      </w:pPr>
      <w:r>
        <w:rPr>
          <w:b/>
        </w:rPr>
        <w:t xml:space="preserve">[17] </w:t>
      </w:r>
      <w:hyperlink r:id="rId85">
        <w:r>
          <w:rPr>
            <w:color w:val="1155CC"/>
            <w:u w:val="single"/>
          </w:rPr>
          <w:t>形成能量主导的AB堆叠结构促进高性能双离子存储钾离子电池的金属共价有机框架</w:t>
        </w:r>
      </w:hyperlink>
    </w:p>
    <w:p>
      <w:pPr>
        <w:spacing w:before="0" w:after="80"/>
      </w:pPr>
      <w:r>
        <w:rPr>
          <w:i/>
          <w:sz w:val="20"/>
        </w:rPr>
        <w:t>EN: Formation Energy‐Dominated AB‐Stacking Structure Promotes Metal‐Covalent Organic Frameworks for High‐Performance Dual‐Ion Storage Potassium‐Ion Batteries</w:t>
      </w:r>
    </w:p>
    <w:p>
      <w:pPr>
        <w:spacing w:before="0" w:after="120"/>
      </w:pPr>
      <w:r>
        <w:rPr>
          <w:b/>
        </w:rPr>
        <w:t xml:space="preserve">Source: </w:t>
      </w:r>
      <w:r>
        <w:t>Wiley: Angewandte Chemie International Edition: Table of Contents</w:t>
      </w:r>
      <w:r>
        <w:t xml:space="preserve">    </w:t>
      </w:r>
      <w:r>
        <w:rPr>
          <w:b/>
        </w:rPr>
        <w:t xml:space="preserve">Pub date: </w:t>
      </w:r>
      <w:r>
        <w:t>2026-05-28 09:18:32+00:00</w:t>
      </w:r>
      <w:r>
        <w:t xml:space="preserve">    </w:t>
      </w:r>
      <w:r>
        <w:rPr>
          <w:b/>
        </w:rPr>
        <w:t xml:space="preserve">DOI: </w:t>
      </w:r>
      <w:hyperlink r:id="rId86">
        <w:r>
          <w:rPr>
            <w:color w:val="1155CC"/>
            <w:u w:val="single"/>
          </w:rPr>
          <w:t>10.1002/anie.1169706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大多数共价有机骨架（COF）中存在的长程AA堆积结构导致氧化还原活性位点利用率低下和电化学性能不佳。在此，我们通过预合成环状三核铜簇（Cu@MCOF-D）报道了金属化COF（Cu@MCOF-D）</w:t>
      </w:r>
      <w:r>
        <w:rPr>
          <w:vertAlign w:val="subscript"/>
        </w:rPr>
        <w:t>3</w:t>
      </w:r>
      <w:r>
        <w:t>）并将它们与2,6-二氨基蒽醌（DAAQ）整合。形成能计算证实该材料具有热力学稳定的AB堆积结构，可有效缓解层间K</w:t>
      </w:r>
      <w:r>
        <w:t xml:space="preserve"> </w:t>
      </w:r>
      <w:r>
        <w:t>+</w:t>
      </w:r>
      <w:r>
        <w:t xml:space="preserve"> </w:t>
      </w:r>
      <w:r>
        <w:t>吸附屏蔽并优化层间K</w:t>
      </w:r>
      <w:r>
        <w:t xml:space="preserve"> </w:t>
      </w:r>
      <w:r>
        <w:t>+</w:t>
      </w:r>
      <w:r>
        <w:t xml:space="preserve"> </w:t>
      </w:r>
      <w:r>
        <w:t>扩散动力学。不同充放电状态下的异位透射电子显微镜分析结果表明，Cu</w:t>
      </w:r>
      <w:r>
        <w:rPr>
          <w:vertAlign w:val="subscript"/>
        </w:rPr>
        <w:t>3</w:t>
      </w:r>
      <w:r>
        <w:t>对FSI表现出很强的吸附能力</w:t>
      </w:r>
      <w:r>
        <w:t xml:space="preserve"> </w:t>
      </w:r>
      <w:r>
        <w:t>-</w:t>
      </w:r>
      <w:r>
        <w:t>，而-C=O/-C=N-基团化学键合K</w:t>
      </w:r>
      <w:r>
        <w:t xml:space="preserve"> </w:t>
      </w:r>
      <w:r>
        <w:t>+</w:t>
      </w:r>
      <w:r>
        <w:t xml:space="preserve"> </w:t>
      </w:r>
      <w:r>
        <w:t>，并且它们共同协同实现双离子存储。当用作钾离子电池 (PIB) 阳极时，扩散势垒降低，可实现 153.8 mAh g 的高可逆容量</w:t>
      </w:r>
      <w:r>
        <w:t xml:space="preserve"> </w:t>
      </w:r>
      <w:r>
        <w:t>−1</w:t>
      </w:r>
      <w:r>
        <w:t xml:space="preserve"> </w:t>
      </w:r>
      <w:r>
        <w:t>20.0 A g 时</w:t>
      </w:r>
      <w:r>
        <w:t xml:space="preserve"> </w:t>
      </w:r>
      <w:r>
        <w:t>−1</w:t>
      </w:r>
      <w:r>
        <w:t xml:space="preserve"> </w:t>
      </w:r>
      <w:r>
        <w:t>，并在 5.0 A g 下循环 6500 次后容量保持率为 96.8%</w:t>
      </w:r>
      <w:r>
        <w:t xml:space="preserve"> </w:t>
      </w:r>
      <w:r>
        <w:t>−1</w:t>
      </w:r>
      <w:r>
        <w:t xml:space="preserve"> </w:t>
      </w:r>
      <w:r>
        <w:t>，表现出卓越的长期 K</w:t>
      </w:r>
      <w:r>
        <w:t xml:space="preserve"> </w:t>
      </w:r>
      <w:r>
        <w:t>+</w:t>
      </w:r>
      <w:r>
        <w:t xml:space="preserve"> </w:t>
      </w:r>
      <w:r>
        <w:t>储存稳定性。在</w:t>
      </w:r>
    </w:p>
    <w:p>
      <w:pPr>
        <w:spacing w:before="0" w:after="200" w:lineRule="auto" w:line="276"/>
      </w:pPr>
      <w:r>
        <w:rPr>
          <w:b/>
        </w:rPr>
        <w:t xml:space="preserve">Abstract (EN): </w:t>
      </w:r>
      <w:r>
        <w:t>The long‐range AA‐stacking structures present in most covalent organic frameworks (COFs) result in poor utilization of redox‐active sites and suboptimal electrochemical performance. Herein, we report a metallized COF (Cu@MCOF‐D) by pre‐synthesizing cyclic trinuclear copper clusters (Cu</w:t>
      </w:r>
      <w:r>
        <w:rPr>
          <w:vertAlign w:val="subscript"/>
        </w:rPr>
        <w:t>3</w:t>
      </w:r>
      <w:r>
        <w:t>) and integrating them with 2,6‐diaminoanthraquinone (DAAQ). Formation energy calculations confirm that the material possesses a thermodynamically stable AB‐stacking structure, which effectively alleviates interlayer K</w:t>
      </w:r>
      <w:r>
        <w:t xml:space="preserve"> </w:t>
      </w:r>
      <w:r>
        <w:t>+</w:t>
      </w:r>
      <w:r>
        <w:t xml:space="preserve"> </w:t>
      </w:r>
      <w:r>
        <w:t>adsorption shielding and optimizes the interlayer K</w:t>
      </w:r>
      <w:r>
        <w:t xml:space="preserve"> </w:t>
      </w:r>
      <w:r>
        <w:t>+</w:t>
      </w:r>
      <w:r>
        <w:t xml:space="preserve"> </w:t>
      </w:r>
      <w:r>
        <w:t>diffusion kinetics. Results from ex situ transmission electron microscopy analyses under different charge/discharge states indicate that Cu</w:t>
      </w:r>
      <w:r>
        <w:rPr>
          <w:vertAlign w:val="subscript"/>
        </w:rPr>
        <w:t>3</w:t>
      </w:r>
      <w:r>
        <w:t>exhibits strong adsorption capability toward FSI</w:t>
      </w:r>
      <w:r>
        <w:t xml:space="preserve"> </w:t>
      </w:r>
      <w:r>
        <w:t>−</w:t>
      </w:r>
      <w:r>
        <w:t>, while the ‒C═O/‒C═N‒ groups chemically bind K</w:t>
      </w:r>
      <w:r>
        <w:t xml:space="preserve"> </w:t>
      </w:r>
      <w:r>
        <w:t>+</w:t>
      </w:r>
      <w:r>
        <w:t xml:space="preserve"> </w:t>
      </w:r>
      <w:r>
        <w:t>, and together they synergistically enable dual‐ion storage. When applied as potassium‐ion battery (PIB) anode, the reduced diffusion barrier allows a high reversible capacity of 153.8 mAh g</w:t>
      </w:r>
      <w:r>
        <w:t xml:space="preserve"> </w:t>
      </w:r>
      <w:r>
        <w:t>−1</w:t>
      </w:r>
      <w:r>
        <w:t xml:space="preserve"> </w:t>
      </w:r>
      <w:r>
        <w:t>at 20.0 A g</w:t>
      </w:r>
      <w:r>
        <w:t xml:space="preserve"> </w:t>
      </w:r>
      <w:r>
        <w:t>−1</w:t>
      </w:r>
      <w:r>
        <w:t xml:space="preserve"> </w:t>
      </w:r>
      <w:r>
        <w:t>, and delivers 96.8% capacity retention after 6500 cycles at 5.0 A g</w:t>
      </w:r>
      <w:r>
        <w:t xml:space="preserve"> </w:t>
      </w:r>
      <w:r>
        <w:t>−1</w:t>
      </w:r>
      <w:r>
        <w:t xml:space="preserve"> </w:t>
      </w:r>
      <w:r>
        <w:t>, demonstrating exceptional long‐term K</w:t>
      </w:r>
      <w:r>
        <w:t xml:space="preserve"> </w:t>
      </w:r>
      <w:r>
        <w:t>+</w:t>
      </w:r>
      <w:r>
        <w:t xml:space="preserve"> </w:t>
      </w:r>
      <w:r>
        <w:t>storage stability. In PIB full cells using potassium iron hexacyanoferrate as the cathode, a high energy density of up to 197.5 Wh kg</w:t>
      </w:r>
      <w:r>
        <w:t xml:space="preserve"> </w:t>
      </w:r>
      <w:r>
        <w:t>−1</w:t>
      </w:r>
      <w:r>
        <w:t xml:space="preserve"> </w:t>
      </w:r>
      <w:r>
        <w:t>is achieved. Furthermore, by employing 3,4,9,10‐perylenetetracarboxylic dianhydride heat‐treated at 450°C as the cathode, outstanding cycling stability is realized, with a capacity retention of 93.2% after 2000 cycles.</w:t>
      </w:r>
    </w:p>
    <w:p>
      <w:pPr>
        <w:spacing w:before="120" w:after="120"/>
      </w:pPr>
      <w:r>
        <w:rPr>
          <w:sz w:val="18"/>
        </w:rPr>
        <w:t>——————————————————————————————————————————————————————————————————————</w:t>
      </w:r>
    </w:p>
    <w:p>
      <w:pPr>
        <w:spacing w:before="160" w:after="40" w:line="240" w:lineRule="auto"/>
      </w:pPr>
      <w:r>
        <w:rPr>
          <w:b/>
        </w:rPr>
        <w:t xml:space="preserve">[18] </w:t>
      </w:r>
      <w:hyperlink r:id="rId87">
        <w:r>
          <w:rPr>
            <w:color w:val="1155CC"/>
            <w:u w:val="single"/>
          </w:rPr>
          <w:t>水性 Zn-I2 电池中聚酞菁导电共价有机骨架的协同供体-受体效应</w:t>
        </w:r>
      </w:hyperlink>
    </w:p>
    <w:p>
      <w:pPr>
        <w:spacing w:before="0" w:after="80"/>
      </w:pPr>
      <w:r>
        <w:rPr>
          <w:i/>
          <w:sz w:val="20"/>
        </w:rPr>
        <w:t>EN: Synergistic Donor‐Acceptor Effect in Conductive Covalent Organic Frameworks of Polyphthalocyanines for Aqueous Zn–I2 Batteries</w:t>
      </w:r>
    </w:p>
    <w:p>
      <w:pPr>
        <w:spacing w:before="0" w:after="120"/>
      </w:pPr>
      <w:r>
        <w:rPr>
          <w:b/>
        </w:rPr>
        <w:t xml:space="preserve">Source: </w:t>
      </w:r>
      <w:r>
        <w:t>Wiley: Angewandte Chemie International Edition: Table of Contents</w:t>
      </w:r>
      <w:r>
        <w:t xml:space="preserve">    </w:t>
      </w:r>
      <w:r>
        <w:rPr>
          <w:b/>
        </w:rPr>
        <w:t xml:space="preserve">Pub date: </w:t>
      </w:r>
      <w:r>
        <w:t>2026-05-28 09:21:23+00:00</w:t>
      </w:r>
      <w:r>
        <w:t xml:space="preserve">    </w:t>
      </w:r>
      <w:r>
        <w:rPr>
          <w:b/>
        </w:rPr>
        <w:t xml:space="preserve">DOI: </w:t>
      </w:r>
      <w:hyperlink r:id="rId88">
        <w:r>
          <w:rPr>
            <w:color w:val="1155CC"/>
            <w:u w:val="single"/>
          </w:rPr>
          <w:t>10.1002/anie.2860930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足够导电性和电活性的材料对于推进其在储能方面的应用至关重要；然而，在材料中整合可行的电子传输特性和氧化还原活性仍然是一个重大挑战。在这里，我们报告了两种由全芳香键构建的共轭COF，即聚锌酞菁（</w:t>
      </w:r>
      <w:r>
        <w:t xml:space="preserve"> </w:t>
      </w:r>
      <w:r>
        <w:t>p</w:t>
      </w:r>
      <w:r>
        <w:t xml:space="preserve"> </w:t>
      </w:r>
      <w:r>
        <w:t>ZnPc）和聚萘酞菁锌（</w:t>
      </w:r>
      <w:r>
        <w:t xml:space="preserve"> </w:t>
      </w:r>
      <w:r>
        <w:t>p</w:t>
      </w:r>
      <w:r>
        <w:t xml:space="preserve"> </w:t>
      </w:r>
      <w:r>
        <w:t>ZnNPc），表现出不同程度的π共轭，赋予它们良好的导电性。碘的掺入进一步导致电导率显着增加两个数量级（1 S m）</w:t>
      </w:r>
      <w:r>
        <w:t xml:space="preserve"> </w:t>
      </w:r>
      <w:r>
        <w:t>−1</w:t>
      </w:r>
      <w:r>
        <w:t xml:space="preserve"> </w:t>
      </w:r>
      <w:r>
        <w:t>为了</w:t>
      </w:r>
      <w:r>
        <w:t xml:space="preserve"> </w:t>
      </w:r>
      <w:r>
        <w:t>p</w:t>
      </w:r>
      <w:r>
        <w:t xml:space="preserve"> </w:t>
      </w:r>
      <w:r>
        <w:t>ZnPc 和 0.15 S m</w:t>
      </w:r>
      <w:r>
        <w:t xml:space="preserve"> </w:t>
      </w:r>
      <w:r>
        <w:t>−1</w:t>
      </w:r>
      <w:r>
        <w:t xml:space="preserve"> </w:t>
      </w:r>
      <w:r>
        <w:t>为了</w:t>
      </w:r>
      <w:r>
        <w:t xml:space="preserve"> </w:t>
      </w:r>
      <w:r>
        <w:t>p</w:t>
      </w:r>
      <w:r>
        <w:t xml:space="preserve"> </w:t>
      </w:r>
      <w:r>
        <w:t>ZnNPc，碘的电活性增强 200%（I</w:t>
      </w:r>
      <w:r>
        <w:rPr>
          <w:vertAlign w:val="subscript"/>
        </w:rPr>
        <w:t>2</w:t>
      </w:r>
      <w:r>
        <w:t>）。光谱分析和密度泛函理论（DFT）计算表明COF和I之间的主客体电荷转移相互作用</w:t>
      </w:r>
      <w:r>
        <w:rPr>
          <w:vertAlign w:val="subscript"/>
        </w:rPr>
        <w:t>2</w:t>
      </w:r>
      <w:r>
        <w:t>允许形成电子供体-受体体系，协同促进电子传输，提高体系的电导率，降低碘氧化还原反应的反应势垒，从而抑制I的穿梭</w:t>
      </w:r>
      <w:r>
        <w:rPr>
          <w:vertAlign w:val="subscript"/>
        </w:rPr>
        <w:t>3</w:t>
      </w:r>
    </w:p>
    <w:p>
      <w:pPr>
        <w:spacing w:before="0" w:after="200" w:lineRule="auto" w:line="276"/>
      </w:pPr>
      <w:r>
        <w:rPr>
          <w:b/>
        </w:rPr>
        <w:t xml:space="preserve">Abstract (EN): </w:t>
      </w:r>
      <w:r>
        <w:t>The development of materials with sufficient electrical conductivity and electroactivity is crucial for advancing their application in energy storage; however, integrating feasible electron transport properties and redox activity in a material remains a significant challenge. Here, we report two conjugated COFs constructed with fully aromatic linkages, namely poly‐zinc phthalocyanine (</w:t>
      </w:r>
      <w:r>
        <w:t xml:space="preserve"> </w:t>
      </w:r>
      <w:r>
        <w:t>p</w:t>
      </w:r>
      <w:r>
        <w:t xml:space="preserve"> </w:t>
      </w:r>
      <w:r>
        <w:t>ZnPc) and poly‐zinc naphthalocyanine (</w:t>
      </w:r>
      <w:r>
        <w:t xml:space="preserve"> </w:t>
      </w:r>
      <w:r>
        <w:t>p</w:t>
      </w:r>
      <w:r>
        <w:t xml:space="preserve"> </w:t>
      </w:r>
      <w:r>
        <w:t>ZnNPc), which exhibit distinct degrees of π‐conjugation, endowing them with good electrical conductivity. Iodine incorporation further induces remarkable conductivity increases up to two orders of magnitude with 1 S m</w:t>
      </w:r>
      <w:r>
        <w:t xml:space="preserve"> </w:t>
      </w:r>
      <w:r>
        <w:t>−1</w:t>
      </w:r>
      <w:r>
        <w:t xml:space="preserve"> </w:t>
      </w:r>
      <w:r>
        <w:t>for</w:t>
      </w:r>
      <w:r>
        <w:t xml:space="preserve"> </w:t>
      </w:r>
      <w:r>
        <w:t>p</w:t>
      </w:r>
      <w:r>
        <w:t xml:space="preserve"> </w:t>
      </w:r>
      <w:r>
        <w:t>ZnPc and 0.15 S m</w:t>
      </w:r>
      <w:r>
        <w:t xml:space="preserve"> </w:t>
      </w:r>
      <w:r>
        <w:t>−1</w:t>
      </w:r>
      <w:r>
        <w:t xml:space="preserve"> </w:t>
      </w:r>
      <w:r>
        <w:t>for</w:t>
      </w:r>
      <w:r>
        <w:t xml:space="preserve"> </w:t>
      </w:r>
      <w:r>
        <w:t>p</w:t>
      </w:r>
      <w:r>
        <w:t xml:space="preserve"> </w:t>
      </w:r>
      <w:r>
        <w:t>ZnNPc, along with a 200% enhancement in the electroactivity of iodine (I</w:t>
      </w:r>
      <w:r>
        <w:rPr>
          <w:vertAlign w:val="subscript"/>
        </w:rPr>
        <w:t>2</w:t>
      </w:r>
      <w:r>
        <w:t>). Spectroscopic analyses and density functional theory (DFT) calculations reveal that the host‐guest charge‐transfer interaction between the COFs and I</w:t>
      </w:r>
      <w:r>
        <w:rPr>
          <w:vertAlign w:val="subscript"/>
        </w:rPr>
        <w:t>2</w:t>
      </w:r>
      <w:r>
        <w:t>allows the formation of an electron donor‐acceptor system, which synergistically facilitates electron transport to improve the electrical conductivity of the system and lowers the reaction barrier for the iodine redox reaction, consequently suppressing the shuttling of the I</w:t>
      </w:r>
      <w:r>
        <w:rPr>
          <w:vertAlign w:val="subscript"/>
        </w:rPr>
        <w:t>3</w:t>
      </w:r>
      <w:r>
        <w:t>−</w:t>
      </w:r>
      <w:r>
        <w:t>/I</w:t>
      </w:r>
      <w:r>
        <w:rPr>
          <w:vertAlign w:val="subscript"/>
        </w:rPr>
        <w:t>5</w:t>
      </w:r>
      <w:r>
        <w:t>−</w:t>
      </w:r>
      <w:r>
        <w:t>intermediates. As a result, the host‐guest complex material I</w:t>
      </w:r>
      <w:r>
        <w:rPr>
          <w:vertAlign w:val="subscript"/>
        </w:rPr>
        <w:t>2</w:t>
      </w:r>
      <w:r>
        <w:t>@</w:t>
      </w:r>
      <w:r>
        <w:t xml:space="preserve"> </w:t>
      </w:r>
      <w:r>
        <w:t>p</w:t>
      </w:r>
      <w:r>
        <w:t xml:space="preserve"> </w:t>
      </w:r>
      <w:r>
        <w:t>ZnPc as a cathode in aqueous Zn–I</w:t>
      </w:r>
      <w:r>
        <w:rPr>
          <w:vertAlign w:val="subscript"/>
        </w:rPr>
        <w:t>2</w:t>
      </w:r>
      <w:r>
        <w:t>batteries delivers a high specific capacity of 234.4 mAh g</w:t>
      </w:r>
      <w:r>
        <w:t xml:space="preserve"> </w:t>
      </w:r>
      <w:r>
        <w:t>−1</w:t>
      </w:r>
      <w:r>
        <w:t xml:space="preserve"> </w:t>
      </w:r>
      <w:r>
        <w:t>, close to the theoretical limit of I</w:t>
      </w:r>
      <w:r>
        <w:rPr>
          <w:vertAlign w:val="subscript"/>
        </w:rPr>
        <w:t>2</w:t>
      </w:r>
      <w:r>
        <w:t>, meanwhile offering excellent cycling stability of over 40,000 cycles.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55">
        <w:r>
          <w:rPr>
            <w:color w:val="1155CC"/>
            <w:u w:val="single"/>
          </w:rPr>
          <w:t>多尺度动力学增强和相间稳定的分层架构设计可实现快速充电和长寿命钠离子电池</w:t>
        </w:r>
      </w:hyperlink>
    </w:p>
    <w:p>
      <w:pPr>
        <w:spacing w:before="0" w:after="80"/>
      </w:pPr>
      <w:r>
        <w:rPr>
          <w:i/>
          <w:sz w:val="20"/>
        </w:rPr>
        <w:t>EN: Multiscale Kinetics‐Enhanced and Interphase‐Stabilized Hierarchical Architecture Design Enables Fast‐Charging and Longevous Sodium‐Ion Batteries</w:t>
      </w:r>
    </w:p>
    <w:p>
      <w:pPr>
        <w:spacing w:before="0" w:after="120"/>
      </w:pPr>
      <w:r>
        <w:rPr>
          <w:b/>
        </w:rPr>
        <w:t xml:space="preserve">Source: </w:t>
      </w:r>
      <w:r>
        <w:t>Wiley: Advanced Energy Materials: Table of Contents</w:t>
      </w:r>
      <w:r>
        <w:t xml:space="preserve">    </w:t>
      </w:r>
      <w:r>
        <w:rPr>
          <w:b/>
        </w:rPr>
        <w:t xml:space="preserve">Pub date: </w:t>
      </w:r>
      <w:r>
        <w:t>2026-05-23 17:09:00+00:00</w:t>
      </w:r>
      <w:r>
        <w:t xml:space="preserve">    </w:t>
      </w:r>
      <w:r>
        <w:rPr>
          <w:b/>
        </w:rPr>
        <w:t xml:space="preserve">DOI: </w:t>
      </w:r>
      <w:hyperlink r:id="rId56">
        <w:r>
          <w:rPr>
            <w:color w:val="1155CC"/>
            <w:u w:val="single"/>
          </w:rPr>
          <w:t>10.1002/aenm.71059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 (Na) 离子电池 (SIB) 阳极实现超快充电能力和长期耐用性受到高度追捧，但本质上受到其缓慢的 Na 的限制。</w:t>
      </w:r>
      <w:r>
        <w:t xml:space="preserve"> </w:t>
      </w:r>
      <w:r>
        <w:t>+</w:t>
      </w:r>
      <w:r>
        <w:t xml:space="preserve"> </w:t>
      </w:r>
      <w:r>
        <w:t>传输动力学和激进的界面降解。在这里，我们提出了一种合理设计的铋限域微棒@氮掺杂碳（Bi-MR@NC）复合材料来解决这些限制。该工程结构在片状组装的碳微棒（8-12微米）结构中实现了超高纳米Bi含量（90纳米，91重量％）的完全封装，实现了致密电极结构，同时保持快速的离子/电子传输动力学，以及长期循环过程中强大的界面稳定性，正如详细的材料表征和电化学证据所确定的那样。因此，Bi-MR@NC 阳极在 10 A g-1 电流下经过 25,000 次循环后可提供卓越的长期循环性能，容量保持率为 82.4%</w:t>
      </w:r>
      <w:r>
        <w:t xml:space="preserve"> </w:t>
      </w:r>
      <w:r>
        <w:t>−1</w:t>
      </w:r>
      <w:r>
        <w:t xml:space="preserve"> </w:t>
      </w:r>
      <w:r>
        <w:t>，超快充电能力（220 A g</w:t>
      </w:r>
      <w:r>
        <w:t xml:space="preserve"> </w:t>
      </w:r>
      <w:r>
        <w:t>−1</w:t>
      </w:r>
      <w:r>
        <w:t xml:space="preserve"> </w:t>
      </w:r>
      <w:r>
        <w:t>，充电/放电在 9.2 秒内完成），实际相关面积容量为 2.4 mAh cm</w:t>
      </w:r>
      <w:r>
        <w:t xml:space="preserve"> </w:t>
      </w:r>
      <w:r>
        <w:t>−2</w:t>
      </w:r>
      <w:r>
        <w:t xml:space="preserve"> </w:t>
      </w:r>
      <w:r>
        <w:t>在 8.97 mA cm 下经过 1000 次循环后</w:t>
      </w:r>
      <w:r>
        <w:t xml:space="preserve"> </w:t>
      </w:r>
      <w:r>
        <w:t>−2</w:t>
      </w:r>
      <w:r>
        <w:t xml:space="preserve"> </w:t>
      </w:r>
      <w:r>
        <w:t>。值得注意的是，具有实用的高质量负载 Na 的全电池</w:t>
      </w:r>
      <w:r>
        <w:rPr>
          <w:vertAlign w:val="subscript"/>
        </w:rPr>
        <w:t>3</w:t>
      </w:r>
      <w:r>
        <w:t>V</w:t>
      </w:r>
      <w:r>
        <w:rPr>
          <w:vertAlign w:val="subscript"/>
        </w:rPr>
        <w:t>2</w:t>
      </w:r>
      <w:r>
        <w:t>（采购订单</w:t>
      </w:r>
      <w:r>
        <w:rPr>
          <w:vertAlign w:val="subscript"/>
        </w:rPr>
        <w:t>4</w:t>
      </w:r>
      <w:r>
        <w:t>）</w:t>
      </w:r>
      <w:r>
        <w:rPr>
          <w:vertAlign w:val="subscript"/>
        </w:rPr>
        <w:t>3</w:t>
      </w:r>
      <w:r>
        <w:t>(NVP) 阴极 (19.48 mg cm</w:t>
      </w:r>
    </w:p>
    <w:p>
      <w:pPr>
        <w:spacing w:before="0" w:after="200" w:lineRule="auto" w:line="276"/>
      </w:pPr>
      <w:r>
        <w:rPr>
          <w:b/>
        </w:rPr>
        <w:t xml:space="preserve">Abstract (EN): </w:t>
      </w:r>
      <w:r>
        <w:t>Achieving ultrafast chargeability and long‐term durability in sodium (Na) ion battery (SIB) anodes is highly sought after, but intrinsically limited by their sluggish Na</w:t>
      </w:r>
      <w:r>
        <w:t xml:space="preserve"> </w:t>
      </w:r>
      <w:r>
        <w:t>+</w:t>
      </w:r>
      <w:r>
        <w:t xml:space="preserve"> </w:t>
      </w:r>
      <w:r>
        <w:t>transport kinetics and aggressive interfacial degradation. Here, we proposed a rationally designed bismuth‐confined micro‐rod@nitrogen‐doped carbon (Bi‐MR@NC) composite to address these limitations. The engineered structure achieves full encapsulation of ultrahigh nano‐Bi content (90 nm, 91 wt.%) in a sheet‐assembled carbon microrod (8–12 µm) architecture, enabling dense electrode construction while maintaining rapid ion/electron transport kinetics, and robust interfacial stability during long‐term cycling, as ascertained by detailed material characterizations and electrochemical evidences. Therefore, Bi‐MR@NC anode delivers exceptional long‐term cyclability of 82.4% capacity retention over 25 000 cycles at 10 A g</w:t>
      </w:r>
      <w:r>
        <w:t xml:space="preserve"> </w:t>
      </w:r>
      <w:r>
        <w:t>−1</w:t>
      </w:r>
      <w:r>
        <w:t xml:space="preserve"> </w:t>
      </w:r>
      <w:r>
        <w:t>, ultrafast charging capability (220 A g</w:t>
      </w:r>
      <w:r>
        <w:t xml:space="preserve"> </w:t>
      </w:r>
      <w:r>
        <w:t>−1</w:t>
      </w:r>
      <w:r>
        <w:t xml:space="preserve"> </w:t>
      </w:r>
      <w:r>
        <w:t>, charge/discharge completed in 9.2 s), and practically relevant areal capacity of 2.4 mAh cm</w:t>
      </w:r>
      <w:r>
        <w:t xml:space="preserve"> </w:t>
      </w:r>
      <w:r>
        <w:t>−2</w:t>
      </w:r>
      <w:r>
        <w:t xml:space="preserve"> </w:t>
      </w:r>
      <w:r>
        <w:t>after 1000 cycles at 8.97 mA cm</w:t>
      </w:r>
      <w:r>
        <w:t xml:space="preserve"> </w:t>
      </w:r>
      <w:r>
        <w:t>−2</w:t>
      </w:r>
      <w:r>
        <w:t xml:space="preserve"> </w:t>
      </w:r>
      <w:r>
        <w:t>. Remarkably, full cells with a practical high‐mass‐loading Na</w:t>
      </w:r>
      <w:r>
        <w:rPr>
          <w:vertAlign w:val="subscript"/>
        </w:rPr>
        <w:t>3</w:t>
      </w:r>
      <w:r>
        <w:t>V</w:t>
      </w:r>
      <w:r>
        <w:rPr>
          <w:vertAlign w:val="subscript"/>
        </w:rPr>
        <w:t>2</w:t>
      </w:r>
      <w:r>
        <w:t>(PO</w:t>
      </w:r>
      <w:r>
        <w:rPr>
          <w:vertAlign w:val="subscript"/>
        </w:rPr>
        <w:t>4</w:t>
      </w:r>
      <w:r>
        <w:t>)</w:t>
      </w:r>
      <w:r>
        <w:rPr>
          <w:vertAlign w:val="subscript"/>
        </w:rPr>
        <w:t>3</w:t>
      </w:r>
      <w:r>
        <w:t>(NVP) cathode (19.48 mg cm</w:t>
      </w:r>
      <w:r>
        <w:t xml:space="preserve"> </w:t>
      </w:r>
      <w:r>
        <w:t>−2</w:t>
      </w:r>
      <w:r>
        <w:t xml:space="preserve"> </w:t>
      </w:r>
      <w:r>
        <w:t>) sustain 1.56 mAh cm</w:t>
      </w:r>
      <w:r>
        <w:t xml:space="preserve"> </w:t>
      </w:r>
      <w:r>
        <w:t>−2</w:t>
      </w:r>
      <w:r>
        <w:t xml:space="preserve"> </w:t>
      </w:r>
      <w:r>
        <w:t>with 86.9% capacity retention after 1000 cycles at 3.9 mA cm</w:t>
      </w:r>
      <w:r>
        <w:t xml:space="preserve"> </w:t>
      </w:r>
      <w:r>
        <w:t>−2</w:t>
      </w:r>
      <w:r>
        <w:t xml:space="preserve"> </w:t>
      </w:r>
      <w:r>
        <w:t>. Pouch cell tested under 10 C fast‐charging condition demonstrates long‐lasting cyclability over 3000 cycles with only 0.01% capacity fading per cycle. This work establishes a generalizable architectural strategy for fast‐charging and long‐life alloy anodes in next‐generation batteries.</w:t>
      </w:r>
    </w:p>
    <w:p>
      <w:pPr>
        <w:spacing w:before="120" w:after="120"/>
      </w:pPr>
      <w:r>
        <w:rPr>
          <w:sz w:val="18"/>
        </w:rPr>
        <w:t>——————————————————————————————————————————————————————————————————————</w:t>
      </w:r>
    </w:p>
    <w:p>
      <w:pPr>
        <w:spacing w:before="160" w:after="40" w:line="240" w:lineRule="auto"/>
      </w:pPr>
      <w:r>
        <w:rPr>
          <w:b/>
        </w:rPr>
        <w:t xml:space="preserve">[2] </w:t>
      </w:r>
      <w:hyperlink r:id="rId89">
        <w:r>
          <w:rPr>
            <w:color w:val="1155CC"/>
            <w:u w:val="single"/>
          </w:rPr>
          <w:t>金属电极电势随离子添加而变化</w:t>
        </w:r>
      </w:hyperlink>
    </w:p>
    <w:p>
      <w:pPr>
        <w:spacing w:before="0" w:after="80"/>
      </w:pPr>
      <w:r>
        <w:rPr>
          <w:i/>
          <w:sz w:val="20"/>
        </w:rPr>
        <w:t>EN: Metal electrode potential diverges with ion additions</w:t>
      </w:r>
    </w:p>
    <w:p>
      <w:pPr>
        <w:spacing w:before="0" w:after="120"/>
      </w:pPr>
      <w:r>
        <w:rPr>
          <w:b/>
        </w:rPr>
        <w:t xml:space="preserve">Source: </w:t>
      </w:r>
      <w:r>
        <w:t>Nature Chemistry</w:t>
      </w:r>
      <w:r>
        <w:t xml:space="preserve">    </w:t>
      </w:r>
      <w:r>
        <w:rPr>
          <w:b/>
        </w:rPr>
        <w:t xml:space="preserve">Pub date: </w:t>
      </w:r>
      <w:r>
        <w:t>2026-05-26 00:00:00+00:00</w:t>
      </w:r>
      <w:r>
        <w:t xml:space="preserve">    </w:t>
      </w:r>
      <w:r>
        <w:rPr>
          <w:b/>
        </w:rPr>
        <w:t xml:space="preserve">DOI: </w:t>
      </w:r>
      <w:hyperlink r:id="rId90">
        <w:r>
          <w:rPr>
            <w:color w:val="1155CC"/>
            <w:u w:val="single"/>
          </w:rPr>
          <w:t>10.1038/s41557-026-02150-5</w:t>
        </w:r>
      </w:hyperlink>
    </w:p>
    <w:p>
      <w:pPr>
        <w:spacing w:before="0" w:after="120"/>
      </w:pPr>
      <w:r>
        <w:rPr>
          <w:b/>
        </w:rPr>
        <w:t xml:space="preserve">Notes: </w:t>
      </w:r>
      <w:r>
        <w:t>abstract_source=nature_html</w:t>
      </w:r>
    </w:p>
    <w:p>
      <w:pPr>
        <w:spacing w:before="0" w:after="80" w:lineRule="auto" w:line="276"/>
      </w:pPr>
      <w:r>
        <w:rPr>
          <w:b/>
        </w:rPr>
        <w:t xml:space="preserve">摘要（ZH）: </w:t>
      </w:r>
      <w:r>
        <w:t>电极氧化还原电位随电解质变化很大，决定着电化学反应的方向和热力学驱动力。然而，对氧化还原电位变化的全面理解和有效控制仍未建立。在这里，我们报告了配位壳离子对金属电极氧化还原电位的显着影响。金属离子与周围硬度/软度差异较大的阴离子和阳离子之间的协同相互作用放大了氧化还原电位的变化，液体马德隆电位证实了这一点。具体来说，在 Zn/Zn2+ 体系中，添加软阴离子与硬阳离子配对会破坏 Zn2+ 溶液结构的稳定性并提高氧化还原电位，而硬阴离子与软阳离子则稳定结构并导致氧化还原电位降低。遵循这一原理，可以实现超过 0.6 V 的电位间隙——对于二价系统来说，这是一个非常大但合理的值。这种基于离子硬度/软度的策略还证明了在镀锌/剥离测试中的实际优势，其中氧化还原电位升高的电解质使平均库仑效率超过 99.9%。该图像的替代文本可能是使用 AI 生成的。</w:t>
      </w:r>
    </w:p>
    <w:p>
      <w:pPr>
        <w:spacing w:before="0" w:after="200" w:lineRule="auto" w:line="276"/>
      </w:pPr>
      <w:r>
        <w:rPr>
          <w:b/>
        </w:rPr>
        <w:t xml:space="preserve">Abstract (EN): </w:t>
      </w:r>
      <w:r>
        <w:t>The electrode redox potential, which varies substantially with the electrolyte, governs both the direction and thermodynamic driving force of electrochemical reactions. However, a comprehensive understanding and effective control of redox potential shifts remain unestablished. Here we report the pronounced effect of coordination-shell ions on the redox potential of metal electrodes. Cooperative interactions between the metal ion and surrounding anions and cations with large differences in hardness/softness amplify the redox potential shift, as corroborated by liquid Madelung potential. Specifically, in the Zn/Zn2+ system, the addition of soft anions paired with hard cations destabilizes the Zn2+ solution structure and upshifts the redox potential, whereas hard anions with soft cations stabilize the structure and induce a downshift. Following this principle, a potential gap exceeding 0.6 V was achieved—a remarkably large but reasonable value for a divalent system. This ion hardness/softness-based strategy also demonstrates practical benefits in Zn plating/stripping tests, where electrolytes with upshifted redox potentials enable an average Coulombic efficiency exceeding 99.9%.The alternative text for this image may have been generated using AI.</w:t>
      </w:r>
    </w:p>
    <w:p>
      <w:pPr>
        <w:spacing w:before="120" w:after="120"/>
      </w:pPr>
      <w:r>
        <w:rPr>
          <w:sz w:val="18"/>
        </w:rPr>
        <w:t>——————————————————————————————————————————————————————————————————————</w:t>
      </w:r>
    </w:p>
    <w:p>
      <w:pPr>
        <w:spacing w:before="160" w:after="40" w:line="240" w:lineRule="auto"/>
      </w:pPr>
      <w:r>
        <w:rPr>
          <w:b/>
        </w:rPr>
        <w:t xml:space="preserve">[3] </w:t>
      </w:r>
      <w:hyperlink r:id="rId91">
        <w:r>
          <w:rPr>
            <w:color w:val="1155CC"/>
            <w:u w:val="single"/>
          </w:rPr>
          <w:t>原子层沉积成核层可控制锌形态并抑制析氢</w:t>
        </w:r>
      </w:hyperlink>
    </w:p>
    <w:p>
      <w:pPr>
        <w:spacing w:before="0" w:after="80"/>
      </w:pPr>
      <w:r>
        <w:rPr>
          <w:i/>
          <w:sz w:val="20"/>
        </w:rPr>
        <w:t>EN: Atomic layer-deposited nucleation layers to control zinc morphology and suppress hydrogen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92">
        <w:r>
          <w:rPr>
            <w:color w:val="1155CC"/>
            <w:u w:val="single"/>
          </w:rPr>
          <w:t>10.1073/pnas.2533390123</w:t>
        </w:r>
      </w:hyperlink>
    </w:p>
    <w:p>
      <w:pPr>
        <w:spacing w:before="0" w:after="120"/>
      </w:pPr>
      <w:r>
        <w:rPr>
          <w:b/>
        </w:rPr>
        <w:t xml:space="preserve">Notes: </w:t>
      </w:r>
      <w:r>
        <w:t>abstract_source=crossref</w:t>
      </w:r>
    </w:p>
    <w:p>
      <w:pPr>
        <w:spacing w:before="0" w:after="80" w:lineRule="auto" w:line="276"/>
      </w:pPr>
      <w:r>
        <w:rPr>
          <w:b/>
        </w:rPr>
        <w:t xml:space="preserve">摘要（ZH）: </w:t>
      </w:r>
      <w:r>
        <w:t>水性锌（Zn）电池是安全、低成本和可持续电网规模储能最有前途的候选材料之一。然而，它们的实际应用受到不均匀锌电沉积和竞争性析氢反应（HER）的严重限制。在这里，我们引入了一种电沉积架构来缓解这些挑战。使用原子层沉积，我们在铜集流体上涂覆 ZnO 和 Al</w:t>
      </w:r>
      <w:r>
        <w:rPr>
          <w:vertAlign w:val="subscript"/>
        </w:rPr>
        <w:t>2</w:t>
      </w:r>
      <w:r>
        <w:t>氧</w:t>
      </w:r>
      <w:r>
        <w:rPr>
          <w:vertAlign w:val="subscript"/>
        </w:rPr>
        <w:t>3</w:t>
      </w:r>
      <w:r>
        <w:t>纳米膜——位于镀锌下方。我们的策略与之前的工作显着不同，在之前的工作中，薄膜位于锌箔上方，充当人造固体电解质界面。值得注意的是，我们利用 2 纳米厚的 ZnO 涂层实现了显着的性能改进，包括长循环寿命（&gt;1,400 次循环）和高库仑效率（&gt;99.8%）。我们的机制研究表明，这些改进源于 HER 抑制和控制 Zn 形态。这项工作提供了一种界面工程方法，可以从根本上理解锌的成核和生长过程。我们预计我们的电沉积架构可用于增强其他水系电池系统的循环性能。</w:t>
      </w:r>
    </w:p>
    <w:p>
      <w:pPr>
        <w:spacing w:before="0" w:after="200" w:lineRule="auto" w:line="276"/>
      </w:pPr>
      <w:r>
        <w:rPr>
          <w:b/>
        </w:rPr>
        <w:t xml:space="preserve">Abstract (EN): </w:t>
      </w:r>
      <w:r>
        <w:t>Aqueous zinc (Zn) batteries are among the most promising candidates for safe, low-cost, and sustainable grid-scale energy storage. However, their practical application is significantly constrained by inhomogeneous Zn electrodeposition and the competitive hydrogen evolution reaction (HER). Here, we introduce an electrodeposition architecture to mitigate these challenges. Using atomic layer deposition, we coat the copper current collector with ZnO and Al</w:t>
      </w:r>
      <w:r>
        <w:rPr>
          <w:vertAlign w:val="subscript"/>
        </w:rPr>
        <w:t>2</w:t>
      </w:r>
      <w:r>
        <w:t>O</w:t>
      </w:r>
      <w:r>
        <w:rPr>
          <w:vertAlign w:val="subscript"/>
        </w:rPr>
        <w:t>3</w:t>
      </w:r>
      <w:r>
        <w:t>nanofilms—positioned below the plated Zn. Our strategy marks a significant departure from previous works in which thin films are situated above Zn foil to function as artificial solid electrolyte interphases. Notably, we achieve substantial performance improvements with our 2-nm-thick ZnO coatings, including long cycle life (&amp;gt;1,400 cycles) and high Coulombic efficiencies (&amp;gt;99.8%). Our mechanistic investigation suggests that these improvements arise from HER suppression and controlled Zn morphology. This work offers an interface engineering approach to fundamentally understand Zn nucleation and growth processes. We anticipate that our electrodeposition architecture could be applied to enhance the cyclability of other aqueous battery systems.</w:t>
      </w:r>
    </w:p>
    <w:p>
      <w:pPr>
        <w:spacing w:before="120" w:after="120"/>
      </w:pPr>
      <w:r>
        <w:rPr>
          <w:sz w:val="18"/>
        </w:rPr>
        <w:t>——————————————————————————————————————————————————————————————————————</w:t>
      </w:r>
    </w:p>
    <w:p>
      <w:pPr>
        <w:spacing w:before="160" w:after="40" w:line="240" w:lineRule="auto"/>
      </w:pPr>
      <w:r>
        <w:rPr>
          <w:b/>
        </w:rPr>
        <w:t xml:space="preserve">[4] </w:t>
      </w:r>
      <w:hyperlink r:id="rId67">
        <w:r>
          <w:rPr>
            <w:color w:val="1155CC"/>
            <w:u w:val="single"/>
          </w:rPr>
          <w:t>自限性共价连接机制使有机硫化物全固态锂电池具有异常高的界面相容性</w:t>
        </w:r>
      </w:hyperlink>
    </w:p>
    <w:p>
      <w:pPr>
        <w:spacing w:before="0" w:after="80"/>
      </w:pPr>
      <w:r>
        <w:rPr>
          <w:i/>
          <w:sz w:val="20"/>
        </w:rPr>
        <w:t>EN: Self‐Limiting Covalent Ligation Mechanism Enabling Anomalously High Interfacial Compatibility in Organic‐in‐Sulfide All‐Solid‐State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2026-05-26 16:23:14+00:00</w:t>
      </w:r>
      <w:r>
        <w:t xml:space="preserve">    </w:t>
      </w:r>
      <w:r>
        <w:rPr>
          <w:b/>
        </w:rPr>
        <w:t xml:space="preserve">DOI: </w:t>
      </w:r>
      <w:hyperlink r:id="rId68">
        <w:r>
          <w:rPr>
            <w:color w:val="1155CC"/>
            <w:u w:val="single"/>
          </w:rPr>
          <w:t>10.1002/anie.9377760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聚合物复合电解质由于其按需成型和快速离子扩散率而成为全固态锂电池（ASSLB）的非常有前途的候选者。然而，环氧乙烷系链聚丙烯酸酯（EO-PA）出现了一个惊人的悖论：它们的高极性/强亲核倾向对硫化物稳定性构成主要威胁，但在实践中却表现出异常高的聚合物/硫化物相容性。根本机制仍然是一个不确定的问题。在这里，我们首先揭示了一种自限性共价连接机制，可以解释这种相容性悖论。这一原则的核心是识别末端 -CH 之间的密切相互作用</w:t>
      </w:r>
      <w:r>
        <w:rPr>
          <w:vertAlign w:val="subscript"/>
        </w:rPr>
        <w:t>3</w:t>
      </w:r>
      <w:r>
        <w:t>在 EO-PA 和 PS 中</w:t>
      </w:r>
      <w:r>
        <w:rPr>
          <w:vertAlign w:val="subscript"/>
        </w:rPr>
        <w:t>4</w:t>
      </w:r>
      <w:r>
        <w:t>3−</w:t>
      </w:r>
      <w:r>
        <w:t>单位为李</w:t>
      </w:r>
      <w:r>
        <w:rPr>
          <w:vertAlign w:val="subscript"/>
        </w:rPr>
        <w:t>6</w:t>
      </w:r>
      <w:r>
        <w:t>聚苯乙烯</w:t>
      </w:r>
      <w:r>
        <w:rPr>
          <w:vertAlign w:val="subscript"/>
        </w:rPr>
        <w:t>5</w:t>
      </w:r>
      <w:r>
        <w:t>Cl不仅抑制EO配体的寄生亲核反应，而且增强空气稳定性。自限制界面经过密度泛函理论计算的严格验证，</w:t>
      </w:r>
      <w:r>
        <w:rPr>
          <w:vertAlign w:val="subscript"/>
        </w:rPr>
        <w:t>31</w:t>
      </w:r>
      <w:r>
        <w:t>P 固态核磁共振、X 射线计算机断层扫描和飞行时间二次离子质谱。坚固的硫化物聚合物电解质可在 3 mA cm 电流下实现超过 1200 小时的无枝晶锂电镀/剥离</w:t>
      </w:r>
      <w:r>
        <w:t xml:space="preserve"> </w:t>
      </w:r>
      <w:r>
        <w:t>−2</w:t>
      </w:r>
      <w:r>
        <w:t xml:space="preserve"> </w:t>
      </w:r>
      <w:r>
        <w:t>在 NCM811 基础上，经过 1000 次循环后，容量保持率约为 100%</w:t>
      </w:r>
    </w:p>
    <w:p>
      <w:pPr>
        <w:spacing w:before="0" w:after="200" w:lineRule="auto" w:line="276"/>
      </w:pPr>
      <w:r>
        <w:rPr>
          <w:b/>
        </w:rPr>
        <w:t xml:space="preserve">Abstract (EN): </w:t>
      </w:r>
      <w:r>
        <w:t>Polymer‐in‐sulfide composite electrolytes have emerged as highly promising candidates for all‐solid‐state lithium batteries (ASSLBs) due to their on‐demand shaping and rapid ion diffusivity. However, a striking paradox arises in the case of ethylene oxide‐tethered polyacrylates (EO‐PAs): their high polarity/strong nucleophilic tendencies constitute a major threat to sulfide stability yet exhibit anomalously high polymer/sulfide compatibility in practice. The underlying mechanism remains a matter of uncertainty. Herein, we first reveal a self‐limiting covalent ligation mechanism that accounts for this compatibility paradox. Central to this principle is the identification of intimate interactions between terminal −CH</w:t>
      </w:r>
      <w:r>
        <w:rPr>
          <w:vertAlign w:val="subscript"/>
        </w:rPr>
        <w:t>3</w:t>
      </w:r>
      <w:r>
        <w:t>in EO‐PAs and PS</w:t>
      </w:r>
      <w:r>
        <w:rPr>
          <w:vertAlign w:val="subscript"/>
        </w:rPr>
        <w:t>4</w:t>
      </w:r>
      <w:r>
        <w:t>3−</w:t>
      </w:r>
      <w:r>
        <w:t>units in Li</w:t>
      </w:r>
      <w:r>
        <w:rPr>
          <w:vertAlign w:val="subscript"/>
        </w:rPr>
        <w:t>6</w:t>
      </w:r>
      <w:r>
        <w:t>PS</w:t>
      </w:r>
      <w:r>
        <w:rPr>
          <w:vertAlign w:val="subscript"/>
        </w:rPr>
        <w:t>5</w:t>
      </w:r>
      <w:r>
        <w:t>Cl, not only suppressing parasitic nucleophilic reactions by EO ligands but also enhancing air stability. The self‐limiting interface was rigorously validated by density functional theory calculations,</w:t>
      </w:r>
      <w:r>
        <w:rPr>
          <w:vertAlign w:val="subscript"/>
        </w:rPr>
        <w:t>31</w:t>
      </w:r>
      <w:r>
        <w:t>P solid‐state nuclear magnetic resonance, x‐ray computed tomography, and time of flight secondary ion mass spectrometry. The robust polymer‐in‐sulfide electrolyte achieves dendrite‐free Li plating/stripping for over 1200 h at 3 mA cm</w:t>
      </w:r>
      <w:r>
        <w:t xml:space="preserve"> </w:t>
      </w:r>
      <w:r>
        <w:t>−2</w:t>
      </w:r>
      <w:r>
        <w:t xml:space="preserve"> </w:t>
      </w:r>
      <w:r>
        <w:t>and delivers approximately 100% capacity retention over 1000 cycles in NCM811‐based ASSLBs. These findings elucidate the core mechanism of interface regulation and provide pivotal guidance for the development of high‐performance ASSLBs.</w:t>
      </w:r>
    </w:p>
    <w:p>
      <w:pPr>
        <w:spacing w:before="120" w:after="120"/>
      </w:pPr>
      <w:r>
        <w:rPr>
          <w:sz w:val="18"/>
        </w:rPr>
        <w:t>——————————————————————————————————————————————————————————————————————</w:t>
      </w:r>
    </w:p>
    <w:p>
      <w:pPr>
        <w:spacing w:before="160" w:after="40" w:line="240" w:lineRule="auto"/>
      </w:pPr>
      <w:r>
        <w:rPr>
          <w:b/>
        </w:rPr>
        <w:t xml:space="preserve">[5] </w:t>
      </w:r>
      <w:hyperlink r:id="rId69">
        <w:r>
          <w:rPr>
            <w:color w:val="1155CC"/>
            <w:u w:val="single"/>
          </w:rPr>
          <w:t>通过共价晶格调制调节 NASICON 阴极的氧化还原电位</w:t>
        </w:r>
      </w:hyperlink>
    </w:p>
    <w:p>
      <w:pPr>
        <w:spacing w:before="0" w:after="80"/>
      </w:pPr>
      <w:r>
        <w:rPr>
          <w:i/>
          <w:sz w:val="20"/>
        </w:rPr>
        <w:t>EN: Tuning Redox Potentials in NASICON Cathode via Covalent Lattice Modulation</w:t>
      </w:r>
    </w:p>
    <w:p>
      <w:pPr>
        <w:spacing w:before="0" w:after="120"/>
      </w:pPr>
      <w:r>
        <w:rPr>
          <w:b/>
        </w:rPr>
        <w:t xml:space="preserve">Source: </w:t>
      </w:r>
      <w:r>
        <w:t>Wiley: Angewandte Chemie International Edition: Table of Contents</w:t>
      </w:r>
      <w:r>
        <w:t xml:space="preserve">    </w:t>
      </w:r>
      <w:r>
        <w:rPr>
          <w:b/>
        </w:rPr>
        <w:t xml:space="preserve">Pub date: </w:t>
      </w:r>
      <w:r>
        <w:t>2026-05-26 16:24:41+00:00</w:t>
      </w:r>
      <w:r>
        <w:t xml:space="preserve">    </w:t>
      </w:r>
      <w:r>
        <w:rPr>
          <w:b/>
        </w:rPr>
        <w:t xml:space="preserve">DOI: </w:t>
      </w:r>
      <w:hyperlink r:id="rId70">
        <w:r>
          <w:rPr>
            <w:color w:val="1155CC"/>
            <w:u w:val="single"/>
          </w:rPr>
          <w:t>10.1002/anie.7090074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NASICON型Na</w:t>
      </w:r>
      <w:r>
        <w:rPr>
          <w:vertAlign w:val="subscript"/>
        </w:rPr>
        <w:t>3</w:t>
      </w:r>
      <w:r>
        <w:t>锰钛(PO</w:t>
      </w:r>
      <w:r>
        <w:rPr>
          <w:vertAlign w:val="subscript"/>
        </w:rPr>
        <w:t>4</w:t>
      </w:r>
      <w:r>
        <w:t>）</w:t>
      </w:r>
      <w:r>
        <w:rPr>
          <w:vertAlign w:val="subscript"/>
        </w:rPr>
        <w:t>3</w:t>
      </w:r>
      <w:r>
        <w:t>是一种很有前途的钠离子电池（SIB）阴极，但其能量密度仍然受到高电位锰氧化还原对的不完全激活的限制。这项研究表明，铬的策略性掺入有效地调节了 Mn-O 共价键，从而降低了反键 Mn 的能量（3</w:t>
      </w:r>
      <w:r>
        <w:t xml:space="preserve"> </w:t>
      </w:r>
      <w:r>
        <w:t>d</w:t>
      </w:r>
      <w:r>
        <w:t xml:space="preserve"> </w:t>
      </w:r>
      <w:r>
        <w:t>‐</w:t>
      </w:r>
      <w:r>
        <w:t xml:space="preserve"> </w:t>
      </w:r>
      <w:r>
        <w:t>e</w:t>
      </w:r>
      <w:r>
        <w:t xml:space="preserve"> </w:t>
      </w:r>
      <w:r>
        <w:t>克</w:t>
      </w:r>
      <w:r>
        <w:t xml:space="preserve"> </w:t>
      </w:r>
      <w:r>
        <w:t>*) 轨道，从而提高 Mn 的氧化还原电位</w:t>
      </w:r>
      <w:r>
        <w:t xml:space="preserve"> </w:t>
      </w:r>
      <w:r>
        <w:t>3+/2+</w:t>
      </w:r>
      <w:r>
        <w:t xml:space="preserve"> </w:t>
      </w:r>
      <w:r>
        <w:t>和锰</w:t>
      </w:r>
      <w:r>
        <w:t xml:space="preserve"> </w:t>
      </w:r>
      <w:r>
        <w:t>4+/3+</w:t>
      </w:r>
      <w:r>
        <w:t xml:space="preserve"> </w:t>
      </w:r>
      <w:r>
        <w:t>情侣。由此产生的Na</w:t>
      </w:r>
      <w:r>
        <w:t xml:space="preserve"> </w:t>
      </w:r>
      <w:r>
        <w:t>3.5</w:t>
      </w:r>
      <w:r>
        <w:t xml:space="preserve"> </w:t>
      </w:r>
      <w:r>
        <w:t>锰钛</w:t>
      </w:r>
      <w:r>
        <w:t xml:space="preserve"> </w:t>
      </w:r>
      <w:r>
        <w:t>0.5</w:t>
      </w:r>
      <w:r>
        <w:t xml:space="preserve"> </w:t>
      </w:r>
      <w:r>
        <w:t>铬</w:t>
      </w:r>
      <w:r>
        <w:t xml:space="preserve"> </w:t>
      </w:r>
      <w:r>
        <w:t>0.5</w:t>
      </w:r>
      <w:r>
        <w:t xml:space="preserve"> </w:t>
      </w:r>
      <w:r>
        <w:t>（采购订单</w:t>
      </w:r>
      <w:r>
        <w:rPr>
          <w:vertAlign w:val="subscript"/>
        </w:rPr>
        <w:t>4</w:t>
      </w:r>
      <w:r>
        <w:t>）</w:t>
      </w:r>
      <w:r>
        <w:rPr>
          <w:vertAlign w:val="subscript"/>
        </w:rPr>
        <w:t>3</w:t>
      </w:r>
      <w:r>
        <w:t>阴极实现了 3.40 V 的高平均放电电压（相对于 Na</w:t>
      </w:r>
      <w:r>
        <w:t xml:space="preserve"> </w:t>
      </w:r>
      <w:r>
        <w:t>+</w:t>
      </w:r>
      <w:r>
        <w:t xml:space="preserve"> </w:t>
      </w:r>
      <w:r>
        <w:t>/Na) 和具有竞争力的能量密度 586 Wh kg</w:t>
      </w:r>
      <w:r>
        <w:t xml:space="preserve"> </w:t>
      </w:r>
      <w:r>
        <w:t>-</w:t>
      </w:r>
      <w:r>
        <w:rPr>
          <w:vertAlign w:val="subscript"/>
        </w:rPr>
        <w:t>1</w:t>
      </w:r>
      <w:r>
        <w:t>，超过了许多最近报道的 NASICON 阴极。机理研究表明，该材料在最小体积膨胀 (2.5%) 内表现出高度可逆的单相固溶体反应，从而实现卓越的循环稳定性（20°C 下 5000 次循环后保持 87.6%），并在宽温度范围内保持稳定的性能。</w:t>
      </w:r>
    </w:p>
    <w:p>
      <w:pPr>
        <w:spacing w:before="0" w:after="200" w:lineRule="auto" w:line="276"/>
      </w:pPr>
      <w:r>
        <w:rPr>
          <w:b/>
        </w:rPr>
        <w:t xml:space="preserve">Abstract (EN): </w:t>
      </w:r>
      <w:r>
        <w:t>NASICON‐type Na</w:t>
      </w:r>
      <w:r>
        <w:rPr>
          <w:vertAlign w:val="subscript"/>
        </w:rPr>
        <w:t>3</w:t>
      </w:r>
      <w:r>
        <w:t>MnTi(PO</w:t>
      </w:r>
      <w:r>
        <w:rPr>
          <w:vertAlign w:val="subscript"/>
        </w:rPr>
        <w:t>4</w:t>
      </w:r>
      <w:r>
        <w:t>)</w:t>
      </w:r>
      <w:r>
        <w:rPr>
          <w:vertAlign w:val="subscript"/>
        </w:rPr>
        <w:t>3</w:t>
      </w:r>
      <w:r>
        <w:t>is a promising cathode for sodium‐ion batteries (SIBs), yet its energy density remains limited by the incomplete activation of high‐potential Mn redox couples. This study shows that the strategic incorporation of chromium effectively modulates Mn–O covalency, thereby lowering the energy of antibonding Mn (3</w:t>
      </w:r>
      <w:r>
        <w:t xml:space="preserve"> </w:t>
      </w:r>
      <w:r>
        <w:t>d</w:t>
      </w:r>
      <w:r>
        <w:t xml:space="preserve"> </w:t>
      </w:r>
      <w:r>
        <w:t>‐</w:t>
      </w:r>
      <w:r>
        <w:t xml:space="preserve"> </w:t>
      </w:r>
      <w:r>
        <w:t>e</w:t>
      </w:r>
      <w:r>
        <w:t xml:space="preserve"> </w:t>
      </w:r>
      <w:r>
        <w:t>g</w:t>
      </w:r>
      <w:r>
        <w:t xml:space="preserve"> </w:t>
      </w:r>
      <w:r>
        <w:t>*) orbital and consequently elevating the redox potentials of the Mn</w:t>
      </w:r>
      <w:r>
        <w:t xml:space="preserve"> </w:t>
      </w:r>
      <w:r>
        <w:t>3+/2+</w:t>
      </w:r>
      <w:r>
        <w:t xml:space="preserve"> </w:t>
      </w:r>
      <w:r>
        <w:t>and Mn</w:t>
      </w:r>
      <w:r>
        <w:t xml:space="preserve"> </w:t>
      </w:r>
      <w:r>
        <w:t>4+/3+</w:t>
      </w:r>
      <w:r>
        <w:t xml:space="preserve"> </w:t>
      </w:r>
      <w:r>
        <w:t>couples. The resulting Na</w:t>
      </w:r>
      <w:r>
        <w:t xml:space="preserve"> </w:t>
      </w:r>
      <w:r>
        <w:t>3.5</w:t>
      </w:r>
      <w:r>
        <w:t xml:space="preserve"> </w:t>
      </w:r>
      <w:r>
        <w:t>MnTi</w:t>
      </w:r>
      <w:r>
        <w:t xml:space="preserve"> </w:t>
      </w:r>
      <w:r>
        <w:t>0.5</w:t>
      </w:r>
      <w:r>
        <w:t xml:space="preserve"> </w:t>
      </w:r>
      <w:r>
        <w:t>Cr</w:t>
      </w:r>
      <w:r>
        <w:t xml:space="preserve"> </w:t>
      </w:r>
      <w:r>
        <w:t>0.5</w:t>
      </w:r>
      <w:r>
        <w:t xml:space="preserve"> </w:t>
      </w:r>
      <w:r>
        <w:t>(PO</w:t>
      </w:r>
      <w:r>
        <w:rPr>
          <w:vertAlign w:val="subscript"/>
        </w:rPr>
        <w:t>4</w:t>
      </w:r>
      <w:r>
        <w:t>)</w:t>
      </w:r>
      <w:r>
        <w:rPr>
          <w:vertAlign w:val="subscript"/>
        </w:rPr>
        <w:t>3</w:t>
      </w:r>
      <w:r>
        <w:t>cathode achieves a high average discharge voltage of 3.40 V (vs. Na</w:t>
      </w:r>
      <w:r>
        <w:t xml:space="preserve"> </w:t>
      </w:r>
      <w:r>
        <w:t>+</w:t>
      </w:r>
      <w:r>
        <w:t xml:space="preserve"> </w:t>
      </w:r>
      <w:r>
        <w:t>/Na) and a competitive energy density of 586 Wh kg</w:t>
      </w:r>
      <w:r>
        <w:t xml:space="preserve"> </w:t>
      </w:r>
      <w:r>
        <w:t>−</w:t>
      </w:r>
      <w:r>
        <w:rPr>
          <w:vertAlign w:val="subscript"/>
        </w:rPr>
        <w:t>1</w:t>
      </w:r>
      <w:r>
        <w:t>, which surpasses many recently reported NASICON cathodes. Mechanistic studies reveal this material exhibits a highly reversible single‐phase solid‐solution reaction within minimal volume expansion (2.5%), enabling exceptional cycling stability (87.6% retention over 5000 cycles at 20 C) and robust performance across a wide temperature range (−30 to 40 °C). The high level of cyclability exhibited by the Na</w:t>
      </w:r>
      <w:r>
        <w:t xml:space="preserve"> </w:t>
      </w:r>
      <w:r>
        <w:t>3.5</w:t>
      </w:r>
      <w:r>
        <w:t xml:space="preserve"> </w:t>
      </w:r>
      <w:r>
        <w:t>MnTi</w:t>
      </w:r>
      <w:r>
        <w:t xml:space="preserve"> </w:t>
      </w:r>
      <w:r>
        <w:t>0.5</w:t>
      </w:r>
      <w:r>
        <w:t xml:space="preserve"> </w:t>
      </w:r>
      <w:r>
        <w:t>Cr</w:t>
      </w:r>
      <w:r>
        <w:t xml:space="preserve"> </w:t>
      </w:r>
      <w:r>
        <w:t>0.5</w:t>
      </w:r>
      <w:r>
        <w:t xml:space="preserve"> </w:t>
      </w:r>
      <w:r>
        <w:t>(PO</w:t>
      </w:r>
      <w:r>
        <w:rPr>
          <w:vertAlign w:val="subscript"/>
        </w:rPr>
        <w:t>4</w:t>
      </w:r>
      <w:r>
        <w:t>)</w:t>
      </w:r>
      <w:r>
        <w:rPr>
          <w:vertAlign w:val="subscript"/>
        </w:rPr>
        <w:t>3</w:t>
      </w:r>
      <w:r>
        <w:t>//hard carbon full‑cell (88.6% capacity retention after 1000 cycles at 2 C) further validates its practical viability. This work underscores the effectiveness of covalent modulation in tuning electronic structures, offering a generalizable strategy for designing high‐voltage polyanionic frameworks for next‐generation energy storage.</w:t>
      </w:r>
    </w:p>
    <w:p>
      <w:pPr>
        <w:spacing w:before="120" w:after="120"/>
      </w:pPr>
      <w:r>
        <w:rPr>
          <w:sz w:val="18"/>
        </w:rPr>
        <w:t>——————————————————————————————————————————————————————————————————————</w:t>
      </w:r>
    </w:p>
    <w:p>
      <w:pPr>
        <w:spacing w:before="160" w:after="40" w:line="240" w:lineRule="auto"/>
      </w:pPr>
      <w:r>
        <w:rPr>
          <w:b/>
        </w:rPr>
        <w:t xml:space="preserve">[6] </w:t>
      </w:r>
      <w:hyperlink r:id="rId71">
        <w:r>
          <w:rPr>
            <w:color w:val="1155CC"/>
            <w:u w:val="single"/>
          </w:rPr>
          <w:t>受蜘蛛丝启发的 3D 打印可持续锌离子电池，具有超高稳定性</w:t>
        </w:r>
      </w:hyperlink>
    </w:p>
    <w:p>
      <w:pPr>
        <w:spacing w:before="0" w:after="80"/>
      </w:pPr>
      <w:r>
        <w:rPr>
          <w:i/>
          <w:sz w:val="20"/>
        </w:rPr>
        <w:t>EN: Spider Dragline Silk-Inspired 3D Printed Sustainable Zinc Ion Battery with Ultrahigh Stability</w:t>
      </w:r>
    </w:p>
    <w:p>
      <w:pPr>
        <w:spacing w:before="0" w:after="120"/>
      </w:pPr>
      <w:r>
        <w:rPr>
          <w:b/>
        </w:rPr>
        <w:t xml:space="preserve">Source: </w:t>
      </w:r>
      <w:r>
        <w:t>RSC - Energy Environ. Sci. latest articles</w:t>
      </w:r>
      <w:r>
        <w:t xml:space="preserve">    </w:t>
      </w:r>
      <w:r>
        <w:rPr>
          <w:b/>
        </w:rPr>
        <w:t xml:space="preserve">Pub date: </w:t>
      </w:r>
      <w:r>
        <w:t>2026-05-26 23:00:00+00:00</w:t>
      </w:r>
    </w:p>
    <w:p>
      <w:pPr>
        <w:spacing w:before="0" w:after="120"/>
      </w:pPr>
      <w:r>
        <w:rPr>
          <w:b/>
        </w:rPr>
        <w:t xml:space="preserve">Notes: </w:t>
      </w:r>
      <w:r>
        <w:t>abstract_source=rsc_html</w:t>
      </w:r>
    </w:p>
    <w:p>
      <w:pPr>
        <w:spacing w:before="0" w:after="80" w:lineRule="auto" w:line="276"/>
      </w:pPr>
      <w:r>
        <w:rPr>
          <w:b/>
        </w:rPr>
        <w:t xml:space="preserve">摘要（ZH）: </w:t>
      </w:r>
      <w:r>
        <w:t>水系锌离子电池因其成本低廉、本质安全、环境友好等优点在大规模储能领域受到广泛关注。然而，锌金属阳极在循环触发电极结构失效和寿命衰减过程中遇到的不可控枝晶生长和析氢反应的问题严重阻碍了其商业化进程。在此，我们采用绿色工艺从废藻中提取回收海藻酸盐（rSA），并通过一步交联获得具有高离子电导率的水凝胶载体（rSP）。受蜘蛛丝仿生结构的启发，将rSP与MXene导电网络结合，通过多波段UV 3D打印技术直接制造双网络锌阳极（rSP/MXene/ZP）。综合实验和理论分析表明，rSP的交联确保了多氧配位网络的形成，以创建快速离子传导路径，同时建立多个氢键以构成动态交联网络。因此，对称电池可实现超过 3,000 小时的卓越循环稳定性。 rSP/MXene/ZP 阳极与有机阴极材料 (G-PAQS) 兼容，组装的锌有机电池在 10,560 次循环中表现出增强的电化学性能和卓越的稳定性。</w:t>
      </w:r>
    </w:p>
    <w:p>
      <w:pPr>
        <w:spacing w:before="0" w:after="200" w:lineRule="auto" w:line="276"/>
      </w:pPr>
      <w:r>
        <w:rPr>
          <w:b/>
        </w:rPr>
        <w:t xml:space="preserve">Abstract (EN): </w:t>
      </w:r>
      <w:r>
        <w:t>Aqueous zinc-ion batteries have garnered considerable attention in the field of large-scale energy storage due to their low cost, inherent safety, and environmental friendliness. Nevertheless, the issues of uncontrollable dendrite growth and hydrogen evolution reaction encountered by Zn metal anodes during cycling trigger electrode structural failure and lifespan decay, severely impeding their commercialization process. Here, we utilize a green process to extract recovered alginate (rSA) from the waste algae and obtain a hydrogel carrier (rSP) with high ionic conductivity through one-step crosslinking.Inspired by the bionic structure of spider silk, rSP was combined with an MXene conductive network to directly fabricate a dual-network Zn anode (rSP/MXene/ZP) via multi-band UV 3D printing technology. Integrated experimental and theoretical analyses reveal that the cross-linking of rSP ensures the formation of a polyoxygen coordination network to create fast ionconducting pathways, while simultaneously establishing multiple hydrogen bonds to constitute a dynamic cross-linking network. Consequently, symmetrical cells achieve the exceptional cyclic stability over 3,000 h. The rSP/MXene/ZP anode is compatible with organic cathode materials (G-PAQS), and the assembled Zn-organic cell exhibits enhanced electrochemical performance and superior stability over 10,560 cycles.</w:t>
      </w:r>
    </w:p>
    <w:p>
      <w:pPr>
        <w:spacing w:before="120" w:after="120"/>
      </w:pPr>
      <w:r>
        <w:rPr>
          <w:sz w:val="18"/>
        </w:rPr>
        <w:t>——————————————————————————————————————————————————————————————————————</w:t>
      </w:r>
    </w:p>
    <w:p>
      <w:pPr>
        <w:spacing w:before="160" w:after="40" w:line="240" w:lineRule="auto"/>
      </w:pPr>
      <w:r>
        <w:rPr>
          <w:b/>
        </w:rPr>
        <w:t xml:space="preserve">[7] </w:t>
      </w:r>
      <w:hyperlink r:id="rId93">
        <w:r>
          <w:rPr>
            <w:color w:val="1155CC"/>
            <w:u w:val="single"/>
          </w:rPr>
          <w:t>通过锂金属固态电池中的横向锂通量抑制枝晶</w:t>
        </w:r>
      </w:hyperlink>
    </w:p>
    <w:p>
      <w:pPr>
        <w:spacing w:before="0" w:after="80"/>
      </w:pPr>
      <w:r>
        <w:rPr>
          <w:i/>
          <w:sz w:val="20"/>
        </w:rPr>
        <w:t>EN: Suppressing Dendrites via Lateral Lithium Flux in Li Metal Solid-State Batteries</w:t>
      </w:r>
    </w:p>
    <w:p>
      <w:pPr>
        <w:spacing w:before="0" w:after="120"/>
      </w:pPr>
      <w:r>
        <w:rPr>
          <w:b/>
        </w:rPr>
        <w:t xml:space="preserve">Source: </w:t>
      </w:r>
      <w:r>
        <w:t>RSC - Energy Environ. Sci. latest articles</w:t>
      </w:r>
      <w:r>
        <w:t xml:space="preserve">    </w:t>
      </w:r>
      <w:r>
        <w:rPr>
          <w:b/>
        </w:rPr>
        <w:t xml:space="preserve">Pub date: </w:t>
      </w:r>
      <w:r>
        <w:t>2026-05-26 23:00:00+00:00</w:t>
      </w:r>
    </w:p>
    <w:p>
      <w:pPr>
        <w:spacing w:before="0" w:after="120"/>
      </w:pPr>
      <w:r>
        <w:rPr>
          <w:b/>
        </w:rPr>
        <w:t xml:space="preserve">Notes: </w:t>
      </w:r>
      <w:r>
        <w:t>abstract_source=rsc_html</w:t>
      </w:r>
    </w:p>
    <w:p>
      <w:pPr>
        <w:spacing w:before="0" w:after="80" w:lineRule="auto" w:line="276"/>
      </w:pPr>
      <w:r>
        <w:rPr>
          <w:b/>
        </w:rPr>
        <w:t xml:space="preserve">摘要（ZH）: </w:t>
      </w:r>
      <w:r>
        <w:t>锂枝晶生长由空隙形成驱动的固态电解质（SSE）界面仍然是锂金属固态电池部署的主要障碍。在这里，我们揭示了横向锂通量的机制，解释了界面层（IL）如何沿着Li | SSE 界面能够抑制空洞形成，从而防止枝晶生长。使用Li3Sb作为模型IL和Li7La3Zr2O12作为基准SSE，我们直接可视化和量化横向锂传输，证明IL通过散焦局部电流密度来减轻空洞形成。这种机制解释了 IL 功能化 Li 的循环稳定性。 SSE 连接并提供安全、高能量密度锂金属固态电池的设计原理。</w:t>
      </w:r>
    </w:p>
    <w:p>
      <w:pPr>
        <w:spacing w:before="0" w:after="200" w:lineRule="auto" w:line="276"/>
      </w:pPr>
      <w:r>
        <w:rPr>
          <w:b/>
        </w:rPr>
        <w:t xml:space="preserve">Abstract (EN): </w:t>
      </w:r>
      <w:r>
        <w:t>Lithium dendrite growth at the lithium | solid-state electrolyte (SSE) interface, driven by void formation, remains a major barrier to the deployment of Li metal solid-state batteries. Here, we reveal a mechanism of lateral lithium flux that explains how interfacial layers (ILs) along the Li | SSE interface enable suppressing void formation and thereby prevent dendrite growth. Using Li3Sb as a model IL and Li7La3Zr2O12 as a benchmark SSE, we directly visualize and quantify lateral lithium transport, demonstrating that ILs mitigate void formation by defocusing the local current density. This mechanism accounts for the cycling stability of IL-functionalized Li | SSE interfaces and provides design principles for safe, high-energy-density Li metal solid-state batteries.</w:t>
      </w:r>
    </w:p>
    <w:p>
      <w:pPr>
        <w:spacing w:before="120" w:after="120"/>
      </w:pPr>
      <w:r>
        <w:rPr>
          <w:sz w:val="18"/>
        </w:rPr>
        <w:t>——————————————————————————————————————————————————————————————————————</w:t>
      </w:r>
    </w:p>
    <w:p>
      <w:pPr>
        <w:spacing w:before="160" w:after="40" w:line="240" w:lineRule="auto"/>
      </w:pPr>
      <w:r>
        <w:rPr>
          <w:b/>
        </w:rPr>
        <w:t xml:space="preserve">[8] </w:t>
      </w:r>
      <w:hyperlink r:id="rId72">
        <w:r>
          <w:rPr>
            <w:color w:val="1155CC"/>
            <w:u w:val="single"/>
          </w:rPr>
          <w:t>次氯酸盐氧化还原化学使高电压和高功率盐水电池成为可能</w:t>
        </w:r>
      </w:hyperlink>
    </w:p>
    <w:p>
      <w:pPr>
        <w:spacing w:before="0" w:after="80"/>
      </w:pPr>
      <w:r>
        <w:rPr>
          <w:i/>
          <w:sz w:val="20"/>
        </w:rPr>
        <w:t>EN: Hypochlorite Redox Chemistry Enables High‐Voltage and High‐Power Saltwater Batteries</w:t>
      </w:r>
    </w:p>
    <w:p>
      <w:pPr>
        <w:spacing w:before="0" w:after="120"/>
      </w:pPr>
      <w:r>
        <w:rPr>
          <w:b/>
        </w:rPr>
        <w:t xml:space="preserve">Source: </w:t>
      </w:r>
      <w:r>
        <w:t>Wiley: Advanced Energy Materials: Table of Contents</w:t>
      </w:r>
      <w:r>
        <w:t xml:space="preserve">    </w:t>
      </w:r>
      <w:r>
        <w:rPr>
          <w:b/>
        </w:rPr>
        <w:t xml:space="preserve">Pub date: </w:t>
      </w:r>
      <w:r>
        <w:t>2026-05-27 05:23:21+00:00</w:t>
      </w:r>
      <w:r>
        <w:t xml:space="preserve">    </w:t>
      </w:r>
      <w:r>
        <w:rPr>
          <w:b/>
        </w:rPr>
        <w:t xml:space="preserve">DOI: </w:t>
      </w:r>
      <w:hyperlink r:id="rId73">
        <w:r>
          <w:rPr>
            <w:color w:val="1155CC"/>
            <w:u w:val="single"/>
          </w:rPr>
          <w:t>10.1002/aenm.71116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盐水电池（SWB）是用于大规模固定储能的锂离子电池的有前途的替代品。然而，传统的基于氧氧化还原的盐水电池系统的性能通常受到阴极缓慢的析氧和还原反应（OER/ORR）的限制，导致电压效率低和功率密度有限。在这里，通过将次氯酸钠引入盐水中，OER和ORR被基于次氯酸盐的氧化还原反应所取代。</w:t>
      </w:r>
      <w:r>
        <w:t xml:space="preserve"> </w:t>
      </w:r>
      <w:r>
        <w:t>操作</w:t>
      </w:r>
      <w:r>
        <w:t xml:space="preserve"> </w:t>
      </w:r>
      <w:r>
        <w:t>pH 和溶解氧测量证实 OER 和 ORR 最小化，并且次氯酸盐氧化还原反应主导阴极行为。由于更高的工作电位和更快的反应动力学，基于次氯酸盐-氧化还原的SWB可提供3.3 V的更高放电电压，并将充放电电压极化降低至0.66 V。通过将盐水pH值调整至接近中性条件，将放电电压提高至3.5 V并将峰值功率增加一倍以上，可以实现进一步的改进。次氯酸盐氧化还原环境还表现出与关键电池组件（包括固体电解质和阴极集电器）的化学稳定性。串联电池和采用硬碳阳极的电池的运行表现出可扩展性以及与替代阳极材料的兼容性。这些结果为针对大规模固定储能应用的下一代SWB提供了坚实的基础。</w:t>
      </w:r>
    </w:p>
    <w:p>
      <w:pPr>
        <w:spacing w:before="0" w:after="200" w:lineRule="auto" w:line="276"/>
      </w:pPr>
      <w:r>
        <w:rPr>
          <w:b/>
        </w:rPr>
        <w:t xml:space="preserve">Abstract (EN): </w:t>
      </w:r>
      <w:r>
        <w:t>Saltwater batteries (SWBs) are promising alternatives to lithium‐ion batteries for large‐scale stationary energy storage. However, the performance of conventional oxygen redox‐based saltwater battery systems is often constrained by sluggish oxygen evolution and reduction reactions (OER/ORR) at the cathode, leading to low voltage efficiency and limited power density. Here, OER and ORR are replaced by hypochlorite‐based redox reactions through the introduction of sodium hypochlorite into saltwater.</w:t>
      </w:r>
      <w:r>
        <w:t xml:space="preserve"> </w:t>
      </w:r>
      <w:r>
        <w:t>Operando</w:t>
      </w:r>
      <w:r>
        <w:t xml:space="preserve"> </w:t>
      </w:r>
      <w:r>
        <w:t>pH and dissolved oxygen measurements confirm that OER and ORR are minimized and that hypochlorite redox reactions dominate the cathode behavior. Owing to the higher operating potential and faster reaction kinetics, the hypochlorite‐redox‐based SWBs delivers a higher discharge voltage of 3.3 V and reduced charge‐discharge voltage polarization to 0.66 V. Further improvement is achieved by adjusting the saltwater pH to near‐neutral conditions, increasing the discharge voltage to 3.5 V and more than doubling the peak power. The hypochlorite redox environment also exhibits chemical stability with key cell components, including the solid electrolyte and cathode current collectors. Operation of series‐connected cells and cells employing hard carbon anodes demonstrates scalability and compatibility with alternative anode materials. These results provide a strong foundation for next‐generation SWBs targeting large‐scale stationary energy storage applications.</w:t>
      </w:r>
    </w:p>
    <w:p>
      <w:pPr>
        <w:spacing w:before="120" w:after="120"/>
      </w:pPr>
      <w:r>
        <w:rPr>
          <w:sz w:val="18"/>
        </w:rPr>
        <w:t>——————————————————————————————————————————————————————————————————————</w:t>
      </w:r>
    </w:p>
    <w:p>
      <w:pPr>
        <w:spacing w:before="160" w:after="40" w:line="240" w:lineRule="auto"/>
      </w:pPr>
      <w:r>
        <w:rPr>
          <w:b/>
        </w:rPr>
        <w:t xml:space="preserve">[9] </w:t>
      </w:r>
      <w:hyperlink r:id="rId94">
        <w:r>
          <w:rPr>
            <w:color w:val="1155CC"/>
            <w:u w:val="single"/>
          </w:rPr>
          <w:t>揭开隐藏界面：Pre-SEI 控制无阳极锂金属​​电池中的锂形态（Adv. Mater. 30/2026）</w:t>
        </w:r>
      </w:hyperlink>
    </w:p>
    <w:p>
      <w:pPr>
        <w:spacing w:before="0" w:after="80"/>
      </w:pPr>
      <w:r>
        <w:rPr>
          <w:i/>
          <w:sz w:val="20"/>
        </w:rPr>
        <w:t>EN: Unveiling the Hidden Interface: Pre‐SEI Governs Li Morphology in Anode‐Free Li Metal Batteries (Adv. Mater. 30/2026)</w:t>
      </w:r>
    </w:p>
    <w:p>
      <w:pPr>
        <w:spacing w:before="0" w:after="120"/>
      </w:pPr>
      <w:r>
        <w:rPr>
          <w:b/>
        </w:rPr>
        <w:t xml:space="preserve">Source: </w:t>
      </w:r>
      <w:r>
        <w:t>Wiley: Advanced Materials: Table of Contents</w:t>
      </w:r>
      <w:r>
        <w:t xml:space="preserve">    </w:t>
      </w:r>
      <w:r>
        <w:rPr>
          <w:b/>
        </w:rPr>
        <w:t xml:space="preserve">Pub date: </w:t>
      </w:r>
      <w:r>
        <w:t>2026-05-27 05:48:48+00:00</w:t>
      </w:r>
      <w:r>
        <w:t xml:space="preserve">    </w:t>
      </w:r>
      <w:r>
        <w:rPr>
          <w:b/>
        </w:rPr>
        <w:t xml:space="preserve">DOI: </w:t>
      </w:r>
      <w:hyperlink r:id="rId95">
        <w:r>
          <w:rPr>
            <w:color w:val="1155CC"/>
            <w:u w:val="single"/>
          </w:rPr>
          <w:t>10.1002/adma.73327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76">
        <w:r>
          <w:rPr>
            <w:color w:val="1155CC"/>
            <w:u w:val="single"/>
          </w:rPr>
          <w:t>氧空位梯度的轻松形成使得氧化钒薄膜电池能够原位均匀预锂化</w:t>
        </w:r>
      </w:hyperlink>
    </w:p>
    <w:p>
      <w:pPr>
        <w:spacing w:before="0" w:after="80"/>
      </w:pPr>
      <w:r>
        <w:rPr>
          <w:i/>
          <w:sz w:val="20"/>
        </w:rPr>
        <w:t>EN: Facile Formation of Oxygen‐Vacancy Gradient Enables In Situ Uniform Prelithiation in Vanadium Oxide Thin‐Film Batteries</w:t>
      </w:r>
    </w:p>
    <w:p>
      <w:pPr>
        <w:spacing w:before="0" w:after="120"/>
      </w:pPr>
      <w:r>
        <w:rPr>
          <w:b/>
        </w:rPr>
        <w:t xml:space="preserve">Source: </w:t>
      </w:r>
      <w:r>
        <w:t>Wiley: Angewandte Chemie International Edition: Table of Contents</w:t>
      </w:r>
      <w:r>
        <w:t xml:space="preserve">    </w:t>
      </w:r>
      <w:r>
        <w:rPr>
          <w:b/>
        </w:rPr>
        <w:t xml:space="preserve">Pub date: </w:t>
      </w:r>
      <w:r>
        <w:t>2026-05-27 07:17:01+00:00</w:t>
      </w:r>
      <w:r>
        <w:t xml:space="preserve">    </w:t>
      </w:r>
      <w:r>
        <w:rPr>
          <w:b/>
        </w:rPr>
        <w:t xml:space="preserve">DOI: </w:t>
      </w:r>
      <w:hyperlink r:id="rId77">
        <w:r>
          <w:rPr>
            <w:color w:val="1155CC"/>
            <w:u w:val="single"/>
          </w:rPr>
          <w:t>10.1002/anie.8496886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氧化钒（VO</w:t>
      </w:r>
      <w:r>
        <w:t xml:space="preserve"> </w:t>
      </w:r>
      <w:r>
        <w:t>x</w:t>
      </w:r>
      <w:r>
        <w:t xml:space="preserve"> </w:t>
      </w:r>
      <w:r>
        <w:t>）由于其高理论容量和与微电子制造的兼容性，是一种有前途的薄膜全固态锂离子电池（TF-ASSLIB）正极材料。然而，其不含锂的性质导致初始库仑效率低和循环稳定性差，因此需要有效的预锂化策略。传统方法受到缓慢的锂扩散动力学的限制，导致锂分布不均匀、表面积累和体渗透不足。在这里，我们设计了一个氧空位（O</w:t>
      </w:r>
      <w:r>
        <w:t xml:space="preserve"> </w:t>
      </w:r>
      <w:r>
        <w:t>V</w:t>
      </w:r>
      <w:r>
        <w:t xml:space="preserve"> </w:t>
      </w:r>
      <w:r>
        <w:t>) VO 中的梯度</w:t>
      </w:r>
      <w:r>
        <w:t xml:space="preserve"> </w:t>
      </w:r>
      <w:r>
        <w:t>x</w:t>
      </w:r>
      <w:r>
        <w:t xml:space="preserve"> </w:t>
      </w:r>
      <w:r>
        <w:t>, 与 O</w:t>
      </w:r>
      <w:r>
        <w:t xml:space="preserve"> </w:t>
      </w:r>
      <w:r>
        <w:t>V</w:t>
      </w:r>
      <w:r>
        <w:t xml:space="preserve"> </w:t>
      </w:r>
      <w:r>
        <w:t>浓度从表面到内部增加，通过两种协同效应使锂分布均匀：(i) O</w:t>
      </w:r>
      <w:r>
        <w:t xml:space="preserve"> </w:t>
      </w:r>
      <w:r>
        <w:t>V</w:t>
      </w:r>
      <w:r>
        <w:t xml:space="preserve"> </w:t>
      </w:r>
      <w:r>
        <w:t>创造额外的李</w:t>
      </w:r>
      <w:r>
        <w:t xml:space="preserve"> </w:t>
      </w:r>
      <w:r>
        <w:t>+</w:t>
      </w:r>
      <w:r>
        <w:t xml:space="preserve"> </w:t>
      </w:r>
      <w:r>
        <w:t>扩散途径，加速预锂化动力学； (二)O</w:t>
      </w:r>
      <w:r>
        <w:t xml:space="preserve"> </w:t>
      </w:r>
      <w:r>
        <w:t>V</w:t>
      </w:r>
      <w:r>
        <w:t xml:space="preserve"> </w:t>
      </w:r>
      <w:r>
        <w:t>梯度逐渐降低扩散势垒，从而实现深锂</w:t>
      </w:r>
      <w:r>
        <w:t xml:space="preserve"> </w:t>
      </w:r>
      <w:r>
        <w:t>+</w:t>
      </w:r>
      <w:r>
        <w:t xml:space="preserve"> </w:t>
      </w:r>
      <w:r>
        <w:t>渗透力和分布均匀。值得注意的是，这个O</w:t>
      </w:r>
      <w:r>
        <w:t xml:space="preserve"> </w:t>
      </w:r>
      <w:r>
        <w:t>V</w:t>
      </w:r>
      <w:r>
        <w:t xml:space="preserve"> </w:t>
      </w:r>
      <w:r>
        <w:t>VO 期间自发形成梯度</w:t>
      </w:r>
      <w:r>
        <w:t xml:space="preserve"> </w:t>
      </w:r>
      <w:r>
        <w:t>x</w:t>
      </w:r>
      <w:r>
        <w:t xml:space="preserve"> </w:t>
      </w:r>
      <w:r>
        <w:t>通过 Pt 的适度氧吸附在 Pt 集电器上沉积，产生更高的 O2</w:t>
      </w:r>
      <w:r>
        <w:t xml:space="preserve"> </w:t>
      </w:r>
      <w:r>
        <w:t>V</w:t>
      </w:r>
      <w:r>
        <w:t xml:space="preserve"> </w:t>
      </w:r>
      <w:r>
        <w:t>浓缩物</w:t>
      </w:r>
    </w:p>
    <w:p>
      <w:pPr>
        <w:spacing w:before="0" w:after="200" w:lineRule="auto" w:line="276"/>
      </w:pPr>
      <w:r>
        <w:rPr>
          <w:b/>
        </w:rPr>
        <w:t xml:space="preserve">Abstract (EN): </w:t>
      </w:r>
      <w:r>
        <w:t>Vanadium oxide (VO</w:t>
      </w:r>
      <w:r>
        <w:t xml:space="preserve"> </w:t>
      </w:r>
      <w:r>
        <w:t>x</w:t>
      </w:r>
      <w:r>
        <w:t xml:space="preserve"> </w:t>
      </w:r>
      <w:r>
        <w:t>) is a promising cathode material for thin‐film all‐solid‐state lithium‐ion batteries (TF‐ASSLIBs) owing to its high theoretical capacity and compatibility with microelectronic fabrication. However, its lithium‐free nature results in low initial Coulombic efficiency and poor cycling stability, necessitating an effective prelithiation strategy. Conventional methods are limited by sluggish lithium diffusion kinetics, causing inhomogeneous lithium distribution with surface accumulation and insufficient bulk penetration. Herein, we engineer an oxygen vacancy (O</w:t>
      </w:r>
      <w:r>
        <w:t xml:space="preserve"> </w:t>
      </w:r>
      <w:r>
        <w:t>V</w:t>
      </w:r>
      <w:r>
        <w:t xml:space="preserve"> </w:t>
      </w:r>
      <w:r>
        <w:t>) gradient in VO</w:t>
      </w:r>
      <w:r>
        <w:t xml:space="preserve"> </w:t>
      </w:r>
      <w:r>
        <w:t>x</w:t>
      </w:r>
      <w:r>
        <w:t xml:space="preserve"> </w:t>
      </w:r>
      <w:r>
        <w:t>, with O</w:t>
      </w:r>
      <w:r>
        <w:t xml:space="preserve"> </w:t>
      </w:r>
      <w:r>
        <w:t>V</w:t>
      </w:r>
      <w:r>
        <w:t xml:space="preserve"> </w:t>
      </w:r>
      <w:r>
        <w:t>concentration increasing from surface to interior, to homogenize lithium distribution through two synergistic effects: (i) O</w:t>
      </w:r>
      <w:r>
        <w:t xml:space="preserve"> </w:t>
      </w:r>
      <w:r>
        <w:t>V</w:t>
      </w:r>
      <w:r>
        <w:t xml:space="preserve"> </w:t>
      </w:r>
      <w:r>
        <w:t>creates additional Li</w:t>
      </w:r>
      <w:r>
        <w:t xml:space="preserve"> </w:t>
      </w:r>
      <w:r>
        <w:t>+</w:t>
      </w:r>
      <w:r>
        <w:t xml:space="preserve"> </w:t>
      </w:r>
      <w:r>
        <w:t>diffusion pathways, accelerating prelithiation kinetics; (ii) O</w:t>
      </w:r>
      <w:r>
        <w:t xml:space="preserve"> </w:t>
      </w:r>
      <w:r>
        <w:t>V</w:t>
      </w:r>
      <w:r>
        <w:t xml:space="preserve"> </w:t>
      </w:r>
      <w:r>
        <w:t>gradient progressively lowers diffusion barriers, enabling deep Li</w:t>
      </w:r>
      <w:r>
        <w:t xml:space="preserve"> </w:t>
      </w:r>
      <w:r>
        <w:t>+</w:t>
      </w:r>
      <w:r>
        <w:t xml:space="preserve"> </w:t>
      </w:r>
      <w:r>
        <w:t>penetration and uniform distribution. Notably, this O</w:t>
      </w:r>
      <w:r>
        <w:t xml:space="preserve"> </w:t>
      </w:r>
      <w:r>
        <w:t>V</w:t>
      </w:r>
      <w:r>
        <w:t xml:space="preserve"> </w:t>
      </w:r>
      <w:r>
        <w:t>gradient forms spontaneously during VO</w:t>
      </w:r>
      <w:r>
        <w:t xml:space="preserve"> </w:t>
      </w:r>
      <w:r>
        <w:t>x</w:t>
      </w:r>
      <w:r>
        <w:t xml:space="preserve"> </w:t>
      </w:r>
      <w:r>
        <w:t>deposition on Pt current collectors via moderate oxygen adsorption of Pt, which generates a higher O</w:t>
      </w:r>
      <w:r>
        <w:t xml:space="preserve"> </w:t>
      </w:r>
      <w:r>
        <w:t>V</w:t>
      </w:r>
      <w:r>
        <w:t xml:space="preserve"> </w:t>
      </w:r>
      <w:r>
        <w:t>concentration near the Pt interface, thereby facilitating uniform and efficient prelithiation during subsequent in situ electrolyte deposition. TF‐ASSLIBs comprising an O</w:t>
      </w:r>
      <w:r>
        <w:t xml:space="preserve"> </w:t>
      </w:r>
      <w:r>
        <w:t>V</w:t>
      </w:r>
      <w:r>
        <w:t xml:space="preserve"> </w:t>
      </w:r>
      <w:r>
        <w:t>‐gradient VO</w:t>
      </w:r>
      <w:r>
        <w:t xml:space="preserve"> </w:t>
      </w:r>
      <w:r>
        <w:t>x</w:t>
      </w:r>
      <w:r>
        <w:t xml:space="preserve"> </w:t>
      </w:r>
      <w:r>
        <w:t>cathode|LiPON electrolyte|NiO anode exhibit substantially enhanced electrochemical performance over control devices, delivering higher initial Coulombic efficiency (76.5% vs. 43.5%), superior areal capacity (37.5 vs. 6.5 µAh cm</w:t>
      </w:r>
      <w:r>
        <w:t xml:space="preserve"> </w:t>
      </w:r>
      <w:r>
        <w:t>−2</w:t>
      </w:r>
      <w:r>
        <w:t xml:space="preserve"> </w:t>
      </w:r>
      <w:r>
        <w:t>), and better cycling stability (91.5% vs. 73.4% capacity retention@2000 cycles). This work provides a facile and scalable strategy for developing high‐performance cathodes and TF‐ASSLIBs.</w:t>
      </w:r>
    </w:p>
    <w:p>
      <w:pPr>
        <w:spacing w:before="120" w:after="120"/>
      </w:pPr>
      <w:r>
        <w:rPr>
          <w:sz w:val="18"/>
        </w:rPr>
        <w:t>——————————————————————————————————————————————————————————————————————</w:t>
      </w:r>
    </w:p>
    <w:p>
      <w:pPr>
        <w:spacing w:before="160" w:after="40" w:line="240" w:lineRule="auto"/>
      </w:pPr>
      <w:r>
        <w:rPr>
          <w:b/>
        </w:rPr>
        <w:t xml:space="preserve">[11] </w:t>
      </w:r>
      <w:hyperlink r:id="rId96">
        <w:r>
          <w:rPr>
            <w:color w:val="1155CC"/>
            <w:u w:val="single"/>
          </w:rPr>
          <w:t>定制多壳结构中的异质反相边界以增强高倍率钠离子电池的Na+扩散动力学</w:t>
        </w:r>
      </w:hyperlink>
    </w:p>
    <w:p>
      <w:pPr>
        <w:spacing w:before="0" w:after="80"/>
      </w:pPr>
      <w:r>
        <w:rPr>
          <w:i/>
          <w:sz w:val="20"/>
        </w:rPr>
        <w:t>EN: Tailoring Heterogeneous Antiphase Boundaries in Multi‐Shelled Structure to Boost Na+ Diffusion Kinetics for High‐Rate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2026-05-27 11:35:26+00:00</w:t>
      </w:r>
      <w:r>
        <w:t xml:space="preserve">    </w:t>
      </w:r>
      <w:r>
        <w:rPr>
          <w:b/>
        </w:rPr>
        <w:t xml:space="preserve">DOI: </w:t>
      </w:r>
      <w:hyperlink r:id="rId97">
        <w:r>
          <w:rPr>
            <w:color w:val="1155CC"/>
            <w:u w:val="single"/>
          </w:rPr>
          <w:t>10.1002/anie.4110177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二硫化钼</w:t>
      </w:r>
      <w:r>
        <w:rPr>
          <w:vertAlign w:val="subscript"/>
        </w:rPr>
        <w:t>2</w:t>
      </w:r>
      <w:r>
        <w:t>由于高理论容量和环境友好性，它是一种很有前途的钠离子电池（SIB）阳极。然而，其缓慢的Na</w:t>
      </w:r>
      <w:r>
        <w:t xml:space="preserve"> </w:t>
      </w:r>
      <w:r>
        <w:t>+</w:t>
      </w:r>
      <w:r>
        <w:t xml:space="preserve"> </w:t>
      </w:r>
      <w:r>
        <w:t>扩散动力学严重损害倍率能力和循环稳定性。在本研究中，我们合理设计了MoS</w:t>
      </w:r>
      <w:r>
        <w:rPr>
          <w:vertAlign w:val="subscript"/>
        </w:rPr>
        <w:t>2</w:t>
      </w:r>
      <w:r>
        <w:t>/铁</w:t>
      </w:r>
      <w:r>
        <w:t xml:space="preserve"> </w:t>
      </w:r>
      <w:r>
        <w:t>x</w:t>
      </w:r>
      <w:r>
        <w:t xml:space="preserve"> </w:t>
      </w:r>
      <w:r>
        <w:t>莫</w:t>
      </w:r>
      <w:r>
        <w:rPr>
          <w:vertAlign w:val="subscript"/>
        </w:rPr>
        <w:t>2</w:t>
      </w:r>
      <w:r>
        <w:t>S</w:t>
      </w:r>
      <w:r>
        <w:rPr>
          <w:vertAlign w:val="subscript"/>
        </w:rPr>
        <w:t>4</w:t>
      </w:r>
      <w:r>
        <w:t>空心多壳结构（HoMS）。其中，Mo/Fe摩尔比的精确调节导致首次报道了由于MoS之间（002）晶面的晶格失配而在异质界面处形成独特的交替反相边界（APB）</w:t>
      </w:r>
      <w:r>
        <w:rPr>
          <w:vertAlign w:val="subscript"/>
        </w:rPr>
        <w:t>2</w:t>
      </w:r>
      <w:r>
        <w:t>和铁</w:t>
      </w:r>
      <w:r>
        <w:t xml:space="preserve"> </w:t>
      </w:r>
      <w:r>
        <w:t>x</w:t>
      </w:r>
      <w:r>
        <w:t xml:space="preserve"> </w:t>
      </w:r>
      <w:r>
        <w:t>莫</w:t>
      </w:r>
      <w:r>
        <w:rPr>
          <w:vertAlign w:val="subscript"/>
        </w:rPr>
        <w:t>2</w:t>
      </w:r>
      <w:r>
        <w:t>S</w:t>
      </w:r>
      <w:r>
        <w:rPr>
          <w:vertAlign w:val="subscript"/>
        </w:rPr>
        <w:t>4</w:t>
      </w:r>
      <w:r>
        <w:t>。这些 APB 为 Na 提供了过量的扩散通道</w:t>
      </w:r>
      <w:r>
        <w:t xml:space="preserve"> </w:t>
      </w:r>
      <w:r>
        <w:t>+</w:t>
      </w:r>
      <w:r>
        <w:t xml:space="preserve"> </w:t>
      </w:r>
      <w:r>
        <w:t>在晶格中，伴随HoMS的独特结构，实现3D Na</w:t>
      </w:r>
      <w:r>
        <w:t xml:space="preserve"> </w:t>
      </w:r>
      <w:r>
        <w:t>+</w:t>
      </w:r>
      <w:r>
        <w:t xml:space="preserve"> </w:t>
      </w:r>
      <w:r>
        <w:t>扩散路径。此外，由于内置电场的构建，电子传导性得到提高，从而促进快速可逆电化学反应，实现高倍率性能。同时，带有 APB 的 HoMS 中的空隙空间缓冲了循环过程中的体积变化，从而增强了循环稳定性。特别是，MoS</w:t>
      </w:r>
    </w:p>
    <w:p>
      <w:pPr>
        <w:spacing w:before="0" w:after="200" w:lineRule="auto" w:line="276"/>
      </w:pPr>
      <w:r>
        <w:rPr>
          <w:b/>
        </w:rPr>
        <w:t xml:space="preserve">Abstract (EN): </w:t>
      </w:r>
      <w:r>
        <w:t>MoS</w:t>
      </w:r>
      <w:r>
        <w:rPr>
          <w:vertAlign w:val="subscript"/>
        </w:rPr>
        <w:t>2</w:t>
      </w:r>
      <w:r>
        <w:t>is a promising anode of sodium–ion batteries (SIBs), owing to high theoretical capacity and environmental benignity. However, its sluggish Na</w:t>
      </w:r>
      <w:r>
        <w:t xml:space="preserve"> </w:t>
      </w:r>
      <w:r>
        <w:t>+</w:t>
      </w:r>
      <w:r>
        <w:t xml:space="preserve"> </w:t>
      </w:r>
      <w:r>
        <w:t>diffusion kinetics severely impair rate capability and cycling stability. In this study, we rationally designed MoS</w:t>
      </w:r>
      <w:r>
        <w:rPr>
          <w:vertAlign w:val="subscript"/>
        </w:rPr>
        <w:t>2</w:t>
      </w:r>
      <w:r>
        <w:t>/Fe</w:t>
      </w:r>
      <w:r>
        <w:t xml:space="preserve"> </w:t>
      </w:r>
      <w:r>
        <w:t>x</w:t>
      </w:r>
      <w:r>
        <w:t xml:space="preserve"> </w:t>
      </w:r>
      <w:r>
        <w:t>Mo</w:t>
      </w:r>
      <w:r>
        <w:rPr>
          <w:vertAlign w:val="subscript"/>
        </w:rPr>
        <w:t>2</w:t>
      </w:r>
      <w:r>
        <w:t>S</w:t>
      </w:r>
      <w:r>
        <w:rPr>
          <w:vertAlign w:val="subscript"/>
        </w:rPr>
        <w:t>4</w:t>
      </w:r>
      <w:r>
        <w:t>hollow multi‐shelled structure (HoMS). Wherein, the precise regulation of Mo/Fe molar ratio induces the formation of unique alternating antiphase boundaries (APBs) at the heterointerfaces reported for the first time arising from the lattice mismatch of (002) crystal planes between MoS</w:t>
      </w:r>
      <w:r>
        <w:rPr>
          <w:vertAlign w:val="subscript"/>
        </w:rPr>
        <w:t>2</w:t>
      </w:r>
      <w:r>
        <w:t>and Fe</w:t>
      </w:r>
      <w:r>
        <w:t xml:space="preserve"> </w:t>
      </w:r>
      <w:r>
        <w:t>x</w:t>
      </w:r>
      <w:r>
        <w:t xml:space="preserve"> </w:t>
      </w:r>
      <w:r>
        <w:t>Mo</w:t>
      </w:r>
      <w:r>
        <w:rPr>
          <w:vertAlign w:val="subscript"/>
        </w:rPr>
        <w:t>2</w:t>
      </w:r>
      <w:r>
        <w:t>S</w:t>
      </w:r>
      <w:r>
        <w:rPr>
          <w:vertAlign w:val="subscript"/>
        </w:rPr>
        <w:t>4</w:t>
      </w:r>
      <w:r>
        <w:t>. These APBs provide excess diffusion channels for Na</w:t>
      </w:r>
      <w:r>
        <w:t xml:space="preserve"> </w:t>
      </w:r>
      <w:r>
        <w:t>+</w:t>
      </w:r>
      <w:r>
        <w:t xml:space="preserve"> </w:t>
      </w:r>
      <w:r>
        <w:t>in lattice, accompanying unique structure of HoMS to achieve 3D Na</w:t>
      </w:r>
      <w:r>
        <w:t xml:space="preserve"> </w:t>
      </w:r>
      <w:r>
        <w:t>+</w:t>
      </w:r>
      <w:r>
        <w:t xml:space="preserve"> </w:t>
      </w:r>
      <w:r>
        <w:t>diffusion path. Additionally, the electron conductivity is promoted due to the construction of a built‐in electric field, thus facilitating fast reversible electrochemical reaction for high rate capability. Meanwhile, the void space in HoMS with APBs buffers volume change during cycling, enhancing cycling stability. Particularly, the MoS</w:t>
      </w:r>
      <w:r>
        <w:rPr>
          <w:vertAlign w:val="subscript"/>
        </w:rPr>
        <w:t>2</w:t>
      </w:r>
      <w:r>
        <w:t>/Fe</w:t>
      </w:r>
      <w:r>
        <w:t xml:space="preserve"> </w:t>
      </w:r>
      <w:r>
        <w:t>x</w:t>
      </w:r>
      <w:r>
        <w:t xml:space="preserve"> </w:t>
      </w:r>
      <w:r>
        <w:t>Mo</w:t>
      </w:r>
      <w:r>
        <w:rPr>
          <w:vertAlign w:val="subscript"/>
        </w:rPr>
        <w:t>2</w:t>
      </w:r>
      <w:r>
        <w:t>S</w:t>
      </w:r>
      <w:r>
        <w:rPr>
          <w:vertAlign w:val="subscript"/>
        </w:rPr>
        <w:t>4</w:t>
      </w:r>
      <w:r>
        <w:t>hollow double‐shelled sphere exhibits a high specific capacity of 743.6 mAh g</w:t>
      </w:r>
      <w:r>
        <w:t xml:space="preserve"> </w:t>
      </w:r>
      <w:r>
        <w:t>−1</w:t>
      </w:r>
      <w:r>
        <w:t xml:space="preserve"> </w:t>
      </w:r>
      <w:r>
        <w:t>at 0.2 A g</w:t>
      </w:r>
      <w:r>
        <w:t xml:space="preserve"> </w:t>
      </w:r>
      <w:r>
        <w:t>−1</w:t>
      </w:r>
      <w:r>
        <w:t xml:space="preserve"> </w:t>
      </w:r>
      <w:r>
        <w:t>, and a capacity of 226.4 mAh g</w:t>
      </w:r>
      <w:r>
        <w:t xml:space="preserve"> </w:t>
      </w:r>
      <w:r>
        <w:t>−1</w:t>
      </w:r>
      <w:r>
        <w:t xml:space="preserve"> </w:t>
      </w:r>
      <w:r>
        <w:t>is still retained at 10 A g</w:t>
      </w:r>
      <w:r>
        <w:t xml:space="preserve"> </w:t>
      </w:r>
      <w:r>
        <w:t>−1</w:t>
      </w:r>
      <w:r>
        <w:t xml:space="preserve"> </w:t>
      </w:r>
      <w:r>
        <w:t>, demonstrating excellent rate capability. This work provides an inspiration for constructing hollow multi‐shelled structure anode materials with abundant APBs lattice mismatch for fast and reversible electrochemical reactions.</w:t>
      </w:r>
    </w:p>
    <w:p>
      <w:pPr>
        <w:spacing w:before="120" w:after="120"/>
      </w:pPr>
      <w:r>
        <w:rPr>
          <w:sz w:val="18"/>
        </w:rPr>
        <w:t>——————————————————————————————————————————————————————————————————————</w:t>
      </w:r>
    </w:p>
    <w:p>
      <w:pPr>
        <w:spacing w:before="160" w:after="40" w:line="240" w:lineRule="auto"/>
      </w:pPr>
      <w:r>
        <w:rPr>
          <w:b/>
        </w:rPr>
        <w:t xml:space="preserve">[12] </w:t>
      </w:r>
      <w:hyperlink r:id="rId98">
        <w:r>
          <w:rPr>
            <w:color w:val="1155CC"/>
            <w:u w:val="single"/>
          </w:rPr>
          <w:t>离子筛分杯芳烃填料可促进高负载锂金属电池准固体电解质中的 Li+ 传输</w:t>
        </w:r>
      </w:hyperlink>
    </w:p>
    <w:p>
      <w:pPr>
        <w:spacing w:before="0" w:after="80"/>
      </w:pPr>
      <w:r>
        <w:rPr>
          <w:i/>
          <w:sz w:val="20"/>
        </w:rPr>
        <w:t>EN: Ion‐Sieving Calixarene Fillers Boost Li+ Transport in Quasi‐Solid Electrolytes for High‐Loading Lithium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2026-05-27 14:10:28+00:00</w:t>
      </w:r>
      <w:r>
        <w:t xml:space="preserve">    </w:t>
      </w:r>
      <w:r>
        <w:rPr>
          <w:b/>
        </w:rPr>
        <w:t xml:space="preserve">DOI: </w:t>
      </w:r>
      <w:hyperlink r:id="rId99">
        <w:r>
          <w:rPr>
            <w:color w:val="1155CC"/>
            <w:u w:val="single"/>
          </w:rPr>
          <w:t>10.1002/anie.1508746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杯芳烃（CA）具有独特的空腔结构和卓越的主客体能力，为定制固态电解质（SSE）中的离子配位和传输行为提供了一个有吸引力的分子平台。尽管有这些结构性优势，但它们在上证企业中的潜力却很少被开发。在此，我们通过原位聚合设计了一种杯[6]芳烃官能化（C6A）聚合物准固体电解质（PECQSE），其中氨基甲酸酯官能化聚环氧乙烷（PEG-IEM）和乙氧基化三羟甲基丙烷三丙烯酸酯（ETPTA）之间形成交联基质。 C6A 的掺入建立了一个尺寸选择性、相互作用主导的离子调节框架，其中大体积的 TFSI</w:t>
      </w:r>
      <w:r>
        <w:t xml:space="preserve"> </w:t>
      </w:r>
      <w:r>
        <w:t>-</w:t>
      </w:r>
      <w:r>
        <w:t>表现出行动受限，而李</w:t>
      </w:r>
      <w:r>
        <w:t xml:space="preserve"> </w:t>
      </w:r>
      <w:r>
        <w:t>+</w:t>
      </w:r>
      <w:r>
        <w:t xml:space="preserve"> </w:t>
      </w:r>
      <w:r>
        <w:t>沿着传导路径促进运输，从而产生Li</w:t>
      </w:r>
      <w:r>
        <w:t xml:space="preserve"> </w:t>
      </w:r>
      <w:r>
        <w:t>+</w:t>
      </w:r>
      <w:r>
        <w:t xml:space="preserve"> </w:t>
      </w:r>
      <w:r>
        <w:t>转移数为0.76。同时，C6A酚羟基和氨基甲酸酯链段之间的氢键相互作用抑制了PEG结晶度并促进LiTFSI解离。这些相互作用促进界面 LiTFSI 还原并支持 LiF/Li 的形成</w:t>
      </w:r>
      <w:r>
        <w:rPr>
          <w:vertAlign w:val="subscript"/>
        </w:rPr>
        <w:t>2</w:t>
      </w:r>
      <w:r>
        <w:t>富氧SEI，可引导均匀的锂沉积并抑制枝晶生长。因此，Li|Li 对称电池在低极化和高负载 LiFePO 的情况下表现出超过 7000 小时的超长循环稳定性</w:t>
      </w:r>
      <w:r>
        <w:rPr>
          <w:vertAlign w:val="subscript"/>
        </w:rPr>
        <w:t>4</w:t>
      </w:r>
      <w:r>
        <w:t>|李福</w:t>
      </w:r>
    </w:p>
    <w:p>
      <w:pPr>
        <w:spacing w:before="0" w:after="200" w:lineRule="auto" w:line="276"/>
      </w:pPr>
      <w:r>
        <w:rPr>
          <w:b/>
        </w:rPr>
        <w:t xml:space="preserve">Abstract (EN): </w:t>
      </w:r>
      <w:r>
        <w:t>Calixarenes (CAs), featuring unique cavity architectures and exceptional host–guest capabilities, provide an attractive molecular platform for tailoring ion coordination and transport behaviors in solid‐state electrolytes (SSEs). Despite these structural advantages, their potential in SSEs has been rarely explored. Herein, we design a calix[6]arene‐functionalized (C6A) polymer quasi‐solid electrolyte (PECQSE) via in situ polymerization, in which a cross‐linked matrix is formed between urethane‐functionalized poly(ethylene oxide) (PEG‐IEM) and ethoxylated trimethylolpropane triacrylate (ETPTA). The incorporation of C6A establishes a size‐selective, interaction‐dominated ion‐regulation framework, in which bulky TFSI</w:t>
      </w:r>
      <w:r>
        <w:t xml:space="preserve"> </w:t>
      </w:r>
      <w:r>
        <w:t>−</w:t>
      </w:r>
      <w:r>
        <w:t>exhibit restricted mobility, while Li</w:t>
      </w:r>
      <w:r>
        <w:t xml:space="preserve"> </w:t>
      </w:r>
      <w:r>
        <w:t>+</w:t>
      </w:r>
      <w:r>
        <w:t xml:space="preserve"> </w:t>
      </w:r>
      <w:r>
        <w:t>transport is facilitated along conduction pathways, resulting in Li</w:t>
      </w:r>
      <w:r>
        <w:t xml:space="preserve"> </w:t>
      </w:r>
      <w:r>
        <w:t>+</w:t>
      </w:r>
      <w:r>
        <w:t xml:space="preserve"> </w:t>
      </w:r>
      <w:r>
        <w:t>transference number of 0.76. Meanwhile, hydrogen‐bonding interactions between C6A phenolic hydroxyl groups and urethane segments suppress PEG crystallinity and promote LiTFSI dissociation. These interactions facilitate interfacial LiTFSI reduction and support the formation of a LiF/Li</w:t>
      </w:r>
      <w:r>
        <w:rPr>
          <w:vertAlign w:val="subscript"/>
        </w:rPr>
        <w:t>2</w:t>
      </w:r>
      <w:r>
        <w:t>O‐rich SEI, which guides uniform lithium deposition and suppresses dendrite growth. Consequently, Li|Li symmetric cells exhibit ultralong cycling stability exceeding 7000 h with low polarization and high‐loading LiFePO</w:t>
      </w:r>
      <w:r>
        <w:rPr>
          <w:vertAlign w:val="subscript"/>
        </w:rPr>
        <w:t>4</w:t>
      </w:r>
      <w:r>
        <w:t>|Li full cells retain 80.6% capacity after 700 cycles at 2 C. The assembled 1 Ah pouch cell delivers excellent safety and durability with 91.8% retention after 240 cycles, demonstrating an effective interfacial engineering strategy for next‐generation lithium metal batteries.</w:t>
      </w:r>
    </w:p>
    <w:p>
      <w:pPr>
        <w:spacing w:before="120" w:after="120"/>
      </w:pPr>
      <w:r>
        <w:rPr>
          <w:sz w:val="18"/>
        </w:rPr>
        <w:t>——————————————————————————————————————————————————————————————————————</w:t>
      </w:r>
    </w:p>
    <w:p>
      <w:pPr>
        <w:spacing w:before="160" w:after="40" w:line="240" w:lineRule="auto"/>
      </w:pPr>
      <w:r>
        <w:rPr>
          <w:b/>
        </w:rPr>
        <w:t xml:space="preserve">[13] </w:t>
      </w:r>
      <w:hyperlink r:id="rId100">
        <w:r>
          <w:rPr>
            <w:color w:val="1155CC"/>
            <w:u w:val="single"/>
          </w:rPr>
          <w:t>由亲锂单层组装的纳米皱缩微凹结构实现的高性能弹性锂金属阳极</w:t>
        </w:r>
      </w:hyperlink>
    </w:p>
    <w:p>
      <w:pPr>
        <w:spacing w:before="0" w:after="80"/>
      </w:pPr>
      <w:r>
        <w:rPr>
          <w:i/>
          <w:sz w:val="20"/>
        </w:rPr>
        <w:t>EN: High‐Performance Elastomeric Lithium Metal Anodes Enabled by a Lithiophilic Monolayer‐Assembled Nano‐Crumpled Micro‐Concave Architecture</w:t>
      </w:r>
    </w:p>
    <w:p>
      <w:pPr>
        <w:spacing w:before="0" w:after="120"/>
      </w:pPr>
      <w:r>
        <w:rPr>
          <w:b/>
        </w:rPr>
        <w:t xml:space="preserve">Source: </w:t>
      </w:r>
      <w:r>
        <w:t>Wiley: Advanced Energy Materials: Table of Contents</w:t>
      </w:r>
      <w:r>
        <w:t xml:space="preserve">    </w:t>
      </w:r>
      <w:r>
        <w:rPr>
          <w:b/>
        </w:rPr>
        <w:t xml:space="preserve">Pub date: </w:t>
      </w:r>
      <w:r>
        <w:t>2026-05-27 19:00:34+00:00</w:t>
      </w:r>
      <w:r>
        <w:t xml:space="preserve">    </w:t>
      </w:r>
      <w:r>
        <w:rPr>
          <w:b/>
        </w:rPr>
        <w:t xml:space="preserve">DOI: </w:t>
      </w:r>
      <w:hyperlink r:id="rId101">
        <w:r>
          <w:rPr>
            <w:color w:val="1155CC"/>
            <w:u w:val="single"/>
          </w:rPr>
          <w:t>10.1002/aenm.71104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电池由于其高理论能量密度和低氧化还原电位而成为有前途的下一代储能系统。然而，它们的实际应用受到重复循环过程中锂枝晶形成的限制，这会损害安全性并缩短循环寿命。在此，我们介绍了一种柔性弹性体锂金属阳极，它将亲锂单层组装的纳米皱纹表面与微米级凹面结构集成在一起。这种分层设计是通过将金属纳米颗粒密集组装到硫醇官能化弹性体上，然后进行电镀镍并随后与亲硫胺封端的分子连接体组装来实现的。由此产生的弹性体阳极有效降低了锂成核过电势并促进了苔藓状锂沉积。结果，对称电池在 3 mA cm 电流下表现出超过 2,100 小时的出色循环稳定性</w:t>
      </w:r>
      <w:r>
        <w:t xml:space="preserve"> </w:t>
      </w:r>
      <w:r>
        <w:t>−2</w:t>
      </w:r>
      <w:r>
        <w:t xml:space="preserve"> </w:t>
      </w:r>
      <w:r>
        <w:t>/3毫安时厘米</w:t>
      </w:r>
      <w:r>
        <w:t xml:space="preserve"> </w:t>
      </w:r>
      <w:r>
        <w:t>−2</w:t>
      </w:r>
      <w:r>
        <w:t xml:space="preserve"> </w:t>
      </w:r>
      <w:r>
        <w:t>。此外，Li||LiFePO</w:t>
      </w:r>
      <w:r>
        <w:rPr>
          <w:vertAlign w:val="subscript"/>
        </w:rPr>
        <w:t>4</w:t>
      </w:r>
      <w:r>
        <w:t>全电池在 1C 下循环 1,000 次后仍保留约 90.2% 的容量，这证明了化学和结构工程弹性体阳极在耐用且安全的锂金属电池中的潜力。</w:t>
      </w:r>
    </w:p>
    <w:p>
      <w:pPr>
        <w:spacing w:before="0" w:after="200" w:lineRule="auto" w:line="276"/>
      </w:pPr>
      <w:r>
        <w:rPr>
          <w:b/>
        </w:rPr>
        <w:t xml:space="preserve">Abstract (EN): </w:t>
      </w:r>
      <w:r>
        <w:t>Li metal batteries are promising next‐generation energy storage systems due to their high theoretical energy density and low redox potential. However, their practical application is limited by Li dendrite formation during repeated cycling, which compromises safety and shortens cycle life. Herein, we introduce a flexible elastomeric Li metal anode that integrates a lithiophilic monolayer‐assembled nano‐crumpled surface with microscale concave architectures. This hierarchical design was realized by densely assembling metal nanoparticles onto thiol‐functionalized elastomer, followed by Ni electroplating and subsequent assembly with lithiophilic amine‐terminated molecular linkers. The resulting elastomeric anode effectively reduced Li nucleation overpotential and promotes mossy Li deposition. As a result, symmetric cells exhibited excellent cycling stability for over 2,100 h at 3 mA cm</w:t>
      </w:r>
      <w:r>
        <w:t xml:space="preserve"> </w:t>
      </w:r>
      <w:r>
        <w:t>−2</w:t>
      </w:r>
      <w:r>
        <w:t xml:space="preserve"> </w:t>
      </w:r>
      <w:r>
        <w:t>/3 mAh cm</w:t>
      </w:r>
      <w:r>
        <w:t xml:space="preserve"> </w:t>
      </w:r>
      <w:r>
        <w:t>−2</w:t>
      </w:r>
      <w:r>
        <w:t xml:space="preserve"> </w:t>
      </w:r>
      <w:r>
        <w:t>. Moreover, Li||LiFePO</w:t>
      </w:r>
      <w:r>
        <w:rPr>
          <w:vertAlign w:val="subscript"/>
        </w:rPr>
        <w:t>4</w:t>
      </w:r>
      <w:r>
        <w:t>full cells retained ∼90.2% capacity after 1,000 cycles at 1C, demonstrating the potential of chemically and structurally engineered elastomeric anodes for durable and safe Li metal batteries.</w:t>
      </w:r>
    </w:p>
    <w:p>
      <w:pPr>
        <w:spacing w:before="120" w:after="120"/>
      </w:pPr>
      <w:r>
        <w:rPr>
          <w:sz w:val="18"/>
        </w:rPr>
        <w:t>——————————————————————————————————————————————————————————————————————</w:t>
      </w:r>
    </w:p>
    <w:p>
      <w:pPr>
        <w:spacing w:before="160" w:after="40" w:line="240" w:lineRule="auto"/>
      </w:pPr>
      <w:r>
        <w:rPr>
          <w:b/>
        </w:rPr>
        <w:t xml:space="preserve">[14] </w:t>
      </w:r>
      <w:hyperlink r:id="rId85">
        <w:r>
          <w:rPr>
            <w:color w:val="1155CC"/>
            <w:u w:val="single"/>
          </w:rPr>
          <w:t>形成能量主导的AB堆叠结构促进高性能双离子存储钾离子电池的金属共价有机框架</w:t>
        </w:r>
      </w:hyperlink>
    </w:p>
    <w:p>
      <w:pPr>
        <w:spacing w:before="0" w:after="80"/>
      </w:pPr>
      <w:r>
        <w:rPr>
          <w:i/>
          <w:sz w:val="20"/>
        </w:rPr>
        <w:t>EN: Formation Energy‐Dominated AB‐Stacking Structure Promotes Metal‐Covalent Organic Frameworks for High‐Performance Dual‐Ion Storage Potassium‐Ion Batteries</w:t>
      </w:r>
    </w:p>
    <w:p>
      <w:pPr>
        <w:spacing w:before="0" w:after="120"/>
      </w:pPr>
      <w:r>
        <w:rPr>
          <w:b/>
        </w:rPr>
        <w:t xml:space="preserve">Source: </w:t>
      </w:r>
      <w:r>
        <w:t>Wiley: Angewandte Chemie International Edition: Table of Contents</w:t>
      </w:r>
      <w:r>
        <w:t xml:space="preserve">    </w:t>
      </w:r>
      <w:r>
        <w:rPr>
          <w:b/>
        </w:rPr>
        <w:t xml:space="preserve">Pub date: </w:t>
      </w:r>
      <w:r>
        <w:t>2026-05-28 09:18:32+00:00</w:t>
      </w:r>
      <w:r>
        <w:t xml:space="preserve">    </w:t>
      </w:r>
      <w:r>
        <w:rPr>
          <w:b/>
        </w:rPr>
        <w:t xml:space="preserve">DOI: </w:t>
      </w:r>
      <w:hyperlink r:id="rId86">
        <w:r>
          <w:rPr>
            <w:color w:val="1155CC"/>
            <w:u w:val="single"/>
          </w:rPr>
          <w:t>10.1002/anie.1169706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大多数共价有机骨架（COF）中存在的长程AA堆积结构导致氧化还原活性位点利用率低下和电化学性能不佳。在此，我们通过预合成环状三核铜簇（Cu@MCOF-D）报道了金属化COF（Cu@MCOF-D）</w:t>
      </w:r>
      <w:r>
        <w:rPr>
          <w:vertAlign w:val="subscript"/>
        </w:rPr>
        <w:t>3</w:t>
      </w:r>
      <w:r>
        <w:t>）并将它们与2,6-二氨基蒽醌（DAAQ）整合。形成能计算证实该材料具有热力学稳定的AB堆积结构，可有效缓解层间K</w:t>
      </w:r>
      <w:r>
        <w:t xml:space="preserve"> </w:t>
      </w:r>
      <w:r>
        <w:t>+</w:t>
      </w:r>
      <w:r>
        <w:t xml:space="preserve"> </w:t>
      </w:r>
      <w:r>
        <w:t>吸附屏蔽并优化层间K</w:t>
      </w:r>
      <w:r>
        <w:t xml:space="preserve"> </w:t>
      </w:r>
      <w:r>
        <w:t>+</w:t>
      </w:r>
      <w:r>
        <w:t xml:space="preserve"> </w:t>
      </w:r>
      <w:r>
        <w:t>扩散动力学。不同充放电状态下的异位透射电子显微镜分析结果表明，Cu</w:t>
      </w:r>
      <w:r>
        <w:rPr>
          <w:vertAlign w:val="subscript"/>
        </w:rPr>
        <w:t>3</w:t>
      </w:r>
      <w:r>
        <w:t>对FSI表现出很强的吸附能力</w:t>
      </w:r>
      <w:r>
        <w:t xml:space="preserve"> </w:t>
      </w:r>
      <w:r>
        <w:t>-</w:t>
      </w:r>
      <w:r>
        <w:t>，而-C=O/-C=N-基团化学键合K</w:t>
      </w:r>
      <w:r>
        <w:t xml:space="preserve"> </w:t>
      </w:r>
      <w:r>
        <w:t>+</w:t>
      </w:r>
      <w:r>
        <w:t xml:space="preserve"> </w:t>
      </w:r>
      <w:r>
        <w:t>，并且它们共同协同实现双离子存储。当用作钾离子电池 (PIB) 阳极时，扩散势垒降低，可实现 153.8 mAh g 的高可逆容量</w:t>
      </w:r>
      <w:r>
        <w:t xml:space="preserve"> </w:t>
      </w:r>
      <w:r>
        <w:t>−1</w:t>
      </w:r>
      <w:r>
        <w:t xml:space="preserve"> </w:t>
      </w:r>
      <w:r>
        <w:t>20.0 A g 时</w:t>
      </w:r>
      <w:r>
        <w:t xml:space="preserve"> </w:t>
      </w:r>
      <w:r>
        <w:t>−1</w:t>
      </w:r>
      <w:r>
        <w:t xml:space="preserve"> </w:t>
      </w:r>
      <w:r>
        <w:t>，并在 5.0 A g 下循环 6500 次后容量保持率为 96.8%</w:t>
      </w:r>
      <w:r>
        <w:t xml:space="preserve"> </w:t>
      </w:r>
      <w:r>
        <w:t>−1</w:t>
      </w:r>
      <w:r>
        <w:t xml:space="preserve"> </w:t>
      </w:r>
      <w:r>
        <w:t>，表现出卓越的长期 K</w:t>
      </w:r>
      <w:r>
        <w:t xml:space="preserve"> </w:t>
      </w:r>
      <w:r>
        <w:t>+</w:t>
      </w:r>
      <w:r>
        <w:t xml:space="preserve"> </w:t>
      </w:r>
      <w:r>
        <w:t>储存稳定性。在</w:t>
      </w:r>
    </w:p>
    <w:p>
      <w:pPr>
        <w:spacing w:before="0" w:after="200" w:lineRule="auto" w:line="276"/>
      </w:pPr>
      <w:r>
        <w:rPr>
          <w:b/>
        </w:rPr>
        <w:t xml:space="preserve">Abstract (EN): </w:t>
      </w:r>
      <w:r>
        <w:t>The long‐range AA‐stacking structures present in most covalent organic frameworks (COFs) result in poor utilization of redox‐active sites and suboptimal electrochemical performance. Herein, we report a metallized COF (Cu@MCOF‐D) by pre‐synthesizing cyclic trinuclear copper clusters (Cu</w:t>
      </w:r>
      <w:r>
        <w:rPr>
          <w:vertAlign w:val="subscript"/>
        </w:rPr>
        <w:t>3</w:t>
      </w:r>
      <w:r>
        <w:t>) and integrating them with 2,6‐diaminoanthraquinone (DAAQ). Formation energy calculations confirm that the material possesses a thermodynamically stable AB‐stacking structure, which effectively alleviates interlayer K</w:t>
      </w:r>
      <w:r>
        <w:t xml:space="preserve"> </w:t>
      </w:r>
      <w:r>
        <w:t>+</w:t>
      </w:r>
      <w:r>
        <w:t xml:space="preserve"> </w:t>
      </w:r>
      <w:r>
        <w:t>adsorption shielding and optimizes the interlayer K</w:t>
      </w:r>
      <w:r>
        <w:t xml:space="preserve"> </w:t>
      </w:r>
      <w:r>
        <w:t>+</w:t>
      </w:r>
      <w:r>
        <w:t xml:space="preserve"> </w:t>
      </w:r>
      <w:r>
        <w:t>diffusion kinetics. Results from ex situ transmission electron microscopy analyses under different charge/discharge states indicate that Cu</w:t>
      </w:r>
      <w:r>
        <w:rPr>
          <w:vertAlign w:val="subscript"/>
        </w:rPr>
        <w:t>3</w:t>
      </w:r>
      <w:r>
        <w:t>exhibits strong adsorption capability toward FSI</w:t>
      </w:r>
      <w:r>
        <w:t xml:space="preserve"> </w:t>
      </w:r>
      <w:r>
        <w:t>−</w:t>
      </w:r>
      <w:r>
        <w:t>, while the ‒C═O/‒C═N‒ groups chemically bind K</w:t>
      </w:r>
      <w:r>
        <w:t xml:space="preserve"> </w:t>
      </w:r>
      <w:r>
        <w:t>+</w:t>
      </w:r>
      <w:r>
        <w:t xml:space="preserve"> </w:t>
      </w:r>
      <w:r>
        <w:t>, and together they synergistically enable dual‐ion storage. When applied as potassium‐ion battery (PIB) anode, the reduced diffusion barrier allows a high reversible capacity of 153.8 mAh g</w:t>
      </w:r>
      <w:r>
        <w:t xml:space="preserve"> </w:t>
      </w:r>
      <w:r>
        <w:t>−1</w:t>
      </w:r>
      <w:r>
        <w:t xml:space="preserve"> </w:t>
      </w:r>
      <w:r>
        <w:t>at 20.0 A g</w:t>
      </w:r>
      <w:r>
        <w:t xml:space="preserve"> </w:t>
      </w:r>
      <w:r>
        <w:t>−1</w:t>
      </w:r>
      <w:r>
        <w:t xml:space="preserve"> </w:t>
      </w:r>
      <w:r>
        <w:t>, and delivers 96.8% capacity retention after 6500 cycles at 5.0 A g</w:t>
      </w:r>
      <w:r>
        <w:t xml:space="preserve"> </w:t>
      </w:r>
      <w:r>
        <w:t>−1</w:t>
      </w:r>
      <w:r>
        <w:t xml:space="preserve"> </w:t>
      </w:r>
      <w:r>
        <w:t>, demonstrating exceptional long‐term K</w:t>
      </w:r>
      <w:r>
        <w:t xml:space="preserve"> </w:t>
      </w:r>
      <w:r>
        <w:t>+</w:t>
      </w:r>
      <w:r>
        <w:t xml:space="preserve"> </w:t>
      </w:r>
      <w:r>
        <w:t>storage stability. In PIB full cells using potassium iron hexacyanoferrate as the cathode, a high energy density of up to 197.5 Wh kg</w:t>
      </w:r>
      <w:r>
        <w:t xml:space="preserve"> </w:t>
      </w:r>
      <w:r>
        <w:t>−1</w:t>
      </w:r>
      <w:r>
        <w:t xml:space="preserve"> </w:t>
      </w:r>
      <w:r>
        <w:t>is achieved. Furthermore, by employing 3,4,9,10‐perylenetetracarboxylic dianhydride heat‐treated at 450°C as the cathode, outstanding cycling stability is realized, with a capacity retention of 93.2% after 2000 cycles.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102">
        <w:r>
          <w:rPr>
            <w:color w:val="1155CC"/>
            <w:u w:val="single"/>
          </w:rPr>
          <w:t>合成前优化 - 使用贝叶斯优化增强 Li7SiPS8 的离子电导率</w:t>
        </w:r>
      </w:hyperlink>
    </w:p>
    <w:p>
      <w:pPr>
        <w:spacing w:before="0" w:after="80"/>
      </w:pPr>
      <w:r>
        <w:rPr>
          <w:i/>
          <w:sz w:val="20"/>
        </w:rPr>
        <w:t>EN: Optimize Before You Synthesize—Enhancing the Ionic Conductivity of Li7SiPS8 Using Bayesian Optimization</w:t>
      </w:r>
    </w:p>
    <w:p>
      <w:pPr>
        <w:spacing w:before="0" w:after="120"/>
      </w:pPr>
      <w:r>
        <w:rPr>
          <w:b/>
        </w:rPr>
        <w:t xml:space="preserve">Source: </w:t>
      </w:r>
      <w:r>
        <w:t>Wiley: Angewandte Chemie International Edition: Table of Contents</w:t>
      </w:r>
      <w:r>
        <w:t xml:space="preserve">    </w:t>
      </w:r>
      <w:r>
        <w:rPr>
          <w:b/>
        </w:rPr>
        <w:t xml:space="preserve">Pub date: </w:t>
      </w:r>
      <w:r>
        <w:t>2026-05-23 11:54:56+00:00</w:t>
      </w:r>
      <w:r>
        <w:t xml:space="preserve">    </w:t>
      </w:r>
      <w:r>
        <w:rPr>
          <w:b/>
        </w:rPr>
        <w:t xml:space="preserve">DOI: </w:t>
      </w:r>
      <w:hyperlink r:id="rId103">
        <w:r>
          <w:rPr>
            <w:color w:val="1155CC"/>
            <w:u w:val="single"/>
          </w:rPr>
          <w:t>10.1002/anie.5778118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四方晶系是一种超离子固体电解质，但其锂离子电导率因非晶侧相的存在而受到影响。然而，优化离子电导率的尝试是渐进式的，因此非常耗时，因为合成条件和电解质性能之间的关系在很大程度上是未知的。在这项工作中，我们采用贝叶斯优化（BO）作为一种有效的实验设计方法来提高系统的离子电导率。我们的数据驱动的工作流程在室温下可重复产生超过 7 mS 的离子电导率，与之前报道的路线相比增加了高达 70 mS。同时，优化的固态合成将合成温度降低了 100 K ()，并将反应时间缩短了 76 h ()，从而实现了更加节能、可持续的过程。为了探究电导率增加的根源，我们通过定量 Rietveld 精修、同步加速器 X 射线粉末衍射、对分布函数分析、固态和脉冲场梯度 NMR、电子显微镜和拉曼光谱检查了六个代表性样品。我们证明 BO 可以帮助驾驭复杂的合成参数空间，从而加速下一代电池高性能硫化物电解质的开发。</w:t>
      </w:r>
    </w:p>
    <w:p>
      <w:pPr>
        <w:spacing w:before="0" w:after="200" w:lineRule="auto" w:line="276"/>
      </w:pPr>
      <w:r>
        <w:rPr>
          <w:b/>
        </w:rPr>
        <w:t xml:space="preserve">Abstract (EN): </w:t>
      </w:r>
      <w:r>
        <w:t>Tetragonal  is a superionic solid electrolyte, yet its Li ion conductivity suffers from the presence of an amorphous side phase. Attempts to optimize the ionic conductivity, however, are incremental and hence time‐consuming, because the relationship between synthesis conditions and electrolyte performance is largely unknown. In this work, we employ Bayesian optimization (BO) as an efficient design‐of‐experiment approach to increase the ionic conductivity of the  system. Our data‐driven workflow reproducibly yields  with ionic conductivities exceeding 7 mS  at room temperature, an increase by up to  compared to previously reported routes. Simultaneously, the optimized solid‐state synthesis lowered the synthesis temperature by 100 K () and shortened the reaction time by 76 h (), delivering a more energy‐efficient and, hence, sustainable process. To probe the origin of the increased conductivity, we examined six representative samples by quantitative Rietveld refinements, synchrotron x‐ray powder diffraction, pair distribution function analysis, solid‐state and pulsed‐field‐gradient NMR, electron microscopy, and Raman spectroscopy. We demonstrate that BO can help navigate the complex synthesis parameter space, thereby accelerating the development of high‐performance sulfide electrolytes for next‐generation batteries.</w:t>
      </w:r>
    </w:p>
    <w:p>
      <w:pPr>
        <w:spacing w:before="120" w:after="120"/>
      </w:pPr>
      <w:r>
        <w:rPr>
          <w:sz w:val="18"/>
        </w:rPr>
        <w:t>——————————————————————————————————————————————————————————————————————</w:t>
      </w:r>
    </w:p>
    <w:p>
      <w:pPr>
        <w:spacing w:before="160" w:after="40" w:line="240" w:lineRule="auto"/>
      </w:pPr>
      <w:r>
        <w:rPr>
          <w:b/>
        </w:rPr>
        <w:t xml:space="preserve">[2] </w:t>
      </w:r>
      <w:hyperlink r:id="rId104">
        <w:r>
          <w:rPr>
            <w:color w:val="1155CC"/>
            <w:u w:val="single"/>
          </w:rPr>
          <w:t>[ASAP] 无有机溶剂弱溶剂电解质可在各种恶劣的操作条件下实现耐用的 Ah 级锌碘电池</w:t>
        </w:r>
      </w:hyperlink>
    </w:p>
    <w:p>
      <w:pPr>
        <w:spacing w:before="0" w:after="80"/>
      </w:pPr>
      <w:r>
        <w:rPr>
          <w:i/>
          <w:sz w:val="20"/>
        </w:rPr>
        <w:t>EN: [ASAP] Organic-Solvent-Free Weakly Solvating Electrolytes Enable Durable Ah-Scale Zn–Iodine Batteries under Diverse Harsh Operating Conditions</w:t>
      </w:r>
    </w:p>
    <w:p>
      <w:pPr>
        <w:spacing w:before="0" w:after="120"/>
      </w:pPr>
      <w:r>
        <w:rPr>
          <w:b/>
        </w:rPr>
        <w:t xml:space="preserve">Source: </w:t>
      </w:r>
      <w:r>
        <w:t>Journal of the American Chemical Society: Latest Articles (ACS Publications)</w:t>
      </w:r>
      <w:r>
        <w:t xml:space="preserve">    </w:t>
      </w:r>
      <w:r>
        <w:rPr>
          <w:b/>
        </w:rPr>
        <w:t xml:space="preserve">Pub date: </w:t>
      </w:r>
      <w:r>
        <w:t>2026-05-23 14:03:13+00:00</w:t>
      </w:r>
      <w:r>
        <w:t xml:space="preserve">    </w:t>
      </w:r>
      <w:r>
        <w:rPr>
          <w:b/>
        </w:rPr>
        <w:t xml:space="preserve">DOI: </w:t>
      </w:r>
      <w:hyperlink r:id="rId105">
        <w:r>
          <w:rPr>
            <w:color w:val="1155CC"/>
            <w:u w:val="single"/>
          </w:rPr>
          <w:t>10.1021/jacs.6c04647</w:t>
        </w:r>
      </w:hyperlink>
    </w:p>
    <w:p>
      <w:pPr>
        <w:spacing w:before="0" w:after="120"/>
      </w:pPr>
      <w:r>
        <w:rPr>
          <w:b/>
        </w:rPr>
        <w:t xml:space="preserve">Notes: </w:t>
      </w:r>
      <w:r>
        <w:t>abstract_source=openalex</w:t>
      </w:r>
    </w:p>
    <w:p>
      <w:pPr>
        <w:spacing w:before="0" w:after="80" w:lineRule="auto" w:line="276"/>
      </w:pPr>
      <w:r>
        <w:rPr>
          <w:b/>
        </w:rPr>
        <w:t xml:space="preserve">摘要（ZH）: </w:t>
      </w:r>
      <w:r>
        <w:t>水性锌碘电池代表了一种有前途的可持续能源存储技术，具有本质安全性、成本效益和具有竞争力的能量密度。然而，I2 阴极和 Zn 阳极的不稳定性阻碍了它们的实际部署。虽然传统的弱溶剂化电解质 (WSE) 可以部分缓解这些问题，但它们本质上依赖于高粘度有机共溶剂，而这些有机共溶剂会阻碍离子传输，从而限制了在苛刻条件下的性能。在这里，我们通过首创无有机溶剂的 WSE 克服了这种权衡，通过以最佳浓度掺入硫酸胍（一种具有亲液-离液特性的盐型稀释剂）来实现。配制的电解质同时促进 Zn2+ 去溶剂化和传输，同时提高电解质稳定性。此外，它还能促进两个电极上形成坚固的电极-电解质界面，有效抑制聚碘化物穿梭并稳定镀锌/剥离。因此，Zn||I2电池在各种恶劣的工作条件下都能实现卓越的性能，包括超长循环（30 C下10000次循环后容量保持率为92%）、高倍率能力（200 C下134 mAh g-1）以及低负/正容量比（≈1.09）、贫电解液条件（7.5 mL Ah-1）和宽温度范围（-10至60 °C）的持久循环。这些指标始终保留在 Ah 级软包电池（0.5-2 Ah）中。这项工作通过盐型稀释剂重新定义了 WSE 设计，提供了一种可扩展的途径来获得持久的水性</w:t>
      </w:r>
    </w:p>
    <w:p>
      <w:pPr>
        <w:spacing w:before="0" w:after="200" w:lineRule="auto" w:line="276"/>
      </w:pPr>
      <w:r>
        <w:rPr>
          <w:b/>
        </w:rPr>
        <w:t xml:space="preserve">Abstract (EN): </w:t>
      </w:r>
      <w:r>
        <w:t>Aqueous zinc–iodine batteries represent a promising sustainable energy-storage technology, offering intrinsic safety, cost-effectiveness, and competitive energy density. However, their practical deployment has been hindered by the instability of both the I2 cathode and Zn anode. While traditional weakly solvating electrolytes (WSEs) partially alleviate these issues, they inherently rely on high-viscosity organic cosolvents that impede ion transport, limiting performance under demanding conditions. Here, we overcome this trade-off by pioneering an organic-solvent-free WSE, achieved by incorporating guanidine sulfate, a salt-type diluent with kosmotropic–chaotropic properties, at an optimized concentration. The formulated electrolyte simultaneously facilitates Zn2+ desolvation and transport while improving electrolyte stability. Furthermore, it promotes the formation of a robust electrode–electrolyte interphase on both electrodes, effectively suppressing polyiodide shuttling and stabilizing Zn plating/stripping. Consequently, the Zn||I2 cells achieve exceptional performance across diverse harsh operating conditions, including ultralong cycling (92% capacity retention after 10000 cycles at 30 C), high-rate capability (134 mAh g–1 at 200 C), and durable cycling with a low negative/positive capacity ratio (≈1.09), lean electrolyte condition (7.5 mL Ah–1), and a wide temperature range (−10 to 60 °C). These metrics are consistently preserved in Ah-scale pouch cells (0.5–2 Ah). This work redefines WSE design through salt-type diluents, offering a scalable pathway to durable aqueous batteries for sustainable energy storage.</w:t>
      </w:r>
    </w:p>
    <w:p>
      <w:pPr>
        <w:spacing w:before="120" w:after="120"/>
      </w:pPr>
      <w:r>
        <w:rPr>
          <w:sz w:val="18"/>
        </w:rPr>
        <w:t>——————————————————————————————————————————————————————————————————————</w:t>
      </w:r>
    </w:p>
    <w:p>
      <w:pPr>
        <w:spacing w:before="160" w:after="40" w:line="240" w:lineRule="auto"/>
      </w:pPr>
      <w:r>
        <w:rPr>
          <w:b/>
        </w:rPr>
        <w:t xml:space="preserve">[3] </w:t>
      </w:r>
      <w:hyperlink r:id="rId57">
        <w:r>
          <w:rPr>
            <w:color w:val="1155CC"/>
            <w:u w:val="single"/>
          </w:rPr>
          <w:t>通过界面工程共溶剂调节重建溶剂化化学以获得稳定的高压 O3 型阴极</w:t>
        </w:r>
      </w:hyperlink>
    </w:p>
    <w:p>
      <w:pPr>
        <w:spacing w:before="0" w:after="80"/>
      </w:pPr>
      <w:r>
        <w:rPr>
          <w:i/>
          <w:sz w:val="20"/>
        </w:rPr>
        <w:t>EN: Reconstructing Solvation Chemistry via Cosolvent Regulation for Interfacial Engineering Toward Stable High‐Voltage O3‐Type Cathodes</w:t>
      </w:r>
    </w:p>
    <w:p>
      <w:pPr>
        <w:spacing w:before="0" w:after="120"/>
      </w:pPr>
      <w:r>
        <w:rPr>
          <w:b/>
        </w:rPr>
        <w:t xml:space="preserve">Source: </w:t>
      </w:r>
      <w:r>
        <w:t>Wiley: Angewandte Chemie International Edition: Table of Contents</w:t>
      </w:r>
      <w:r>
        <w:t xml:space="preserve">    </w:t>
      </w:r>
      <w:r>
        <w:rPr>
          <w:b/>
        </w:rPr>
        <w:t xml:space="preserve">Pub date: </w:t>
      </w:r>
      <w:r>
        <w:t>2026-05-25 08:57:13+00:00</w:t>
      </w:r>
      <w:r>
        <w:t xml:space="preserve">    </w:t>
      </w:r>
      <w:r>
        <w:rPr>
          <w:b/>
        </w:rPr>
        <w:t xml:space="preserve">DOI: </w:t>
      </w:r>
      <w:hyperlink r:id="rId58">
        <w:r>
          <w:rPr>
            <w:color w:val="1155CC"/>
            <w:u w:val="single"/>
          </w:rPr>
          <w:t>10.1002/anie.1924612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O3型层状氧化物由于其高可逆容量而成为有前景的钠离子电池（SIB）正极材料。然而，它们在高电压运行下的快速充电和长期循环性能受到界面和结构降解的限制，例如电解质分解、氧气释放、过渡金属溶解和不可逆相变。在此，将二氟丙二酸二甲酯（DMDF）的多功能共溶剂引入碳酸酯电解液中以稳定O3型Na</w:t>
      </w:r>
      <w:r>
        <w:t xml:space="preserve"> </w:t>
      </w:r>
      <w:r>
        <w:t>0.85</w:t>
      </w:r>
      <w:r>
        <w:t xml:space="preserve"> </w:t>
      </w:r>
      <w:r>
        <w:t>锰</w:t>
      </w:r>
      <w:r>
        <w:t xml:space="preserve"> </w:t>
      </w:r>
      <w:r>
        <w:t>0.45</w:t>
      </w:r>
      <w:r>
        <w:t xml:space="preserve"> </w:t>
      </w:r>
      <w:r>
        <w:t>镍</w:t>
      </w:r>
      <w:r>
        <w:t xml:space="preserve"> </w:t>
      </w:r>
      <w:r>
        <w:t>0.25</w:t>
      </w:r>
      <w:r>
        <w:t xml:space="preserve"> </w:t>
      </w:r>
      <w:r>
        <w:t>李</w:t>
      </w:r>
      <w:r>
        <w:t xml:space="preserve"> </w:t>
      </w:r>
      <w:r>
        <w:t>0.05</w:t>
      </w:r>
      <w:r>
        <w:t xml:space="preserve"> </w:t>
      </w:r>
      <w:r>
        <w:t>铜</w:t>
      </w:r>
      <w:r>
        <w:t xml:space="preserve"> </w:t>
      </w:r>
      <w:r>
        <w:t>0.1</w:t>
      </w:r>
      <w:r>
        <w:t xml:space="preserve"> </w:t>
      </w:r>
      <w:r>
        <w:t>钛</w:t>
      </w:r>
      <w:r>
        <w:t xml:space="preserve"> </w:t>
      </w:r>
      <w:r>
        <w:t>0.15</w:t>
      </w:r>
      <w:r>
        <w:t xml:space="preserve"> </w:t>
      </w:r>
      <w:r>
        <w:t>氧</w:t>
      </w:r>
      <w:r>
        <w:rPr>
          <w:vertAlign w:val="subscript"/>
        </w:rPr>
        <w:t>2</w:t>
      </w:r>
      <w:r>
        <w:t>(NMNLCTO) 阴极在 1.5–4.5 V 的电压范围内。原位/异位表征和理论计算表明，DMDF 有助于形成坚固的富含 NaF 的阴极电解质界面，抑制电解质分解，并调节快速 Na2 的溶剂化结构</w:t>
      </w:r>
      <w:r>
        <w:t xml:space="preserve"> </w:t>
      </w:r>
      <w:r>
        <w:t>+</w:t>
      </w:r>
      <w:r>
        <w:t xml:space="preserve"> </w:t>
      </w:r>
      <w:r>
        <w:t>运输。配制的 NaClO</w:t>
      </w:r>
      <w:r>
        <w:rPr>
          <w:vertAlign w:val="subscript"/>
        </w:rPr>
        <w:t>4</w:t>
      </w:r>
      <w:r>
        <w:t>/carbonate-DMDF 电解质赋予 NMNLCTO 正极破纪录的循环稳定性，在 500 mA g-1 下 600 次循环后实现 80% 的容量保持率</w:t>
      </w:r>
      <w:r>
        <w:t xml:space="preserve"> </w:t>
      </w:r>
      <w:r>
        <w:t>-</w:t>
      </w:r>
      <w:r>
        <w:rPr>
          <w:vertAlign w:val="subscript"/>
        </w:rPr>
        <w:t>1</w:t>
      </w:r>
      <w:r>
        <w:t>。组装好的硬碳//NMNLCTO全电池可提供高</w:t>
      </w:r>
    </w:p>
    <w:p>
      <w:pPr>
        <w:spacing w:before="0" w:after="200" w:lineRule="auto" w:line="276"/>
      </w:pPr>
      <w:r>
        <w:rPr>
          <w:b/>
        </w:rPr>
        <w:t xml:space="preserve">Abstract (EN): </w:t>
      </w:r>
      <w:r>
        <w:t>O3‐type layered oxides have emerged as promising cathode materials for sodium‐ion batteries (SIBs) due to their high reversible capacity. However, their fast‐charging and long‐term cyclability under high‐voltage operation are limited by interfacial and structural degradation, such as electrolyte decomposition, oxygen release, transition‐metal dissolution, and irreversible phase transitions. Herein, a multifunctional co‐solvent of dimethyl difluoromalonate (DMDF) is introduced into carbonate electrolytes to stabilize O3‐type Na</w:t>
      </w:r>
      <w:r>
        <w:t xml:space="preserve"> </w:t>
      </w:r>
      <w:r>
        <w:t>0.85</w:t>
      </w:r>
      <w:r>
        <w:t xml:space="preserve"> </w:t>
      </w:r>
      <w:r>
        <w:t>Mn</w:t>
      </w:r>
      <w:r>
        <w:t xml:space="preserve"> </w:t>
      </w:r>
      <w:r>
        <w:t>0.45</w:t>
      </w:r>
      <w:r>
        <w:t xml:space="preserve"> </w:t>
      </w:r>
      <w:r>
        <w:t>Ni</w:t>
      </w:r>
      <w:r>
        <w:t xml:space="preserve"> </w:t>
      </w:r>
      <w:r>
        <w:t>0.25</w:t>
      </w:r>
      <w:r>
        <w:t xml:space="preserve"> </w:t>
      </w:r>
      <w:r>
        <w:t>Li</w:t>
      </w:r>
      <w:r>
        <w:t xml:space="preserve"> </w:t>
      </w:r>
      <w:r>
        <w:t>0.05</w:t>
      </w:r>
      <w:r>
        <w:t xml:space="preserve"> </w:t>
      </w:r>
      <w:r>
        <w:t>Cu</w:t>
      </w:r>
      <w:r>
        <w:t xml:space="preserve"> </w:t>
      </w:r>
      <w:r>
        <w:t>0.1</w:t>
      </w:r>
      <w:r>
        <w:t xml:space="preserve"> </w:t>
      </w:r>
      <w:r>
        <w:t>Ti</w:t>
      </w:r>
      <w:r>
        <w:t xml:space="preserve"> </w:t>
      </w:r>
      <w:r>
        <w:t>0.15</w:t>
      </w:r>
      <w:r>
        <w:t xml:space="preserve"> </w:t>
      </w:r>
      <w:r>
        <w:t>O</w:t>
      </w:r>
      <w:r>
        <w:rPr>
          <w:vertAlign w:val="subscript"/>
        </w:rPr>
        <w:t>2</w:t>
      </w:r>
      <w:r>
        <w:t>(NMNLCTO) cathode within a voltage range of 1.5–4.5 V. In/ex situ characterizations and theoretical calculations reveal that the DMDF facilitates the formation of a robust NaF‐rich cathode‐electrolyte interface, suppresses electrolyte decomposition, and regulates solvation structure for fast Na</w:t>
      </w:r>
      <w:r>
        <w:t xml:space="preserve"> </w:t>
      </w:r>
      <w:r>
        <w:t>+</w:t>
      </w:r>
      <w:r>
        <w:t xml:space="preserve"> </w:t>
      </w:r>
      <w:r>
        <w:t>transport. The formulated NaClO</w:t>
      </w:r>
      <w:r>
        <w:rPr>
          <w:vertAlign w:val="subscript"/>
        </w:rPr>
        <w:t>4</w:t>
      </w:r>
      <w:r>
        <w:t>/carbonate‐DMDF electrolyte endows the NMNLCTO cathode with record‐breaking cycling stability, achieving 80% capacity retention over 600 cycles at 500 mA g</w:t>
      </w:r>
      <w:r>
        <w:t xml:space="preserve"> </w:t>
      </w:r>
      <w:r>
        <w:t>−</w:t>
      </w:r>
      <w:r>
        <w:rPr>
          <w:vertAlign w:val="subscript"/>
        </w:rPr>
        <w:t>1</w:t>
      </w:r>
      <w:r>
        <w:t>. The assembled hard carbon//NMNLCTO full cells deliver high energy densities of 304.5 and 156.4 Wh kg</w:t>
      </w:r>
      <w:r>
        <w:t xml:space="preserve"> </w:t>
      </w:r>
      <w:r>
        <w:t>−</w:t>
      </w:r>
      <w:r>
        <w:rPr>
          <w:vertAlign w:val="subscript"/>
        </w:rPr>
        <w:t>1</w:t>
      </w:r>
      <w:r>
        <w:t>(based on the mass of the cathode and anode) at 20 and 800 mA g</w:t>
      </w:r>
      <w:r>
        <w:t xml:space="preserve"> </w:t>
      </w:r>
      <w:r>
        <w:t>−</w:t>
      </w:r>
      <w:r>
        <w:rPr>
          <w:vertAlign w:val="subscript"/>
        </w:rPr>
        <w:t>1</w:t>
      </w:r>
      <w:r>
        <w:t>, respectively. This work indicates that dimethyl difluoromalonate acts as an efficient co‐solvent to upgrade O3‐type SIB cathodes under high‐voltage operation.</w:t>
      </w:r>
    </w:p>
    <w:p>
      <w:pPr>
        <w:spacing w:before="120" w:after="120"/>
      </w:pPr>
      <w:r>
        <w:rPr>
          <w:sz w:val="18"/>
        </w:rPr>
        <w:t>——————————————————————————————————————————————————————————————————————</w:t>
      </w:r>
    </w:p>
    <w:p>
      <w:pPr>
        <w:spacing w:before="160" w:after="40" w:line="240" w:lineRule="auto"/>
      </w:pPr>
      <w:r>
        <w:rPr>
          <w:b/>
        </w:rPr>
        <w:t xml:space="preserve">[4] </w:t>
      </w:r>
      <w:hyperlink r:id="rId59">
        <w:r>
          <w:rPr>
            <w:color w:val="1155CC"/>
            <w:u w:val="single"/>
          </w:rPr>
          <w:t>阻止α-氢的氧化使非氟化溶剂在锂电池中实现高电位稳定性</w:t>
        </w:r>
      </w:hyperlink>
    </w:p>
    <w:p>
      <w:pPr>
        <w:spacing w:before="0" w:after="80"/>
      </w:pPr>
      <w:r>
        <w:rPr>
          <w:i/>
          <w:sz w:val="20"/>
        </w:rPr>
        <w:t>EN: Blocking oxidation of α-hydrogens enables non-fluorinated solvents to achieve high-potential stability in lithium batteries</w:t>
      </w:r>
    </w:p>
    <w:p>
      <w:pPr>
        <w:spacing w:before="0" w:after="120"/>
      </w:pPr>
      <w:r>
        <w:rPr>
          <w:b/>
        </w:rPr>
        <w:t xml:space="preserve">Source: </w:t>
      </w:r>
      <w:r>
        <w:t>Nature Chemistry</w:t>
      </w:r>
      <w:r>
        <w:t xml:space="preserve">    </w:t>
      </w:r>
      <w:r>
        <w:rPr>
          <w:b/>
        </w:rPr>
        <w:t xml:space="preserve">Pub date: </w:t>
      </w:r>
      <w:r>
        <w:t>2026-05-26 00:00:00+00:00</w:t>
      </w:r>
      <w:r>
        <w:t xml:space="preserve">    </w:t>
      </w:r>
      <w:r>
        <w:rPr>
          <w:b/>
        </w:rPr>
        <w:t xml:space="preserve">DOI: </w:t>
      </w:r>
      <w:hyperlink r:id="rId60">
        <w:r>
          <w:rPr>
            <w:color w:val="1155CC"/>
            <w:u w:val="single"/>
          </w:rPr>
          <w:t>10.1038/s41557-026-02161-2</w:t>
        </w:r>
      </w:hyperlink>
    </w:p>
    <w:p>
      <w:pPr>
        <w:spacing w:before="0" w:after="120"/>
      </w:pPr>
      <w:r>
        <w:rPr>
          <w:b/>
        </w:rPr>
        <w:t xml:space="preserve">Notes: </w:t>
      </w:r>
      <w:r>
        <w:t>abstract_source=nature_html</w:t>
      </w:r>
    </w:p>
    <w:p>
      <w:pPr>
        <w:spacing w:before="0" w:after="80" w:lineRule="auto" w:line="276"/>
      </w:pPr>
      <w:r>
        <w:rPr>
          <w:b/>
        </w:rPr>
        <w:t xml:space="preserve">摘要（ZH）: </w:t>
      </w:r>
      <w:r>
        <w:t>开发高能、低成本、环保的下一代电池对于工业应用至关重要。富锂锰基氧化物正极可提供大量的比能量，这得益于其在高充电电位（相对于 Li/Li+ 而言&gt;4.6 V）下的高比容量。然而，在如此高的电势下稳定运行仍然具有挑战性，因为大多数电解质依赖于对环境不友好的氟化溶剂。在这里，我们确定羰基的α-氧化是羧酸酯的主要氧化机制。通过去除乙酸甲酯的所有活性 α-氢，我们证明三甲基乙酸甲酯是一种非氟化、高电位稳定的溶剂。与 Li/Li+ 相比，该溶剂在高达 5.6 V 的电压下表现出出色的氧化稳定性，并且使用基于三甲基乙酸甲酯的电解质的电化学电池可在 4.6/4.7 V 下保持稳定的循环，优于许多氟化系统。工业规模的 7.2-Ah 软包电池在 0.1 C/0.2 C 下循环 28 次后达到了 652.4 Wh kg−1 的最大比能量，容量保持率为 94.5%。这项工作提供了一种简单的分子设计策略，可解决下一代高压锂电池的比能量、成本和可持续性问题。该图像的替代文本可能是使用 AI 生成的。</w:t>
      </w:r>
    </w:p>
    <w:p>
      <w:pPr>
        <w:spacing w:before="0" w:after="200" w:lineRule="auto" w:line="276"/>
      </w:pPr>
      <w:r>
        <w:rPr>
          <w:b/>
        </w:rPr>
        <w:t xml:space="preserve">Abstract (EN): </w:t>
      </w:r>
      <w:r>
        <w:t>Developing next-generation batteries that are high-energy, low-cost and eco-friendly is crucial for industrial applications. Lithium-rich manganese-based oxide positive electrodes offer substantial specific energy, enabled by their high specific capacity at high charging potential (&gt;4.6 V versus Li/Li+). However, stable operation at such high potentials remains challenging, as most electrolytes rely on environmentally unfriendly fluorinated solvents. Here we identified α-oxidation of the carbonyl group as the main oxidation mechanism of carboxylate esters. By removing all the reactive α-hydrogens of methyl acetate, we demonstrate that methyl trimethylacetate is a non-fluorinated, high-potential-stable solvent. This solvent exhibits outstanding oxidative stability up to 5.6 V versus Li/Li+, and electrochemical cells using methyl-trimethylacetate-based electrolytes maintain stable cycling at 4.6/4.7 V, outperforming many fluorinated systems. An industrial-scale 7.2-Ah pouch cell reached a maximum specific energy of 652.4 Wh kg−1 with 94.5% capacity retention after 28 cycles at 0.1 C/0.2 C. This work provides a simple molecular design strategy that addresses specific energy, cost and sustainability in next-generation high-voltage lithium batteries.The alternative text for this image may have been generated using AI.</w:t>
      </w:r>
    </w:p>
    <w:p>
      <w:pPr>
        <w:spacing w:before="120" w:after="120"/>
      </w:pPr>
      <w:r>
        <w:rPr>
          <w:sz w:val="18"/>
        </w:rPr>
        <w:t>——————————————————————————————————————————————————————————————————————</w:t>
      </w:r>
    </w:p>
    <w:p>
      <w:pPr>
        <w:spacing w:before="160" w:after="40" w:line="240" w:lineRule="auto"/>
      </w:pPr>
      <w:r>
        <w:rPr>
          <w:b/>
        </w:rPr>
        <w:t xml:space="preserve">[5] </w:t>
      </w:r>
      <w:hyperlink r:id="rId89">
        <w:r>
          <w:rPr>
            <w:color w:val="1155CC"/>
            <w:u w:val="single"/>
          </w:rPr>
          <w:t>金属电极电势随离子添加而变化</w:t>
        </w:r>
      </w:hyperlink>
    </w:p>
    <w:p>
      <w:pPr>
        <w:spacing w:before="0" w:after="80"/>
      </w:pPr>
      <w:r>
        <w:rPr>
          <w:i/>
          <w:sz w:val="20"/>
        </w:rPr>
        <w:t>EN: Metal electrode potential diverges with ion additions</w:t>
      </w:r>
    </w:p>
    <w:p>
      <w:pPr>
        <w:spacing w:before="0" w:after="120"/>
      </w:pPr>
      <w:r>
        <w:rPr>
          <w:b/>
        </w:rPr>
        <w:t xml:space="preserve">Source: </w:t>
      </w:r>
      <w:r>
        <w:t>Nature Chemistry</w:t>
      </w:r>
      <w:r>
        <w:t xml:space="preserve">    </w:t>
      </w:r>
      <w:r>
        <w:rPr>
          <w:b/>
        </w:rPr>
        <w:t xml:space="preserve">Pub date: </w:t>
      </w:r>
      <w:r>
        <w:t>2026-05-26 00:00:00+00:00</w:t>
      </w:r>
      <w:r>
        <w:t xml:space="preserve">    </w:t>
      </w:r>
      <w:r>
        <w:rPr>
          <w:b/>
        </w:rPr>
        <w:t xml:space="preserve">DOI: </w:t>
      </w:r>
      <w:hyperlink r:id="rId90">
        <w:r>
          <w:rPr>
            <w:color w:val="1155CC"/>
            <w:u w:val="single"/>
          </w:rPr>
          <w:t>10.1038/s41557-026-02150-5</w:t>
        </w:r>
      </w:hyperlink>
    </w:p>
    <w:p>
      <w:pPr>
        <w:spacing w:before="0" w:after="120"/>
      </w:pPr>
      <w:r>
        <w:rPr>
          <w:b/>
        </w:rPr>
        <w:t xml:space="preserve">Notes: </w:t>
      </w:r>
      <w:r>
        <w:t>abstract_source=nature_html</w:t>
      </w:r>
    </w:p>
    <w:p>
      <w:pPr>
        <w:spacing w:before="0" w:after="80" w:lineRule="auto" w:line="276"/>
      </w:pPr>
      <w:r>
        <w:rPr>
          <w:b/>
        </w:rPr>
        <w:t xml:space="preserve">摘要（ZH）: </w:t>
      </w:r>
      <w:r>
        <w:t>电极氧化还原电位随电解质变化很大，决定着电化学反应的方向和热力学驱动力。然而，对氧化还原电位变化的全面理解和有效控制仍未建立。在这里，我们报告了配位壳离子对金属电极氧化还原电位的显着影响。金属离子与周围硬度/软度差异较大的阴离子和阳离子之间的协同相互作用放大了氧化还原电位的变化，液体马德隆电位证实了这一点。具体来说，在 Zn/Zn2+ 体系中，添加软阴离子与硬阳离子配对会破坏 Zn2+ 溶液结构的稳定性并提高氧化还原电位，而硬阴离子与软阳离子则稳定结构并导致氧化还原电位降低。遵循这一原理，可以实现超过 0.6 V 的电位间隙——对于二价系统来说，这是一个非常大但合理的值。这种基于离子硬度/软度的策略还证明了在镀锌/剥离测试中的实际优势，其中氧化还原电位升高的电解质使平均库仑效率超过 99.9%。该图像的替代文本可能是使用 AI 生成的。</w:t>
      </w:r>
    </w:p>
    <w:p>
      <w:pPr>
        <w:spacing w:before="0" w:after="200" w:lineRule="auto" w:line="276"/>
      </w:pPr>
      <w:r>
        <w:rPr>
          <w:b/>
        </w:rPr>
        <w:t xml:space="preserve">Abstract (EN): </w:t>
      </w:r>
      <w:r>
        <w:t>The electrode redox potential, which varies substantially with the electrolyte, governs both the direction and thermodynamic driving force of electrochemical reactions. However, a comprehensive understanding and effective control of redox potential shifts remain unestablished. Here we report the pronounced effect of coordination-shell ions on the redox potential of metal electrodes. Cooperative interactions between the metal ion and surrounding anions and cations with large differences in hardness/softness amplify the redox potential shift, as corroborated by liquid Madelung potential. Specifically, in the Zn/Zn2+ system, the addition of soft anions paired with hard cations destabilizes the Zn2+ solution structure and upshifts the redox potential, whereas hard anions with soft cations stabilize the structure and induce a downshift. Following this principle, a potential gap exceeding 0.6 V was achieved—a remarkably large but reasonable value for a divalent system. This ion hardness/softness-based strategy also demonstrates practical benefits in Zn plating/stripping tests, where electrolytes with upshifted redox potentials enable an average Coulombic efficiency exceeding 99.9%.The alternative text for this image may have been generated using AI.</w:t>
      </w:r>
    </w:p>
    <w:p>
      <w:pPr>
        <w:spacing w:before="120" w:after="120"/>
      </w:pPr>
      <w:r>
        <w:rPr>
          <w:sz w:val="18"/>
        </w:rPr>
        <w:t>——————————————————————————————————————————————————————————————————————</w:t>
      </w:r>
    </w:p>
    <w:p>
      <w:pPr>
        <w:spacing w:before="160" w:after="40" w:line="240" w:lineRule="auto"/>
      </w:pPr>
      <w:r>
        <w:rPr>
          <w:b/>
        </w:rPr>
        <w:t xml:space="preserve">[6] </w:t>
      </w:r>
      <w:hyperlink r:id="rId106">
        <w:r>
          <w:rPr>
            <w:color w:val="1155CC"/>
            <w:u w:val="single"/>
          </w:rPr>
          <w:t>用于固态钠电池的阶梯通道凝胶聚合物电解质</w:t>
        </w:r>
      </w:hyperlink>
    </w:p>
    <w:p>
      <w:pPr>
        <w:spacing w:before="0" w:after="80"/>
      </w:pPr>
      <w:r>
        <w:rPr>
          <w:i/>
          <w:sz w:val="20"/>
        </w:rPr>
        <w:t>EN: A step-channel gel polymer electrolyte for solid-state sodium batteries</w:t>
      </w:r>
    </w:p>
    <w:p>
      <w:pPr>
        <w:spacing w:before="0" w:after="120"/>
      </w:pPr>
      <w:r>
        <w:rPr>
          <w:b/>
        </w:rPr>
        <w:t xml:space="preserve">Source: </w:t>
      </w:r>
      <w:r>
        <w:t>National Science Review Advance Access</w:t>
      </w:r>
      <w:r>
        <w:t xml:space="preserve">    </w:t>
      </w:r>
      <w:r>
        <w:rPr>
          <w:b/>
        </w:rPr>
        <w:t xml:space="preserve">Pub date: </w:t>
      </w:r>
      <w:r>
        <w:t>2026-05-26 00:00:00+00:00</w:t>
      </w:r>
      <w:r>
        <w:t xml:space="preserve">    </w:t>
      </w:r>
      <w:r>
        <w:rPr>
          <w:b/>
        </w:rPr>
        <w:t xml:space="preserve">DOI: </w:t>
      </w:r>
      <w:hyperlink r:id="rId107">
        <w:r>
          <w:rPr>
            <w:color w:val="1155CC"/>
            <w:u w:val="single"/>
          </w:rPr>
          <w:t>10.1093/nsr/nwag291</w:t>
        </w:r>
      </w:hyperlink>
    </w:p>
    <w:p>
      <w:pPr>
        <w:spacing w:before="0" w:after="120"/>
      </w:pPr>
      <w:r>
        <w:rPr>
          <w:b/>
        </w:rPr>
        <w:t xml:space="preserve">Notes: </w:t>
      </w:r>
      <w:r>
        <w:t>abstract_source=rss_oup</w:t>
      </w:r>
    </w:p>
    <w:p>
      <w:pPr>
        <w:spacing w:before="0" w:after="80" w:lineRule="auto" w:line="276"/>
      </w:pPr>
      <w:r>
        <w:rPr>
          <w:b/>
        </w:rPr>
        <w:t xml:space="preserve">摘要（ZH）: </w:t>
      </w:r>
      <w:r>
        <w:t>凝胶聚合物电解质（GPE）与丰富的钠（Na）和高压聚阴离子阴极相结合，可提供更高的能量密度和卓越的安全性，使其成为资源有限的锂电池的可扩展候选者。然而，此类技术受到关键的界面工程挑战的困扰：现有的 GPE 无法维持高负载阴极和高反应性阳极的（电化学）稳定性和机械紧密接触。在这里，我们报告了一种合理设计的 GPE，其特征是双相聚合物，通过创建阶梯通道和聚合物-溶剂偶极吸附来解决关键问题。填充线性醚和环状碳酸酯溶剂的体积约束双向传输和高负载阴极和延性钠阳极的微分聚合物机械粘弹性。因此，Na||Na3V2(PO4)3 的高能量密度全电池（34.1 mg cmcathode−2，194.4 Wh kg−1，基于总电池质量）和 4.5 V 级 Na||Na2.466Fe1.724Mg0.043(SO4)3 的稳定软包电池（18.7 mg cmcathode−2，100 次后~100%）周期）进行了论证，包括安全验证。为实现实用固态电池的新化学工程途径制定了设计原则。</w:t>
      </w:r>
    </w:p>
    <w:p>
      <w:pPr>
        <w:spacing w:before="0" w:after="200" w:lineRule="auto" w:line="276"/>
      </w:pPr>
      <w:r>
        <w:rPr>
          <w:b/>
        </w:rPr>
        <w:t xml:space="preserve">Abstract (EN): </w:t>
      </w:r>
      <w:r>
        <w:t>Gel polymer electrolytes (GPEs) paired with abundant sodium (Na) and high-voltage polyanion cathode, offer improved energy density and superior safety, positioning them as scalable candidates for resource-limited lithium batteries. However, such technologies are plagued by critical interfacial engineering challenges: existing GPEs fail to sustain (electro)-chemical stability and mechanical close contact at high-loading cathode and high-reactive anode. Here, we report a rationally-engineered GPE featuring biphasic polymer, creating step channels and polymer-solvent dipole adsorption to address the key issues. The volume-constrained bidirectional transport of infilling linear ether and cyclic carbonate solvents and differential polymer mechanical viscoelasticity bearing high-loading cathode and ductile Na anode. Therefore, a high-energy-density full cell of Na||Na3V2(PO4)3 (34.1 mg cmcathode−2, 194.4 Wh kg−1, based on total cell mass) and a stable pouch cell of 4.5 V-class Na||Na2.466Fe1.724Mg0.043(SO4)3 (18.7 mg cmcathode−2, ~100% after 100 cycles) were demonstrated, with safety validation included. The design principles were established for this new chemical engineering pathway towards practical solid-state batteries.</w:t>
      </w:r>
    </w:p>
    <w:p>
      <w:pPr>
        <w:spacing w:before="120" w:after="120"/>
      </w:pPr>
      <w:r>
        <w:rPr>
          <w:sz w:val="18"/>
        </w:rPr>
        <w:t>——————————————————————————————————————————————————————————————————————</w:t>
      </w:r>
    </w:p>
    <w:p>
      <w:pPr>
        <w:spacing w:before="160" w:after="40" w:line="240" w:lineRule="auto"/>
      </w:pPr>
      <w:r>
        <w:rPr>
          <w:b/>
        </w:rPr>
        <w:t xml:space="preserve">[7] </w:t>
      </w:r>
      <w:hyperlink r:id="rId67">
        <w:r>
          <w:rPr>
            <w:color w:val="1155CC"/>
            <w:u w:val="single"/>
          </w:rPr>
          <w:t>自限性共价连接机制使有机硫化物全固态锂电池具有异常高的界面相容性</w:t>
        </w:r>
      </w:hyperlink>
    </w:p>
    <w:p>
      <w:pPr>
        <w:spacing w:before="0" w:after="80"/>
      </w:pPr>
      <w:r>
        <w:rPr>
          <w:i/>
          <w:sz w:val="20"/>
        </w:rPr>
        <w:t>EN: Self‐Limiting Covalent Ligation Mechanism Enabling Anomalously High Interfacial Compatibility in Organic‐in‐Sulfide All‐Solid‐State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2026-05-26 16:23:14+00:00</w:t>
      </w:r>
      <w:r>
        <w:t xml:space="preserve">    </w:t>
      </w:r>
      <w:r>
        <w:rPr>
          <w:b/>
        </w:rPr>
        <w:t xml:space="preserve">DOI: </w:t>
      </w:r>
      <w:hyperlink r:id="rId68">
        <w:r>
          <w:rPr>
            <w:color w:val="1155CC"/>
            <w:u w:val="single"/>
          </w:rPr>
          <w:t>10.1002/anie.9377760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聚合物复合电解质由于其按需成型和快速离子扩散率而成为全固态锂电池（ASSLB）的非常有前途的候选者。然而，环氧乙烷系链聚丙烯酸酯（EO-PA）出现了一个惊人的悖论：它们的高极性/强亲核倾向对硫化物稳定性构成主要威胁，但在实践中却表现出异常高的聚合物/硫化物相容性。根本机制仍然是一个不确定的问题。在这里，我们首先揭示了一种自限性共价连接机制，可以解释这种相容性悖论。这一原则的核心是识别末端 -CH 之间的密切相互作用</w:t>
      </w:r>
      <w:r>
        <w:rPr>
          <w:vertAlign w:val="subscript"/>
        </w:rPr>
        <w:t>3</w:t>
      </w:r>
      <w:r>
        <w:t>在 EO-PA 和 PS 中</w:t>
      </w:r>
      <w:r>
        <w:rPr>
          <w:vertAlign w:val="subscript"/>
        </w:rPr>
        <w:t>4</w:t>
      </w:r>
      <w:r>
        <w:t>3−</w:t>
      </w:r>
      <w:r>
        <w:t>单位为李</w:t>
      </w:r>
      <w:r>
        <w:rPr>
          <w:vertAlign w:val="subscript"/>
        </w:rPr>
        <w:t>6</w:t>
      </w:r>
      <w:r>
        <w:t>聚苯乙烯</w:t>
      </w:r>
      <w:r>
        <w:rPr>
          <w:vertAlign w:val="subscript"/>
        </w:rPr>
        <w:t>5</w:t>
      </w:r>
      <w:r>
        <w:t>Cl不仅抑制EO配体的寄生亲核反应，而且增强空气稳定性。自限制界面经过密度泛函理论计算的严格验证，</w:t>
      </w:r>
      <w:r>
        <w:rPr>
          <w:vertAlign w:val="subscript"/>
        </w:rPr>
        <w:t>31</w:t>
      </w:r>
      <w:r>
        <w:t>P 固态核磁共振、X 射线计算机断层扫描和飞行时间二次离子质谱。坚固的硫化物聚合物电解质可在 3 mA cm 电流下实现超过 1200 小时的无枝晶锂电镀/剥离</w:t>
      </w:r>
      <w:r>
        <w:t xml:space="preserve"> </w:t>
      </w:r>
      <w:r>
        <w:t>−2</w:t>
      </w:r>
      <w:r>
        <w:t xml:space="preserve"> </w:t>
      </w:r>
      <w:r>
        <w:t>在 NCM811 基础上，经过 1000 次循环后，容量保持率约为 100%</w:t>
      </w:r>
    </w:p>
    <w:p>
      <w:pPr>
        <w:spacing w:before="0" w:after="200" w:lineRule="auto" w:line="276"/>
      </w:pPr>
      <w:r>
        <w:rPr>
          <w:b/>
        </w:rPr>
        <w:t xml:space="preserve">Abstract (EN): </w:t>
      </w:r>
      <w:r>
        <w:t>Polymer‐in‐sulfide composite electrolytes have emerged as highly promising candidates for all‐solid‐state lithium batteries (ASSLBs) due to their on‐demand shaping and rapid ion diffusivity. However, a striking paradox arises in the case of ethylene oxide‐tethered polyacrylates (EO‐PAs): their high polarity/strong nucleophilic tendencies constitute a major threat to sulfide stability yet exhibit anomalously high polymer/sulfide compatibility in practice. The underlying mechanism remains a matter of uncertainty. Herein, we first reveal a self‐limiting covalent ligation mechanism that accounts for this compatibility paradox. Central to this principle is the identification of intimate interactions between terminal −CH</w:t>
      </w:r>
      <w:r>
        <w:rPr>
          <w:vertAlign w:val="subscript"/>
        </w:rPr>
        <w:t>3</w:t>
      </w:r>
      <w:r>
        <w:t>in EO‐PAs and PS</w:t>
      </w:r>
      <w:r>
        <w:rPr>
          <w:vertAlign w:val="subscript"/>
        </w:rPr>
        <w:t>4</w:t>
      </w:r>
      <w:r>
        <w:t>3−</w:t>
      </w:r>
      <w:r>
        <w:t>units in Li</w:t>
      </w:r>
      <w:r>
        <w:rPr>
          <w:vertAlign w:val="subscript"/>
        </w:rPr>
        <w:t>6</w:t>
      </w:r>
      <w:r>
        <w:t>PS</w:t>
      </w:r>
      <w:r>
        <w:rPr>
          <w:vertAlign w:val="subscript"/>
        </w:rPr>
        <w:t>5</w:t>
      </w:r>
      <w:r>
        <w:t>Cl, not only suppressing parasitic nucleophilic reactions by EO ligands but also enhancing air stability. The self‐limiting interface was rigorously validated by density functional theory calculations,</w:t>
      </w:r>
      <w:r>
        <w:rPr>
          <w:vertAlign w:val="subscript"/>
        </w:rPr>
        <w:t>31</w:t>
      </w:r>
      <w:r>
        <w:t>P solid‐state nuclear magnetic resonance, x‐ray computed tomography, and time of flight secondary ion mass spectrometry. The robust polymer‐in‐sulfide electrolyte achieves dendrite‐free Li plating/stripping for over 1200 h at 3 mA cm</w:t>
      </w:r>
      <w:r>
        <w:t xml:space="preserve"> </w:t>
      </w:r>
      <w:r>
        <w:t>−2</w:t>
      </w:r>
      <w:r>
        <w:t xml:space="preserve"> </w:t>
      </w:r>
      <w:r>
        <w:t>and delivers approximately 100% capacity retention over 1000 cycles in NCM811‐based ASSLBs. These findings elucidate the core mechanism of interface regulation and provide pivotal guidance for the development of high‐performance ASSLBs.</w:t>
      </w:r>
    </w:p>
    <w:p>
      <w:pPr>
        <w:spacing w:before="120" w:after="120"/>
      </w:pPr>
      <w:r>
        <w:rPr>
          <w:sz w:val="18"/>
        </w:rPr>
        <w:t>——————————————————————————————————————————————————————————————————————</w:t>
      </w:r>
    </w:p>
    <w:p>
      <w:pPr>
        <w:spacing w:before="160" w:after="40" w:line="240" w:lineRule="auto"/>
      </w:pPr>
      <w:r>
        <w:rPr>
          <w:b/>
        </w:rPr>
        <w:t xml:space="preserve">[8] </w:t>
      </w:r>
      <w:hyperlink r:id="rId93">
        <w:r>
          <w:rPr>
            <w:color w:val="1155CC"/>
            <w:u w:val="single"/>
          </w:rPr>
          <w:t>通过锂金属固态电池中的横向锂通量抑制枝晶</w:t>
        </w:r>
      </w:hyperlink>
    </w:p>
    <w:p>
      <w:pPr>
        <w:spacing w:before="0" w:after="80"/>
      </w:pPr>
      <w:r>
        <w:rPr>
          <w:i/>
          <w:sz w:val="20"/>
        </w:rPr>
        <w:t>EN: Suppressing Dendrites via Lateral Lithium Flux in Li Metal Solid-State Batteries</w:t>
      </w:r>
    </w:p>
    <w:p>
      <w:pPr>
        <w:spacing w:before="0" w:after="120"/>
      </w:pPr>
      <w:r>
        <w:rPr>
          <w:b/>
        </w:rPr>
        <w:t xml:space="preserve">Source: </w:t>
      </w:r>
      <w:r>
        <w:t>RSC - Energy Environ. Sci. latest articles</w:t>
      </w:r>
      <w:r>
        <w:t xml:space="preserve">    </w:t>
      </w:r>
      <w:r>
        <w:rPr>
          <w:b/>
        </w:rPr>
        <w:t xml:space="preserve">Pub date: </w:t>
      </w:r>
      <w:r>
        <w:t>2026-05-26 23:00:00+00:00</w:t>
      </w:r>
    </w:p>
    <w:p>
      <w:pPr>
        <w:spacing w:before="0" w:after="120"/>
      </w:pPr>
      <w:r>
        <w:rPr>
          <w:b/>
        </w:rPr>
        <w:t xml:space="preserve">Notes: </w:t>
      </w:r>
      <w:r>
        <w:t>abstract_source=rsc_html</w:t>
      </w:r>
    </w:p>
    <w:p>
      <w:pPr>
        <w:spacing w:before="0" w:after="80" w:lineRule="auto" w:line="276"/>
      </w:pPr>
      <w:r>
        <w:rPr>
          <w:b/>
        </w:rPr>
        <w:t xml:space="preserve">摘要（ZH）: </w:t>
      </w:r>
      <w:r>
        <w:t>锂枝晶生长由空隙形成驱动的固态电解质（SSE）界面仍然是锂金属固态电池部署的主要障碍。在这里，我们揭示了横向锂通量的机制，解释了界面层（IL）如何沿着Li | SSE 界面能够抑制空洞形成，从而防止枝晶生长。使用Li3Sb作为模型IL和Li7La3Zr2O12作为基准SSE，我们直接可视化和量化横向锂传输，证明IL通过散焦局部电流密度来减轻空洞形成。这种机制解释了 IL 功能化 Li 的循环稳定性。 SSE 连接并提供安全、高能量密度锂金属固态电池的设计原理。</w:t>
      </w:r>
    </w:p>
    <w:p>
      <w:pPr>
        <w:spacing w:before="0" w:after="200" w:lineRule="auto" w:line="276"/>
      </w:pPr>
      <w:r>
        <w:rPr>
          <w:b/>
        </w:rPr>
        <w:t xml:space="preserve">Abstract (EN): </w:t>
      </w:r>
      <w:r>
        <w:t>Lithium dendrite growth at the lithium | solid-state electrolyte (SSE) interface, driven by void formation, remains a major barrier to the deployment of Li metal solid-state batteries. Here, we reveal a mechanism of lateral lithium flux that explains how interfacial layers (ILs) along the Li | SSE interface enable suppressing void formation and thereby prevent dendrite growth. Using Li3Sb as a model IL and Li7La3Zr2O12 as a benchmark SSE, we directly visualize and quantify lateral lithium transport, demonstrating that ILs mitigate void formation by defocusing the local current density. This mechanism accounts for the cycling stability of IL-functionalized Li | SSE interfaces and provides design principles for safe, high-energy-density Li metal solid-state batteries.</w:t>
      </w:r>
    </w:p>
    <w:p>
      <w:pPr>
        <w:spacing w:before="120" w:after="120"/>
      </w:pPr>
      <w:r>
        <w:rPr>
          <w:sz w:val="18"/>
        </w:rPr>
        <w:t>——————————————————————————————————————————————————————————————————————</w:t>
      </w:r>
    </w:p>
    <w:p>
      <w:pPr>
        <w:spacing w:before="160" w:after="40" w:line="240" w:lineRule="auto"/>
      </w:pPr>
      <w:r>
        <w:rPr>
          <w:b/>
        </w:rPr>
        <w:t xml:space="preserve">[9] </w:t>
      </w:r>
      <w:hyperlink r:id="rId108">
        <w:r>
          <w:rPr>
            <w:color w:val="1155CC"/>
            <w:u w:val="single"/>
          </w:rPr>
          <w:t>原位聚合物接枝中间相可实现坚固的钾离子电池</w:t>
        </w:r>
      </w:hyperlink>
    </w:p>
    <w:p>
      <w:pPr>
        <w:spacing w:before="0" w:after="80"/>
      </w:pPr>
      <w:r>
        <w:rPr>
          <w:i/>
          <w:sz w:val="20"/>
        </w:rPr>
        <w:t>EN: In situ polymer-grafted interphases enable robust potassium-ion batteries</w:t>
      </w:r>
    </w:p>
    <w:p>
      <w:pPr>
        <w:spacing w:before="0" w:after="120"/>
      </w:pPr>
      <w:r>
        <w:rPr>
          <w:b/>
        </w:rPr>
        <w:t xml:space="preserve">Source: </w:t>
      </w:r>
      <w:r>
        <w:t>Matter</w:t>
      </w:r>
      <w:r>
        <w:t xml:space="preserve">    </w:t>
      </w:r>
      <w:r>
        <w:rPr>
          <w:b/>
        </w:rPr>
        <w:t xml:space="preserve">Pub date: </w:t>
      </w:r>
      <w:r>
        <w:t>2026-05-27 00:00:00+00:00</w:t>
      </w:r>
      <w:r>
        <w:t xml:space="preserve">    </w:t>
      </w:r>
      <w:r>
        <w:rPr>
          <w:b/>
        </w:rPr>
        <w:t xml:space="preserve">DOI: </w:t>
      </w:r>
      <w:hyperlink r:id="rId109">
        <w:r>
          <w:rPr>
            <w:color w:val="1155CC"/>
            <w:u w:val="single"/>
          </w:rPr>
          <w:t>10.1016/j.matt.2026.102828</w:t>
        </w:r>
      </w:hyperlink>
    </w:p>
    <w:p>
      <w:pPr>
        <w:spacing w:before="0" w:after="120"/>
      </w:pPr>
      <w:r>
        <w:rPr>
          <w:b/>
        </w:rPr>
        <w:t xml:space="preserve">Notes: </w:t>
      </w:r>
      <w:r>
        <w:t>abstract_source=rss_cell</w:t>
      </w:r>
    </w:p>
    <w:p>
      <w:pPr>
        <w:spacing w:before="0" w:after="80" w:lineRule="auto" w:line="276"/>
      </w:pPr>
      <w:r>
        <w:rPr>
          <w:b/>
        </w:rPr>
        <w:t xml:space="preserve">摘要（ZH）: </w:t>
      </w:r>
      <w:r>
        <w:t>电池内部界面层的不稳定性加速了性能的下降。在这项工作中，通过钾离子电池内的聚合作用原位形成化学锚定的弹性保护膜。该薄膜缓冲剧烈的电极膨胀，同时提供快速的离子传输路径。结构稳定性与运输效率之间的矛盾因此得到有效解决。因此，该电池的使用寿命显着延长，即使在-40°C下也能稳定运行，为全气候储能系统提供了一条有前途的途径。</w:t>
      </w:r>
    </w:p>
    <w:p>
      <w:pPr>
        <w:spacing w:before="0" w:after="200" w:lineRule="auto" w:line="276"/>
      </w:pPr>
      <w:r>
        <w:rPr>
          <w:b/>
        </w:rPr>
        <w:t xml:space="preserve">Abstract (EN): </w:t>
      </w:r>
      <w:r>
        <w:t>The instability of interfacial layers inside batteries accelerates performance degradation. In this work, a chemically anchored elastic protective film is formed in situ through polymerization within potassium-ion batteries. This film buffers drastic electrode expansion and simultaneously provides fast ion transport pathways. The conflict between structural stability and transport efficiency is therefore effectively resolved. As a result, the battery exhibits significantly prolonged lifespan and can operate stably even at −40°C, offering a promising route toward all-climate energy storage systems.</w:t>
      </w:r>
    </w:p>
    <w:p>
      <w:pPr>
        <w:spacing w:before="120" w:after="120"/>
      </w:pPr>
      <w:r>
        <w:rPr>
          <w:sz w:val="18"/>
        </w:rPr>
        <w:t>——————————————————————————————————————————————————————————————————————</w:t>
      </w:r>
    </w:p>
    <w:p>
      <w:pPr>
        <w:spacing w:before="160" w:after="40" w:line="240" w:lineRule="auto"/>
      </w:pPr>
      <w:r>
        <w:rPr>
          <w:b/>
        </w:rPr>
        <w:t xml:space="preserve">[10] </w:t>
      </w:r>
      <w:hyperlink r:id="rId110">
        <w:r>
          <w:rPr>
            <w:color w:val="1155CC"/>
            <w:u w:val="single"/>
          </w:rPr>
          <w:t>用于增强锂金属电池稳定性的无氟耐腐蚀电解质设计（Adv. Mater. 30/2026）</w:t>
        </w:r>
      </w:hyperlink>
    </w:p>
    <w:p>
      <w:pPr>
        <w:spacing w:before="0" w:after="80"/>
      </w:pPr>
      <w:r>
        <w:rPr>
          <w:i/>
          <w:sz w:val="20"/>
        </w:rPr>
        <w:t>EN: Fluorine‐Free Corrosion‐Resistant Electrolyte Design for Enhanced Stability in Lithium Metal Batteries (Adv. Mater. 30/2026)</w:t>
      </w:r>
    </w:p>
    <w:p>
      <w:pPr>
        <w:spacing w:before="0" w:after="120"/>
      </w:pPr>
      <w:r>
        <w:rPr>
          <w:b/>
        </w:rPr>
        <w:t xml:space="preserve">Source: </w:t>
      </w:r>
      <w:r>
        <w:t>Wiley: Advanced Materials: Table of Contents</w:t>
      </w:r>
      <w:r>
        <w:t xml:space="preserve">    </w:t>
      </w:r>
      <w:r>
        <w:rPr>
          <w:b/>
        </w:rPr>
        <w:t xml:space="preserve">Pub date: </w:t>
      </w:r>
      <w:r>
        <w:t>2026-05-27 05:48:48+00:00</w:t>
      </w:r>
      <w:r>
        <w:t xml:space="preserve">    </w:t>
      </w:r>
      <w:r>
        <w:rPr>
          <w:b/>
        </w:rPr>
        <w:t xml:space="preserve">DOI: </w:t>
      </w:r>
      <w:hyperlink r:id="rId111">
        <w:r>
          <w:rPr>
            <w:color w:val="1155CC"/>
            <w:u w:val="single"/>
          </w:rPr>
          <w:t>10.1002/adma.73328</w:t>
        </w:r>
      </w:hyperlink>
    </w:p>
    <w:p>
      <w:pPr>
        <w:spacing w:before="0" w:after="120"/>
      </w:pPr>
      <w:r>
        <w:rPr>
          <w:b/>
        </w:rPr>
        <w:t xml:space="preserve">Notes: </w:t>
      </w:r>
      <w:r>
        <w:t>abstract_source=openalex</w:t>
      </w:r>
    </w:p>
    <w:p>
      <w:pPr>
        <w:spacing w:before="0" w:after="80" w:lineRule="auto" w:line="276"/>
      </w:pPr>
      <w:r>
        <w:rPr>
          <w:b/>
        </w:rPr>
        <w:t xml:space="preserve">摘要（ZH）: </w:t>
      </w:r>
      <w:r>
        <w:t>增强锂金属电池的稳定性该艺术品展示了苯保护电池系统免遭降解。周围的海洋和波浪代表电解质和锂的腐蚀反应。通过阻挡这些腐蚀性元素，苯屏障确保了电池的结构完整性和长期稳定性，凸显了即使在高腐蚀性环境下储能架构也具有强大的防御机制。更多详细信息，请参阅 Byunghoon Kim、Hee-Dae Lim 及其同事的研究文章 (DOI: 10.1002/adma.202522875)。</w:t>
      </w:r>
    </w:p>
    <w:p>
      <w:pPr>
        <w:spacing w:before="0" w:after="200" w:lineRule="auto" w:line="276"/>
      </w:pPr>
      <w:r>
        <w:rPr>
          <w:b/>
        </w:rPr>
        <w:t xml:space="preserve">Abstract (EN): </w:t>
      </w:r>
      <w:r>
        <w:t>Enhanced Stability in Lithium Metal Batteries The artwork illustrates a benzene shielding battery systems from degradation. The surrounding sea and waves represent the electrolyte and lithium corrosion reactions. By blocking these corrosive elements, the benzene barrier ensures the battery's structural integrity and long-term stability, highlighting a robust defense mechanism for energy storage architectures even under highly corrosive environments. More details can be found in the Research Article by Byunghoon Kim, Hee-Dae Lim, and co-workers (DOI: 10.1002/adma.202522875).</w:t>
      </w:r>
    </w:p>
    <w:p>
      <w:pPr>
        <w:spacing w:before="120" w:after="120"/>
      </w:pPr>
      <w:r>
        <w:rPr>
          <w:sz w:val="18"/>
        </w:rPr>
        <w:t>——————————————————————————————————————————————————————————————————————</w:t>
      </w:r>
    </w:p>
    <w:p>
      <w:pPr>
        <w:spacing w:before="160" w:after="40" w:line="240" w:lineRule="auto"/>
      </w:pPr>
      <w:r>
        <w:rPr>
          <w:b/>
        </w:rPr>
        <w:t xml:space="preserve">[11] </w:t>
      </w:r>
      <w:hyperlink r:id="rId112">
        <w:r>
          <w:rPr>
            <w:color w:val="1155CC"/>
            <w:u w:val="single"/>
          </w:rPr>
          <w:t>超离子非晶 Li2ZrCl6 和 Li2HfCl6（Adv. Mater. 30/2026）</w:t>
        </w:r>
      </w:hyperlink>
    </w:p>
    <w:p>
      <w:pPr>
        <w:spacing w:before="0" w:after="80"/>
      </w:pPr>
      <w:r>
        <w:rPr>
          <w:i/>
          <w:sz w:val="20"/>
        </w:rPr>
        <w:t>EN: Superionic Amorphous Li2ZrCl6 and Li2HfCl6 (Adv. Mater. 30/2026)</w:t>
      </w:r>
    </w:p>
    <w:p>
      <w:pPr>
        <w:spacing w:before="0" w:after="120"/>
      </w:pPr>
      <w:r>
        <w:rPr>
          <w:b/>
        </w:rPr>
        <w:t xml:space="preserve">Source: </w:t>
      </w:r>
      <w:r>
        <w:t>Wiley: Advanced Materials: Table of Contents</w:t>
      </w:r>
      <w:r>
        <w:t xml:space="preserve">    </w:t>
      </w:r>
      <w:r>
        <w:rPr>
          <w:b/>
        </w:rPr>
        <w:t xml:space="preserve">Pub date: </w:t>
      </w:r>
      <w:r>
        <w:t>2026-05-27 05:48:48+00:00</w:t>
      </w:r>
      <w:r>
        <w:t xml:space="preserve">    </w:t>
      </w:r>
      <w:r>
        <w:rPr>
          <w:b/>
        </w:rPr>
        <w:t xml:space="preserve">DOI: </w:t>
      </w:r>
      <w:hyperlink r:id="rId113">
        <w:r>
          <w:rPr>
            <w:color w:val="1155CC"/>
            <w:u w:val="single"/>
          </w:rPr>
          <w:t>10.1002/adma.73331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76">
        <w:r>
          <w:rPr>
            <w:color w:val="1155CC"/>
            <w:u w:val="single"/>
          </w:rPr>
          <w:t>氧空位梯度的轻松形成使得氧化钒薄膜电池能够原位均匀预锂化</w:t>
        </w:r>
      </w:hyperlink>
    </w:p>
    <w:p>
      <w:pPr>
        <w:spacing w:before="0" w:after="80"/>
      </w:pPr>
      <w:r>
        <w:rPr>
          <w:i/>
          <w:sz w:val="20"/>
        </w:rPr>
        <w:t>EN: Facile Formation of Oxygen‐Vacancy Gradient Enables In Situ Uniform Prelithiation in Vanadium Oxide Thin‐Film Batteries</w:t>
      </w:r>
    </w:p>
    <w:p>
      <w:pPr>
        <w:spacing w:before="0" w:after="120"/>
      </w:pPr>
      <w:r>
        <w:rPr>
          <w:b/>
        </w:rPr>
        <w:t xml:space="preserve">Source: </w:t>
      </w:r>
      <w:r>
        <w:t>Wiley: Angewandte Chemie International Edition: Table of Contents</w:t>
      </w:r>
      <w:r>
        <w:t xml:space="preserve">    </w:t>
      </w:r>
      <w:r>
        <w:rPr>
          <w:b/>
        </w:rPr>
        <w:t xml:space="preserve">Pub date: </w:t>
      </w:r>
      <w:r>
        <w:t>2026-05-27 07:17:01+00:00</w:t>
      </w:r>
      <w:r>
        <w:t xml:space="preserve">    </w:t>
      </w:r>
      <w:r>
        <w:rPr>
          <w:b/>
        </w:rPr>
        <w:t xml:space="preserve">DOI: </w:t>
      </w:r>
      <w:hyperlink r:id="rId77">
        <w:r>
          <w:rPr>
            <w:color w:val="1155CC"/>
            <w:u w:val="single"/>
          </w:rPr>
          <w:t>10.1002/anie.8496886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氧化钒（VO</w:t>
      </w:r>
      <w:r>
        <w:t xml:space="preserve"> </w:t>
      </w:r>
      <w:r>
        <w:t>x</w:t>
      </w:r>
      <w:r>
        <w:t xml:space="preserve"> </w:t>
      </w:r>
      <w:r>
        <w:t>）由于其高理论容量和与微电子制造的兼容性，是一种有前途的薄膜全固态锂离子电池（TF-ASSLIB）正极材料。然而，其不含锂的性质导致初始库仑效率低和循环稳定性差，因此需要有效的预锂化策略。传统方法受到缓慢的锂扩散动力学的限制，导致锂分布不均匀、表面积累和体渗透不足。在这里，我们设计了一个氧空位（O</w:t>
      </w:r>
      <w:r>
        <w:t xml:space="preserve"> </w:t>
      </w:r>
      <w:r>
        <w:t>V</w:t>
      </w:r>
      <w:r>
        <w:t xml:space="preserve"> </w:t>
      </w:r>
      <w:r>
        <w:t>) VO 中的梯度</w:t>
      </w:r>
      <w:r>
        <w:t xml:space="preserve"> </w:t>
      </w:r>
      <w:r>
        <w:t>x</w:t>
      </w:r>
      <w:r>
        <w:t xml:space="preserve"> </w:t>
      </w:r>
      <w:r>
        <w:t>, 与 O</w:t>
      </w:r>
      <w:r>
        <w:t xml:space="preserve"> </w:t>
      </w:r>
      <w:r>
        <w:t>V</w:t>
      </w:r>
      <w:r>
        <w:t xml:space="preserve"> </w:t>
      </w:r>
      <w:r>
        <w:t>浓度从表面到内部增加，通过两种协同效应使锂分布均匀：(i) O</w:t>
      </w:r>
      <w:r>
        <w:t xml:space="preserve"> </w:t>
      </w:r>
      <w:r>
        <w:t>V</w:t>
      </w:r>
      <w:r>
        <w:t xml:space="preserve"> </w:t>
      </w:r>
      <w:r>
        <w:t>创造额外的李</w:t>
      </w:r>
      <w:r>
        <w:t xml:space="preserve"> </w:t>
      </w:r>
      <w:r>
        <w:t>+</w:t>
      </w:r>
      <w:r>
        <w:t xml:space="preserve"> </w:t>
      </w:r>
      <w:r>
        <w:t>扩散途径，加速预锂化动力学； (二)O</w:t>
      </w:r>
      <w:r>
        <w:t xml:space="preserve"> </w:t>
      </w:r>
      <w:r>
        <w:t>V</w:t>
      </w:r>
      <w:r>
        <w:t xml:space="preserve"> </w:t>
      </w:r>
      <w:r>
        <w:t>梯度逐渐降低扩散势垒，从而实现深锂</w:t>
      </w:r>
      <w:r>
        <w:t xml:space="preserve"> </w:t>
      </w:r>
      <w:r>
        <w:t>+</w:t>
      </w:r>
      <w:r>
        <w:t xml:space="preserve"> </w:t>
      </w:r>
      <w:r>
        <w:t>渗透力和分布均匀。值得注意的是，这个O</w:t>
      </w:r>
      <w:r>
        <w:t xml:space="preserve"> </w:t>
      </w:r>
      <w:r>
        <w:t>V</w:t>
      </w:r>
      <w:r>
        <w:t xml:space="preserve"> </w:t>
      </w:r>
      <w:r>
        <w:t>VO 期间自发形成梯度</w:t>
      </w:r>
      <w:r>
        <w:t xml:space="preserve"> </w:t>
      </w:r>
      <w:r>
        <w:t>x</w:t>
      </w:r>
      <w:r>
        <w:t xml:space="preserve"> </w:t>
      </w:r>
      <w:r>
        <w:t>通过 Pt 的适度氧吸附在 Pt 集电器上沉积，产生更高的 O2</w:t>
      </w:r>
      <w:r>
        <w:t xml:space="preserve"> </w:t>
      </w:r>
      <w:r>
        <w:t>V</w:t>
      </w:r>
      <w:r>
        <w:t xml:space="preserve"> </w:t>
      </w:r>
      <w:r>
        <w:t>浓缩物</w:t>
      </w:r>
    </w:p>
    <w:p>
      <w:pPr>
        <w:spacing w:before="0" w:after="200" w:lineRule="auto" w:line="276"/>
      </w:pPr>
      <w:r>
        <w:rPr>
          <w:b/>
        </w:rPr>
        <w:t xml:space="preserve">Abstract (EN): </w:t>
      </w:r>
      <w:r>
        <w:t>Vanadium oxide (VO</w:t>
      </w:r>
      <w:r>
        <w:t xml:space="preserve"> </w:t>
      </w:r>
      <w:r>
        <w:t>x</w:t>
      </w:r>
      <w:r>
        <w:t xml:space="preserve"> </w:t>
      </w:r>
      <w:r>
        <w:t>) is a promising cathode material for thin‐film all‐solid‐state lithium‐ion batteries (TF‐ASSLIBs) owing to its high theoretical capacity and compatibility with microelectronic fabrication. However, its lithium‐free nature results in low initial Coulombic efficiency and poor cycling stability, necessitating an effective prelithiation strategy. Conventional methods are limited by sluggish lithium diffusion kinetics, causing inhomogeneous lithium distribution with surface accumulation and insufficient bulk penetration. Herein, we engineer an oxygen vacancy (O</w:t>
      </w:r>
      <w:r>
        <w:t xml:space="preserve"> </w:t>
      </w:r>
      <w:r>
        <w:t>V</w:t>
      </w:r>
      <w:r>
        <w:t xml:space="preserve"> </w:t>
      </w:r>
      <w:r>
        <w:t>) gradient in VO</w:t>
      </w:r>
      <w:r>
        <w:t xml:space="preserve"> </w:t>
      </w:r>
      <w:r>
        <w:t>x</w:t>
      </w:r>
      <w:r>
        <w:t xml:space="preserve"> </w:t>
      </w:r>
      <w:r>
        <w:t>, with O</w:t>
      </w:r>
      <w:r>
        <w:t xml:space="preserve"> </w:t>
      </w:r>
      <w:r>
        <w:t>V</w:t>
      </w:r>
      <w:r>
        <w:t xml:space="preserve"> </w:t>
      </w:r>
      <w:r>
        <w:t>concentration increasing from surface to interior, to homogenize lithium distribution through two synergistic effects: (i) O</w:t>
      </w:r>
      <w:r>
        <w:t xml:space="preserve"> </w:t>
      </w:r>
      <w:r>
        <w:t>V</w:t>
      </w:r>
      <w:r>
        <w:t xml:space="preserve"> </w:t>
      </w:r>
      <w:r>
        <w:t>creates additional Li</w:t>
      </w:r>
      <w:r>
        <w:t xml:space="preserve"> </w:t>
      </w:r>
      <w:r>
        <w:t>+</w:t>
      </w:r>
      <w:r>
        <w:t xml:space="preserve"> </w:t>
      </w:r>
      <w:r>
        <w:t>diffusion pathways, accelerating prelithiation kinetics; (ii) O</w:t>
      </w:r>
      <w:r>
        <w:t xml:space="preserve"> </w:t>
      </w:r>
      <w:r>
        <w:t>V</w:t>
      </w:r>
      <w:r>
        <w:t xml:space="preserve"> </w:t>
      </w:r>
      <w:r>
        <w:t>gradient progressively lowers diffusion barriers, enabling deep Li</w:t>
      </w:r>
      <w:r>
        <w:t xml:space="preserve"> </w:t>
      </w:r>
      <w:r>
        <w:t>+</w:t>
      </w:r>
      <w:r>
        <w:t xml:space="preserve"> </w:t>
      </w:r>
      <w:r>
        <w:t>penetration and uniform distribution. Notably, this O</w:t>
      </w:r>
      <w:r>
        <w:t xml:space="preserve"> </w:t>
      </w:r>
      <w:r>
        <w:t>V</w:t>
      </w:r>
      <w:r>
        <w:t xml:space="preserve"> </w:t>
      </w:r>
      <w:r>
        <w:t>gradient forms spontaneously during VO</w:t>
      </w:r>
      <w:r>
        <w:t xml:space="preserve"> </w:t>
      </w:r>
      <w:r>
        <w:t>x</w:t>
      </w:r>
      <w:r>
        <w:t xml:space="preserve"> </w:t>
      </w:r>
      <w:r>
        <w:t>deposition on Pt current collectors via moderate oxygen adsorption of Pt, which generates a higher O</w:t>
      </w:r>
      <w:r>
        <w:t xml:space="preserve"> </w:t>
      </w:r>
      <w:r>
        <w:t>V</w:t>
      </w:r>
      <w:r>
        <w:t xml:space="preserve"> </w:t>
      </w:r>
      <w:r>
        <w:t>concentration near the Pt interface, thereby facilitating uniform and efficient prelithiation during subsequent in situ electrolyte deposition. TF‐ASSLIBs comprising an O</w:t>
      </w:r>
      <w:r>
        <w:t xml:space="preserve"> </w:t>
      </w:r>
      <w:r>
        <w:t>V</w:t>
      </w:r>
      <w:r>
        <w:t xml:space="preserve"> </w:t>
      </w:r>
      <w:r>
        <w:t>‐gradient VO</w:t>
      </w:r>
      <w:r>
        <w:t xml:space="preserve"> </w:t>
      </w:r>
      <w:r>
        <w:t>x</w:t>
      </w:r>
      <w:r>
        <w:t xml:space="preserve"> </w:t>
      </w:r>
      <w:r>
        <w:t>cathode|LiPON electrolyte|NiO anode exhibit substantially enhanced electrochemical performance over control devices, delivering higher initial Coulombic efficiency (76.5% vs. 43.5%), superior areal capacity (37.5 vs. 6.5 µAh cm</w:t>
      </w:r>
      <w:r>
        <w:t xml:space="preserve"> </w:t>
      </w:r>
      <w:r>
        <w:t>−2</w:t>
      </w:r>
      <w:r>
        <w:t xml:space="preserve"> </w:t>
      </w:r>
      <w:r>
        <w:t>), and better cycling stability (91.5% vs. 73.4% capacity retention@2000 cycles). This work provides a facile and scalable strategy for developing high‐performance cathodes and TF‐ASSLIBs.</w:t>
      </w:r>
    </w:p>
    <w:p>
      <w:pPr>
        <w:spacing w:before="120" w:after="120"/>
      </w:pPr>
      <w:r>
        <w:rPr>
          <w:sz w:val="18"/>
        </w:rPr>
        <w:t>——————————————————————————————————————————————————————————————————————</w:t>
      </w:r>
    </w:p>
    <w:p>
      <w:pPr>
        <w:spacing w:before="160" w:after="40" w:line="240" w:lineRule="auto"/>
      </w:pPr>
      <w:r>
        <w:rPr>
          <w:b/>
        </w:rPr>
        <w:t xml:space="preserve">[13] </w:t>
      </w:r>
      <w:hyperlink r:id="rId98">
        <w:r>
          <w:rPr>
            <w:color w:val="1155CC"/>
            <w:u w:val="single"/>
          </w:rPr>
          <w:t>离子筛分杯芳烃填料可促进高负载锂金属电池准固体电解质中的 Li+ 传输</w:t>
        </w:r>
      </w:hyperlink>
    </w:p>
    <w:p>
      <w:pPr>
        <w:spacing w:before="0" w:after="80"/>
      </w:pPr>
      <w:r>
        <w:rPr>
          <w:i/>
          <w:sz w:val="20"/>
        </w:rPr>
        <w:t>EN: Ion‐Sieving Calixarene Fillers Boost Li+ Transport in Quasi‐Solid Electrolytes for High‐Loading Lithium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2026-05-27 14:10:28+00:00</w:t>
      </w:r>
      <w:r>
        <w:t xml:space="preserve">    </w:t>
      </w:r>
      <w:r>
        <w:rPr>
          <w:b/>
        </w:rPr>
        <w:t xml:space="preserve">DOI: </w:t>
      </w:r>
      <w:hyperlink r:id="rId99">
        <w:r>
          <w:rPr>
            <w:color w:val="1155CC"/>
            <w:u w:val="single"/>
          </w:rPr>
          <w:t>10.1002/anie.1508746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杯芳烃（CA）具有独特的空腔结构和卓越的主客体能力，为定制固态电解质（SSE）中的离子配位和传输行为提供了一个有吸引力的分子平台。尽管有这些结构性优势，但它们在上证企业中的潜力却很少被开发。在此，我们通过原位聚合设计了一种杯[6]芳烃官能化（C6A）聚合物准固体电解质（PECQSE），其中氨基甲酸酯官能化聚环氧乙烷（PEG-IEM）和乙氧基化三羟甲基丙烷三丙烯酸酯（ETPTA）之间形成交联基质。 C6A 的掺入建立了一个尺寸选择性、相互作用主导的离子调节框架，其中大体积的 TFSI</w:t>
      </w:r>
      <w:r>
        <w:t xml:space="preserve"> </w:t>
      </w:r>
      <w:r>
        <w:t>-</w:t>
      </w:r>
      <w:r>
        <w:t>表现出行动受限，而李</w:t>
      </w:r>
      <w:r>
        <w:t xml:space="preserve"> </w:t>
      </w:r>
      <w:r>
        <w:t>+</w:t>
      </w:r>
      <w:r>
        <w:t xml:space="preserve"> </w:t>
      </w:r>
      <w:r>
        <w:t>沿着传导路径促进运输，从而产生Li</w:t>
      </w:r>
      <w:r>
        <w:t xml:space="preserve"> </w:t>
      </w:r>
      <w:r>
        <w:t>+</w:t>
      </w:r>
      <w:r>
        <w:t xml:space="preserve"> </w:t>
      </w:r>
      <w:r>
        <w:t>转移数为0.76。同时，C6A酚羟基和氨基甲酸酯链段之间的氢键相互作用抑制了PEG结晶度并促进LiTFSI解离。这些相互作用促进界面 LiTFSI 还原并支持 LiF/Li 的形成</w:t>
      </w:r>
      <w:r>
        <w:rPr>
          <w:vertAlign w:val="subscript"/>
        </w:rPr>
        <w:t>2</w:t>
      </w:r>
      <w:r>
        <w:t>富氧SEI，可引导均匀的锂沉积并抑制枝晶生长。因此，Li|Li 对称电池在低极化和高负载 LiFePO 的情况下表现出超过 7000 小时的超长循环稳定性</w:t>
      </w:r>
      <w:r>
        <w:rPr>
          <w:vertAlign w:val="subscript"/>
        </w:rPr>
        <w:t>4</w:t>
      </w:r>
      <w:r>
        <w:t>|李福</w:t>
      </w:r>
    </w:p>
    <w:p>
      <w:pPr>
        <w:spacing w:before="0" w:after="200" w:lineRule="auto" w:line="276"/>
      </w:pPr>
      <w:r>
        <w:rPr>
          <w:b/>
        </w:rPr>
        <w:t xml:space="preserve">Abstract (EN): </w:t>
      </w:r>
      <w:r>
        <w:t>Calixarenes (CAs), featuring unique cavity architectures and exceptional host–guest capabilities, provide an attractive molecular platform for tailoring ion coordination and transport behaviors in solid‐state electrolytes (SSEs). Despite these structural advantages, their potential in SSEs has been rarely explored. Herein, we design a calix[6]arene‐functionalized (C6A) polymer quasi‐solid electrolyte (PECQSE) via in situ polymerization, in which a cross‐linked matrix is formed between urethane‐functionalized poly(ethylene oxide) (PEG‐IEM) and ethoxylated trimethylolpropane triacrylate (ETPTA). The incorporation of C6A establishes a size‐selective, interaction‐dominated ion‐regulation framework, in which bulky TFSI</w:t>
      </w:r>
      <w:r>
        <w:t xml:space="preserve"> </w:t>
      </w:r>
      <w:r>
        <w:t>−</w:t>
      </w:r>
      <w:r>
        <w:t>exhibit restricted mobility, while Li</w:t>
      </w:r>
      <w:r>
        <w:t xml:space="preserve"> </w:t>
      </w:r>
      <w:r>
        <w:t>+</w:t>
      </w:r>
      <w:r>
        <w:t xml:space="preserve"> </w:t>
      </w:r>
      <w:r>
        <w:t>transport is facilitated along conduction pathways, resulting in Li</w:t>
      </w:r>
      <w:r>
        <w:t xml:space="preserve"> </w:t>
      </w:r>
      <w:r>
        <w:t>+</w:t>
      </w:r>
      <w:r>
        <w:t xml:space="preserve"> </w:t>
      </w:r>
      <w:r>
        <w:t>transference number of 0.76. Meanwhile, hydrogen‐bonding interactions between C6A phenolic hydroxyl groups and urethane segments suppress PEG crystallinity and promote LiTFSI dissociation. These interactions facilitate interfacial LiTFSI reduction and support the formation of a LiF/Li</w:t>
      </w:r>
      <w:r>
        <w:rPr>
          <w:vertAlign w:val="subscript"/>
        </w:rPr>
        <w:t>2</w:t>
      </w:r>
      <w:r>
        <w:t>O‐rich SEI, which guides uniform lithium deposition and suppresses dendrite growth. Consequently, Li|Li symmetric cells exhibit ultralong cycling stability exceeding 7000 h with low polarization and high‐loading LiFePO</w:t>
      </w:r>
      <w:r>
        <w:rPr>
          <w:vertAlign w:val="subscript"/>
        </w:rPr>
        <w:t>4</w:t>
      </w:r>
      <w:r>
        <w:t>|Li full cells retain 80.6% capacity after 700 cycles at 2 C. The assembled 1 Ah pouch cell delivers excellent safety and durability with 91.8% retention after 240 cycles, demonstrating an effective interfacial engineering strategy for next‐generation lithium metal batteries.</w:t>
      </w:r>
    </w:p>
    <w:p>
      <w:pPr>
        <w:spacing w:before="120" w:after="120"/>
      </w:pPr>
      <w:r>
        <w:rPr>
          <w:sz w:val="18"/>
        </w:rPr>
        <w:t>——————————————————————————————————————————————————————————————————————</w:t>
      </w:r>
    </w:p>
    <w:p>
      <w:pPr>
        <w:spacing w:before="160" w:after="40" w:line="240" w:lineRule="auto"/>
      </w:pPr>
      <w:r>
        <w:rPr>
          <w:b/>
        </w:rPr>
        <w:t xml:space="preserve">[14] </w:t>
      </w:r>
      <w:hyperlink r:id="rId114">
        <w:r>
          <w:rPr>
            <w:color w:val="1155CC"/>
            <w:u w:val="single"/>
          </w:rPr>
          <w:t>通过通用有机力场将量子力学与液体特性联系起来</w:t>
        </w:r>
      </w:hyperlink>
    </w:p>
    <w:p>
      <w:pPr>
        <w:spacing w:before="0" w:after="80"/>
      </w:pPr>
      <w:r>
        <w:rPr>
          <w:i/>
          <w:sz w:val="20"/>
        </w:rPr>
        <w:t>EN: Bridging quantum mechanics to liquid properties via a universal organic force field</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分子动力学模拟是揭示原子级凝聚相系统结构和行为的重要工具。然而，基于量子力学计算的宏观特性的普遍而准确的预测仍然是一个重大挑战，通常受到计算成本和模拟精度之间的权衡的阻碍。在这里，我们介绍了 ByteFF-Pol，这是一种由图神经网络参数化的可极化力场，并专门针对高级量子力学数据进行了训练。通过利用物理驱动的力场形式和训练策略，ByteFF-Pol 可以高精度预测各种小分子液体和电解质的热力学和输运特性，超越了当前的经典力场和机器学习力场。这种无需特定系统训练即可进行预测的能力弥合了微观计算和宏观液体特性之间的差距，从而能够探索以前难以处理的化学空间。这一进步使得新电解质和定制溶剂的精确设计成为可能，为数据驱动的材料发现奠定了坚实的基础。</w:t>
      </w:r>
    </w:p>
    <w:p>
      <w:pPr>
        <w:spacing w:before="0" w:after="200" w:lineRule="auto" w:line="276"/>
      </w:pPr>
      <w:r>
        <w:rPr>
          <w:b/>
        </w:rPr>
        <w:t xml:space="preserve">Abstract (EN): </w:t>
      </w:r>
      <w:r>
        <w:t>Molecular dynamics simulations are essential tools for unraveling atomic-level insights into the structure and behavior of condensed-phase systems. However, the universal and accurate prediction of macroscopic properties based on quantum mechanical calculations remains a significant challenge, often hindered by the trade-off between computational cost and simulation accuracy. Here we present ByteFF-Pol, a polarizable force field parameterized by a graph neural network and trained exclusively on high-level quantum mechanical data. By leveraging physically-motivated force field forms and training strategies, ByteFF-Pol predicts thermodynamic and transport properties for a wide range of small-molecule liquids and electrolytes with high accuracy, surpassing current classical and machine learning force fields. This ability to make predictions without system-specific training bridges the gap between microscopic calculations and macroscopic liquid properties, enabling the exploration of previously intractable chemical spaces. This advancement enables the precise design of new electrolytes and custom-tailored solvents, establishing a robust foundation for data-driven materials discovery.</w:t>
      </w:r>
    </w:p>
    <w:p>
      <w:pPr>
        <w:spacing w:before="120" w:after="120"/>
      </w:pPr>
      <w:r>
        <w:rPr>
          <w:sz w:val="18"/>
        </w:rPr>
        <w:t>——————————————————————————————————————————————————————————————————————</w:t>
      </w:r>
    </w:p>
    <w:p>
      <w:pPr>
        <w:spacing w:before="160" w:after="40" w:line="240" w:lineRule="auto"/>
      </w:pPr>
      <w:r>
        <w:rPr>
          <w:b/>
        </w:rPr>
        <w:t xml:space="preserve">[15] </w:t>
      </w:r>
      <w:hyperlink r:id="rId115">
        <w:r>
          <w:rPr>
            <w:color w:val="1155CC"/>
            <w:u w:val="single"/>
          </w:rPr>
          <w:t>聚合物固体电解质的可逆自组装使锂电池回收成为可能</w:t>
        </w:r>
      </w:hyperlink>
    </w:p>
    <w:p>
      <w:pPr>
        <w:spacing w:before="0" w:after="80"/>
      </w:pPr>
      <w:r>
        <w:rPr>
          <w:i/>
          <w:sz w:val="20"/>
        </w:rPr>
        <w:t>EN: Reversible self-assembly of polymeric solid electrolyte enables lithium battery recycling</w:t>
      </w:r>
    </w:p>
    <w:p>
      <w:pPr>
        <w:spacing w:before="0" w:after="120"/>
      </w:pPr>
      <w:r>
        <w:rPr>
          <w:b/>
        </w:rPr>
        <w:t xml:space="preserve">Source: </w:t>
      </w:r>
      <w:r>
        <w:t>Nature Chemistry</w:t>
      </w:r>
      <w:r>
        <w:t xml:space="preserve">    </w:t>
      </w:r>
      <w:r>
        <w:rPr>
          <w:b/>
        </w:rPr>
        <w:t xml:space="preserve">Pub date: </w:t>
      </w:r>
      <w:r>
        <w:t>2026-05-28 00:00:00+00:00</w:t>
      </w:r>
      <w:r>
        <w:t xml:space="preserve">    </w:t>
      </w:r>
      <w:r>
        <w:rPr>
          <w:b/>
        </w:rPr>
        <w:t xml:space="preserve">DOI: </w:t>
      </w:r>
      <w:hyperlink r:id="rId116">
        <w:r>
          <w:rPr>
            <w:color w:val="1155CC"/>
            <w:u w:val="single"/>
          </w:rPr>
          <w:t>10.1038/s41557-026-02154-1</w:t>
        </w:r>
      </w:hyperlink>
    </w:p>
    <w:p>
      <w:pPr>
        <w:spacing w:before="0" w:after="120"/>
      </w:pPr>
      <w:r>
        <w:rPr>
          <w:b/>
        </w:rPr>
        <w:t xml:space="preserve">Notes: </w:t>
      </w:r>
      <w:r>
        <w:t>abstract_source=nature_html</w:t>
      </w:r>
    </w:p>
    <w:p>
      <w:pPr>
        <w:spacing w:before="0" w:after="80" w:lineRule="auto" w:line="276"/>
      </w:pPr>
      <w:r>
        <w:rPr>
          <w:b/>
        </w:rPr>
        <w:t xml:space="preserve">摘要（ZH）: </w:t>
      </w:r>
      <w:r>
        <w:t>固态电池提供安全的高能量存储，但难以回收。现在，超分子电解质在运行过程中形成固体，然后恢复为分子，结合了电化学性能和可恢复性——这是电池技术中很少实现的特性组合。</w:t>
      </w:r>
    </w:p>
    <w:p>
      <w:pPr>
        <w:spacing w:before="0" w:after="200" w:lineRule="auto" w:line="276"/>
      </w:pPr>
      <w:r>
        <w:rPr>
          <w:b/>
        </w:rPr>
        <w:t xml:space="preserve">Abstract (EN): </w:t>
      </w:r>
      <w:r>
        <w:t>Solid-state batteries offer safe high-energy storage but are difficult to recycle. Now, a supramolecular electrolyte that forms a solid during operation and reverts to molecules afterwards combines electrochemical performance and recoverability — a combination of properties rarely achieved in battery technology.</w:t>
      </w:r>
    </w:p>
    <w:p>
      <w:pPr>
        <w:spacing w:before="120" w:after="120"/>
      </w:pPr>
      <w:r>
        <w:rPr>
          <w:sz w:val="18"/>
        </w:rPr>
        <w:t>——————————————————————————————————————————————————————————————————————</w:t>
      </w:r>
    </w:p>
    <w:p>
      <w:pPr>
        <w:spacing w:before="160" w:after="40" w:line="240" w:lineRule="auto"/>
      </w:pPr>
      <w:r>
        <w:rPr>
          <w:b/>
        </w:rPr>
        <w:t xml:space="preserve">[16] </w:t>
      </w:r>
      <w:hyperlink r:id="rId117">
        <w:r>
          <w:rPr>
            <w:color w:val="1155CC"/>
            <w:u w:val="single"/>
          </w:rPr>
          <w:t>定制多功能离子凝胶电解质以实现灵活储能的统一框架</w:t>
        </w:r>
      </w:hyperlink>
    </w:p>
    <w:p>
      <w:pPr>
        <w:spacing w:before="0" w:after="80"/>
      </w:pPr>
      <w:r>
        <w:rPr>
          <w:i/>
          <w:sz w:val="20"/>
        </w:rPr>
        <w:t>EN: A unified framework to tailor multifunctional ionogel electrolytes for flexible energy storage</w:t>
      </w:r>
    </w:p>
    <w:p>
      <w:pPr>
        <w:spacing w:before="0" w:after="120"/>
      </w:pPr>
      <w:r>
        <w:rPr>
          <w:b/>
        </w:rPr>
        <w:t xml:space="preserve">Source: </w:t>
      </w:r>
      <w:r>
        <w:t>Matter</w:t>
      </w:r>
      <w:r>
        <w:t xml:space="preserve">    </w:t>
      </w:r>
      <w:r>
        <w:rPr>
          <w:b/>
        </w:rPr>
        <w:t xml:space="preserve">Pub date: </w:t>
      </w:r>
      <w:r>
        <w:t>2026-05-28 00:00:00+00:00</w:t>
      </w:r>
      <w:r>
        <w:t xml:space="preserve">    </w:t>
      </w:r>
      <w:r>
        <w:rPr>
          <w:b/>
        </w:rPr>
        <w:t xml:space="preserve">DOI: </w:t>
      </w:r>
      <w:hyperlink r:id="rId118">
        <w:r>
          <w:rPr>
            <w:color w:val="1155CC"/>
            <w:u w:val="single"/>
          </w:rPr>
          <w:t>10.1016/j.matt.2026.102825</w:t>
        </w:r>
      </w:hyperlink>
    </w:p>
    <w:p>
      <w:pPr>
        <w:spacing w:before="0" w:after="120"/>
      </w:pPr>
      <w:r>
        <w:rPr>
          <w:b/>
        </w:rPr>
        <w:t xml:space="preserve">Notes: </w:t>
      </w:r>
      <w:r>
        <w:t>abstract_source=rss_cell</w:t>
      </w:r>
    </w:p>
    <w:p>
      <w:pPr>
        <w:spacing w:before="0" w:after="80" w:lineRule="auto" w:line="276"/>
      </w:pPr>
      <w:r>
        <w:rPr>
          <w:b/>
        </w:rPr>
        <w:t xml:space="preserve">摘要（ZH）: </w:t>
      </w:r>
      <w:r>
        <w:t>离子凝胶电解质通过将离子液体与聚合物网络相结合，实现灵活的能量存储，提供高电导率和机械适应性。本综述建立了结构-性能-功能框架，并重点介绍了克服离子传输和界面限制的设计策略，指导开发用于可穿戴电子产品的稳健、自修复离子凝胶电解质。</w:t>
      </w:r>
    </w:p>
    <w:p>
      <w:pPr>
        <w:spacing w:before="0" w:after="200" w:lineRule="auto" w:line="276"/>
      </w:pPr>
      <w:r>
        <w:rPr>
          <w:b/>
        </w:rPr>
        <w:t xml:space="preserve">Abstract (EN): </w:t>
      </w:r>
      <w:r>
        <w:t>Ionogel electrolytes enable flexible energy storage by combining ionic liquids with polymer networks, offering high conductivity and mechanical adaptability. This review establishes a structure-property-function framework and highlights design strategies to overcome ion transport and interfacial limitations, guiding the development of robust, self-healing ionogel electrolytes for wearable electronics.</w:t>
      </w:r>
    </w:p>
    <w:p>
      <w:pPr>
        <w:spacing w:before="120" w:after="120"/>
      </w:pPr>
      <w:r>
        <w:rPr>
          <w:sz w:val="18"/>
        </w:rPr>
        <w:t>——————————————————————————————————————————————————————————————————————</w:t>
      </w:r>
    </w:p>
    <w:p>
      <w:pPr>
        <w:spacing w:before="160" w:after="40" w:line="240" w:lineRule="auto"/>
      </w:pPr>
      <w:r>
        <w:rPr>
          <w:b/>
        </w:rPr>
        <w:t xml:space="preserve">[17] </w:t>
      </w:r>
      <w:hyperlink r:id="rId119">
        <w:r>
          <w:rPr>
            <w:color w:val="1155CC"/>
            <w:u w:val="single"/>
          </w:rPr>
          <w:t>不稳定的半笼溶剂化结构可在固体聚合物电解质中实现高效的离子传输</w:t>
        </w:r>
      </w:hyperlink>
    </w:p>
    <w:p>
      <w:pPr>
        <w:spacing w:before="0" w:after="80"/>
      </w:pPr>
      <w:r>
        <w:rPr>
          <w:i/>
          <w:sz w:val="20"/>
        </w:rPr>
        <w:t>EN: Labile Semi‐Cage Solvation Structures Enable Efficient Ion Transport in Solid Polymer Electrolytes</w:t>
      </w:r>
    </w:p>
    <w:p>
      <w:pPr>
        <w:spacing w:before="0" w:after="120"/>
      </w:pPr>
      <w:r>
        <w:rPr>
          <w:b/>
        </w:rPr>
        <w:t xml:space="preserve">Source: </w:t>
      </w:r>
      <w:r>
        <w:t>Wiley: Advanced Energy Materials: Table of Contents</w:t>
      </w:r>
      <w:r>
        <w:t xml:space="preserve">    </w:t>
      </w:r>
      <w:r>
        <w:rPr>
          <w:b/>
        </w:rPr>
        <w:t xml:space="preserve">Pub date: </w:t>
      </w:r>
      <w:r>
        <w:t>2026-05-28 08:31:07+00:00</w:t>
      </w:r>
      <w:r>
        <w:t xml:space="preserve">    </w:t>
      </w:r>
      <w:r>
        <w:rPr>
          <w:b/>
        </w:rPr>
        <w:t xml:space="preserve">DOI: </w:t>
      </w:r>
      <w:hyperlink r:id="rId120">
        <w:r>
          <w:rPr>
            <w:color w:val="1155CC"/>
            <w:u w:val="single"/>
          </w:rPr>
          <w:t>10.1002/aenm.71128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固体聚合物电解质（SPE）为更安全、更高能量密度的锂金属电池提供了一条有前途的途径，但它们的室温离子电导率仍然受到Li之间的强耦合的限制。</w:t>
      </w:r>
      <w:r>
        <w:t xml:space="preserve"> </w:t>
      </w:r>
      <w:r>
        <w:t>+</w:t>
      </w:r>
      <w:r>
        <w:t xml:space="preserve"> </w:t>
      </w:r>
      <w:r>
        <w:t>运输和聚合物链段运动。在这里，我们利用增强的元动力学采样结合</w:t>
      </w:r>
      <w:r>
        <w:rPr>
          <w:vertAlign w:val="subscript"/>
        </w:rPr>
        <w:t>7</w:t>
      </w:r>
      <w:r>
        <w:t>Li核磁共振波谱。刚性笼状溶剂化结构对Li施加了关键的热力学约束</w:t>
      </w:r>
      <w:r>
        <w:t xml:space="preserve"> </w:t>
      </w:r>
      <w:r>
        <w:t>+</w:t>
      </w:r>
      <w:r>
        <w:t xml:space="preserve"> </w:t>
      </w:r>
      <w:r>
        <w:t>流动性。相比之下，有针对性的盐和添加剂工程能够构建不稳定的半笼溶剂化结构，显着增强离子传输。当 Li: 醚氧 (EO) 比为 0.10 时，Li</w:t>
      </w:r>
      <w:r>
        <w:t xml:space="preserve"> </w:t>
      </w:r>
      <w:r>
        <w:t>+</w:t>
      </w:r>
      <w:r>
        <w:t xml:space="preserve"> </w:t>
      </w:r>
      <w:r>
        <w:t>通过克服 19.88 kJ mol 的中等活化势垒，从紧密结合的 PEO 笼过渡到半笼结构</w:t>
      </w:r>
      <w:r>
        <w:t xml:space="preserve"> </w:t>
      </w:r>
      <w:r>
        <w:t>−1</w:t>
      </w:r>
      <w:r>
        <w:t xml:space="preserve"> </w:t>
      </w:r>
      <w:r>
        <w:t>。如李</w:t>
      </w:r>
      <w:r>
        <w:t xml:space="preserve"> </w:t>
      </w:r>
      <w:r>
        <w:t>+</w:t>
      </w:r>
      <w:r>
        <w:t xml:space="preserve"> </w:t>
      </w:r>
      <w:r>
        <w:t>‐EO配位通过与阴离子和添加剂的竞争配位而减弱，离子电导率从9.57×10增加</w:t>
      </w:r>
      <w:r>
        <w:t xml:space="preserve"> </w:t>
      </w:r>
      <w:r>
        <w:t>−3</w:t>
      </w:r>
      <w:r>
        <w:t xml:space="preserve"> </w:t>
      </w:r>
      <w:r>
        <w:t>至 2.91 × 10</w:t>
      </w:r>
      <w:r>
        <w:t xml:space="preserve"> </w:t>
      </w:r>
      <w:r>
        <w:t>−2</w:t>
      </w:r>
      <w:r>
        <w:t xml:space="preserve"> </w:t>
      </w:r>
      <w:r>
        <w:t>mS 厘米</w:t>
      </w:r>
      <w:r>
        <w:t xml:space="preserve"> </w:t>
      </w:r>
      <w:r>
        <w:t>−1</w:t>
      </w:r>
      <w:r>
        <w:t xml:space="preserve"> </w:t>
      </w:r>
      <w:r>
        <w:t>在30°C。此外，调整溶剂添加剂的供体数量表明，中等供体强度促进快速配体交换</w:t>
      </w:r>
    </w:p>
    <w:p>
      <w:pPr>
        <w:spacing w:before="0" w:after="200" w:lineRule="auto" w:line="276"/>
      </w:pPr>
      <w:r>
        <w:rPr>
          <w:b/>
        </w:rPr>
        <w:t xml:space="preserve">Abstract (EN): </w:t>
      </w:r>
      <w:r>
        <w:t>Solid polymer electrolytes (SPEs) offer a promising pathway toward safer, higher‐energy‐density lithium metal batteries, yet their room‐temperature ionic conductivity remains limited by the strong coupling between Li</w:t>
      </w:r>
      <w:r>
        <w:t xml:space="preserve"> </w:t>
      </w:r>
      <w:r>
        <w:t>+</w:t>
      </w:r>
      <w:r>
        <w:t xml:space="preserve"> </w:t>
      </w:r>
      <w:r>
        <w:t>transport and polymer segmental motion. Here, we reveal the intrinsic solvation chemistry in poly(ethylene oxide) (PEO)‐based electrolytes using enhanced metadynamics sampling combined with</w:t>
      </w:r>
      <w:r>
        <w:rPr>
          <w:vertAlign w:val="subscript"/>
        </w:rPr>
        <w:t>7</w:t>
      </w:r>
      <w:r>
        <w:t>Li nuclear magnetic resonance spectroscopy. Rigid cage‐like solvation structures impose a key thermodynamic constraint on Li</w:t>
      </w:r>
      <w:r>
        <w:t xml:space="preserve"> </w:t>
      </w:r>
      <w:r>
        <w:t>+</w:t>
      </w:r>
      <w:r>
        <w:t xml:space="preserve"> </w:t>
      </w:r>
      <w:r>
        <w:t>mobility. By contrast, targeted salt and additive engineering enables the construction of a labile semi‐cage solvation structure that markedly enhances ion transport. At a Li: ether oxygen (EO) ratio of 0.10, Li</w:t>
      </w:r>
      <w:r>
        <w:t xml:space="preserve"> </w:t>
      </w:r>
      <w:r>
        <w:t>+</w:t>
      </w:r>
      <w:r>
        <w:t xml:space="preserve"> </w:t>
      </w:r>
      <w:r>
        <w:t>transitions from tightly bound PEO cages to semi‐cage structures by overcoming a moderate activation barrier of 19.88 kJ mol</w:t>
      </w:r>
      <w:r>
        <w:t xml:space="preserve"> </w:t>
      </w:r>
      <w:r>
        <w:t>−1</w:t>
      </w:r>
      <w:r>
        <w:t xml:space="preserve"> </w:t>
      </w:r>
      <w:r>
        <w:t>. As Li</w:t>
      </w:r>
      <w:r>
        <w:t xml:space="preserve"> </w:t>
      </w:r>
      <w:r>
        <w:t>+</w:t>
      </w:r>
      <w:r>
        <w:t xml:space="preserve"> </w:t>
      </w:r>
      <w:r>
        <w:t>‐EO coordination is weakened through competitive coordination with anions and additives, the ionic conductivity increases from 9.57 × 10</w:t>
      </w:r>
      <w:r>
        <w:t xml:space="preserve"> </w:t>
      </w:r>
      <w:r>
        <w:t>−3</w:t>
      </w:r>
      <w:r>
        <w:t xml:space="preserve"> </w:t>
      </w:r>
      <w:r>
        <w:t>to 2.91 × 10</w:t>
      </w:r>
      <w:r>
        <w:t xml:space="preserve"> </w:t>
      </w:r>
      <w:r>
        <w:t>−2</w:t>
      </w:r>
      <w:r>
        <w:t xml:space="preserve"> </w:t>
      </w:r>
      <w:r>
        <w:t>mS cm</w:t>
      </w:r>
      <w:r>
        <w:t xml:space="preserve"> </w:t>
      </w:r>
      <w:r>
        <w:t>−1</w:t>
      </w:r>
      <w:r>
        <w:t xml:space="preserve"> </w:t>
      </w:r>
      <w:r>
        <w:t>at 30°C. Furthermore, tuning the donor number of solvent additives reveals that intermediate donor strength promotes rapid ligand exchange within semi‐cage structures, thereby accelerating local segmental relaxation through structural diffusion. This work establishes labile semi‐cage solvation as a rational design principle beyond conventional plasticization strategies for optimizing the transport properties of next‐generation SPEs.</w:t>
      </w:r>
    </w:p>
    <w:p>
      <w:pPr>
        <w:spacing w:before="120" w:after="120"/>
      </w:pPr>
      <w:r>
        <w:rPr>
          <w:sz w:val="18"/>
        </w:rPr>
        <w:t>——————————————————————————————————————————————————————————————————————</w:t>
      </w:r>
    </w:p>
    <w:p>
      <w:pPr>
        <w:spacing w:before="160" w:after="40" w:line="240" w:lineRule="auto"/>
      </w:pPr>
      <w:r>
        <w:rPr>
          <w:b/>
        </w:rPr>
        <w:t xml:space="preserve">[18] </w:t>
      </w:r>
      <w:hyperlink r:id="rId121">
        <w:r>
          <w:rPr>
            <w:color w:val="1155CC"/>
            <w:u w:val="single"/>
          </w:rPr>
          <w:t>通过对称氟化调节反应途径可实现高温高压电解质</w:t>
        </w:r>
      </w:hyperlink>
    </w:p>
    <w:p>
      <w:pPr>
        <w:spacing w:before="0" w:after="80"/>
      </w:pPr>
      <w:r>
        <w:rPr>
          <w:i/>
          <w:sz w:val="20"/>
        </w:rPr>
        <w:t>EN: Tuning Reaction Pathways via Symmetric Fluorination Enables High‐Temperature and High‐Voltage Electrolytes</w:t>
      </w:r>
    </w:p>
    <w:p>
      <w:pPr>
        <w:spacing w:before="0" w:after="120"/>
      </w:pPr>
      <w:r>
        <w:rPr>
          <w:b/>
        </w:rPr>
        <w:t xml:space="preserve">Source: </w:t>
      </w:r>
      <w:r>
        <w:t>Wiley: Angewandte Chemie International Edition: Table of Contents</w:t>
      </w:r>
      <w:r>
        <w:t xml:space="preserve">    </w:t>
      </w:r>
      <w:r>
        <w:rPr>
          <w:b/>
        </w:rPr>
        <w:t xml:space="preserve">Pub date: </w:t>
      </w:r>
      <w:r>
        <w:t>2026-05-28 09:18:31+00:00</w:t>
      </w:r>
      <w:r>
        <w:t xml:space="preserve">    </w:t>
      </w:r>
      <w:r>
        <w:rPr>
          <w:b/>
        </w:rPr>
        <w:t xml:space="preserve">DOI: </w:t>
      </w:r>
      <w:hyperlink r:id="rId122">
        <w:r>
          <w:rPr>
            <w:color w:val="1155CC"/>
            <w:u w:val="single"/>
          </w:rPr>
          <w:t>10.1002/anie.5558984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镍层状氧化物阴极具有高容量，但在高电压和高温下运行时会出现严重的界面不稳定和热安全风险。在这里，我们提出了一种基于分子氟化对称性的电解质设计策略。该方法采用二氟对称取代来精确引导分解途径优先进行开环反应，从而有效抑制脱氟分解以及在高温下伴随形成的酸性副产物。通过协同氟化的合理分子工程，我们实现了定向界面化学控制。在恶劣的操作条件下（4.5 V，45°C），改进的电池在 300 次循环后保留了 83% 的容量，同时显着减少了气体产生并提高了热失控起始温度。此外，2 Ah 石墨||LiNi</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软包电池在 45°C 下循环 480 次后容量保持率为 90%，在 60°C 下循环 200 次后容量保持率为 91%。这些结果将分子氟化对称性确立为电解质的实用设计原则，可在苛刻的操作条件下增强富镍阴极的高温性能和本质安全性。</w:t>
      </w:r>
    </w:p>
    <w:p>
      <w:pPr>
        <w:spacing w:before="0" w:after="200" w:lineRule="auto" w:line="276"/>
      </w:pPr>
      <w:r>
        <w:rPr>
          <w:b/>
        </w:rPr>
        <w:t xml:space="preserve">Abstract (EN): </w:t>
      </w:r>
      <w:r>
        <w:t>Ni‐rich layered oxide cathodes deliver high capacity, but they suffer from severe interfacial instability and thermal safety risks when operated at high voltages and elevated temperatures. Here we propose an electrolyte design strategy based on molecular fluorination symmetry. This approach employs difluoro‐symmetric substitution to precisely steer decomposition pathways towards preferential ring‐opening reactions, thereby effectively suppressing defluorination decomposition and the concomitant formation of acidic byproducts at elevated temperatures. Through rational molecular engineering of synergistic fluorination, we achieve directed interfacial chemistry control. Under harsh operational conditions (4.5 V, 45°C), the modified cells retain 83% of their capacity after 300 cycles, along with significantly reduced gas generation and an elevated thermal runaway onset temperature. Furthermore, 2 Ah graphite||LiNi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pouch cells exhibit a capacity retention of 90% after 480 cycles at 45°C and 91% after 200 cycles at 60°C. These results establish molecular fluorination symmetry as a practical design principle for electrolytes that enhance high‐temperature performance and intrinsic safety in Ni‐rich cathodes under demanding operational conditions.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23">
        <w:r>
          <w:rPr>
            <w:color w:val="1155CC"/>
            <w:u w:val="single"/>
          </w:rPr>
          <w:t>锂离子电池的统一寿命电化学老化框架：捕获跨越扩展电压边界的退化</w:t>
        </w:r>
      </w:hyperlink>
    </w:p>
    <w:p>
      <w:pPr>
        <w:spacing w:before="0" w:after="80"/>
      </w:pPr>
      <w:r>
        <w:rPr>
          <w:i/>
          <w:sz w:val="20"/>
        </w:rPr>
        <w:t>EN: A unified lifetime electrochemical-aging framework for lithium-ion batteries: Capturing degradation across expanded voltage boundaries</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24">
        <w:r>
          <w:rPr>
            <w:color w:val="1155CC"/>
            <w:u w:val="single"/>
          </w:rPr>
          <w:t>描述极端气候下 BEV 能量流的特征：热泵、PTC 和混合热管理架构的实验比较</w:t>
        </w:r>
      </w:hyperlink>
    </w:p>
    <w:p>
      <w:pPr>
        <w:spacing w:before="0" w:after="80"/>
      </w:pPr>
      <w:r>
        <w:rPr>
          <w:i/>
          <w:sz w:val="20"/>
        </w:rPr>
        <w:t>EN: Characterizing BEV energy flow in extreme climates: An experimental comparison of heat pump, PTC, and hybrid thermal management architectures</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25">
        <w:r>
          <w:rPr>
            <w:color w:val="1155CC"/>
            <w:u w:val="single"/>
          </w:rPr>
          <w:t>用于电动汽车锂离子电池充电状态和健康状态估计的贝叶斯过滤技术：方法、挑战和未来方向</w:t>
        </w:r>
      </w:hyperlink>
    </w:p>
    <w:p>
      <w:pPr>
        <w:spacing w:before="0" w:after="80"/>
      </w:pPr>
      <w:r>
        <w:rPr>
          <w:i/>
          <w:sz w:val="20"/>
        </w:rPr>
        <w:t>EN: Bayesian filtering techniques for state of charge and state of health estimation in lithium-ion batteries for electric vehicles: Methods, challenges, and future directions</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6">
        <w:r>
          <w:rPr>
            <w:color w:val="1155CC"/>
            <w:u w:val="single"/>
          </w:rPr>
          <w:t>通过基于物理的神经网络将 3D 多物理场仿真转化为储能系统热管理的实时机载智能</w:t>
        </w:r>
      </w:hyperlink>
    </w:p>
    <w:p>
      <w:pPr>
        <w:spacing w:before="0" w:after="80"/>
      </w:pPr>
      <w:r>
        <w:rPr>
          <w:i/>
          <w:sz w:val="20"/>
        </w:rPr>
        <w:t>EN: Transforming 3D multi-physics simulations into real-time onboard intelligence for energy storage systems thermal management with physics-informed neural networks</w:t>
      </w:r>
    </w:p>
    <w:p>
      <w:pPr>
        <w:spacing w:before="0" w:after="120"/>
      </w:pPr>
      <w:r>
        <w:rPr>
          <w:b/>
        </w:rPr>
        <w:t xml:space="preserve">Source: </w:t>
      </w:r>
      <w:r>
        <w:t>ScienceDirect Publication: Applied Energy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27">
        <w:r>
          <w:rPr>
            <w:color w:val="1155CC"/>
            <w:u w:val="single"/>
          </w:rPr>
          <w:t>先进的健康状态估计集成了磷酸铁锂电池自适应扩展卡尔曼滤波器中基于部分容量的初始化和电阻通知的协方差校正</w:t>
        </w:r>
      </w:hyperlink>
    </w:p>
    <w:p>
      <w:pPr>
        <w:spacing w:before="0" w:after="80"/>
      </w:pPr>
      <w:r>
        <w:rPr>
          <w:i/>
          <w:sz w:val="20"/>
        </w:rPr>
        <w:t>EN: Advanced state-of-health estimation integrating partial capacity-based initialization and resistance-informed covariance correction in adaptive extended Kalman filter for lithium iron phosphate batteries</w:t>
      </w:r>
    </w:p>
    <w:p>
      <w:pPr>
        <w:spacing w:before="0" w:after="120"/>
      </w:pPr>
      <w:r>
        <w:rPr>
          <w:b/>
        </w:rPr>
        <w:t xml:space="preserve">Source: </w:t>
      </w:r>
      <w:r>
        <w:t>ScienceDirect Publication: Applied Energy</w:t>
      </w:r>
      <w:r>
        <w:t xml:space="preserve">    </w:t>
      </w:r>
      <w:r>
        <w:rPr>
          <w:b/>
        </w:rPr>
        <w:t xml:space="preserve">Pub date: </w:t>
      </w:r>
      <w:r>
        <w:t>2026-05-25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28">
        <w:r>
          <w:rPr>
            <w:color w:val="1155CC"/>
            <w:u w:val="single"/>
          </w:rPr>
          <w:t>[ASAP] 扩散优先使共价有机框架中的动力学 6Li 具有选择性</w:t>
        </w:r>
      </w:hyperlink>
    </w:p>
    <w:p>
      <w:pPr>
        <w:spacing w:before="0" w:after="80"/>
      </w:pPr>
      <w:r>
        <w:rPr>
          <w:i/>
          <w:sz w:val="20"/>
        </w:rPr>
        <w:t>EN: [ASAP] Diffusional Priority Enables Kinetic 6Li Selectivity in a Covalent 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2026-05-26 08:53:11+00:00</w:t>
      </w:r>
      <w:r>
        <w:t xml:space="preserve">    </w:t>
      </w:r>
      <w:r>
        <w:rPr>
          <w:b/>
        </w:rPr>
        <w:t xml:space="preserve">DOI: </w:t>
      </w:r>
      <w:hyperlink r:id="rId129">
        <w:r>
          <w:rPr>
            <w:color w:val="1155CC"/>
            <w:u w:val="single"/>
          </w:rPr>
          <w:t>10.1021/jacs.6c05817</w:t>
        </w:r>
      </w:hyperlink>
    </w:p>
    <w:p>
      <w:pPr>
        <w:spacing w:before="0" w:after="120"/>
      </w:pPr>
      <w:r>
        <w:rPr>
          <w:b/>
        </w:rPr>
        <w:t xml:space="preserve">Notes: </w:t>
      </w:r>
      <w:r>
        <w:t>abstract_source=pubmed</w:t>
      </w:r>
    </w:p>
    <w:p>
      <w:pPr>
        <w:spacing w:before="0" w:after="80" w:lineRule="auto" w:line="276"/>
      </w:pPr>
      <w:r>
        <w:rPr>
          <w:b/>
        </w:rPr>
        <w:t xml:space="preserve">摘要（ZH）: </w:t>
      </w:r>
      <w:r>
        <w:t>几乎相同的电子结构和强溶剂化阻碍了锂同位素 (6Li/7Li) 的分离。基于配体-离子热力学亲和力的吸附策略通常难以解释实验观察到的 6Li 优于 7Li 的现象。采用冠醚官能化共价有机框架作为代表性吸附系统来区分平衡结合和运输过程的贡献。密度泛函理论计算表明，氨基-苯并-15-冠-5 对 7Li 表现出轻微的热力学偏好，具有较低的络合吉布斯自由能。批量实验揭示了对 6Li 吸附的意外偏好。这种行为源于其较高的零点能量和较低的质量，这有利于去溶剂化并加速扩散，从而导致比热力学上优选的 7Li 更有利的动力学配位。一旦配位，同位素之间较小的吉布斯自由能差异为配体交换提供了有限的驱动力，阻碍了 7Li 取代 6Li。这些发现支持非平衡传输过程在基于吸附的锂同位素分离中的重要作用。</w:t>
      </w:r>
    </w:p>
    <w:p>
      <w:pPr>
        <w:spacing w:before="0" w:after="200" w:lineRule="auto" w:line="276"/>
      </w:pPr>
      <w:r>
        <w:rPr>
          <w:b/>
        </w:rPr>
        <w:t xml:space="preserve">Abstract (EN): </w:t>
      </w:r>
      <w:r>
        <w:t>Lithium isotope (6Li/7Li) separation is hindered by nearly identical electronic structures and strong solvation. Adsorption strategies based on ligand-ion thermodynamic affinity often struggle to explain the experimentally observed preference for 6Li over 7Li. A crown ether-functionalized covalent organic framework is employed as a representative adsorption system to distinguish the contributions of equilibrium binding and transport processes. Density functional theory calculations show that amino-benzo-15-crown-5 exhibits a slight thermodynamic preference for 7Li, with a lower Gibbs free energy of complexation. Batch experiments reveal an unexpected preference for 6Li adsorption. This behavior arises from its higher zero-point energy and lower mass, which facilitate desolvation and accelerate diffusion, leading to kinetically favored coordination over thermodynamically preferred 7Li. Once coordinated, the small Gibbs free energy difference between isotopes provides limited driving force for ligand exchange, hindering replacement of 6Li by 7Li. These findings support the important role of nonequilibrium transport processes in adsorption-based lithium isotope separation.</w:t>
      </w:r>
    </w:p>
    <w:p>
      <w:pPr>
        <w:spacing w:before="120" w:after="120"/>
      </w:pPr>
      <w:r>
        <w:rPr>
          <w:sz w:val="18"/>
        </w:rPr>
        <w:t>——————————————————————————————————————————————————————————————————————</w:t>
      </w:r>
    </w:p>
    <w:p>
      <w:pPr>
        <w:spacing w:before="160" w:after="40" w:line="240" w:lineRule="auto"/>
      </w:pPr>
      <w:r>
        <w:rPr>
          <w:b/>
        </w:rPr>
        <w:t xml:space="preserve">[7] </w:t>
      </w:r>
      <w:hyperlink r:id="rId65">
        <w:r>
          <w:rPr>
            <w:color w:val="1155CC"/>
            <w:u w:val="single"/>
          </w:rPr>
          <w:t>通过强负电配体场进行表面自旋态操控，实现废锂离子电池阴极的直接再生</w:t>
        </w:r>
      </w:hyperlink>
    </w:p>
    <w:p>
      <w:pPr>
        <w:spacing w:before="0" w:after="80"/>
      </w:pPr>
      <w:r>
        <w:rPr>
          <w:i/>
          <w:sz w:val="20"/>
        </w:rPr>
        <w:t>EN: Surface Spin‐State Manipulation via a Strong Electronegative Ligand Field Enables Direct Regeneration of Spent Lithium‐Ion Battery Cathodes</w:t>
      </w:r>
    </w:p>
    <w:p>
      <w:pPr>
        <w:spacing w:before="0" w:after="120"/>
      </w:pPr>
      <w:r>
        <w:rPr>
          <w:b/>
        </w:rPr>
        <w:t xml:space="preserve">Source: </w:t>
      </w:r>
      <w:r>
        <w:t>Wiley: Angewandte Chemie International Edition: Table of Contents</w:t>
      </w:r>
      <w:r>
        <w:t xml:space="preserve">    </w:t>
      </w:r>
      <w:r>
        <w:rPr>
          <w:b/>
        </w:rPr>
        <w:t xml:space="preserve">Pub date: </w:t>
      </w:r>
      <w:r>
        <w:t>2026-05-26 16:20:11+00:00</w:t>
      </w:r>
      <w:r>
        <w:t xml:space="preserve">    </w:t>
      </w:r>
      <w:r>
        <w:rPr>
          <w:b/>
        </w:rPr>
        <w:t xml:space="preserve">DOI: </w:t>
      </w:r>
      <w:hyperlink r:id="rId66">
        <w:r>
          <w:rPr>
            <w:color w:val="1155CC"/>
            <w:u w:val="single"/>
          </w:rPr>
          <w:t>10.1002/anie.2888520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锂离子电池的快速增长加剧了对废锂镍高效回收的需求</w:t>
      </w:r>
      <w:r>
        <w:t xml:space="preserve"> </w:t>
      </w:r>
      <w:r>
        <w:t>0.5</w:t>
      </w:r>
      <w:r>
        <w:t xml:space="preserve"> </w:t>
      </w:r>
      <w:r>
        <w:t>钴</w:t>
      </w:r>
      <w:r>
        <w:t xml:space="preserve"> </w:t>
      </w:r>
      <w:r>
        <w:t>0.2</w:t>
      </w:r>
      <w:r>
        <w:t xml:space="preserve"> </w:t>
      </w:r>
      <w:r>
        <w:t>锰</w:t>
      </w:r>
      <w:r>
        <w:t xml:space="preserve"> </w:t>
      </w:r>
      <w:r>
        <w:t>0.3</w:t>
      </w:r>
      <w:r>
        <w:t xml:space="preserve"> </w:t>
      </w:r>
      <w:r>
        <w:t>氧</w:t>
      </w:r>
      <w:r>
        <w:rPr>
          <w:vertAlign w:val="subscript"/>
        </w:rPr>
        <w:t>2</w:t>
      </w:r>
      <w:r>
        <w:t>（NCM）阴极。然而，Ni的高自旋态阻碍了直接再生</w:t>
      </w:r>
      <w:r>
        <w:t xml:space="preserve"> </w:t>
      </w:r>
      <w:r>
        <w:t>2+</w:t>
      </w:r>
      <w:r>
        <w:t xml:space="preserve"> </w:t>
      </w:r>
      <w:r>
        <w:t>（</w:t>
      </w:r>
      <w:r>
        <w:t xml:space="preserve"> </w:t>
      </w:r>
      <w:r>
        <w:t>S</w:t>
      </w:r>
      <w:r>
        <w:t xml:space="preserve"> </w:t>
      </w:r>
      <w:r>
        <w:t>= 1) 表面结构退化，阻碍了 Li</w:t>
      </w:r>
      <w:r>
        <w:t xml:space="preserve"> </w:t>
      </w:r>
      <w:r>
        <w:t>+</w:t>
      </w:r>
      <w:r>
        <w:t xml:space="preserve"> </w:t>
      </w:r>
      <w:r>
        <w:t>插层并限制修复效率。在这里，我们引入强电负性配体场来调节表面 NiO</w:t>
      </w:r>
      <w:r>
        <w:rPr>
          <w:vertAlign w:val="subscript"/>
        </w:rPr>
        <w:t>6</w:t>
      </w:r>
      <w:r>
        <w:t>配位环境，能够精确调控Ni自旋态和电子结构。该策略改变了 Ni e 的占用率</w:t>
      </w:r>
      <w:r>
        <w:t xml:space="preserve"> </w:t>
      </w:r>
      <w:r>
        <w:t>克</w:t>
      </w:r>
      <w:r>
        <w:t xml:space="preserve"> </w:t>
      </w:r>
      <w:r>
        <w:t>轨道，转化高自旋Ni</w:t>
      </w:r>
      <w:r>
        <w:t xml:space="preserve"> </w:t>
      </w:r>
      <w:r>
        <w:t>2+</w:t>
      </w:r>
      <w:r>
        <w:t xml:space="preserve"> </w:t>
      </w:r>
      <w:r>
        <w:t>（t</w:t>
      </w:r>
      <w:r>
        <w:rPr>
          <w:vertAlign w:val="subscript"/>
        </w:rPr>
        <w:t>2</w:t>
      </w:r>
      <w:r>
        <w:t xml:space="preserve"> </w:t>
      </w:r>
      <w:r>
        <w:t>克</w:t>
      </w:r>
      <w:r>
        <w:t xml:space="preserve"> </w:t>
      </w:r>
      <w:r>
        <w:rPr>
          <w:vertAlign w:val="subscript"/>
        </w:rPr>
        <w:t>6</w:t>
      </w:r>
      <w:r>
        <w:t>e</w:t>
      </w:r>
      <w:r>
        <w:t xml:space="preserve"> </w:t>
      </w:r>
      <w:r>
        <w:t>克</w:t>
      </w:r>
      <w:r>
        <w:t xml:space="preserve"> </w:t>
      </w:r>
      <w:r>
        <w:rPr>
          <w:vertAlign w:val="subscript"/>
        </w:rPr>
        <w:t>2</w:t>
      </w:r>
      <w:r>
        <w:t>,</w:t>
      </w:r>
      <w:r>
        <w:t xml:space="preserve"> </w:t>
      </w:r>
      <w:r>
        <w:t>S</w:t>
      </w:r>
      <w:r>
        <w:t xml:space="preserve"> </w:t>
      </w:r>
      <w:r>
        <w:t>= 1) 至低自旋 Ni</w:t>
      </w:r>
      <w:r>
        <w:t xml:space="preserve"> </w:t>
      </w:r>
      <w:r>
        <w:t>3+</w:t>
      </w:r>
      <w:r>
        <w:t xml:space="preserve"> </w:t>
      </w:r>
      <w:r>
        <w:t>（t</w:t>
      </w:r>
      <w:r>
        <w:rPr>
          <w:vertAlign w:val="subscript"/>
        </w:rPr>
        <w:t>2</w:t>
      </w:r>
      <w:r>
        <w:t xml:space="preserve"> </w:t>
      </w:r>
      <w:r>
        <w:t>克</w:t>
      </w:r>
      <w:r>
        <w:t xml:space="preserve"> </w:t>
      </w:r>
      <w:r>
        <w:rPr>
          <w:vertAlign w:val="subscript"/>
        </w:rPr>
        <w:t>6</w:t>
      </w:r>
      <w:r>
        <w:t>e</w:t>
      </w:r>
    </w:p>
    <w:p>
      <w:pPr>
        <w:spacing w:before="0" w:after="200" w:lineRule="auto" w:line="276"/>
      </w:pPr>
      <w:r>
        <w:rPr>
          <w:b/>
        </w:rPr>
        <w:t xml:space="preserve">Abstract (EN): </w:t>
      </w:r>
      <w:r>
        <w:t>The rapid growth of lithium‐ion batteries has intensified the need for efficient recycling of spent LiNi</w:t>
      </w:r>
      <w:r>
        <w:t xml:space="preserve"> </w:t>
      </w:r>
      <w:r>
        <w:t>0.5</w:t>
      </w:r>
      <w:r>
        <w:t xml:space="preserve"> </w:t>
      </w:r>
      <w:r>
        <w:t>Co</w:t>
      </w:r>
      <w:r>
        <w:t xml:space="preserve"> </w:t>
      </w:r>
      <w:r>
        <w:t>0.2</w:t>
      </w:r>
      <w:r>
        <w:t xml:space="preserve"> </w:t>
      </w:r>
      <w:r>
        <w:t>Mn</w:t>
      </w:r>
      <w:r>
        <w:t xml:space="preserve"> </w:t>
      </w:r>
      <w:r>
        <w:t>0.3</w:t>
      </w:r>
      <w:r>
        <w:t xml:space="preserve"> </w:t>
      </w:r>
      <w:r>
        <w:t>O</w:t>
      </w:r>
      <w:r>
        <w:rPr>
          <w:vertAlign w:val="subscript"/>
        </w:rPr>
        <w:t>2</w:t>
      </w:r>
      <w:r>
        <w:t>(NCM) cathodes. However, direct regeneration is hindered by the high‐spin state of Ni</w:t>
      </w:r>
      <w:r>
        <w:t xml:space="preserve"> </w:t>
      </w:r>
      <w:r>
        <w:t>2+</w:t>
      </w:r>
      <w:r>
        <w:t xml:space="preserve"> </w:t>
      </w:r>
      <w:r>
        <w:t>(</w:t>
      </w:r>
      <w:r>
        <w:t xml:space="preserve"> </w:t>
      </w:r>
      <w:r>
        <w:t>S</w:t>
      </w:r>
      <w:r>
        <w:t xml:space="preserve"> </w:t>
      </w:r>
      <w:r>
        <w:t>= 1) in degraded surface structures, which impedes Li</w:t>
      </w:r>
      <w:r>
        <w:t xml:space="preserve"> </w:t>
      </w:r>
      <w:r>
        <w:t>+</w:t>
      </w:r>
      <w:r>
        <w:t xml:space="preserve"> </w:t>
      </w:r>
      <w:r>
        <w:t>intercalation and limits repair efficiency. Here, we introduce a strong electronegative ligand field to modulate the surface NiO</w:t>
      </w:r>
      <w:r>
        <w:rPr>
          <w:vertAlign w:val="subscript"/>
        </w:rPr>
        <w:t>6</w:t>
      </w:r>
      <w:r>
        <w:t>coordination environment, enabling precise regulation of Ni spin state and electronic structure. This strategy alters the occupancy of Ni e</w:t>
      </w:r>
      <w:r>
        <w:t xml:space="preserve"> </w:t>
      </w:r>
      <w:r>
        <w:t>g</w:t>
      </w:r>
      <w:r>
        <w:t xml:space="preserve"> </w:t>
      </w:r>
      <w:r>
        <w:t>orbitals, converting high‐spin Ni</w:t>
      </w:r>
      <w:r>
        <w:t xml:space="preserve"> </w:t>
      </w:r>
      <w:r>
        <w:t>2+</w:t>
      </w:r>
      <w:r>
        <w:t xml:space="preserve"> </w:t>
      </w:r>
      <w:r>
        <w:t>(t</w:t>
      </w:r>
      <w:r>
        <w:rPr>
          <w:vertAlign w:val="subscript"/>
        </w:rPr>
        <w:t>2</w:t>
      </w:r>
      <w:r>
        <w:t xml:space="preserve"> </w:t>
      </w:r>
      <w:r>
        <w:t>g</w:t>
      </w:r>
      <w:r>
        <w:t xml:space="preserve"> </w:t>
      </w:r>
      <w:r>
        <w:rPr>
          <w:vertAlign w:val="subscript"/>
        </w:rPr>
        <w:t>6</w:t>
      </w:r>
      <w:r>
        <w:t>e</w:t>
      </w:r>
      <w:r>
        <w:t xml:space="preserve"> </w:t>
      </w:r>
      <w:r>
        <w:t>g</w:t>
      </w:r>
      <w:r>
        <w:t xml:space="preserve"> </w:t>
      </w:r>
      <w:r>
        <w:rPr>
          <w:vertAlign w:val="subscript"/>
        </w:rPr>
        <w:t>2</w:t>
      </w:r>
      <w:r>
        <w:t>,</w:t>
      </w:r>
      <w:r>
        <w:t xml:space="preserve"> </w:t>
      </w:r>
      <w:r>
        <w:t>S</w:t>
      </w:r>
      <w:r>
        <w:t xml:space="preserve"> </w:t>
      </w:r>
      <w:r>
        <w:t>= 1) to low‐spin Ni</w:t>
      </w:r>
      <w:r>
        <w:t xml:space="preserve"> </w:t>
      </w:r>
      <w:r>
        <w:t>3+</w:t>
      </w:r>
      <w:r>
        <w:t xml:space="preserve"> </w:t>
      </w:r>
      <w:r>
        <w:t>(t</w:t>
      </w:r>
      <w:r>
        <w:rPr>
          <w:vertAlign w:val="subscript"/>
        </w:rPr>
        <w:t>2</w:t>
      </w:r>
      <w:r>
        <w:t xml:space="preserve"> </w:t>
      </w:r>
      <w:r>
        <w:t>g</w:t>
      </w:r>
      <w:r>
        <w:t xml:space="preserve"> </w:t>
      </w:r>
      <w:r>
        <w:rPr>
          <w:vertAlign w:val="subscript"/>
        </w:rPr>
        <w:t>6</w:t>
      </w:r>
      <w:r>
        <w:t>e</w:t>
      </w:r>
      <w:r>
        <w:t xml:space="preserve"> </w:t>
      </w:r>
      <w:r>
        <w:t>g</w:t>
      </w:r>
      <w:r>
        <w:t xml:space="preserve"> </w:t>
      </w:r>
      <w:r>
        <w:rPr>
          <w:vertAlign w:val="subscript"/>
        </w:rPr>
        <w:t>1</w:t>
      </w:r>
      <w:r>
        <w:t>,</w:t>
      </w:r>
      <w:r>
        <w:t xml:space="preserve"> </w:t>
      </w:r>
      <w:r>
        <w:t>S</w:t>
      </w:r>
      <w:r>
        <w:t xml:space="preserve"> </w:t>
      </w:r>
      <w:r>
        <w:t>= 1/2) while downshifting the Ni</w:t>
      </w:r>
      <w:r>
        <w:t xml:space="preserve"> </w:t>
      </w:r>
      <w:r>
        <w:t>d</w:t>
      </w:r>
      <w:r>
        <w:t xml:space="preserve"> </w:t>
      </w:r>
      <w:r>
        <w:t>‐band center. The resulting electronic reconfiguration weakens Ni‐Li interactions, enabling efficient lithiation and regeneration of the degraded NCM black mass. The regenerated cathode, when assembled into pouch cells, exhibits Ah‐level capacity with electrochemical performance comparable to commercial counterparts. This work establishes a direct correlation between Li</w:t>
      </w:r>
      <w:r>
        <w:t xml:space="preserve"> </w:t>
      </w:r>
      <w:r>
        <w:t>+</w:t>
      </w:r>
      <w:r>
        <w:t xml:space="preserve"> </w:t>
      </w:r>
      <w:r>
        <w:t>transport kinetics and the Ni spin‐state regulation, offering a new chemical paradigm for the direct regeneration of degraded cathodes.</w:t>
      </w:r>
    </w:p>
    <w:p>
      <w:pPr>
        <w:spacing w:before="120" w:after="120"/>
      </w:pPr>
      <w:r>
        <w:rPr>
          <w:sz w:val="18"/>
        </w:rPr>
        <w:t>——————————————————————————————————————————————————————————————————————</w:t>
      </w:r>
    </w:p>
    <w:p>
      <w:pPr>
        <w:spacing w:before="160" w:after="40" w:line="240" w:lineRule="auto"/>
      </w:pPr>
      <w:r>
        <w:rPr>
          <w:b/>
        </w:rPr>
        <w:t xml:space="preserve">[8] </w:t>
      </w:r>
      <w:hyperlink r:id="rId80">
        <w:r>
          <w:rPr>
            <w:color w:val="1155CC"/>
            <w:u w:val="single"/>
          </w:rPr>
          <w:t>通过钠诱导晶格激活和电导率重新布线实现高性能 LiFePO4 再生</w:t>
        </w:r>
      </w:hyperlink>
    </w:p>
    <w:p>
      <w:pPr>
        <w:spacing w:before="0" w:after="80"/>
      </w:pPr>
      <w:r>
        <w:rPr>
          <w:i/>
          <w:sz w:val="20"/>
        </w:rPr>
        <w:t>EN: High-Performance LiFePO4 Regeneration through Na-Induced Lattice Activation and Conductivity Rewiring</w:t>
      </w:r>
    </w:p>
    <w:p>
      <w:pPr>
        <w:spacing w:before="0" w:after="120"/>
      </w:pPr>
      <w:r>
        <w:rPr>
          <w:b/>
        </w:rPr>
        <w:t xml:space="preserve">Source: </w:t>
      </w:r>
      <w:r>
        <w:t>RSC - Energy Environ. Sci. latest articles</w:t>
      </w:r>
      <w:r>
        <w:t xml:space="preserve">    </w:t>
      </w:r>
      <w:r>
        <w:rPr>
          <w:b/>
        </w:rPr>
        <w:t xml:space="preserve">Pub date: </w:t>
      </w:r>
      <w:r>
        <w:t>2026-05-27 23:00:00+00:00</w:t>
      </w:r>
    </w:p>
    <w:p>
      <w:pPr>
        <w:spacing w:before="0" w:after="120"/>
      </w:pPr>
      <w:r>
        <w:rPr>
          <w:b/>
        </w:rPr>
        <w:t xml:space="preserve">Notes: </w:t>
      </w:r>
      <w:r>
        <w:t>abstract_source=rsc_html</w:t>
      </w:r>
    </w:p>
    <w:p>
      <w:pPr>
        <w:spacing w:before="0" w:after="80" w:lineRule="auto" w:line="276"/>
      </w:pPr>
      <w:r>
        <w:rPr>
          <w:b/>
        </w:rPr>
        <w:t xml:space="preserve">摘要（ZH）: </w:t>
      </w:r>
      <w:r>
        <w:t>废旧磷酸铁锂（LFP）的回收对于锂离子电池的可持续发展至关重要。然而，传统的补锂修复只能将材料恢复到原始状态，达不到下一代电极所需的性能。在此，我们提出了一种晶格协同激活策略，通过同时增强电子和Li+传输途径来实现降解的LFP的升级循环。通过在Li位点掺杂Na，再生LFP的晶格被有效激活。 Na+ 较大的离子半径扩大了 Li+ 扩散通道，并显着加速了 Li+ 传输动力学。此外，Na+和O2-之间更强的电子云重叠将电子密度从O2-转移到Na+。为了保持电荷中性，电子从 Fe2+ 迁移到 O2-，从而诱导 Fe2+ 部分氧化为 Fe3+。 Fe2+/Fe3+的共存降低了穿过Fe 3d轨道的电子迁移势垒，从而显着提高了电子电导率。结果，含有 5% Na 的再生 LFP 在 1 C 下具有 141.1 mAh g-1 的高放电容量，100 次循环后容量保持率为 99.4%。即使在 5 C 的高倍率下，其在 400 次循环后仍能保持 99.0% 的保留率。这种Na诱导晶格激活策略绕过了传统Fe位掺杂（通常需要破坏Fe-O键）的局限性，为锂电池材料的再生和性能升级开辟了新途径。</w:t>
      </w:r>
    </w:p>
    <w:p>
      <w:pPr>
        <w:spacing w:before="0" w:after="200" w:lineRule="auto" w:line="276"/>
      </w:pPr>
      <w:r>
        <w:rPr>
          <w:b/>
        </w:rPr>
        <w:t xml:space="preserve">Abstract (EN): </w:t>
      </w:r>
      <w:r>
        <w:t>The recycling of spent LiFePO4 (LFP) is crucial for the sustainable development of Li-ion batteries. However, conventional lithium-replenishment repair merely restores the material to its original state, falling short of the performance required for next-generation electrodes. Herein, we propose a lattice-synergistic activation strategy that enables the upcycling of degraded LFP by simultaneously enhancing both electronic and Li+ transport pathways. Through Na doping at Li sites, the lattice of regenerated LFP is effectively activated. The larger ionic radius of Na+ expands the Li+ diffusion channels and significantly accelerates Li+ transport kinetics. Moreover, the stronger electron-cloud overlap between Na+ and O2- shifts electron density from O2- to Na+. To maintain charge neutrality, electrons migrate from Fe2+ to O2-, inducing partial oxidation of Fe2+ to Fe3+. The coexistence of Fe2+/Fe3+ lowers the electron migration barrier across Fe 3d orbitals, leading to a marked improvement in electronic conductivity. As a result, the regenerated LFP with 5% Na delivers a high discharge capacity of 141.1 mAh g-1 at 1 C with 99.4% capacity retention after 100 cycles. Even at a high rate of 5 C, it maintains 99.0% retention over 400 cycles. This Na-induced lattice-activation strategy bypasses the limitations of traditional Fe-site doping, which typically requires breaking the Fe-O bond, and opens a new avenue for both the regeneration and performance upgrading of lithium battery materials.</w:t>
      </w:r>
    </w:p>
    <w:p>
      <w:pPr>
        <w:spacing w:before="120" w:after="120"/>
      </w:pPr>
      <w:r>
        <w:rPr>
          <w:sz w:val="18"/>
        </w:rPr>
        <w:t>——————————————————————————————————————————————————————————————————————</w:t>
      </w:r>
    </w:p>
    <w:p>
      <w:pPr>
        <w:spacing w:before="160" w:after="40" w:line="240" w:lineRule="auto"/>
      </w:pPr>
      <w:r>
        <w:rPr>
          <w:b/>
        </w:rPr>
        <w:t xml:space="preserve">[9] </w:t>
      </w:r>
      <w:hyperlink r:id="rId130">
        <w:r>
          <w:rPr>
            <w:color w:val="1155CC"/>
            <w:u w:val="single"/>
          </w:rPr>
          <w:t>绘制 2001 年至 2022 年采矿业全球资源导致的自然损失图</w:t>
        </w:r>
      </w:hyperlink>
    </w:p>
    <w:p>
      <w:pPr>
        <w:spacing w:before="0" w:after="80"/>
      </w:pPr>
      <w:r>
        <w:rPr>
          <w:i/>
          <w:sz w:val="20"/>
        </w:rPr>
        <w:t>EN: Mapping global resource driven nature loss in the mining sector from 2001 to 2022</w:t>
      </w:r>
    </w:p>
    <w:p>
      <w:pPr>
        <w:spacing w:before="0" w:after="120"/>
      </w:pPr>
      <w:r>
        <w:rPr>
          <w:b/>
        </w:rPr>
        <w:t xml:space="preserve">Source: </w:t>
      </w:r>
      <w:r>
        <w:t>Earth and environmental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由于对清洁能源的需求不断增长，全球矿物开采预计将激增。虽然采矿对现代社会至关重要，但其对环境的影响尽管得到了越来越多的研究，但对于世界上一半的矿区来说，其环境影响仍然没有记录，而且很少在商品层面进行分析。在这里，我们介绍了一种集成遥感、机器学习和云计算的新颖方法，可按商品对大约 70,000 个矿场进行分类。使用这个新的详细数据集，我们量化了与 20 种提取的商品相关的自然损失，重点关注森林砍伐和栖息地破坏。 2001年至2022年，全球采矿活动导致森林覆盖面积减少16,268平方公里，其中65.64%发生在热带和亚热带地区。值得注意的是，大约一半的森林砍伐归因于黄金、煤炭、铝（铝土矿）、镍钴和铜的开采，主要发生在亚马逊、东南亚和刚果盆地雨林交汇的国家。我们的分析还表明，森林砍伐与采矿面积的比率和生物多样性风险因采矿地点而异，并且保护威胁并不总是随着森林砍伐率而增加。通过提供采矿引起的自然损失的特定商品地图，我们的工作为公司和组织提供了可行的见解，以识别其供应链中的风险并实施有针对性的缓解策略。</w:t>
      </w:r>
    </w:p>
    <w:p>
      <w:pPr>
        <w:spacing w:before="0" w:after="200" w:lineRule="auto" w:line="276"/>
      </w:pPr>
      <w:r>
        <w:rPr>
          <w:b/>
        </w:rPr>
        <w:t xml:space="preserve">Abstract (EN): </w:t>
      </w:r>
      <w:r>
        <w:t>Global mineral extraction is expected to surge due to the growing demand for clean energy. While mining is critical to modern society, its environmental impacts, though increasingly studied, remain undocumented for half of the world’s mining areas and are rarely analysed at the commodity level. Here, we introduce a novel approach integrating remote sensing, machine learning, and cloud computing to classify approximately 70,000 mining sites by commodity. Using this newly detailed dataset, we quantify the nature loss associated with 20 extracted commodities, focusing on deforestation and habitat destruction. From 2001 to 2022, mining activities worldwide resulted in the removal of 16,268 km² of forest cover, with 65.64% occurring in tropical and subtropical regions. Notably, approximately half of this deforestation was attributed to the extraction of gold, coal, aluminium (bauxite), nickel-cobalt and copper, primarily in countries intersecting the Amazon, Southeast Asian, and Congo Basin rainforests. Our analysis also reveals that deforestation-to-mining area ratios and biodiversity risks vary by mining location, and conservation threats do not always scale with deforestation rates. By providing commodity-specific maps of mining-induced nature loss, our work equips companies and organisations with actionable insights to identify risks within their supply chains and implement targeted mitigation strategies.</w:t>
      </w:r>
    </w:p>
    <w:p>
      <w:pPr>
        <w:spacing w:before="120" w:after="120"/>
      </w:pPr>
      <w:r>
        <w:rPr>
          <w:sz w:val="18"/>
        </w:rPr>
        <w:t>——————————————————————————————————————————————————————————————————————</w:t>
      </w:r>
    </w:p>
    <w:p>
      <w:pPr>
        <w:spacing w:before="160" w:after="40" w:line="240" w:lineRule="auto"/>
      </w:pPr>
      <w:r>
        <w:rPr>
          <w:b/>
        </w:rPr>
        <w:t xml:space="preserve">[10] </w:t>
      </w:r>
      <w:hyperlink r:id="rId115">
        <w:r>
          <w:rPr>
            <w:color w:val="1155CC"/>
            <w:u w:val="single"/>
          </w:rPr>
          <w:t>聚合物固体电解质的可逆自组装使锂电池回收成为可能</w:t>
        </w:r>
      </w:hyperlink>
    </w:p>
    <w:p>
      <w:pPr>
        <w:spacing w:before="0" w:after="80"/>
      </w:pPr>
      <w:r>
        <w:rPr>
          <w:i/>
          <w:sz w:val="20"/>
        </w:rPr>
        <w:t>EN: Reversible self-assembly of polymeric solid electrolyte enables lithium battery recycling</w:t>
      </w:r>
    </w:p>
    <w:p>
      <w:pPr>
        <w:spacing w:before="0" w:after="120"/>
      </w:pPr>
      <w:r>
        <w:rPr>
          <w:b/>
        </w:rPr>
        <w:t xml:space="preserve">Source: </w:t>
      </w:r>
      <w:r>
        <w:t>Nature Chemistry</w:t>
      </w:r>
      <w:r>
        <w:t xml:space="preserve">    </w:t>
      </w:r>
      <w:r>
        <w:rPr>
          <w:b/>
        </w:rPr>
        <w:t xml:space="preserve">Pub date: </w:t>
      </w:r>
      <w:r>
        <w:t>2026-05-28 00:00:00+00:00</w:t>
      </w:r>
      <w:r>
        <w:t xml:space="preserve">    </w:t>
      </w:r>
      <w:r>
        <w:rPr>
          <w:b/>
        </w:rPr>
        <w:t xml:space="preserve">DOI: </w:t>
      </w:r>
      <w:hyperlink r:id="rId116">
        <w:r>
          <w:rPr>
            <w:color w:val="1155CC"/>
            <w:u w:val="single"/>
          </w:rPr>
          <w:t>10.1038/s41557-026-02154-1</w:t>
        </w:r>
      </w:hyperlink>
    </w:p>
    <w:p>
      <w:pPr>
        <w:spacing w:before="0" w:after="120"/>
      </w:pPr>
      <w:r>
        <w:rPr>
          <w:b/>
        </w:rPr>
        <w:t xml:space="preserve">Notes: </w:t>
      </w:r>
      <w:r>
        <w:t>abstract_source=nature_html</w:t>
      </w:r>
    </w:p>
    <w:p>
      <w:pPr>
        <w:spacing w:before="0" w:after="80" w:lineRule="auto" w:line="276"/>
      </w:pPr>
      <w:r>
        <w:rPr>
          <w:b/>
        </w:rPr>
        <w:t xml:space="preserve">摘要（ZH）: </w:t>
      </w:r>
      <w:r>
        <w:t>固态电池提供安全的高能量存储，但难以回收。现在，超分子电解质在运行过程中形成固体，然后恢复为分子，结合了电化学性能和可恢复性——这是电池技术中很少实现的特性组合。</w:t>
      </w:r>
    </w:p>
    <w:p>
      <w:pPr>
        <w:spacing w:before="0" w:after="200" w:lineRule="auto" w:line="276"/>
      </w:pPr>
      <w:r>
        <w:rPr>
          <w:b/>
        </w:rPr>
        <w:t xml:space="preserve">Abstract (EN): </w:t>
      </w:r>
      <w:r>
        <w:t>Solid-state batteries offer safe high-energy storage but are difficult to recycle. Now, a supramolecular electrolyte that forms a solid during operation and reverts to molecules afterwards combines electrochemical performance and recoverability — a combination of properties rarely achieved in battery technology.</w:t>
      </w:r>
    </w:p>
    <w:p>
      <w:pPr>
        <w:spacing w:before="120" w:after="120"/>
      </w:pPr>
      <w:r>
        <w:rPr>
          <w:sz w:val="18"/>
        </w:rPr>
        <w:t>——————————————————————————————————————————————————————————————————————</w:t>
      </w:r>
    </w:p>
    <w:p>
      <w:pPr>
        <w:spacing w:before="160" w:after="40" w:line="240" w:lineRule="auto"/>
      </w:pPr>
      <w:r>
        <w:rPr>
          <w:b/>
        </w:rPr>
        <w:t xml:space="preserve">[11] </w:t>
      </w:r>
      <w:hyperlink r:id="rId131">
        <w:r>
          <w:rPr>
            <w:color w:val="1155CC"/>
            <w:u w:val="single"/>
          </w:rPr>
          <w:t>关闭锂精炼循环</w:t>
        </w:r>
      </w:hyperlink>
    </w:p>
    <w:p>
      <w:pPr>
        <w:spacing w:before="0" w:after="80"/>
      </w:pPr>
      <w:r>
        <w:rPr>
          <w:i/>
          <w:sz w:val="20"/>
        </w:rPr>
        <w:t>EN: Closing the loop on lithium refining</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32">
        <w:r>
          <w:rPr>
            <w:color w:val="1155CC"/>
            <w:u w:val="single"/>
          </w:rPr>
          <w:t>10.1126/science.aei1181</w:t>
        </w:r>
      </w:hyperlink>
    </w:p>
    <w:p>
      <w:pPr>
        <w:spacing w:before="0" w:after="120"/>
      </w:pPr>
      <w:r>
        <w:rPr>
          <w:b/>
        </w:rPr>
        <w:t xml:space="preserve">Notes: </w:t>
      </w:r>
      <w:r>
        <w:t>abstract_source=crossref</w:t>
      </w:r>
    </w:p>
    <w:p>
      <w:pPr>
        <w:spacing w:before="0" w:after="80" w:lineRule="auto" w:line="276"/>
      </w:pPr>
      <w:r>
        <w:rPr>
          <w:b/>
        </w:rPr>
        <w:t xml:space="preserve">摘要（ZH）: </w:t>
      </w:r>
      <w:r>
        <w:t>锂硬岩精炼的水相工艺在经济和环境上都具有吸引力</w:t>
      </w:r>
    </w:p>
    <w:p>
      <w:pPr>
        <w:spacing w:before="0" w:after="200" w:lineRule="auto" w:line="276"/>
      </w:pPr>
      <w:r>
        <w:rPr>
          <w:b/>
        </w:rPr>
        <w:t xml:space="preserve">Abstract (EN): </w:t>
      </w:r>
      <w:r>
        <w:t>An aqueous process for lithium hardrock refining is economically and environmentally attractive</w:t>
      </w:r>
    </w:p>
    <w:p>
      <w:pPr>
        <w:spacing w:before="120" w:after="120"/>
      </w:pPr>
      <w:r>
        <w:rPr>
          <w:sz w:val="18"/>
        </w:rPr>
        <w:t>——————————————————————————————————————————————————————————————————————</w:t>
      </w:r>
    </w:p>
    <w:p>
      <w:pPr>
        <w:spacing w:before="160" w:after="40" w:line="240" w:lineRule="auto"/>
      </w:pPr>
      <w:r>
        <w:rPr>
          <w:b/>
        </w:rPr>
        <w:t xml:space="preserve">[12] </w:t>
      </w:r>
      <w:hyperlink r:id="rId133">
        <w:r>
          <w:rPr>
            <w:color w:val="1155CC"/>
            <w:u w:val="single"/>
          </w:rPr>
          <w:t>硬岩锂的增值集中于电池原材料和商品</w:t>
        </w:r>
      </w:hyperlink>
    </w:p>
    <w:p>
      <w:pPr>
        <w:spacing w:before="0" w:after="80"/>
      </w:pPr>
      <w:r>
        <w:rPr>
          <w:i/>
          <w:sz w:val="20"/>
        </w:rPr>
        <w:t>EN: Valorization of lithium hardrock concentrates into battery raw materials and commodity products</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34">
        <w:r>
          <w:rPr>
            <w:color w:val="1155CC"/>
            <w:u w:val="single"/>
          </w:rPr>
          <w:t>10.1126/science.aec4652</w:t>
        </w:r>
      </w:hyperlink>
    </w:p>
    <w:p>
      <w:pPr>
        <w:spacing w:before="0" w:after="120"/>
      </w:pPr>
      <w:r>
        <w:rPr>
          <w:b/>
        </w:rPr>
        <w:t xml:space="preserve">Notes: </w:t>
      </w:r>
      <w:r>
        <w:t>abstract_source=crossref</w:t>
      </w:r>
    </w:p>
    <w:p>
      <w:pPr>
        <w:spacing w:before="0" w:after="80" w:lineRule="auto" w:line="276"/>
      </w:pPr>
      <w:r>
        <w:rPr>
          <w:b/>
        </w:rPr>
        <w:t xml:space="preserve">摘要（ZH）: </w:t>
      </w:r>
      <w:r>
        <w:t>需要增加锂化学品的产量以满足对锂电池不断增长的需求。锂辉石 [LiAl(SiO</w:t>
      </w:r>
      <w:r>
        <w:rPr>
          <w:vertAlign w:val="subscript"/>
        </w:rPr>
        <w:t>3</w:t>
      </w:r>
      <w:r>
        <w:t>）</w:t>
      </w:r>
      <w:r>
        <w:rPr>
          <w:vertAlign w:val="subscript"/>
        </w:rPr>
        <w:t>2</w:t>
      </w:r>
      <w:r>
        <w:t>] 是丰富的锂矿产资源，但其开采与卤水资源相比不具有成本竞争力。目前的锂辉石精炼方法是能源和废物密集型的，需要高温焙烧（&gt;1000°C）和化学浸出。我们展示了一种低温、近乎零废物的工艺，可将 α-锂辉石转化为电池级碳酸锂（Li</w:t>
      </w:r>
      <w:r>
        <w:rPr>
          <w:vertAlign w:val="subscript"/>
        </w:rPr>
        <w:t>2</w:t>
      </w:r>
      <w:r>
        <w:t>一氧化碳</w:t>
      </w:r>
      <w:r>
        <w:rPr>
          <w:vertAlign w:val="subscript"/>
        </w:rPr>
        <w:t>3</w:t>
      </w:r>
      <w:r>
        <w:t>）、冶炼级氧化铝（Al</w:t>
      </w:r>
      <w:r>
        <w:rPr>
          <w:vertAlign w:val="subscript"/>
        </w:rPr>
        <w:t>2</w:t>
      </w:r>
      <w:r>
        <w:t>氧</w:t>
      </w:r>
      <w:r>
        <w:rPr>
          <w:vertAlign w:val="subscript"/>
        </w:rPr>
        <w:t>3</w:t>
      </w:r>
      <w:r>
        <w:t>）和胶凝二氧化硅（SiO2</w:t>
      </w:r>
      <w:r>
        <w:rPr>
          <w:vertAlign w:val="subscript"/>
        </w:rPr>
        <w:t>2</w:t>
      </w:r>
      <w:r>
        <w:t>）。氟化铵水溶液 (NH</w:t>
      </w:r>
      <w:r>
        <w:rPr>
          <w:vertAlign w:val="subscript"/>
        </w:rPr>
        <w:t>4</w:t>
      </w:r>
      <w:r>
        <w:t>F) 用作试剂，在&lt;100°C 的温度下在试剂再生的闭环过程中溶解矿物原料。技术经济分析表明，这种方法可以将 α-锂辉石生产锂的成本降低 40% 以上，并使成本与卤水持平。</w:t>
      </w:r>
    </w:p>
    <w:p>
      <w:pPr>
        <w:spacing w:before="0" w:after="200" w:lineRule="auto" w:line="276"/>
      </w:pPr>
      <w:r>
        <w:rPr>
          <w:b/>
        </w:rPr>
        <w:t xml:space="preserve">Abstract (EN): </w:t>
      </w:r>
      <w:r>
        <w:t>The production of lithium chemicals needs to increase to meet rising demand for lithium batteries. Spodumene [LiAl(SiO</w:t>
      </w:r>
      <w:r>
        <w:rPr>
          <w:vertAlign w:val="subscript"/>
        </w:rPr>
        <w:t>3</w:t>
      </w:r>
      <w:r>
        <w:t>)</w:t>
      </w:r>
      <w:r>
        <w:rPr>
          <w:vertAlign w:val="subscript"/>
        </w:rPr>
        <w:t>2</w:t>
      </w:r>
      <w:r>
        <w:t>] is an abundant mineral source of lithium, but its extraction is not cost-competitive with brine resources. Current spodumene-refining methods are energy- and waste-intensive, requiring high-temperature roasting (&amp;gt;1000°C) and chemical leaching. We demonstrate a low-temperature, near-zero-waste process that converts α-spodumene into battery-grade lithium carbonate (Li</w:t>
      </w:r>
      <w:r>
        <w:rPr>
          <w:vertAlign w:val="subscript"/>
        </w:rPr>
        <w:t>2</w:t>
      </w:r>
      <w:r>
        <w:t>CO</w:t>
      </w:r>
      <w:r>
        <w:rPr>
          <w:vertAlign w:val="subscript"/>
        </w:rPr>
        <w:t>3</w:t>
      </w:r>
      <w:r>
        <w:t>), smelter-grade alumina (Al</w:t>
      </w:r>
      <w:r>
        <w:rPr>
          <w:vertAlign w:val="subscript"/>
        </w:rPr>
        <w:t>2</w:t>
      </w:r>
      <w:r>
        <w:t>O</w:t>
      </w:r>
      <w:r>
        <w:rPr>
          <w:vertAlign w:val="subscript"/>
        </w:rPr>
        <w:t>3</w:t>
      </w:r>
      <w:r>
        <w:t>), and cementitious silica (SiO</w:t>
      </w:r>
      <w:r>
        <w:rPr>
          <w:vertAlign w:val="subscript"/>
        </w:rPr>
        <w:t>2</w:t>
      </w:r>
      <w:r>
        <w:t>). Aqueous ammonium fluoride (NH</w:t>
      </w:r>
      <w:r>
        <w:rPr>
          <w:vertAlign w:val="subscript"/>
        </w:rPr>
        <w:t>4</w:t>
      </w:r>
      <w:r>
        <w:t>F) is used as the reagent to solubilize the mineral feedstock at &amp;lt;100°C in a closed-loop process that regenerates the reagent. Techno-economic analysis indicates that this approach may reduce the cost of producing lithium from α-spodumene by &amp;gt;40% and enable cost parity with brines.</w:t>
      </w:r>
    </w:p>
    <w:p>
      <w:pPr>
        <w:spacing w:before="120" w:after="120"/>
      </w:pPr>
      <w:r>
        <w:rPr>
          <w:sz w:val="18"/>
        </w:rPr>
        <w:t>——————————————————————————————————————————————————————————————————————</w:t>
      </w:r>
    </w:p>
    <w:p>
      <w:pPr>
        <w:spacing w:before="160" w:after="40" w:line="240" w:lineRule="auto"/>
      </w:pPr>
      <w:r>
        <w:rPr>
          <w:b/>
        </w:rPr>
        <w:t xml:space="preserve">[13] </w:t>
      </w:r>
      <w:hyperlink r:id="rId135">
        <w:r>
          <w:rPr>
            <w:color w:val="1155CC"/>
            <w:u w:val="single"/>
          </w:rPr>
          <w:t>对实现高性能软凝胶电极电池的集电器的重点审查</w:t>
        </w:r>
      </w:hyperlink>
    </w:p>
    <w:p>
      <w:pPr>
        <w:spacing w:before="0" w:after="80"/>
      </w:pPr>
      <w:r>
        <w:rPr>
          <w:i/>
          <w:sz w:val="20"/>
        </w:rPr>
        <w:t>EN: A Focused Review on the Current Collector to Enable High‐Performance Soft‐Gel Electrode Batteries</w:t>
      </w:r>
    </w:p>
    <w:p>
      <w:pPr>
        <w:spacing w:before="0" w:after="120"/>
      </w:pPr>
      <w:r>
        <w:rPr>
          <w:b/>
        </w:rPr>
        <w:t xml:space="preserve">Source: </w:t>
      </w:r>
      <w:r>
        <w:t>Wiley: Advanced Energy Materials: Table of Contents</w:t>
      </w:r>
      <w:r>
        <w:t xml:space="preserve">    </w:t>
      </w:r>
      <w:r>
        <w:rPr>
          <w:b/>
        </w:rPr>
        <w:t xml:space="preserve">Pub date: </w:t>
      </w:r>
      <w:r>
        <w:t>2026-05-28 08:30:28+00:00</w:t>
      </w:r>
      <w:r>
        <w:t xml:space="preserve">    </w:t>
      </w:r>
      <w:r>
        <w:rPr>
          <w:b/>
        </w:rPr>
        <w:t xml:space="preserve">DOI: </w:t>
      </w:r>
      <w:hyperlink r:id="rId136">
        <w:r>
          <w:rPr>
            <w:color w:val="1155CC"/>
            <w:u w:val="single"/>
          </w:rPr>
          <w:t>10.1002/aenm.71138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集流体传统上被视为电池中的无源电子基板，其作用仅限于电子传输和机械支撑。然而，最近的研究表明，集流体可以主动调节电化学动力学、反应分布和界面稳定性，特别是在传输受限的条件下。这篇综述将集电器重新定义为电化学过程的动态调节器，并从几何工程、界面和表面化学工程、多功能集成以及参数驱动/理论指导设计这四个相互关联的角度总结了最新进展。我们表明，收集器几何形状控制离子迁移路径和反应均匀性，而收集器界面的表面化学、亲和性和电子结构决定金属成核行为和电荷转移动力学。新兴的多功能集电器进一步集成了传输调节、机械缓冲、化学稳定和安全相关功能。这些进展的影响是在软凝胶电极电池的背景下讨论的，其中电化学行为对集电极引起的边界条件高度敏感。本综述为集电器设计建立了统一的框架，并概述了高性能和耐用电池系统的未来方向。</w:t>
      </w:r>
    </w:p>
    <w:p>
      <w:pPr>
        <w:spacing w:before="0" w:after="200" w:lineRule="auto" w:line="276"/>
      </w:pPr>
      <w:r>
        <w:rPr>
          <w:b/>
        </w:rPr>
        <w:t xml:space="preserve">Abstract (EN): </w:t>
      </w:r>
      <w:r>
        <w:t>Current collectors are traditionally regarded as passive electronic substrates in batteries, with roles limited to electron transport and mechanical support. Recent studies, however, demonstrate that current collectors actively regulate electrochemical kinetics, reaction distribution, and interfacial stability, particularly under transport‐limited conditions. This review reframes current collectors as dynamic regulators of electrochemical processes and summarizes recent advances from four interconnected perspectives of geometric engineering, interfacial and surface chemistry engineering, multifunctional integration, and parameter‐driven/theory‐guided design. We show that collector geometry governs ionic migration pathways and reaction homogeneity, while surface chemistry, philicity, and electronic structure at the collector interface dictate metal nucleation behavior and charge‐transfer kinetics. Emerging multifunctional current collectors further integrate transport regulation, mechanical buffering, chemical stabilization, and safety‐related functions. The implications of these advances are discussed in the context of soft‐gel electrode batteries, where electrochemical behavior is highly sensitive to collector‐induced boundary conditions. This review establishes a unified framework for current collector design and outlines future directions toward high‐performance and durable battery systems.</w:t>
      </w:r>
    </w:p>
    <w:p>
      <w:pPr>
        <w:spacing w:before="120" w:after="120"/>
      </w:pPr>
      <w:r>
        <w:rPr>
          <w:sz w:val="18"/>
        </w:rPr>
        <w:t>——————————————————————————————————————————————————————————————————————</w:t>
      </w:r>
    </w:p>
    <w:p>
      <w:pPr>
        <w:spacing w:before="160" w:after="40" w:line="240" w:lineRule="auto"/>
      </w:pPr>
      <w:r>
        <w:rPr>
          <w:b/>
        </w:rPr>
        <w:t xml:space="preserve">[14] </w:t>
      </w:r>
      <w:hyperlink r:id="rId137">
        <w:r>
          <w:rPr>
            <w:color w:val="1155CC"/>
            <w:u w:val="single"/>
          </w:rPr>
          <w:t>水辐射解使废锂离子阴极的二氧化碳激活自由基回收成为可能</w:t>
        </w:r>
      </w:hyperlink>
    </w:p>
    <w:p>
      <w:pPr>
        <w:spacing w:before="0" w:after="80"/>
      </w:pPr>
      <w:r>
        <w:rPr>
          <w:i/>
          <w:sz w:val="20"/>
        </w:rPr>
        <w:t>EN: Water Radiolysis Enables CO2‐Activated Radical Recycling of Spent Lithium‐Ion Cathodes</w:t>
      </w:r>
    </w:p>
    <w:p>
      <w:pPr>
        <w:spacing w:before="0" w:after="120"/>
      </w:pPr>
      <w:r>
        <w:rPr>
          <w:b/>
        </w:rPr>
        <w:t xml:space="preserve">Source: </w:t>
      </w:r>
      <w:r>
        <w:t>Wiley: Angewandte Chemie International Edition: Table of Contents</w:t>
      </w:r>
      <w:r>
        <w:t xml:space="preserve">    </w:t>
      </w:r>
      <w:r>
        <w:rPr>
          <w:b/>
        </w:rPr>
        <w:t xml:space="preserve">Pub date: </w:t>
      </w:r>
      <w:r>
        <w:t>2026-05-28 09:39:25+00:00</w:t>
      </w:r>
      <w:r>
        <w:t xml:space="preserve">    </w:t>
      </w:r>
      <w:r>
        <w:rPr>
          <w:b/>
        </w:rPr>
        <w:t xml:space="preserve">DOI: </w:t>
      </w:r>
      <w:hyperlink r:id="rId138">
        <w:r>
          <w:rPr>
            <w:color w:val="1155CC"/>
            <w:u w:val="single"/>
          </w:rPr>
          <w:t>10.1002/anie.9690932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废旧锂离子电池（LIB）的传统回收依赖于能源密集型且复杂的流程，这阻碍了可持续性。在这里，我们报告了一种温和、高效的回收策略，利用 CO2 进行可编程水辐射分解</w:t>
      </w:r>
      <w:r>
        <w:rPr>
          <w:vertAlign w:val="subscript"/>
        </w:rPr>
        <w:t>2</w:t>
      </w:r>
      <w:r>
        <w:t>建立水性还原自由基平台。这种辐射分解方法可以在环境条件下同时进行阴极剥离、金属浸出和成分分离，这是现有方法无法实现的。几分钟内，高剂量率照射就会降解聚合物粘合剂，从而实现约 99.5% 的活性材料回收率。辐射分解产生的CO</w:t>
      </w:r>
      <w:r>
        <w:rPr>
          <w:vertAlign w:val="subscript"/>
        </w:rPr>
        <w:t>2</w:t>
      </w:r>
      <w:r>
        <w:t>•−</w:t>
      </w:r>
      <w:r>
        <w:t>自由基还原并浸出过渡金属（Co、Ni、Mn）和锂，效率 &gt;96%。辐照过程中的动态 pH 变化使过渡金属以碳酸盐形式原位沉淀，同时保留 Li</w:t>
      </w:r>
      <w:r>
        <w:t xml:space="preserve"> </w:t>
      </w:r>
      <w:r>
        <w:t>+</w:t>
      </w:r>
      <w:r>
        <w:t xml:space="preserve"> </w:t>
      </w:r>
      <w:r>
        <w:t>溶液中，完成一步分离。再生阴极的电化学性能可与商业基准相媲美。技术经济分析表明，CO</w:t>
      </w:r>
      <w:r>
        <w:rPr>
          <w:vertAlign w:val="subscript"/>
        </w:rPr>
        <w:t>2</w:t>
      </w:r>
      <w:r>
        <w:t>‐介导的放射分解途径为电池回收提供了一种更可持续、更节能、更经济的途径。</w:t>
      </w:r>
    </w:p>
    <w:p>
      <w:pPr>
        <w:spacing w:before="0" w:after="200" w:lineRule="auto" w:line="276"/>
      </w:pPr>
      <w:r>
        <w:rPr>
          <w:b/>
        </w:rPr>
        <w:t xml:space="preserve">Abstract (EN): </w:t>
      </w:r>
      <w:r>
        <w:t>Conventional recycling of spent lithium‐ion batteries (LIBs) relies on energy‐intensive and complex processes that hinder sustainability. Here, we report a mild, efficient recycling strategy using programmable water radiolysis with CO</w:t>
      </w:r>
      <w:r>
        <w:rPr>
          <w:vertAlign w:val="subscript"/>
        </w:rPr>
        <w:t>2</w:t>
      </w:r>
      <w:r>
        <w:t>to establish an aqueous reductive radical platform. This radiolytic approach enables simultaneous cathode peeling, metal leaching, and component separation under ambient conditions, which is inaccessible to existing methods. Within minutes, high‐dose‐rate irradiation degrades the polymeric binder, enabling ∼99.5% active material recovery. Radiolytically generated CO</w:t>
      </w:r>
      <w:r>
        <w:rPr>
          <w:vertAlign w:val="subscript"/>
        </w:rPr>
        <w:t>2</w:t>
      </w:r>
      <w:r>
        <w:t>•−</w:t>
      </w:r>
      <w:r>
        <w:t>radicals reduce and leach transition metals (Co, Ni, Mn) and lithium with &amp;gt;96% efficiency. The dynamic pH evolution during irradiation precipitates transition metals in situ as carbonates while retaining Li</w:t>
      </w:r>
      <w:r>
        <w:t xml:space="preserve"> </w:t>
      </w:r>
      <w:r>
        <w:t>+</w:t>
      </w:r>
      <w:r>
        <w:t xml:space="preserve"> </w:t>
      </w:r>
      <w:r>
        <w:t>in solution, accomplishing one‐step separation. Regenerated cathodes deliver electrochemical performance comparable to commercial benchmarks. Techno‐economic analysis indicates this CO</w:t>
      </w:r>
      <w:r>
        <w:rPr>
          <w:vertAlign w:val="subscript"/>
        </w:rPr>
        <w:t>2</w:t>
      </w:r>
      <w:r>
        <w:t>‐mediated radiolytic pathway offers a more sustainable, energy‐efficient, and cost‐effective route for battery recycling.</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39">
        <w:r>
          <w:rPr>
            <w:color w:val="1155CC"/>
            <w:u w:val="single"/>
          </w:rPr>
          <w:t>一种耐日历老化水系电池</w:t>
        </w:r>
      </w:hyperlink>
    </w:p>
    <w:p>
      <w:pPr>
        <w:spacing w:before="0" w:after="80"/>
      </w:pPr>
      <w:r>
        <w:rPr>
          <w:i/>
          <w:sz w:val="20"/>
        </w:rPr>
        <w:t>EN: A calendar aging resistant aqueous battery</w:t>
      </w:r>
    </w:p>
    <w:p>
      <w:pPr>
        <w:spacing w:before="0" w:after="120"/>
      </w:pPr>
      <w:r>
        <w:rPr>
          <w:b/>
        </w:rPr>
        <w:t xml:space="preserve">Source: </w:t>
      </w:r>
      <w:r>
        <w:t>National Science Review Advance Access</w:t>
      </w:r>
      <w:r>
        <w:t xml:space="preserve">    </w:t>
      </w:r>
      <w:r>
        <w:rPr>
          <w:b/>
        </w:rPr>
        <w:t xml:space="preserve">Pub date: </w:t>
      </w:r>
      <w:r>
        <w:t>2026-05-25 00:00:00+00:00</w:t>
      </w:r>
      <w:r>
        <w:t xml:space="preserve">    </w:t>
      </w:r>
      <w:r>
        <w:rPr>
          <w:b/>
        </w:rPr>
        <w:t xml:space="preserve">DOI: </w:t>
      </w:r>
      <w:hyperlink r:id="rId140">
        <w:r>
          <w:rPr>
            <w:color w:val="1155CC"/>
            <w:u w:val="single"/>
          </w:rPr>
          <w:t>10.1093/nsr/nwag304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41">
        <w:r>
          <w:rPr>
            <w:color w:val="1155CC"/>
            <w:u w:val="single"/>
          </w:rPr>
          <w:t>匹配氧化物界面中价电子的耦合以扰乱磁序，增强锌空气电池中的氧还原</w:t>
        </w:r>
      </w:hyperlink>
    </w:p>
    <w:p>
      <w:pPr>
        <w:spacing w:before="0" w:after="80"/>
      </w:pPr>
      <w:r>
        <w:rPr>
          <w:i/>
          <w:sz w:val="20"/>
        </w:rPr>
        <w:t>EN: Matching the Coupling of Valence Electrons in the Oxide Interface to Perturb the Magnetic Order Enhancing Oxygen Reduction in Zinc–Air Batteries</w:t>
      </w:r>
    </w:p>
    <w:p>
      <w:pPr>
        <w:spacing w:before="0" w:after="120"/>
      </w:pPr>
      <w:r>
        <w:rPr>
          <w:b/>
        </w:rPr>
        <w:t xml:space="preserve">Source: </w:t>
      </w:r>
      <w:r>
        <w:t>Wiley: Angewandte Chemie International Edition: Table of Contents</w:t>
      </w:r>
      <w:r>
        <w:t xml:space="preserve">    </w:t>
      </w:r>
      <w:r>
        <w:rPr>
          <w:b/>
        </w:rPr>
        <w:t xml:space="preserve">Pub date: </w:t>
      </w:r>
      <w:r>
        <w:t>2026-05-25 10:18:32+00:00</w:t>
      </w:r>
      <w:r>
        <w:t xml:space="preserve">    </w:t>
      </w:r>
      <w:r>
        <w:rPr>
          <w:b/>
        </w:rPr>
        <w:t xml:space="preserve">DOI: </w:t>
      </w:r>
      <w:hyperlink r:id="rId142">
        <w:r>
          <w:rPr>
            <w:color w:val="1155CC"/>
            <w:u w:val="single"/>
          </w:rPr>
          <w:t>10.1002/anie.7852726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金属位点和含氧中间体之间固有的锁定自旋状态对可实现的最大氧还原反应（ORR）活性施加了内在限制。在这里，我们构建了亚 5 nm Fe</w:t>
      </w:r>
      <w:r>
        <w:rPr>
          <w:vertAlign w:val="subscript"/>
        </w:rPr>
        <w:t>2</w:t>
      </w:r>
      <w:r>
        <w:t>氧</w:t>
      </w:r>
      <w:r>
        <w:rPr>
          <w:vertAlign w:val="subscript"/>
        </w:rPr>
        <w:t>3</w:t>
      </w:r>
      <w:r>
        <w:t>/Sm</w:t>
      </w:r>
      <w:r>
        <w:rPr>
          <w:vertAlign w:val="subscript"/>
        </w:rPr>
        <w:t>2</w:t>
      </w:r>
      <w:r>
        <w:t>氧</w:t>
      </w:r>
      <w:r>
        <w:rPr>
          <w:vertAlign w:val="subscript"/>
        </w:rPr>
        <w:t>3</w:t>
      </w:r>
      <w:r>
        <w:t>固定在氮掺杂碳纳米纤维中的异质结（表示为亚 5 nm Fe</w:t>
      </w:r>
      <w:r>
        <w:rPr>
          <w:vertAlign w:val="subscript"/>
        </w:rPr>
        <w:t>2</w:t>
      </w:r>
      <w:r>
        <w:t>氧</w:t>
      </w:r>
      <w:r>
        <w:rPr>
          <w:vertAlign w:val="subscript"/>
        </w:rPr>
        <w:t>3</w:t>
      </w:r>
      <w:r>
        <w:t>/Sm</w:t>
      </w:r>
      <w:r>
        <w:rPr>
          <w:vertAlign w:val="subscript"/>
        </w:rPr>
        <w:t>2</w:t>
      </w:r>
      <w:r>
        <w:t>氧</w:t>
      </w:r>
      <w:r>
        <w:rPr>
          <w:vertAlign w:val="subscript"/>
        </w:rPr>
        <w:t>3</w:t>
      </w:r>
      <w:r>
        <w:t>@N-CNFs），其中耦合的 Fe (3d)-O (2p)-Sm (4f) 轨道可以调节界面自旋顺序，从而减弱 Fe-OH 结合。</w:t>
      </w:r>
      <w:r>
        <w:t xml:space="preserve"> </w:t>
      </w:r>
      <w:r>
        <w:t>操作</w:t>
      </w:r>
      <w:r>
        <w:t xml:space="preserve"> </w:t>
      </w:r>
      <w:r>
        <w:t>光谱和密度泛函理论计算表明，Fe-O-Sm 键上的超交换相互作用会引起反平行磁排列，抑制表面与 OH* 的自旋相互作用，从而加速 OH* 解吸并增强 ORR 活性。在 0.1 M KOH 中，该催化剂具有出色的 ORR 性能，半波电位为 0.94 V，塔菲尔斜率为 92.4 mV dec</w:t>
      </w:r>
      <w:r>
        <w:t xml:space="preserve"> </w:t>
      </w:r>
      <w:r>
        <w:t>−1</w:t>
      </w:r>
      <w:r>
        <w:t xml:space="preserve"> </w:t>
      </w:r>
      <w:r>
        <w:t>，以及长期稳定性。此外，用亚 5 nm Fe 组装的液态和全固态可充电锌空气电池（ZAB）</w:t>
      </w:r>
      <w:r>
        <w:rPr>
          <w:vertAlign w:val="subscript"/>
        </w:rPr>
        <w:t>2</w:t>
      </w:r>
      <w:r>
        <w:t>氧</w:t>
      </w:r>
      <w:r>
        <w:rPr>
          <w:vertAlign w:val="subscript"/>
        </w:rPr>
        <w:t>3</w:t>
      </w:r>
      <w:r>
        <w:t>/Sm</w:t>
      </w:r>
    </w:p>
    <w:p>
      <w:pPr>
        <w:spacing w:before="0" w:after="200" w:lineRule="auto" w:line="276"/>
      </w:pPr>
      <w:r>
        <w:rPr>
          <w:b/>
        </w:rPr>
        <w:t xml:space="preserve">Abstract (EN): </w:t>
      </w:r>
      <w:r>
        <w:t>The inherently locked spin state between the metal sites and oxygen‐containing intermediates imposes an intrinsic limitation on the maximum achievable oxygen reduction reaction (ORR) activity. Herein, we construct the sub‐5 nm Fe</w:t>
      </w:r>
      <w:r>
        <w:rPr>
          <w:vertAlign w:val="subscript"/>
        </w:rPr>
        <w:t>2</w:t>
      </w:r>
      <w:r>
        <w:t>O</w:t>
      </w:r>
      <w:r>
        <w:rPr>
          <w:vertAlign w:val="subscript"/>
        </w:rPr>
        <w:t>3</w:t>
      </w:r>
      <w:r>
        <w:t>/Sm</w:t>
      </w:r>
      <w:r>
        <w:rPr>
          <w:vertAlign w:val="subscript"/>
        </w:rPr>
        <w:t>2</w:t>
      </w:r>
      <w:r>
        <w:t>O</w:t>
      </w:r>
      <w:r>
        <w:rPr>
          <w:vertAlign w:val="subscript"/>
        </w:rPr>
        <w:t>3</w:t>
      </w:r>
      <w:r>
        <w:t>heterojunctions immobilized in N‐doped carbon nanofibers (denoted as sub‐5 nm Fe</w:t>
      </w:r>
      <w:r>
        <w:rPr>
          <w:vertAlign w:val="subscript"/>
        </w:rPr>
        <w:t>2</w:t>
      </w:r>
      <w:r>
        <w:t>O</w:t>
      </w:r>
      <w:r>
        <w:rPr>
          <w:vertAlign w:val="subscript"/>
        </w:rPr>
        <w:t>3</w:t>
      </w:r>
      <w:r>
        <w:t>/Sm</w:t>
      </w:r>
      <w:r>
        <w:rPr>
          <w:vertAlign w:val="subscript"/>
        </w:rPr>
        <w:t>2</w:t>
      </w:r>
      <w:r>
        <w:t>O</w:t>
      </w:r>
      <w:r>
        <w:rPr>
          <w:vertAlign w:val="subscript"/>
        </w:rPr>
        <w:t>3</w:t>
      </w:r>
      <w:r>
        <w:t>@N‐CNFs), where coupled Fe (3d)‐O (2p)‐Sm (4f) orbitals can regulate the interfacial spin order, thereby attenuating the Fe–OH binding.</w:t>
      </w:r>
      <w:r>
        <w:t xml:space="preserve"> </w:t>
      </w:r>
      <w:r>
        <w:t>Operando</w:t>
      </w:r>
      <w:r>
        <w:t xml:space="preserve"> </w:t>
      </w:r>
      <w:r>
        <w:t>spectroscopy and density functional theory calculations reveal that the super‐exchange interaction across the Fe–O–Sm bond induces an antiparallel magnetic alignment, which suppresses the spin interaction with OH* at the surface, thereby accelerating OH* desorption and enhancing ORR activity. In 0.1 M KOH, the catalyst delivers excellent ORR performance with a half‐wave potential of 0.94 V and a Tafel slope of 92.4 mV dec</w:t>
      </w:r>
      <w:r>
        <w:t xml:space="preserve"> </w:t>
      </w:r>
      <w:r>
        <w:t>−1</w:t>
      </w:r>
      <w:r>
        <w:t xml:space="preserve"> </w:t>
      </w:r>
      <w:r>
        <w:t>, along with long‐term stability. Furthermore, the liquid‐ and all‐solid‐state rechargeable zinc–air batteries (ZABs) assembled with sub‐5 nm Fe</w:t>
      </w:r>
      <w:r>
        <w:rPr>
          <w:vertAlign w:val="subscript"/>
        </w:rPr>
        <w:t>2</w:t>
      </w:r>
      <w:r>
        <w:t>O</w:t>
      </w:r>
      <w:r>
        <w:rPr>
          <w:vertAlign w:val="subscript"/>
        </w:rPr>
        <w:t>3</w:t>
      </w:r>
      <w:r>
        <w:t>/Sm</w:t>
      </w:r>
      <w:r>
        <w:rPr>
          <w:vertAlign w:val="subscript"/>
        </w:rPr>
        <w:t>2</w:t>
      </w:r>
      <w:r>
        <w:t>O</w:t>
      </w:r>
      <w:r>
        <w:rPr>
          <w:vertAlign w:val="subscript"/>
        </w:rPr>
        <w:t>3</w:t>
      </w:r>
      <w:r>
        <w:t>@N‐CNFs also exhibit marked device performance, surpassing Pt/C + RuO</w:t>
      </w:r>
      <w:r>
        <w:rPr>
          <w:vertAlign w:val="subscript"/>
        </w:rPr>
        <w:t>2</w:t>
      </w:r>
      <w:r>
        <w:t>benchmarks. These results demonstrate that interfacial spin regulation via Fe–O–Sm coupling is an effective strategy to enhance ORR activity and stability of catalysts by reconfiguring local magnetic ordering to tune oxygenated‐intermediate adsorption. More broadly, this intrinsic‐property modulation can be extended to other anion‐bridged compounds and spin‐involved electrocatalytic reactions.</w:t>
      </w:r>
    </w:p>
    <w:p>
      <w:pPr>
        <w:spacing w:before="120" w:after="120"/>
      </w:pPr>
      <w:r>
        <w:rPr>
          <w:sz w:val="18"/>
        </w:rPr>
        <w:t>——————————————————————————————————————————————————————————————————————</w:t>
      </w:r>
    </w:p>
    <w:p>
      <w:pPr>
        <w:spacing w:before="160" w:after="40" w:line="240" w:lineRule="auto"/>
      </w:pPr>
      <w:r>
        <w:rPr>
          <w:b/>
        </w:rPr>
        <w:t xml:space="preserve">[3] </w:t>
      </w:r>
      <w:hyperlink r:id="rId143">
        <w:r>
          <w:rPr>
            <w:color w:val="1155CC"/>
            <w:u w:val="single"/>
          </w:rPr>
          <w:t>萘二酰亚胺中侧链对称性的破坏使高浓度与中性水系有机氧化还原液流电池的循环稳定性脱钩</w:t>
        </w:r>
      </w:hyperlink>
    </w:p>
    <w:p>
      <w:pPr>
        <w:spacing w:before="0" w:after="80"/>
      </w:pPr>
      <w:r>
        <w:rPr>
          <w:i/>
          <w:sz w:val="20"/>
        </w:rPr>
        <w:t>EN: Side‐Chain Symmetry Breaking in Naphthalene Diimides Decouples High Concentration From Cycling Stability in Neutral Aqueous Organic Redox Flow Batteries</w:t>
      </w:r>
    </w:p>
    <w:p>
      <w:pPr>
        <w:spacing w:before="0" w:after="120"/>
      </w:pPr>
      <w:r>
        <w:rPr>
          <w:b/>
        </w:rPr>
        <w:t xml:space="preserve">Source: </w:t>
      </w:r>
      <w:r>
        <w:t>Wiley: Angewandte Chemie International Edition: Table of Contents</w:t>
      </w:r>
      <w:r>
        <w:t xml:space="preserve">    </w:t>
      </w:r>
      <w:r>
        <w:rPr>
          <w:b/>
        </w:rPr>
        <w:t xml:space="preserve">Pub date: </w:t>
      </w:r>
      <w:r>
        <w:t>2026-05-26 16:17:32+00:00</w:t>
      </w:r>
      <w:r>
        <w:t xml:space="preserve">    </w:t>
      </w:r>
      <w:r>
        <w:rPr>
          <w:b/>
        </w:rPr>
        <w:t xml:space="preserve">DOI: </w:t>
      </w:r>
      <w:hyperlink r:id="rId144">
        <w:r>
          <w:rPr>
            <w:color w:val="1155CC"/>
            <w:u w:val="single"/>
          </w:rPr>
          <w:t>10.1002/anie.8798664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中性水性有机氧化还原液流电池（AORFB）为可再生能源从补充能源向主要能源的转变提供了一条有前途的途径。然而，它们的进步受到材料在高浓度条件下有限的长期循环稳定性和缓慢的氧化还原动力学的限制。尽管引入亲水基团可以缓解这些问题，但高度对称的分子结构通常会带来性能损失。本研究通过一锅对称破缺策略合成了一系列不对称改性的萘二酰亚胺衍生物，</w:t>
      </w:r>
      <w:r>
        <w:t xml:space="preserve"> </w:t>
      </w:r>
      <w:r>
        <w:t>二醇-dex-NDI</w:t>
      </w:r>
      <w:r>
        <w:t xml:space="preserve"> </w:t>
      </w:r>
      <w:r>
        <w:t>达到 1.82 M 的高溶解度。密度泛函理论和分子动力学模拟表明</w:t>
      </w:r>
      <w:r>
        <w:t xml:space="preserve"> </w:t>
      </w:r>
      <w:r>
        <w:t>二醇-dex-NDI</w:t>
      </w:r>
      <w:r>
        <w:t xml:space="preserve"> </w:t>
      </w:r>
      <w:r>
        <w:t>优先采用动态反平行π-π堆积模式，增强热力学稳定性，同时有效抑制分子聚集。原位拉曼光谱揭示了电子转移过程中的水合壳层动力学，与 dex-NDI 相比，去溶剂化能垒降低了 35%。此外，与电极的π-π和偶极相互作用增强了吸附能并加速了电子转移。这种分子设计还增强了关键的 C─N 键，键解离能的增加证明了这一点，从而从本质上提高了对电化学降解的抵抗力。利用这些优势，1.0 M (2 M e</w:t>
      </w:r>
      <w:r>
        <w:t xml:space="preserve"> </w:t>
      </w:r>
      <w:r>
        <w:t>-</w:t>
      </w:r>
      <w:r>
        <w:t>）</w:t>
      </w:r>
      <w:r>
        <w:t xml:space="preserve"> </w:t>
      </w:r>
      <w:r>
        <w:t>迪</w:t>
      </w:r>
    </w:p>
    <w:p>
      <w:pPr>
        <w:spacing w:before="0" w:after="200" w:lineRule="auto" w:line="276"/>
      </w:pPr>
      <w:r>
        <w:rPr>
          <w:b/>
        </w:rPr>
        <w:t xml:space="preserve">Abstract (EN): </w:t>
      </w:r>
      <w:r>
        <w:t>Neutral aqueous organic redox flow batteries (AORFBs) offer a promising pathway for transitioning renewables from supplementary to primary energy sources. However, their advancement is constrained by the limited long‐term cycling stability and sluggish redox kinetics of materials under high‐concentration conditions. Although introducing hydrophilic groups can mitigate these issues, highly symmetric molecular architectures often impose performance penalties. In this study, a series of asymmetrically modified naphthalene diimide derivatives were synthesized via a one‐pot symmetry‐breaking strategy, which</w:t>
      </w:r>
      <w:r>
        <w:t xml:space="preserve"> </w:t>
      </w:r>
      <w:r>
        <w:t>diol‐dex‐NDI</w:t>
      </w:r>
      <w:r>
        <w:t xml:space="preserve"> </w:t>
      </w:r>
      <w:r>
        <w:t>achieves a high solubility of 1.82 M. Density functional theory and Molecular dynamics simulations reveal that</w:t>
      </w:r>
      <w:r>
        <w:t xml:space="preserve"> </w:t>
      </w:r>
      <w:r>
        <w:t>diol‐dex‐NDI</w:t>
      </w:r>
      <w:r>
        <w:t xml:space="preserve"> </w:t>
      </w:r>
      <w:r>
        <w:t>preferentially adopts a dynamic antiparallel π–π stacking mode, enhancing thermodynamic stability while effectively suppressing molecular aggregation. In situ Raman spectroscopy uncovers hydration shell dynamics during electron transfer, showing a 35% reduction in desolvation energy barrier compared to dex‐NDI. Furthermore, π–π and dipole interactions with the electrode enhance adsorption energy and accelerate electron transfer. This molecular design also strengthens the key C─N bond, as evidenced by increased bond dissociation energy, thereby intrinsically improving resistance to electrochemical degradation. Leveraging these advantages, 1.0 M (2 M e</w:t>
      </w:r>
      <w:r>
        <w:t xml:space="preserve"> </w:t>
      </w:r>
      <w:r>
        <w:t>−</w:t>
      </w:r>
      <w:r>
        <w:t>)</w:t>
      </w:r>
      <w:r>
        <w:t xml:space="preserve"> </w:t>
      </w:r>
      <w:r>
        <w:t>diol‐dex‐NDI/MiAcNH‐TEMPO</w:t>
      </w:r>
      <w:r>
        <w:t xml:space="preserve"> </w:t>
      </w:r>
      <w:r>
        <w:t>‐based AORFB delivers stable performance over 620 cycles without notable capacity decay. This work highlights the potential of symmetry‐breaking molecular engineering for practical AORFB applications.</w:t>
      </w:r>
    </w:p>
    <w:p>
      <w:pPr>
        <w:spacing w:before="120" w:after="120"/>
      </w:pPr>
      <w:r>
        <w:rPr>
          <w:sz w:val="18"/>
        </w:rPr>
        <w:t>——————————————————————————————————————————————————————————————————————</w:t>
      </w:r>
    </w:p>
    <w:p>
      <w:pPr>
        <w:spacing w:before="160" w:after="40" w:line="240" w:lineRule="auto"/>
      </w:pPr>
      <w:r>
        <w:rPr>
          <w:b/>
        </w:rPr>
        <w:t xml:space="preserve">[4] </w:t>
      </w:r>
      <w:hyperlink r:id="rId145">
        <w:r>
          <w:rPr>
            <w:color w:val="1155CC"/>
            <w:u w:val="single"/>
          </w:rPr>
          <w:t>自组装液晶界面可实现长寿命全铁氧化还原液流电池</w:t>
        </w:r>
      </w:hyperlink>
    </w:p>
    <w:p>
      <w:pPr>
        <w:spacing w:before="0" w:after="80"/>
      </w:pPr>
      <w:r>
        <w:rPr>
          <w:i/>
          <w:sz w:val="20"/>
        </w:rPr>
        <w:t>EN: Self‐Assembled Liquid Crystal Interphase Enabling Long‐Life All‐Iron Redox Flow Batteries</w:t>
      </w:r>
    </w:p>
    <w:p>
      <w:pPr>
        <w:spacing w:before="0" w:after="120"/>
      </w:pPr>
      <w:r>
        <w:rPr>
          <w:b/>
        </w:rPr>
        <w:t xml:space="preserve">Source: </w:t>
      </w:r>
      <w:r>
        <w:t>Wiley: Angewandte Chemie International Edition: Table of Contents</w:t>
      </w:r>
      <w:r>
        <w:t xml:space="preserve">    </w:t>
      </w:r>
      <w:r>
        <w:rPr>
          <w:b/>
        </w:rPr>
        <w:t xml:space="preserve">Pub date: </w:t>
      </w:r>
      <w:r>
        <w:t>2026-05-26 16:19:27+00:00</w:t>
      </w:r>
      <w:r>
        <w:t xml:space="preserve">    </w:t>
      </w:r>
      <w:r>
        <w:rPr>
          <w:b/>
        </w:rPr>
        <w:t xml:space="preserve">DOI: </w:t>
      </w:r>
      <w:hyperlink r:id="rId146">
        <w:r>
          <w:rPr>
            <w:color w:val="1155CC"/>
            <w:u w:val="single"/>
          </w:rPr>
          <w:t>10.1002/anie.8986840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由于铁的安全性和成本效益，水系全铁氧化还原液流电池（AIRFB）是大规模储能的一种有吸引力的途径。然而，AIRFB 的性能和耐用性受到镀铁不均匀、析氢和阳极腐蚀反应的限制。在此，将一种非离子表面活性剂聚乙二醇十六烷基醚（Brij 56）引入电解液中以稳定阳极，它可以在铁表面自组装形成动态液晶界面。这种定向界面层不仅抑制 H</w:t>
      </w:r>
      <w:r>
        <w:rPr>
          <w:vertAlign w:val="subscript"/>
        </w:rPr>
        <w:t>2</w:t>
      </w:r>
      <w:r>
        <w:t>高效 Fe 引起的 O 副反应</w:t>
      </w:r>
      <w:r>
        <w:t xml:space="preserve"> </w:t>
      </w:r>
      <w:r>
        <w:t>2+</w:t>
      </w:r>
      <w:r>
        <w:t xml:space="preserve"> </w:t>
      </w:r>
      <w:r>
        <w:t>阳极界面处的离子去溶剂化，同时也调节 Fe</w:t>
      </w:r>
      <w:r>
        <w:t xml:space="preserve"> </w:t>
      </w:r>
      <w:r>
        <w:t>2+</w:t>
      </w:r>
      <w:r>
        <w:t xml:space="preserve"> </w:t>
      </w:r>
      <w:r>
        <w:t>离子传输由于其各向异性特性，充当均匀铁沉积的软模板。因此，液晶中间相提高了 AIRFB 的阳极可逆性，在 20 mA cm 电流下 300 小时（230 个循环）内实现了 99.4% 的高库仑效率 (CE) 和 74.5% 的能量效率</w:t>
      </w:r>
      <w:r>
        <w:t xml:space="preserve"> </w:t>
      </w:r>
      <w:r>
        <w:t>−2</w:t>
      </w:r>
      <w:r>
        <w:t xml:space="preserve"> </w:t>
      </w:r>
      <w:r>
        <w:t>。此外，具有液晶界面的 AIFB 在 60 mA cm 的高电流密度下保持了 98.2% 的 CE</w:t>
      </w:r>
      <w:r>
        <w:t xml:space="preserve"> </w:t>
      </w:r>
      <w:r>
        <w:t>−2</w:t>
      </w:r>
      <w:r>
        <w:t xml:space="preserve"> </w:t>
      </w:r>
      <w:r>
        <w:t>并提供 26 mAh cm 的高容量</w:t>
      </w:r>
      <w:r>
        <w:t xml:space="preserve"> </w:t>
      </w:r>
      <w:r>
        <w:t>−2</w:t>
      </w:r>
      <w:r>
        <w:t xml:space="preserve"> </w:t>
      </w:r>
      <w:r>
        <w:t>。这些发现凸显了界面工程在提升下一代储能技术性能方面的潜力。</w:t>
      </w:r>
    </w:p>
    <w:p>
      <w:pPr>
        <w:spacing w:before="0" w:after="200" w:lineRule="auto" w:line="276"/>
      </w:pPr>
      <w:r>
        <w:rPr>
          <w:b/>
        </w:rPr>
        <w:t xml:space="preserve">Abstract (EN): </w:t>
      </w:r>
      <w:r>
        <w:t>Aqueous all‐iron redox flow batteries (AIRFBs) are an attractive avenue for large‐scale energy storage due to the safety and cost‐effectiveness of iron. However, the performance and durability of AIRFBs are limited by nonuniform Fe plating, hydrogen evolution and corrosion reactions at the anodes. Herein, a non‐ionic surfactant, polyethylene glycol cetyl ether (Brij 56), is introduced into the electrolyte for stabilizing the anode, which can self‐assemble on the iron surface to form a dynamic liquid crystal interphase. This oriented interfacial layer not only inhibits H</w:t>
      </w:r>
      <w:r>
        <w:rPr>
          <w:vertAlign w:val="subscript"/>
        </w:rPr>
        <w:t>2</w:t>
      </w:r>
      <w:r>
        <w:t>O‐induced side reactions by efficient Fe</w:t>
      </w:r>
      <w:r>
        <w:t xml:space="preserve"> </w:t>
      </w:r>
      <w:r>
        <w:t>2+</w:t>
      </w:r>
      <w:r>
        <w:t xml:space="preserve"> </w:t>
      </w:r>
      <w:r>
        <w:t>ion desolvation at the anode interface, but also modulates Fe</w:t>
      </w:r>
      <w:r>
        <w:t xml:space="preserve"> </w:t>
      </w:r>
      <w:r>
        <w:t>2+</w:t>
      </w:r>
      <w:r>
        <w:t xml:space="preserve"> </w:t>
      </w:r>
      <w:r>
        <w:t>ion transport owing to its anisotropic properties, acting as a soft template for the uniform iron deposition. Consequently, the liquid crystal interphase increases the anode reversibility of the AIRFB, achieving a high Coulombic efficiency (CE) of 99.4% and an energy efficiency of 74.5% over 300 h (230 cycles) at 20 mA cm</w:t>
      </w:r>
      <w:r>
        <w:t xml:space="preserve"> </w:t>
      </w:r>
      <w:r>
        <w:t>−2</w:t>
      </w:r>
      <w:r>
        <w:t xml:space="preserve"> </w:t>
      </w:r>
      <w:r>
        <w:t>. Furthermore, the AIRFB with liquid crystal interphase retained a CE of 98.2% at a high current density of 60 mA cm</w:t>
      </w:r>
      <w:r>
        <w:t xml:space="preserve"> </w:t>
      </w:r>
      <w:r>
        <w:t>−2</w:t>
      </w:r>
      <w:r>
        <w:t xml:space="preserve"> </w:t>
      </w:r>
      <w:r>
        <w:t>and delivered a high capacity of 26 mAh cm</w:t>
      </w:r>
      <w:r>
        <w:t xml:space="preserve"> </w:t>
      </w:r>
      <w:r>
        <w:t>−2</w:t>
      </w:r>
      <w:r>
        <w:t xml:space="preserve"> </w:t>
      </w:r>
      <w:r>
        <w:t>. These findings highlight the potential of interfacial engineering to promote performance for the next‐generation energy storage technologies.</w:t>
      </w:r>
    </w:p>
    <w:p>
      <w:pPr>
        <w:spacing w:before="120" w:after="120"/>
      </w:pPr>
      <w:r>
        <w:rPr>
          <w:sz w:val="18"/>
        </w:rPr>
        <w:t>——————————————————————————————————————————————————————————————————————</w:t>
      </w:r>
    </w:p>
    <w:p>
      <w:pPr>
        <w:spacing w:before="160" w:after="40" w:line="240" w:lineRule="auto"/>
      </w:pPr>
      <w:r>
        <w:rPr>
          <w:b/>
        </w:rPr>
        <w:t xml:space="preserve">[5] </w:t>
      </w:r>
      <w:hyperlink r:id="rId147">
        <w:r>
          <w:rPr>
            <w:color w:val="1155CC"/>
            <w:u w:val="single"/>
          </w:rPr>
          <w:t>扩展经典非溶剂诱导相分离理论来调节膜孔</w:t>
        </w:r>
      </w:hyperlink>
    </w:p>
    <w:p>
      <w:pPr>
        <w:spacing w:before="0" w:after="80"/>
      </w:pPr>
      <w:r>
        <w:rPr>
          <w:i/>
          <w:sz w:val="20"/>
        </w:rPr>
        <w:t>EN: Extending the theory of classical nonsolvent induced phase separation to regulate membrane pores</w:t>
      </w:r>
    </w:p>
    <w:p>
      <w:pPr>
        <w:spacing w:before="0" w:after="120"/>
      </w:pPr>
      <w:r>
        <w:rPr>
          <w:b/>
        </w:rPr>
        <w:t xml:space="preserve">Source: </w:t>
      </w:r>
      <w:r>
        <w:t>National Science Review Advance Access</w:t>
      </w:r>
      <w:r>
        <w:t xml:space="preserve">    </w:t>
      </w:r>
      <w:r>
        <w:rPr>
          <w:b/>
        </w:rPr>
        <w:t xml:space="preserve">Pub date: </w:t>
      </w:r>
      <w:r>
        <w:t>2026-05-27 00:00:00+00:00</w:t>
      </w:r>
      <w:r>
        <w:t xml:space="preserve">    </w:t>
      </w:r>
      <w:r>
        <w:rPr>
          <w:b/>
        </w:rPr>
        <w:t xml:space="preserve">DOI: </w:t>
      </w:r>
      <w:hyperlink r:id="rId148">
        <w:r>
          <w:rPr>
            <w:color w:val="1155CC"/>
            <w:u w:val="single"/>
          </w:rPr>
          <w:t>10.1093/nsr/nwag306</w:t>
        </w:r>
      </w:hyperlink>
    </w:p>
    <w:p>
      <w:pPr>
        <w:spacing w:before="0" w:after="120"/>
      </w:pPr>
      <w:r>
        <w:rPr>
          <w:b/>
        </w:rPr>
        <w:t xml:space="preserve">Notes: </w:t>
      </w:r>
      <w:r>
        <w:t>abstract_source=rss_oup</w:t>
      </w:r>
    </w:p>
    <w:p>
      <w:pPr>
        <w:spacing w:before="0" w:after="80" w:lineRule="auto" w:line="276"/>
      </w:pPr>
      <w:r>
        <w:rPr>
          <w:b/>
        </w:rPr>
        <w:t xml:space="preserve">摘要（ZH）: </w:t>
      </w:r>
      <w:r>
        <w:t>非溶剂诱导相分离用于制备多孔膜已有 60 多年的历史，但由于耦合变量，其孔形成机制仍然不清楚。经典理论将不同的孔隙形态（即大孔隙或细胞孔）分别与瞬时和延迟相分离联系起来。然而，当大空隙和细胞孔的形成在调节非溶剂流体动力学的可调装置中解耦时，事实证明，流体动力学不稳定性驱动大空隙的形成，而细胞孔通过成核生长机制形成。通过建立非溶剂与细胞孔面积密度之间的定量关系，我们实现了膜形态的进一步优化，使其在钒液流电池中的应用具有显着增强的性能。这项工作扩展了相分离理论，并为精密膜设计提供了因果驱动的框架。</w:t>
      </w:r>
    </w:p>
    <w:p>
      <w:pPr>
        <w:spacing w:before="0" w:after="200" w:lineRule="auto" w:line="276"/>
      </w:pPr>
      <w:r>
        <w:rPr>
          <w:b/>
        </w:rPr>
        <w:t xml:space="preserve">Abstract (EN): </w:t>
      </w:r>
      <w:r>
        <w:t>Nonsolvent induced phase separation, employed for over 60 years to prepare porous membranes, still has unclear pore formation mechanisms due to coupled variables. Classical theory links the distinct pore morphologies, i.e. macrovoids or cellular pores, to instantaneous and delayed phase separation, respectively. However, when the formations of macrovoids and cellular pores were decoupled in a tunable device that regulates the nonsolvent hydrodynamics, it was proven that hydrodynamic instability drives macrovoid formation, while cellular pores form via a nucleation-growth mechanism. By establishing a quantitative relationship between nonsolvent and area density of cellular pores, we achieved further optimization of the membrane morphology, enabling its application in vanadium flow batteries with significantly enhanced performance. This work extends the theory of phase separation and provides a causality-driven framework for precision membrane design.</w:t>
      </w:r>
    </w:p>
    <w:p>
      <w:pPr>
        <w:spacing w:before="120" w:after="120"/>
      </w:pPr>
      <w:r>
        <w:rPr>
          <w:sz w:val="18"/>
        </w:rPr>
        <w:t>——————————————————————————————————————————————————————————————————————</w:t>
      </w:r>
    </w:p>
    <w:p>
      <w:pPr>
        <w:spacing w:before="160" w:after="40" w:line="240" w:lineRule="auto"/>
      </w:pPr>
      <w:r>
        <w:rPr>
          <w:b/>
        </w:rPr>
        <w:t xml:space="preserve">[6] </w:t>
      </w:r>
      <w:hyperlink r:id="rId149">
        <w:r>
          <w:rPr>
            <w:color w:val="1155CC"/>
            <w:u w:val="single"/>
          </w:rPr>
          <w:t>发色团两亲物的 pimer 超分子聚合物中存储和释放电子介导的动态自组装</w:t>
        </w:r>
      </w:hyperlink>
    </w:p>
    <w:p>
      <w:pPr>
        <w:spacing w:before="0" w:after="80"/>
      </w:pPr>
      <w:r>
        <w:rPr>
          <w:i/>
          <w:sz w:val="20"/>
        </w:rPr>
        <w:t>EN: Dynamic self-assembly mediated by stored and released electrons in pimer supramolecular polymers of chromophore amphiphiles</w:t>
      </w:r>
    </w:p>
    <w:p>
      <w:pPr>
        <w:spacing w:before="0" w:after="120"/>
      </w:pPr>
      <w:r>
        <w:rPr>
          <w:b/>
        </w:rPr>
        <w:t xml:space="preserve">Source: </w:t>
      </w:r>
      <w:r>
        <w:t>Chem</w:t>
      </w:r>
      <w:r>
        <w:t xml:space="preserve">    </w:t>
      </w:r>
      <w:r>
        <w:rPr>
          <w:b/>
        </w:rPr>
        <w:t xml:space="preserve">Pub date: </w:t>
      </w:r>
      <w:r>
        <w:t>2026-05-27 00:00:00+00:00</w:t>
      </w:r>
      <w:r>
        <w:t xml:space="preserve">    </w:t>
      </w:r>
      <w:r>
        <w:rPr>
          <w:b/>
        </w:rPr>
        <w:t xml:space="preserve">DOI: </w:t>
      </w:r>
      <w:hyperlink r:id="rId150">
        <w:r>
          <w:rPr>
            <w:color w:val="1155CC"/>
            <w:u w:val="single"/>
          </w:rPr>
          <w:t>10.1016/j.chempr.2026.103075</w:t>
        </w:r>
      </w:hyperlink>
    </w:p>
    <w:p>
      <w:pPr>
        <w:spacing w:before="0" w:after="120"/>
      </w:pPr>
      <w:r>
        <w:rPr>
          <w:b/>
        </w:rPr>
        <w:t xml:space="preserve">Notes: </w:t>
      </w:r>
      <w:r>
        <w:t>abstract_source=rss_cell</w:t>
      </w:r>
    </w:p>
    <w:p>
      <w:pPr>
        <w:spacing w:before="0" w:after="80" w:lineRule="auto" w:line="276"/>
      </w:pPr>
      <w:r>
        <w:rPr>
          <w:b/>
        </w:rPr>
        <w:t xml:space="preserve">摘要（ZH）: </w:t>
      </w:r>
      <w:r>
        <w:t>单体在可溶性球状聚集体和超分子聚合物的黑色导电水凝胶之间可逆循环。这些聚合物在光、电、化学物质或 X 射线的驱动下，通过 π-π 堆积和 π-自由基二聚化形成。在厌氧条件下，它们收集并储存电子。暴露在氧气中会释放出用于催化氧化的活性物质，从而溶解水凝胶。</w:t>
      </w:r>
    </w:p>
    <w:p>
      <w:pPr>
        <w:spacing w:before="0" w:after="200" w:lineRule="auto" w:line="276"/>
      </w:pPr>
      <w:r>
        <w:rPr>
          <w:b/>
        </w:rPr>
        <w:t xml:space="preserve">Abstract (EN): </w:t>
      </w:r>
      <w:r>
        <w:t>Monomers cycle reversibly between soluble globular aggregates and a black conductive hydrogel of supramolecular polymers. These polymers form via π-π stacking and π-radical pimerization, driven by light, electricity, chemicals, or X-rays. Under anaerobic conditions, they harvest and store electrons. Oxygen exposure releases reactive species for catalytic oxidation, dissolving the hydrogel.</w:t>
      </w:r>
    </w:p>
    <w:p>
      <w:pPr>
        <w:spacing w:before="120" w:after="120"/>
      </w:pPr>
      <w:r>
        <w:rPr>
          <w:sz w:val="18"/>
        </w:rPr>
        <w:t>——————————————————————————————————————————————————————————————————————</w:t>
      </w:r>
    </w:p>
    <w:p>
      <w:pPr>
        <w:spacing w:before="160" w:after="40" w:line="240" w:lineRule="auto"/>
      </w:pPr>
      <w:r>
        <w:rPr>
          <w:b/>
        </w:rPr>
        <w:t xml:space="preserve">[7] </w:t>
      </w:r>
      <w:hyperlink r:id="rId151">
        <w:r>
          <w:rPr>
            <w:color w:val="1155CC"/>
            <w:u w:val="single"/>
          </w:rPr>
          <w:t>二氧化碳电池准备好并入电网了吗？跨领域部署清单</w:t>
        </w:r>
      </w:hyperlink>
    </w:p>
    <w:p>
      <w:pPr>
        <w:spacing w:before="0" w:after="80"/>
      </w:pPr>
      <w:r>
        <w:rPr>
          <w:i/>
          <w:sz w:val="20"/>
        </w:rPr>
        <w:t>EN: Are CO2 batteries ready for the grid? A cross-cutting deployment checklist</w:t>
      </w:r>
    </w:p>
    <w:p>
      <w:pPr>
        <w:spacing w:before="0" w:after="120"/>
      </w:pPr>
      <w:r>
        <w:rPr>
          <w:b/>
        </w:rPr>
        <w:t xml:space="preserve">Source: </w:t>
      </w:r>
      <w:r>
        <w:t>Matter</w:t>
      </w:r>
      <w:r>
        <w:t xml:space="preserve">    </w:t>
      </w:r>
      <w:r>
        <w:rPr>
          <w:b/>
        </w:rPr>
        <w:t xml:space="preserve">Pub date: </w:t>
      </w:r>
      <w:r>
        <w:t>2026-05-27 00:00:00+00:00</w:t>
      </w:r>
      <w:r>
        <w:t xml:space="preserve">    </w:t>
      </w:r>
      <w:r>
        <w:rPr>
          <w:b/>
        </w:rPr>
        <w:t xml:space="preserve">DOI: </w:t>
      </w:r>
      <w:hyperlink r:id="rId152">
        <w:r>
          <w:rPr>
            <w:color w:val="1155CC"/>
            <w:u w:val="single"/>
          </w:rPr>
          <w:t>10.1016/j.matt.2026.102815</w:t>
        </w:r>
      </w:hyperlink>
    </w:p>
    <w:p>
      <w:pPr>
        <w:spacing w:before="0" w:after="120"/>
      </w:pPr>
      <w:r>
        <w:rPr>
          <w:b/>
        </w:rPr>
        <w:t xml:space="preserve">Notes: </w:t>
      </w:r>
      <w:r>
        <w:t>abstract_source=rss_cell</w:t>
      </w:r>
    </w:p>
    <w:p>
      <w:pPr>
        <w:spacing w:before="0" w:after="80" w:lineRule="auto" w:line="276"/>
      </w:pPr>
      <w:r>
        <w:rPr>
          <w:b/>
        </w:rPr>
        <w:t xml:space="preserve">摘要（ZH）: </w:t>
      </w:r>
      <w:r>
        <w:t>新兴的可充电金属二氧化碳电池由于具有将电网规模储能与利用丰富的二氧化碳气体相结合的潜力而颇具吸引力。在仔细研究报告的演示和设计后，这个视角提供了一个包含系统指标的清单，以框架针对部署兴趣的研究和开发工作。</w:t>
      </w:r>
    </w:p>
    <w:p>
      <w:pPr>
        <w:spacing w:before="0" w:after="200" w:lineRule="auto" w:line="276"/>
      </w:pPr>
      <w:r>
        <w:rPr>
          <w:b/>
        </w:rPr>
        <w:t xml:space="preserve">Abstract (EN): </w:t>
      </w:r>
      <w:r>
        <w:t>Emerging rechargeable metal–CO2 batteries are attractive due to the potential of coupling grid-scale energy storage with utilizing the abundant CO2 gas. After a close look at the report demonstrations and designs, this perspective provides a checklist with systematic metrics to frame the research and development efforts on deployment interests.</w:t>
      </w:r>
    </w:p>
    <w:p>
      <w:pPr>
        <w:spacing w:before="120" w:after="120"/>
      </w:pPr>
      <w:r>
        <w:rPr>
          <w:sz w:val="18"/>
        </w:rPr>
        <w:t>——————————————————————————————————————————————————————————————————————</w:t>
      </w:r>
    </w:p>
    <w:p>
      <w:pPr>
        <w:spacing w:before="160" w:after="40" w:line="240" w:lineRule="auto"/>
      </w:pPr>
      <w:r>
        <w:rPr>
          <w:b/>
        </w:rPr>
        <w:t xml:space="preserve">[8] </w:t>
      </w:r>
      <w:hyperlink r:id="rId153">
        <w:r>
          <w:rPr>
            <w:color w:val="1155CC"/>
            <w:u w:val="single"/>
          </w:rPr>
          <w:t>电荷转移铁电共晶中的分子旋转和大极化</w:t>
        </w:r>
      </w:hyperlink>
    </w:p>
    <w:p>
      <w:pPr>
        <w:spacing w:before="0" w:after="80"/>
      </w:pPr>
      <w:r>
        <w:rPr>
          <w:i/>
          <w:sz w:val="20"/>
        </w:rPr>
        <w:t>EN: Molecular rotation and large polarization in charge-transfer ferroelectric cocrystals</w:t>
      </w:r>
    </w:p>
    <w:p>
      <w:pPr>
        <w:spacing w:before="0" w:after="120"/>
      </w:pPr>
      <w:r>
        <w:rPr>
          <w:b/>
        </w:rPr>
        <w:t xml:space="preserve">Source: </w:t>
      </w:r>
      <w:r>
        <w:t>Nature Chemistry</w:t>
      </w:r>
      <w:r>
        <w:t xml:space="preserve">    </w:t>
      </w:r>
      <w:r>
        <w:rPr>
          <w:b/>
        </w:rPr>
        <w:t xml:space="preserve">Pub date: </w:t>
      </w:r>
      <w:r>
        <w:t>2026-05-28 00:00:00+00:00</w:t>
      </w:r>
      <w:r>
        <w:t xml:space="preserve">    </w:t>
      </w:r>
      <w:r>
        <w:rPr>
          <w:b/>
        </w:rPr>
        <w:t xml:space="preserve">DOI: </w:t>
      </w:r>
      <w:hyperlink r:id="rId154">
        <w:r>
          <w:rPr>
            <w:color w:val="1155CC"/>
            <w:u w:val="single"/>
          </w:rPr>
          <w:t>10.1038/s41557-026-02168-9</w:t>
        </w:r>
      </w:hyperlink>
    </w:p>
    <w:p>
      <w:pPr>
        <w:spacing w:before="0" w:after="120"/>
      </w:pPr>
      <w:r>
        <w:rPr>
          <w:b/>
        </w:rPr>
        <w:t xml:space="preserve">Notes: </w:t>
      </w:r>
      <w:r>
        <w:t>abstract_source=nature_html</w:t>
      </w:r>
    </w:p>
    <w:p>
      <w:pPr>
        <w:spacing w:before="0" w:after="80" w:lineRule="auto" w:line="276"/>
      </w:pPr>
      <w:r>
        <w:rPr>
          <w:b/>
        </w:rPr>
        <w:t xml:space="preserve">摘要（ZH）: </w:t>
      </w:r>
      <w:r>
        <w:t>有机铁电体具有溶液加工性、机械灵活性以及在传感、能量存储和驱动方面有前景的应用。然而，它们的极化温度和居里温度通常低于无机铁电体，因为弱的分子间相互作用阻碍了有效的偶极子排列。集成偶极子单元、长程偶极子排序和可切换极化的有机材料的开发可能使高性能有机铁电体的设计成为可能。在这里，我们报道了一种供体-受体共晶体，其中 V 形供体分子通过超分子相互作用堆积成齿轮状排列。在这个二元受限晶格中，由外部电场触发的供体分子协同进行 42° 面内旋转，从而实现可逆的偏振切换。这种旋转机制产生 58 μC cm−2 的剩余极化、高达 479 K 的稳定铁电性和 0.022 MV m−1 的低矫顽场，与之前报道的有机铁电体相比表现出优越的性能。这些发现为高性能有机铁电体的设计提供了一条途径。该图像的替代文本可能是使用人工智能生成的。</w:t>
      </w:r>
    </w:p>
    <w:p>
      <w:pPr>
        <w:spacing w:before="0" w:after="200" w:lineRule="auto" w:line="276"/>
      </w:pPr>
      <w:r>
        <w:rPr>
          <w:b/>
        </w:rPr>
        <w:t xml:space="preserve">Abstract (EN): </w:t>
      </w:r>
      <w:r>
        <w:t>Organic ferroelectrics offer solution processability, mechanical flexibility and promising applications in sensing, energy storage and actuation. However, their polarization and Curie temperatures are typically lower than those of inorganic ferroelectrics because weak intermolecular interactions hinder efficient dipole alignment. The development of organic materials that integrate dipole units, long-range dipole ordering and switchable polarization may enable the design of high-performance organic ferroelectrics. Here we report a donor–acceptor cocrystal in which V-shaped donor molecules pack into a gear-like arrangement, enabled by supramolecular interactions. Within this binary confined lattice, a cooperative in-plane rotation of 42° by the donor molecules—triggered by an external electric field—enables reversible polarization switching. This rotational mechanism yields a remanent polarization of 58 μC cm−2, stable ferroelectricity up to 479 K and a low coercive field of 0.022 MV m−1, exhibiting superior performance compared with previously reported organic ferroelectrics. These findings provide a pathway towards the design of high-performance organic ferroelectrics.The alternative text for this image may have been generated using AI.</w:t>
      </w:r>
    </w:p>
    <w:p>
      <w:pPr>
        <w:spacing w:before="120" w:after="120"/>
      </w:pPr>
      <w:r>
        <w:rPr>
          <w:sz w:val="18"/>
        </w:rPr>
        <w:t>——————————————————————————————————————————————————————————————————————</w:t>
      </w:r>
    </w:p>
    <w:p>
      <w:pPr>
        <w:spacing w:before="160" w:after="40" w:line="240" w:lineRule="auto"/>
      </w:pPr>
      <w:r>
        <w:rPr>
          <w:b/>
        </w:rPr>
        <w:t xml:space="preserve">[9] </w:t>
      </w:r>
      <w:hyperlink r:id="rId155">
        <w:r>
          <w:rPr>
            <w:color w:val="1155CC"/>
            <w:u w:val="single"/>
          </w:rPr>
          <w:t>具有高性能能量转换的无膜渗透发电机</w:t>
        </w:r>
      </w:hyperlink>
    </w:p>
    <w:p>
      <w:pPr>
        <w:spacing w:before="0" w:after="80"/>
      </w:pPr>
      <w:r>
        <w:rPr>
          <w:i/>
          <w:sz w:val="20"/>
        </w:rPr>
        <w:t>EN: Membrane-free osmotic power generators with high-performance energy conversion</w:t>
      </w:r>
    </w:p>
    <w:p>
      <w:pPr>
        <w:spacing w:before="0" w:after="120"/>
      </w:pPr>
      <w:r>
        <w:rPr>
          <w:b/>
        </w:rPr>
        <w:t xml:space="preserve">Source: </w:t>
      </w:r>
      <w:r>
        <w:t>RSC - Energy Environ. Sci. latest articles</w:t>
      </w:r>
      <w:r>
        <w:t xml:space="preserve">    </w:t>
      </w:r>
      <w:r>
        <w:rPr>
          <w:b/>
        </w:rPr>
        <w:t xml:space="preserve">Pub date: </w:t>
      </w:r>
      <w:r>
        <w:t>2026-05-28 23:00:00+00:00</w:t>
      </w:r>
    </w:p>
    <w:p>
      <w:pPr>
        <w:spacing w:before="0" w:after="120"/>
      </w:pPr>
      <w:r>
        <w:rPr>
          <w:b/>
        </w:rPr>
        <w:t xml:space="preserve">Notes: </w:t>
      </w:r>
      <w:r>
        <w:t>abstract_source=rsc_html</w:t>
      </w:r>
    </w:p>
    <w:p>
      <w:pPr>
        <w:spacing w:before="0" w:after="80" w:lineRule="auto" w:line="276"/>
      </w:pPr>
      <w:r>
        <w:rPr>
          <w:b/>
        </w:rPr>
        <w:t xml:space="preserve">摘要（ZH）: </w:t>
      </w:r>
      <w:r>
        <w:t>具有盐度梯度的两种溶液之间的渗透能是可持续的，并且通常通过基于膜的过程转化为电能。然而，高膜电阻将大规模输出功率密度限制在10 W m -2 。在此，我们使用不混溶的聚阳离子和聚阴离子水溶胶开发了一种无膜渗透发电器（OPG）。通过两个溶胶堆叠，聚电解质双层在界面处自发组装，从而实现双向阳离子/阴离子选择性传输。结合50倍的NaCl盐度梯度，单个无膜OPG单元由于相当低的内阻，可以表现出39.4（Na+梯度）或74.9（Cl-梯度）W m -2的最佳输出功率密度，远高于报道的工作（</w:t>
      </w:r>
    </w:p>
    <w:p>
      <w:pPr>
        <w:spacing w:before="0" w:after="200" w:lineRule="auto" w:line="276"/>
      </w:pPr>
      <w:r>
        <w:rPr>
          <w:b/>
        </w:rPr>
        <w:t xml:space="preserve">Abstract (EN): </w:t>
      </w:r>
      <w:r>
        <w:t>Osmotic energy between two solutions with salinity gradients, is sustainable and converted generally into electricity through membrane-based processes. However, high membrane resistance limits extremely output power densities to 10 W m -2 at a large scale. Herein, we developed a membrane-free osmotic power generator (OPG), using immiscible polycation and polyanion aqueous sols. With two sols stacking, polyelectrolyte bilayers assemble spontaneously at the interphase, thereby enabling bidirectional cation/anion selective transport. Combining 50-fold NaCl salinity gradients, a single membrane-free OPG unit can exhibit the optimal output power densities of 39.4 (Na + gradients) or 74.9 (Cl -gradients) W m -2 due to quite low internal resistance, which are far higher than reported works (</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56">
        <w:r>
          <w:rPr>
            <w:color w:val="1155CC"/>
            <w:u w:val="single"/>
          </w:rPr>
          <w:t>通过分级水凝胶中的串联集成微型热电电池在最小温度梯度下限制诱导巨离子热电压</w:t>
        </w:r>
      </w:hyperlink>
    </w:p>
    <w:p>
      <w:pPr>
        <w:spacing w:before="0" w:after="80"/>
      </w:pPr>
      <w:r>
        <w:rPr>
          <w:i/>
          <w:sz w:val="20"/>
        </w:rPr>
        <w:t>EN: Confinement-induced giant ionic thermovoltage at minimal temperature gradients via series-integrated micro-thermoelectric cells in hierarchical hydrogels</w:t>
      </w:r>
    </w:p>
    <w:p>
      <w:pPr>
        <w:spacing w:before="0" w:after="120"/>
      </w:pPr>
      <w:r>
        <w:rPr>
          <w:b/>
        </w:rPr>
        <w:t xml:space="preserve">Source: </w:t>
      </w:r>
      <w:r>
        <w:t>National Science Review Advance Access</w:t>
      </w:r>
      <w:r>
        <w:t xml:space="preserve">    </w:t>
      </w:r>
      <w:r>
        <w:rPr>
          <w:b/>
        </w:rPr>
        <w:t xml:space="preserve">Pub date: </w:t>
      </w:r>
      <w:r>
        <w:t>2026-05-23 00:00:00+00:00</w:t>
      </w:r>
      <w:r>
        <w:t xml:space="preserve">    </w:t>
      </w:r>
      <w:r>
        <w:rPr>
          <w:b/>
        </w:rPr>
        <w:t xml:space="preserve">DOI: </w:t>
      </w:r>
      <w:hyperlink r:id="rId157">
        <w:r>
          <w:rPr>
            <w:color w:val="1155CC"/>
            <w:u w:val="single"/>
          </w:rPr>
          <w:t>10.1093/nsr/nwag296</w:t>
        </w:r>
      </w:hyperlink>
    </w:p>
    <w:p>
      <w:pPr>
        <w:spacing w:before="0" w:after="120"/>
      </w:pPr>
      <w:r>
        <w:rPr>
          <w:b/>
        </w:rPr>
        <w:t xml:space="preserve">Notes: </w:t>
      </w:r>
      <w:r>
        <w:t>abstract_source=rss_oup</w:t>
      </w:r>
    </w:p>
    <w:p>
      <w:pPr>
        <w:spacing w:before="0" w:after="80" w:lineRule="auto" w:line="276"/>
      </w:pPr>
      <w:r>
        <w:rPr>
          <w:b/>
        </w:rPr>
        <w:t xml:space="preserve">摘要（ZH）: </w:t>
      </w:r>
      <w:r>
        <w:t>收集低品位废热，特别是来自普遍存在的小温度波动的废热，需要能够在最小热梯度下提供高电压输出的材料。传统的离子热电 (i-TE) 水凝胶依赖于离子在整个材料中的全局连续热扩散（即索雷效应），这通常在较小的温差 (ΔT) 下产生有限的电压。在这里，我们报告了一种分层结构的离子水凝胶，它通过“串联集成微热电电池”机制从根本上改变了这种范式。通过将聚丙烯酸/乙酸钠（PAA/NaOAc）电解质渗透到定向冷冻铸造的聚乙烯醇（PVA）支架中，我们构建了一种各向异性结构，其中致密的结晶PVA域充当垂直于热梯度的离子阻挡层。在施加的温差下，离子在有限的微域内进行短程热扩散，产生串联累积的局部热电压。我们的分层结构离子水凝胶在最小温度梯度 (ΔT ≤ 2.0 K) 下产生创纪录的高离子塞贝克系数 71.3 mV K−1。至关重要的是，热电压在 ΔT 升高时表现出非线性饱和行为，揭示了微结构限制离子分离中不同的界面电荷效应。结合卓越的机械稳健性，这项工作建立了从全局离子传输到微结构系列集成的变革范式，为超灵敏的材料提供了强大的材料平台</w:t>
      </w:r>
    </w:p>
    <w:p>
      <w:pPr>
        <w:spacing w:before="0" w:after="200" w:lineRule="auto" w:line="276"/>
      </w:pPr>
      <w:r>
        <w:rPr>
          <w:b/>
        </w:rPr>
        <w:t xml:space="preserve">Abstract (EN): </w:t>
      </w:r>
      <w:r>
        <w:t>Harvesting low-grade waste heat, particularly from ubiquitous small temperature fluctuations, requires materials that deliver high voltage outputs under minimal thermal gradients. Conventional ionic thermoelectric (i-TE) hydrogels rely on the global, continuous thermodiffusion of ions (i.e. the Soret effect) across the entire material, which typically yields limited voltages at small temperature differences (ΔT). Here, we report a hierarchically structured ionic hydrogel that fundamentally alters this paradigm via a ‘series-integrated micro-thermoelectric cell’ mechanism. By infiltrating a poly(acrylic acid)/sodium acetate (PAA/NaOAc) electrolyte into a directionally freeze-cast polyvinyl alcohol (PVA) scaffold, we construct an anisotropic architecture where dense crystalline PVA domains act as ionic blocking layers perpendicular to the thermal gradient. Under an applied temperature difference, ions undergo short-range thermodiffusion within the confined micro-domains, generating local thermovoltage that accumulates in series. Our hierarchical structured ionic hydrogel yields a record-high ionic Seebeck coefficient of 71.3 mV K−1 at minimal temperature gradients (ΔT ≤ 2.0 K). Crucially, the thermovoltage exhibits a non-linear saturation behavior at elevated ΔT, revealing a different interfacial charge effect in microstructure-confined ion separation. Combined with exceptional mechanical robustness, this work establishes a transformative paradigm shifting from global ion transport to micro-structural series integration, offering a robust material platform for ultra-sensitive thermal sensing and durable self-powered wearable electronics.</w:t>
      </w:r>
    </w:p>
    <w:p>
      <w:pPr>
        <w:spacing w:before="120" w:after="120"/>
      </w:pPr>
      <w:r>
        <w:rPr>
          <w:sz w:val="18"/>
        </w:rPr>
        <w:t>——————————————————————————————————————————————————————————————————————</w:t>
      </w:r>
    </w:p>
    <w:p>
      <w:pPr>
        <w:spacing w:before="160" w:after="40" w:line="240" w:lineRule="auto"/>
      </w:pPr>
      <w:r>
        <w:rPr>
          <w:b/>
        </w:rPr>
        <w:t xml:space="preserve">[2] </w:t>
      </w:r>
      <w:hyperlink r:id="rId124">
        <w:r>
          <w:rPr>
            <w:color w:val="1155CC"/>
            <w:u w:val="single"/>
          </w:rPr>
          <w:t>描述极端气候下 BEV 能量流的特征：热泵、PTC 和混合热管理架构的实验比较</w:t>
        </w:r>
      </w:hyperlink>
    </w:p>
    <w:p>
      <w:pPr>
        <w:spacing w:before="0" w:after="80"/>
      </w:pPr>
      <w:r>
        <w:rPr>
          <w:i/>
          <w:sz w:val="20"/>
        </w:rPr>
        <w:t>EN: Characterizing BEV energy flow in extreme climates: An experimental comparison of heat pump, PTC, and hybrid thermal management architectures</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58">
        <w:r>
          <w:rPr>
            <w:color w:val="1155CC"/>
            <w:u w:val="single"/>
          </w:rPr>
          <w:t>通过热再生电化学循环利用低品位热能：关键见解、性能优化策略和跨领域应用</w:t>
        </w:r>
      </w:hyperlink>
    </w:p>
    <w:p>
      <w:pPr>
        <w:spacing w:before="0" w:after="80"/>
      </w:pPr>
      <w:r>
        <w:rPr>
          <w:i/>
          <w:sz w:val="20"/>
        </w:rPr>
        <w:t>EN: Harnessing low-grade thermal energy via thermally regenerative electrochemical cycle: critical insights, performance optimization strategies, and cross-domain applications</w:t>
      </w:r>
    </w:p>
    <w:p>
      <w:pPr>
        <w:spacing w:before="0" w:after="120"/>
      </w:pPr>
      <w:r>
        <w:rPr>
          <w:b/>
        </w:rPr>
        <w:t xml:space="preserve">Source: </w:t>
      </w:r>
      <w:r>
        <w:t>ScienceDirect Publication: Applied Energy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59">
        <w:r>
          <w:rPr>
            <w:color w:val="1155CC"/>
            <w:u w:val="single"/>
          </w:rPr>
          <w:t>使用人工智能在有机朗肯循环中的性能预测、设计优化和操作控制的应用：综述</w:t>
        </w:r>
      </w:hyperlink>
    </w:p>
    <w:p>
      <w:pPr>
        <w:spacing w:before="0" w:after="80"/>
      </w:pPr>
      <w:r>
        <w:rPr>
          <w:i/>
          <w:sz w:val="20"/>
        </w:rPr>
        <w:t>EN: Applications of performance prediction, design optimization, and operational control using artificial intelligence for organic Rankine cycle: A review</w:t>
      </w:r>
    </w:p>
    <w:p>
      <w:pPr>
        <w:spacing w:before="0" w:after="120"/>
      </w:pPr>
      <w:r>
        <w:rPr>
          <w:b/>
        </w:rPr>
        <w:t xml:space="preserve">Source: </w:t>
      </w:r>
      <w:r>
        <w:t>ScienceDirect Publication: Applied Energy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60">
        <w:r>
          <w:rPr>
            <w:color w:val="1155CC"/>
            <w:u w:val="single"/>
          </w:rPr>
          <w:t>石头剪刀布相互作用实现热定位</w:t>
        </w:r>
      </w:hyperlink>
    </w:p>
    <w:p>
      <w:pPr>
        <w:spacing w:before="0" w:after="80"/>
      </w:pPr>
      <w:r>
        <w:rPr>
          <w:i/>
          <w:sz w:val="20"/>
        </w:rPr>
        <w:t>EN: Rock–paper–scissors interactions enable thermal localization</w:t>
      </w:r>
    </w:p>
    <w:p>
      <w:pPr>
        <w:spacing w:before="0" w:after="120"/>
      </w:pPr>
      <w:r>
        <w:rPr>
          <w:b/>
        </w:rPr>
        <w:t xml:space="preserve">Source: </w:t>
      </w:r>
      <w:r>
        <w:t>National Science Review Advance Access</w:t>
      </w:r>
      <w:r>
        <w:t xml:space="preserve">    </w:t>
      </w:r>
      <w:r>
        <w:rPr>
          <w:b/>
        </w:rPr>
        <w:t xml:space="preserve">Pub date: </w:t>
      </w:r>
      <w:r>
        <w:t>2026-05-25 00:00:00+00:00</w:t>
      </w:r>
      <w:r>
        <w:t xml:space="preserve">    </w:t>
      </w:r>
      <w:r>
        <w:rPr>
          <w:b/>
        </w:rPr>
        <w:t xml:space="preserve">DOI: </w:t>
      </w:r>
      <w:hyperlink r:id="rId161">
        <w:r>
          <w:rPr>
            <w:color w:val="1155CC"/>
            <w:u w:val="single"/>
          </w:rPr>
          <w:t>10.1093/nsr/nwag286</w:t>
        </w:r>
      </w:hyperlink>
    </w:p>
    <w:p>
      <w:pPr>
        <w:spacing w:before="0" w:after="120"/>
      </w:pPr>
      <w:r>
        <w:rPr>
          <w:b/>
        </w:rPr>
        <w:t xml:space="preserve">Notes: </w:t>
      </w:r>
      <w:r>
        <w:t>abstract_source=crossref</w:t>
      </w:r>
    </w:p>
    <w:p>
      <w:pPr>
        <w:spacing w:before="0" w:after="80" w:lineRule="auto" w:line="276"/>
      </w:pPr>
      <w:r>
        <w:rPr>
          <w:b/>
        </w:rPr>
        <w:t xml:space="preserve">摘要（ZH）: </w:t>
      </w:r>
      <w:r>
        <w:t>石头剪刀布相互作用使热定位能够推进热超材料</w:t>
      </w:r>
    </w:p>
    <w:p>
      <w:pPr>
        <w:spacing w:before="0" w:after="200" w:lineRule="auto" w:line="276"/>
      </w:pPr>
      <w:r>
        <w:rPr>
          <w:b/>
        </w:rPr>
        <w:t xml:space="preserve">Abstract (EN): </w:t>
      </w:r>
      <w:r>
        <w:t>Rock-paper-scissors interactions enable thermal localization to advance thermal metamaterials</w:t>
      </w:r>
    </w:p>
    <w:p>
      <w:pPr>
        <w:spacing w:before="120" w:after="120"/>
      </w:pPr>
      <w:r>
        <w:rPr>
          <w:sz w:val="18"/>
        </w:rPr>
        <w:t>——————————————————————————————————————————————————————————————————————</w:t>
      </w:r>
    </w:p>
    <w:p>
      <w:pPr>
        <w:spacing w:before="160" w:after="40" w:line="240" w:lineRule="auto"/>
      </w:pPr>
      <w:r>
        <w:rPr>
          <w:b/>
        </w:rPr>
        <w:t xml:space="preserve">[6] </w:t>
      </w:r>
      <w:hyperlink r:id="rId162">
        <w:r>
          <w:rPr>
            <w:color w:val="1155CC"/>
            <w:u w:val="single"/>
          </w:rPr>
          <w:t>负焓可提供热力学稳定的高性能 GeTe 热电材料</w:t>
        </w:r>
      </w:hyperlink>
    </w:p>
    <w:p>
      <w:pPr>
        <w:spacing w:before="0" w:after="80"/>
      </w:pPr>
      <w:r>
        <w:rPr>
          <w:i/>
          <w:sz w:val="20"/>
        </w:rPr>
        <w:t>EN: Negative enthalpy delivers thermodynamically stable and high-performance GeTe thermoelectrics</w:t>
      </w:r>
    </w:p>
    <w:p>
      <w:pPr>
        <w:spacing w:before="0" w:after="120"/>
      </w:pPr>
      <w:r>
        <w:rPr>
          <w:b/>
        </w:rPr>
        <w:t xml:space="preserve">Source: </w:t>
      </w:r>
      <w:r>
        <w:t>Joule</w:t>
      </w:r>
      <w:r>
        <w:t xml:space="preserve">    </w:t>
      </w:r>
      <w:r>
        <w:rPr>
          <w:b/>
        </w:rPr>
        <w:t xml:space="preserve">Pub date: </w:t>
      </w:r>
      <w:r>
        <w:t>2026-05-25 00:00:00+00:00</w:t>
      </w:r>
      <w:r>
        <w:t xml:space="preserve">    </w:t>
      </w:r>
      <w:r>
        <w:rPr>
          <w:b/>
        </w:rPr>
        <w:t xml:space="preserve">DOI: </w:t>
      </w:r>
      <w:hyperlink r:id="rId163">
        <w:r>
          <w:rPr>
            <w:color w:val="1155CC"/>
            <w:u w:val="single"/>
          </w:rPr>
          <w:t>10.1016/j.joule.2026.102490</w:t>
        </w:r>
      </w:hyperlink>
    </w:p>
    <w:p>
      <w:pPr>
        <w:spacing w:before="0" w:after="120"/>
      </w:pPr>
      <w:r>
        <w:rPr>
          <w:b/>
        </w:rPr>
        <w:t xml:space="preserve">Notes: </w:t>
      </w:r>
      <w:r>
        <w:t>abstract_source=rss_cell</w:t>
      </w:r>
    </w:p>
    <w:p>
      <w:pPr>
        <w:spacing w:before="0" w:after="80" w:lineRule="auto" w:line="276"/>
      </w:pPr>
      <w:r>
        <w:rPr>
          <w:b/>
        </w:rPr>
        <w:t xml:space="preserve">摘要（ZH）: </w:t>
      </w:r>
      <w:r>
        <w:t>热电材料在高温运行过程中通常会逐渐分解，限制了其长期可靠性。这项工作提出了一种负焓策略，可以同时抑制分解并增强GeTe基高熵材料的热电性能，为稳定高效的高温热电材料提供了通用途径。</w:t>
      </w:r>
    </w:p>
    <w:p>
      <w:pPr>
        <w:spacing w:before="0" w:after="200" w:lineRule="auto" w:line="276"/>
      </w:pPr>
      <w:r>
        <w:rPr>
          <w:b/>
        </w:rPr>
        <w:t xml:space="preserve">Abstract (EN): </w:t>
      </w:r>
      <w:r>
        <w:t>Thermoelectric materials often undergo gradual decomposition during high-temperature operation, limiting their long-term reliability. This work proposes a negative-enthalpy strategy to simultaneously suppress decomposition and enhance the thermoelectric performance of GeTe-based high-entropy materials, offering a general route toward stable and efficient high-temperature thermoelectric materials.</w:t>
      </w:r>
    </w:p>
    <w:p>
      <w:pPr>
        <w:spacing w:before="120" w:after="120"/>
      </w:pPr>
      <w:r>
        <w:rPr>
          <w:sz w:val="18"/>
        </w:rPr>
        <w:t>——————————————————————————————————————————————————————————————————————</w:t>
      </w:r>
    </w:p>
    <w:p>
      <w:pPr>
        <w:spacing w:before="160" w:after="40" w:line="240" w:lineRule="auto"/>
      </w:pPr>
      <w:r>
        <w:rPr>
          <w:b/>
        </w:rPr>
        <w:t xml:space="preserve">[7] </w:t>
      </w:r>
      <w:hyperlink r:id="rId164">
        <w:r>
          <w:rPr>
            <w:color w:val="1155CC"/>
            <w:u w:val="single"/>
          </w:rPr>
          <w:t>生物质、垃圾和燃煤发电厂锅炉的工程挑战：灾难性故障限制了能源效率的提高</w:t>
        </w:r>
      </w:hyperlink>
    </w:p>
    <w:p>
      <w:pPr>
        <w:spacing w:before="0" w:after="80"/>
      </w:pPr>
      <w:r>
        <w:rPr>
          <w:i/>
          <w:sz w:val="20"/>
        </w:rPr>
        <w:t>EN: Engineering challenges of boilers in biomass, waste, and coal power plants: catastrophic failures limiting energy efficiency improvement</w:t>
      </w:r>
    </w:p>
    <w:p>
      <w:pPr>
        <w:spacing w:before="0" w:after="120"/>
      </w:pPr>
      <w:r>
        <w:rPr>
          <w:b/>
        </w:rPr>
        <w:t xml:space="preserve">Source: </w:t>
      </w:r>
      <w:r>
        <w:t>ScienceDirect Publication: Applied Energy</w:t>
      </w:r>
      <w:r>
        <w:t xml:space="preserve">    </w:t>
      </w:r>
      <w:r>
        <w:rPr>
          <w:b/>
        </w:rPr>
        <w:t xml:space="preserve">Pub date: </w:t>
      </w:r>
      <w:r>
        <w:t>2026-05-25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65">
        <w:r>
          <w:rPr>
            <w:color w:val="1155CC"/>
            <w:u w:val="single"/>
          </w:rPr>
          <w:t>[ASAP] 涂层集成焦耳加热架构，用于从化学载体中高效释放氢气</w:t>
        </w:r>
      </w:hyperlink>
    </w:p>
    <w:p>
      <w:pPr>
        <w:spacing w:before="0" w:after="80"/>
      </w:pPr>
      <w:r>
        <w:rPr>
          <w:i/>
          <w:sz w:val="20"/>
        </w:rPr>
        <w:t>EN: [ASAP] Coating-Integrated Joule Heating Architecture for Energy-Efficient Hydrogen Release from Chemical Carriers</w:t>
      </w:r>
    </w:p>
    <w:p>
      <w:pPr>
        <w:spacing w:before="0" w:after="120"/>
      </w:pPr>
      <w:r>
        <w:rPr>
          <w:b/>
        </w:rPr>
        <w:t xml:space="preserve">Source: </w:t>
      </w:r>
      <w:r>
        <w:t>Journal of the American Chemical Society: Latest Articles (ACS Publications)</w:t>
      </w:r>
      <w:r>
        <w:t xml:space="preserve">    </w:t>
      </w:r>
      <w:r>
        <w:rPr>
          <w:b/>
        </w:rPr>
        <w:t xml:space="preserve">Pub date: </w:t>
      </w:r>
      <w:r>
        <w:t>2026-05-25 13:53:15+00:00</w:t>
      </w:r>
      <w:r>
        <w:t xml:space="preserve">    </w:t>
      </w:r>
      <w:r>
        <w:rPr>
          <w:b/>
        </w:rPr>
        <w:t xml:space="preserve">DOI: </w:t>
      </w:r>
      <w:hyperlink r:id="rId166">
        <w:r>
          <w:rPr>
            <w:color w:val="1155CC"/>
            <w:u w:val="single"/>
          </w:rPr>
          <w:t>10.1021/jacs.6c06415</w:t>
        </w:r>
      </w:hyperlink>
    </w:p>
    <w:p>
      <w:pPr>
        <w:spacing w:before="0" w:after="120"/>
      </w:pPr>
      <w:r>
        <w:rPr>
          <w:b/>
        </w:rPr>
        <w:t xml:space="preserve">Notes: </w:t>
      </w:r>
      <w:r>
        <w:t>abstract_source=pubmed</w:t>
      </w:r>
    </w:p>
    <w:p>
      <w:pPr>
        <w:spacing w:before="0" w:after="80" w:lineRule="auto" w:line="276"/>
      </w:pPr>
      <w:r>
        <w:rPr>
          <w:b/>
        </w:rPr>
        <w:t xml:space="preserve">摘要（ZH）: </w:t>
      </w:r>
      <w:r>
        <w:t>氢载体提供了一种以化学形式存储和运输可再生电力的实用途径，但基于载体的氢供应的端到端效率通常取决于最终的氢释放步骤，其中吸热化学和非生产性热损失造成了巨大的能量损失。在这里，我们提出了一种涂层集成焦耳加热架构，可改善能量与氢释放反应器的耦合方式。多孔碳化硅骨架充当通用电热转换器，而反应所需的催化剂直接涂覆在碳化硅表面上，将电热发热与催化功能解耦，同时保留活性界面处的微尺度热耦合。这种设计消除了催化剂床电导率的限制，从而将焦耳热推广到各种氢释放化学物质。对于焦耳热驱动的氨分解，Ru/CeO2涂层碳化硅反应器在输入功率为23.4 W时产氢率为5.6 molH2 gcat-1 h-1，能耗为15.5 kWh kgH2-1。使用Pt/CeO2作为催化剂涂层，将同一平台扩展到液态有机氢载体脱氢，在仅5.5 W的功率输入下实现了86.6%的环己烷转化率，性能与280°C下的传统热催化效果相当。热分析揭示了焦耳加热下多孔碳化硅骨架的热状态，捕获从入口到出口的气体温度演变，量化能量流分布</w:t>
      </w:r>
    </w:p>
    <w:p>
      <w:pPr>
        <w:spacing w:before="0" w:after="200" w:lineRule="auto" w:line="276"/>
      </w:pPr>
      <w:r>
        <w:rPr>
          <w:b/>
        </w:rPr>
        <w:t xml:space="preserve">Abstract (EN): </w:t>
      </w:r>
      <w:r>
        <w:t>Hydrogen carriers offer a practical route to store and transport renewable electricity in chemical form, but the end-to-end efficiency of carrier-based hydrogen supply is often dictated by the terminal hydrogen-release step, where endothermic chemistry and nonproductive heat losses impose a substantial energy penalty. Here we present a coating-integrated Joule heating architecture that improves how energy is coupled into hydrogen-release reactors. A porous silicon carbide skeleton functions as a universal electrothermal converter, while the reaction-required catalyst is directly coated onto the silicon carbide surface, decoupling electrothermal heat generation from catalytic function yet preserving microscale thermal coupling at the active interface. This design removes the constraint of catalyst-bed conductivity and thereby generalizes Joule heating to diverse hydrogen-release chemistries. For ammonia decomposition driven by Joule heating, the Ru/CeO2-coated silicon carbide reactor delivers a hydrogen production rate of 5.6 molH2 gcat-1 h-1 at an input power of 23.4 W, with an energy consumption of 15.5 kWh kgH2-1. Using Pt/CeO2 as the catalyst coating, the same platform is extended to liquid organic hydrogen carrier dehydrogenation, achieving 86.6% cyclohexane conversion at a power input of only 5.5 W─a performance comparable to that achieved by conventional thermal catalysis at 280 °C. Thermal profiling reveals the thermal state of the porous silicon carbide skeleton under Joule heating, captures gas-temperature evolution from inlet to outlet, quantifies energy flow distribution, and provides a theoretical basis for array-scale reactor design. This coating-integrated electrothermal platform is compatible and scalable, offering a general approach to energy-efficient hydrogen release from ammonia and other hydrogen carriers.</w:t>
      </w:r>
    </w:p>
    <w:p>
      <w:pPr>
        <w:spacing w:before="120" w:after="120"/>
      </w:pPr>
      <w:r>
        <w:rPr>
          <w:sz w:val="18"/>
        </w:rPr>
        <w:t>——————————————————————————————————————————————————————————————————————</w:t>
      </w:r>
    </w:p>
    <w:p>
      <w:pPr>
        <w:spacing w:before="160" w:after="40" w:line="240" w:lineRule="auto"/>
      </w:pPr>
      <w:r>
        <w:rPr>
          <w:b/>
        </w:rPr>
        <w:t xml:space="preserve">[9] </w:t>
      </w:r>
      <w:hyperlink r:id="rId167">
        <w:r>
          <w:rPr>
            <w:color w:val="1155CC"/>
            <w:u w:val="single"/>
          </w:rPr>
          <w:t>通过三层分层策略增强 Cu1.95−yInyS1−xSex 的热电性能</w:t>
        </w:r>
      </w:hyperlink>
    </w:p>
    <w:p>
      <w:pPr>
        <w:spacing w:before="0" w:after="80"/>
      </w:pPr>
      <w:r>
        <w:rPr>
          <w:i/>
          <w:sz w:val="20"/>
        </w:rPr>
        <w:t>EN: Enhanced Thermoelectric Performance of Cu1.95−yInyS1−xSex via a Three‐Tier Hierarchical Strategy</w:t>
      </w:r>
    </w:p>
    <w:p>
      <w:pPr>
        <w:spacing w:before="0" w:after="120"/>
      </w:pPr>
      <w:r>
        <w:rPr>
          <w:b/>
        </w:rPr>
        <w:t xml:space="preserve">Source: </w:t>
      </w:r>
      <w:r>
        <w:t>Wiley: Advanced Energy Materials: Table of Contents</w:t>
      </w:r>
      <w:r>
        <w:t xml:space="preserve">    </w:t>
      </w:r>
      <w:r>
        <w:rPr>
          <w:b/>
        </w:rPr>
        <w:t xml:space="preserve">Pub date: </w:t>
      </w:r>
      <w:r>
        <w:t>2026-05-26 06:37:46+00:00</w:t>
      </w:r>
      <w:r>
        <w:t xml:space="preserve">    </w:t>
      </w:r>
      <w:r>
        <w:rPr>
          <w:b/>
        </w:rPr>
        <w:t xml:space="preserve">DOI: </w:t>
      </w:r>
      <w:hyperlink r:id="rId168">
        <w:r>
          <w:rPr>
            <w:color w:val="1155CC"/>
            <w:u w:val="single"/>
          </w:rPr>
          <w:t>10.1002/aenm.71066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铜基硫属化物 Cu</w:t>
      </w:r>
      <w:r>
        <w:t xml:space="preserve"> </w:t>
      </w:r>
      <w:r>
        <w:t>2−</w:t>
      </w:r>
      <w:r>
        <w:t xml:space="preserve"> </w:t>
      </w:r>
      <w:r>
        <w:t>x</w:t>
      </w:r>
      <w:r>
        <w:t xml:space="preserve"> </w:t>
      </w:r>
      <w:r>
        <w:t>(S, Se) 为商用碲基热电材料提供了更具成本效益的替代品。然而，增强他们的</w:t>
      </w:r>
      <w:r>
        <w:t xml:space="preserve"> </w:t>
      </w:r>
      <w:r>
        <w:t>ZT</w:t>
      </w:r>
      <w:r>
        <w:t xml:space="preserve"> </w:t>
      </w:r>
      <w:r>
        <w:t>值受到本质上复杂的相结构的限制。本研究提出了一种三层分层策略，集成了相调节、化学键合工程和能带工程，以解耦电子和热传输。通过 Se 进行相位调节</w:t>
      </w:r>
      <w:r>
        <w:t xml:space="preserve"> </w:t>
      </w:r>
      <w:r>
        <w:t>2−</w:t>
      </w:r>
      <w:r>
        <w:t>合金化增加了构型熵并稳定了高对称性六方/立方多相共存，从而抑制了有害的低温相并引起有益的价带平坦化。在</w:t>
      </w:r>
      <w:r>
        <w:t xml:space="preserve"> </w:t>
      </w:r>
      <w:r>
        <w:t>3+</w:t>
      </w:r>
      <w:r>
        <w:t xml:space="preserve"> </w:t>
      </w:r>
      <w:r>
        <w:t>掺杂通过增强反键态、诱导晶格软化和增强超离子行为来削弱 Cu─S/Se 键合，同时引入杂质水平，将态密度有效质量提高到 2.5</w:t>
      </w:r>
      <w:r>
        <w:t xml:space="preserve"> </w:t>
      </w:r>
      <w:r>
        <w:t>米</w:t>
      </w:r>
      <w:r>
        <w:t xml:space="preserve"> </w:t>
      </w:r>
      <w:r>
        <w:t>e</w:t>
      </w:r>
      <w:r>
        <w:t xml:space="preserve"> </w:t>
      </w:r>
      <w:r>
        <w:t>并将塞贝克系数提升至 131 µV K</w:t>
      </w:r>
      <w:r>
        <w:t xml:space="preserve"> </w:t>
      </w:r>
      <w:r>
        <w:t>−1</w:t>
      </w:r>
      <w:r>
        <w:t xml:space="preserve"> </w:t>
      </w:r>
      <w:r>
        <w:t>在 323 K 下。多尺度缺陷（例如点缺陷、位错、界面和纳米孔）的进一步集成，使 Cu</w:t>
      </w:r>
      <w:r>
        <w:t xml:space="preserve"> </w:t>
      </w:r>
      <w:r>
        <w:t>1.94</w:t>
      </w:r>
      <w:r>
        <w:t xml:space="preserve"> </w:t>
      </w:r>
      <w:r>
        <w:t>在</w:t>
      </w:r>
      <w:r>
        <w:t xml:space="preserve"> </w:t>
      </w:r>
      <w:r>
        <w:t>0.01</w:t>
      </w:r>
      <w:r>
        <w:t xml:space="preserve"> </w:t>
      </w:r>
      <w:r>
        <w:t>S</w:t>
      </w:r>
      <w:r>
        <w:t xml:space="preserve"> </w:t>
      </w:r>
      <w:r>
        <w:t>0.3</w:t>
      </w:r>
      <w:r>
        <w:t xml:space="preserve"> </w:t>
      </w:r>
      <w:r>
        <w:t>硒</w:t>
      </w:r>
    </w:p>
    <w:p>
      <w:pPr>
        <w:spacing w:before="0" w:after="200" w:lineRule="auto" w:line="276"/>
      </w:pPr>
      <w:r>
        <w:rPr>
          <w:b/>
        </w:rPr>
        <w:t xml:space="preserve">Abstract (EN): </w:t>
      </w:r>
      <w:r>
        <w:t>Copper‐based chalcogenides Cu</w:t>
      </w:r>
      <w:r>
        <w:t xml:space="preserve"> </w:t>
      </w:r>
      <w:r>
        <w:t>2−</w:t>
      </w:r>
      <w:r>
        <w:t xml:space="preserve"> </w:t>
      </w:r>
      <w:r>
        <w:t>x</w:t>
      </w:r>
      <w:r>
        <w:t xml:space="preserve"> </w:t>
      </w:r>
      <w:r>
        <w:t>(S, Se) offer a more cost‐effective alternative to commercial tellurium‐based thermoelectric materials. However, enhancing their</w:t>
      </w:r>
      <w:r>
        <w:t xml:space="preserve"> </w:t>
      </w:r>
      <w:r>
        <w:t>ZT</w:t>
      </w:r>
      <w:r>
        <w:t xml:space="preserve"> </w:t>
      </w:r>
      <w:r>
        <w:t>values is constrained by intrinsically complex phase structures. The present study proposes a three‐tier hierarchical strategy that integrates phase regulation, chemical bonding engineering, and band engineering to decouple electronic and thermal transport. Phase regulation via Se</w:t>
      </w:r>
      <w:r>
        <w:t xml:space="preserve"> </w:t>
      </w:r>
      <w:r>
        <w:t>2−</w:t>
      </w:r>
      <w:r>
        <w:t>alloying increases configurational entropy and stabilizes a high‐symmetry hexagonal/cubic multiphase coexistence, thereby suppressing detrimental low‐temperature phases and inducing beneficial valence‐band flattening. In</w:t>
      </w:r>
      <w:r>
        <w:t xml:space="preserve"> </w:t>
      </w:r>
      <w:r>
        <w:t>3+</w:t>
      </w:r>
      <w:r>
        <w:t xml:space="preserve"> </w:t>
      </w:r>
      <w:r>
        <w:t>doping weakens Cu─S/Se bonding by enhancing antibonding states, inducing lattice softening and strengthening superionic behavior, while introducing impurity levels that increase the density‐of‐states effective mass to 2.5</w:t>
      </w:r>
      <w:r>
        <w:t xml:space="preserve"> </w:t>
      </w:r>
      <w:r>
        <w:t>m</w:t>
      </w:r>
      <w:r>
        <w:t xml:space="preserve"> </w:t>
      </w:r>
      <w:r>
        <w:t>e</w:t>
      </w:r>
      <w:r>
        <w:t xml:space="preserve"> </w:t>
      </w:r>
      <w:r>
        <w:t>and boost the Seebeck coefficient to 131 µV K</w:t>
      </w:r>
      <w:r>
        <w:t xml:space="preserve"> </w:t>
      </w:r>
      <w:r>
        <w:t>−1</w:t>
      </w:r>
      <w:r>
        <w:t xml:space="preserve"> </w:t>
      </w:r>
      <w:r>
        <w:t>at 323 K. Further integration of multiscale defects, such as point defects, dislocations, interfaces, and nanopores, enables Cu</w:t>
      </w:r>
      <w:r>
        <w:t xml:space="preserve"> </w:t>
      </w:r>
      <w:r>
        <w:t>1.94</w:t>
      </w:r>
      <w:r>
        <w:t xml:space="preserve"> </w:t>
      </w:r>
      <w:r>
        <w:t>In</w:t>
      </w:r>
      <w:r>
        <w:t xml:space="preserve"> </w:t>
      </w:r>
      <w:r>
        <w:t>0.01</w:t>
      </w:r>
      <w:r>
        <w:t xml:space="preserve"> </w:t>
      </w:r>
      <w:r>
        <w:t>S</w:t>
      </w:r>
      <w:r>
        <w:t xml:space="preserve"> </w:t>
      </w:r>
      <w:r>
        <w:t>0.3</w:t>
      </w:r>
      <w:r>
        <w:t xml:space="preserve"> </w:t>
      </w:r>
      <w:r>
        <w:t>Se</w:t>
      </w:r>
      <w:r>
        <w:t xml:space="preserve"> </w:t>
      </w:r>
      <w:r>
        <w:t>0.7</w:t>
      </w:r>
      <w:r>
        <w:t xml:space="preserve"> </w:t>
      </w:r>
      <w:r>
        <w:t>to achieve a power factor of 11.2 µW cm</w:t>
      </w:r>
      <w:r>
        <w:t xml:space="preserve"> </w:t>
      </w:r>
      <w:r>
        <w:t>−1</w:t>
      </w:r>
      <w:r>
        <w:t xml:space="preserve"> </w:t>
      </w:r>
      <w:r>
        <w:t>K</w:t>
      </w:r>
      <w:r>
        <w:t xml:space="preserve"> </w:t>
      </w:r>
      <w:r>
        <w:t>−2</w:t>
      </w:r>
      <w:r>
        <w:t xml:space="preserve"> </w:t>
      </w:r>
      <w:r>
        <w:t>and an ultralow lattice thermal conductivity of 0.27 W m</w:t>
      </w:r>
      <w:r>
        <w:t xml:space="preserve"> </w:t>
      </w:r>
      <w:r>
        <w:t>−1</w:t>
      </w:r>
      <w:r>
        <w:t xml:space="preserve"> </w:t>
      </w:r>
      <w:r>
        <w:t>K</w:t>
      </w:r>
      <w:r>
        <w:t xml:space="preserve"> </w:t>
      </w:r>
      <w:r>
        <w:t>−1</w:t>
      </w:r>
      <w:r>
        <w:t xml:space="preserve"> </w:t>
      </w:r>
      <w:r>
        <w:t>, yielding a peak</w:t>
      </w:r>
      <w:r>
        <w:t xml:space="preserve"> </w:t>
      </w:r>
      <w:r>
        <w:t>ZT</w:t>
      </w:r>
      <w:r>
        <w:t xml:space="preserve"> </w:t>
      </w:r>
      <w:r>
        <w:t>of 1.45 at 773 K. Notably, the</w:t>
      </w:r>
      <w:r>
        <w:t xml:space="preserve"> </w:t>
      </w:r>
      <w:r>
        <w:t>ZT</w:t>
      </w:r>
      <w:r>
        <w:t xml:space="preserve"> </w:t>
      </w:r>
      <w:r>
        <w:t>values in the 523–773 K range exceed those of most previously reported Cu‐based chalcogenides. The three‐tier hierarchical “phase‐bond‐band” framework provides a useful guideline for designing high‐performance chalcogenide thermoelectric materials with complex phase structures.</w:t>
      </w:r>
    </w:p>
    <w:p>
      <w:pPr>
        <w:spacing w:before="120" w:after="120"/>
      </w:pPr>
      <w:r>
        <w:rPr>
          <w:sz w:val="18"/>
        </w:rPr>
        <w:t>——————————————————————————————————————————————————————————————————————</w:t>
      </w:r>
    </w:p>
    <w:p>
      <w:pPr>
        <w:spacing w:before="160" w:after="40" w:line="240" w:lineRule="auto"/>
      </w:pPr>
      <w:r>
        <w:rPr>
          <w:b/>
        </w:rPr>
        <w:t xml:space="preserve">[10] </w:t>
      </w:r>
      <w:hyperlink r:id="rId169">
        <w:r>
          <w:rPr>
            <w:color w:val="1155CC"/>
            <w:u w:val="single"/>
          </w:rPr>
          <w:t>通过金属辅助外延策略实现 β-Ga2O3 和金刚石之间优异的界面热导</w:t>
        </w:r>
      </w:hyperlink>
    </w:p>
    <w:p>
      <w:pPr>
        <w:spacing w:before="0" w:after="80"/>
      </w:pPr>
      <w:r>
        <w:rPr>
          <w:i/>
          <w:sz w:val="20"/>
        </w:rPr>
        <w:t>EN: Realizing superior interfacial thermal conductance between β-Ga2O3 and diamond through metal-assisted epitaxial strategy</w:t>
      </w:r>
    </w:p>
    <w:p>
      <w:pPr>
        <w:spacing w:before="0" w:after="120"/>
      </w:pPr>
      <w:r>
        <w:rPr>
          <w:b/>
        </w:rPr>
        <w:t xml:space="preserve">Source: </w:t>
      </w:r>
      <w:r>
        <w:t>National Science Review Advance Access</w:t>
      </w:r>
      <w:r>
        <w:t xml:space="preserve">    </w:t>
      </w:r>
      <w:r>
        <w:rPr>
          <w:b/>
        </w:rPr>
        <w:t xml:space="preserve">Pub date: </w:t>
      </w:r>
      <w:r>
        <w:t>2026-05-27 00:00:00+00:00</w:t>
      </w:r>
      <w:r>
        <w:t xml:space="preserve">    </w:t>
      </w:r>
      <w:r>
        <w:rPr>
          <w:b/>
        </w:rPr>
        <w:t xml:space="preserve">DOI: </w:t>
      </w:r>
      <w:hyperlink r:id="rId170">
        <w:r>
          <w:rPr>
            <w:color w:val="1155CC"/>
            <w:u w:val="single"/>
          </w:rPr>
          <w:t>10.1093/nsr/nwag308</w:t>
        </w:r>
      </w:hyperlink>
    </w:p>
    <w:p>
      <w:pPr>
        <w:spacing w:before="0" w:after="120"/>
      </w:pPr>
      <w:r>
        <w:rPr>
          <w:b/>
        </w:rPr>
        <w:t xml:space="preserve">Notes: </w:t>
      </w:r>
      <w:r>
        <w:t>abstract_source=rss_oup</w:t>
      </w:r>
    </w:p>
    <w:p>
      <w:pPr>
        <w:spacing w:before="0" w:after="80" w:lineRule="auto" w:line="276"/>
      </w:pPr>
      <w:r>
        <w:rPr>
          <w:b/>
        </w:rPr>
        <w:t xml:space="preserve">摘要（ZH）: </w:t>
      </w:r>
      <w:r>
        <w:t>β-Ga2O3在下一代电力电子器件中展现出巨大的潜力，但其低导热率对高效散热提出了挑战。我们通过开发镓辅助外延策略来在金刚石上合成高度取向的 β-Ga2O3 薄膜来应对这一挑战。 β-Ga2O3 具有 9.0 W m−1 K−1 的高导热率和 6.05 m2 K GW−1 的低热边界电阻。原位实验表明，由于原子级尖锐和共价键合界面，界面结合强度很高（&gt; 2.09 GPa）。通过振动电子能量损失谱识别出 ~60 meV 的新界面声子模式可以显着增强金刚石和 β-Ga2O3 之间的声子传输。所开发的镓辅助策略可以减轻β-Ga2O3的热约束，为基于β-Ga2O3的功率器件与金刚石的异质集成提供了一条有前途的途径。</w:t>
      </w:r>
    </w:p>
    <w:p>
      <w:pPr>
        <w:spacing w:before="0" w:after="200" w:lineRule="auto" w:line="276"/>
      </w:pPr>
      <w:r>
        <w:rPr>
          <w:b/>
        </w:rPr>
        <w:t xml:space="preserve">Abstract (EN): </w:t>
      </w:r>
      <w:r>
        <w:t>β-Ga2O3 exhibits great potential for next-generation power electronics, while its low thermal conductivity poses a challenge to efficient heat dissipation. We address this challenge by developing a gallium-assisted epitaxial strategy to synthesize highly-oriented β-Ga2O3 film on diamond. The β-Ga2O3 presents a high thermal conductivity of 9.0 W m−1 K−1 and low thermal boundary resistance of 6.05 m2 K GW−1. In-situ experiments reveal a high interfacial bonding strength (&gt; 2.09 GPa), resulting from the atomically sharp and covalently bonded interface. The identified new interfacial phonon mode at ∼60 meV through the vibrational electron energy-loss spectroscopy can significantly enhance the phonon transport between diamond and β-Ga2O3. The developed gallium-assisted strategy may mitigate the thermal constraints of β-Ga2O3, offering a promising route for the heterointegration of β-Ga2O3-based power devices with diamond.</w:t>
      </w:r>
    </w:p>
    <w:p>
      <w:pPr>
        <w:spacing w:before="120" w:after="120"/>
      </w:pPr>
      <w:r>
        <w:rPr>
          <w:sz w:val="18"/>
        </w:rPr>
        <w:t>——————————————————————————————————————————————————————————————————————</w:t>
      </w:r>
    </w:p>
    <w:p>
      <w:pPr>
        <w:spacing w:before="160" w:after="40" w:line="240" w:lineRule="auto"/>
      </w:pPr>
      <w:r>
        <w:rPr>
          <w:b/>
        </w:rPr>
        <w:t xml:space="preserve">[11] </w:t>
      </w:r>
      <w:hyperlink r:id="rId171">
        <w:r>
          <w:rPr>
            <w:color w:val="1155CC"/>
            <w:u w:val="single"/>
          </w:rPr>
          <w:t>超材料增强近场辐射传热</w:t>
        </w:r>
      </w:hyperlink>
    </w:p>
    <w:p>
      <w:pPr>
        <w:spacing w:before="0" w:after="80"/>
      </w:pPr>
      <w:r>
        <w:rPr>
          <w:i/>
          <w:sz w:val="20"/>
        </w:rPr>
        <w:t>EN: Metamaterial-enhanced near-field radiative heat transfer</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172">
        <w:r>
          <w:rPr>
            <w:color w:val="1155CC"/>
            <w:u w:val="single"/>
          </w:rPr>
          <w:t>10.1038/s41586-026-10595-4</w:t>
        </w:r>
      </w:hyperlink>
    </w:p>
    <w:p>
      <w:pPr>
        <w:spacing w:before="0" w:after="120"/>
      </w:pPr>
      <w:r>
        <w:rPr>
          <w:b/>
        </w:rPr>
        <w:t xml:space="preserve">Notes: </w:t>
      </w:r>
      <w:r>
        <w:t>abstract_source=nature_html</w:t>
      </w:r>
    </w:p>
    <w:p>
      <w:pPr>
        <w:spacing w:before="0" w:after="80" w:lineRule="auto" w:line="276"/>
      </w:pPr>
      <w:r>
        <w:rPr>
          <w:b/>
        </w:rPr>
        <w:t xml:space="preserve">摘要（ZH）: </w:t>
      </w:r>
      <w:r>
        <w:t>当辐射热能在近场交换时，表面声子极化激元等瞬逝表面波可以穿过间隙，将传热速度提高几个数量级1,2，使其超出远场黑体极限。这种极端的辐射能通量已在支持表面声子极化的介电材料中得到实验证明3,4,5。尽管理论和模拟表明超材料是进一步操纵和增强近场辐射热交换超越非结构化德鲁德或洛伦兹型材料6,7,8,9,10的有前途的途径，但实验验证仍然难以捉摸。在这里，我们通过实验证明了超材料介导的氮化硅（SiN）膜上图案化的金开口环谐振器之间近场辐射传热的增强。与SiN膜上的非结构化金板或裸SiN膜相比，超材料之间的辐射传热增强了数倍。这种观察到的增强是由开环谐振器谐振模式及其与 SiN 膜中表面声子极化子的强耦合引起的，并得到直接电磁模拟和耦合模式理论建模的支持。我们的工作通过实验验证了超材料在近场操纵辐射能量交换方面的强大能力，为热能收集和红外传感应用提供了机会。</w:t>
      </w:r>
    </w:p>
    <w:p>
      <w:pPr>
        <w:spacing w:before="0" w:after="200" w:lineRule="auto" w:line="276"/>
      </w:pPr>
      <w:r>
        <w:rPr>
          <w:b/>
        </w:rPr>
        <w:t xml:space="preserve">Abstract (EN): </w:t>
      </w:r>
      <w:r>
        <w:t>When radiative thermal energy is exchanged at near field, evanescent surface waves such as surface phonon polaritons can tunnel through the gap, boosting heat transfer above the far-field blackbody limit by several orders of magnitude1,2. Such extreme radiative energy fluxes have been experimentally demonstrated in dielectric materials supporting surface phonon polaritons3,4,5. Although theories and simulations have suggested metamaterials as a promising route to further manipulate and enhance near-field radiative heat exchange beyond the limits of unstructured Drude- or Lorentz-type materials6,7,8,9,10, experimental validation remains elusive. Here we experimentally demonstrate metamaterial-mediated enhancement on near-field radiative heat transfer between gold split-ring resonators patterned on silicon nitride (SiN) membranes. Compared with unstructured gold plates on the SiN membrane or bare SiN membranes, the radiative heat transfer between the metamaterials is enhanced several-fold. This observed enhancement results from the split-ring-resonator resonant modes and their strong coupling with surface phonon polaritons in the SiN membrane, as supported by direct electromagnetic simulations and coupled-mode-theory modelling. Our work provides experimental verification of the strong capability of metamaterials in manipulating radiative energy exchange at near field, opening opportunities for thermal energy harvesting and infrared sensing applications.</w:t>
      </w:r>
    </w:p>
    <w:p>
      <w:pPr>
        <w:spacing w:before="120" w:after="120"/>
      </w:pPr>
      <w:r>
        <w:rPr>
          <w:sz w:val="18"/>
        </w:rPr>
        <w:t>——————————————————————————————————————————————————————————————————————</w:t>
      </w:r>
    </w:p>
    <w:p>
      <w:pPr>
        <w:spacing w:before="160" w:after="40" w:line="240" w:lineRule="auto"/>
      </w:pPr>
      <w:r>
        <w:rPr>
          <w:b/>
        </w:rPr>
        <w:t xml:space="preserve">[12] </w:t>
      </w:r>
      <w:hyperlink r:id="rId173">
        <w:r>
          <w:rPr>
            <w:color w:val="1155CC"/>
            <w:u w:val="single"/>
          </w:rPr>
          <w:t>显热潜热联合储热系统的生命周期分析</w:t>
        </w:r>
      </w:hyperlink>
    </w:p>
    <w:p>
      <w:pPr>
        <w:spacing w:before="0" w:after="80"/>
      </w:pPr>
      <w:r>
        <w:rPr>
          <w:i/>
          <w:sz w:val="20"/>
        </w:rPr>
        <w:t>EN: Life cycle analysis of a combined sensible and latent heat thermal energy storage system</w:t>
      </w:r>
    </w:p>
    <w:p>
      <w:pPr>
        <w:spacing w:before="0" w:after="120"/>
      </w:pPr>
      <w:r>
        <w:rPr>
          <w:b/>
        </w:rPr>
        <w:t xml:space="preserve">Source: </w:t>
      </w:r>
      <w:r>
        <w:t>ScienceDirect Publication: Applied Energy</w:t>
      </w:r>
      <w:r>
        <w:t xml:space="preserve">    </w:t>
      </w:r>
      <w:r>
        <w:rPr>
          <w:b/>
        </w:rPr>
        <w:t xml:space="preserve">Pub date: </w:t>
      </w:r>
      <w:r>
        <w:t>2026-05-27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74">
        <w:r>
          <w:rPr>
            <w:color w:val="1155CC"/>
            <w:u w:val="single"/>
          </w:rPr>
          <w:t>不规则孔隙率是实现现实软热电材料的途径</w:t>
        </w:r>
      </w:hyperlink>
    </w:p>
    <w:p>
      <w:pPr>
        <w:spacing w:before="0" w:after="80"/>
      </w:pPr>
      <w:r>
        <w:rPr>
          <w:i/>
          <w:sz w:val="20"/>
        </w:rPr>
        <w:t>EN: Irregular porosity as a route to realistic soft thermoelectrics</w:t>
      </w:r>
    </w:p>
    <w:p>
      <w:pPr>
        <w:spacing w:before="0" w:after="120"/>
      </w:pPr>
      <w:r>
        <w:rPr>
          <w:b/>
        </w:rPr>
        <w:t xml:space="preserve">Source: </w:t>
      </w:r>
      <w:r>
        <w:t>Chem</w:t>
      </w:r>
      <w:r>
        <w:t xml:space="preserve">    </w:t>
      </w:r>
      <w:r>
        <w:rPr>
          <w:b/>
        </w:rPr>
        <w:t xml:space="preserve">Pub date: </w:t>
      </w:r>
      <w:r>
        <w:t>2026-05-28 00:00:00+00:00</w:t>
      </w:r>
      <w:r>
        <w:t xml:space="preserve">    </w:t>
      </w:r>
      <w:r>
        <w:rPr>
          <w:b/>
        </w:rPr>
        <w:t xml:space="preserve">DOI: </w:t>
      </w:r>
      <w:hyperlink r:id="rId175">
        <w:r>
          <w:rPr>
            <w:color w:val="1155CC"/>
            <w:u w:val="single"/>
          </w:rPr>
          <w:t>10.1016/j.chempr.2026.103080</w:t>
        </w:r>
      </w:hyperlink>
    </w:p>
    <w:p>
      <w:pPr>
        <w:spacing w:before="0" w:after="120"/>
      </w:pPr>
      <w:r>
        <w:rPr>
          <w:b/>
        </w:rPr>
        <w:t xml:space="preserve">Notes: </w:t>
      </w:r>
      <w:r>
        <w:t>abstract_source=rss_cell</w:t>
      </w:r>
    </w:p>
    <w:p>
      <w:pPr>
        <w:spacing w:before="0" w:after="80" w:lineRule="auto" w:line="276"/>
      </w:pPr>
      <w:r>
        <w:rPr>
          <w:b/>
        </w:rPr>
        <w:t xml:space="preserve">摘要（ZH）: </w:t>
      </w:r>
      <w:r>
        <w:t>低性能和较差的可扩展性长期以来一直阻碍着基于聚合物的软热电材料在实际应用中的使用。在最近一期的《科学》杂志上，Zhang 等人。报道了一种具有不规则分层多孔结构的热电聚合物，该结构将多尺度声子散射与限制增强的电荷传输耦合在一起，并实现了 1.64 的卓越品质因数（zT）。</w:t>
      </w:r>
    </w:p>
    <w:p>
      <w:pPr>
        <w:spacing w:before="0" w:after="200" w:lineRule="auto" w:line="276"/>
      </w:pPr>
      <w:r>
        <w:rPr>
          <w:b/>
        </w:rPr>
        <w:t xml:space="preserve">Abstract (EN): </w:t>
      </w:r>
      <w:r>
        <w:t>Low performance and poor scalability have long prevented polymer-based soft thermoelectrics from being used in practical applications. In a recent issue of Science, Zhang et al. report a thermoelectric polymer with an irregular hierarchical-porous structure that couples multiscale phonon scattering with confinement-enhanced charge transport and enables a remarkable figure of merit (zT) of 1.64.</w:t>
      </w:r>
    </w:p>
    <w:p>
      <w:pPr>
        <w:spacing w:before="120" w:after="120"/>
      </w:pPr>
      <w:r>
        <w:rPr>
          <w:sz w:val="18"/>
        </w:rPr>
        <w:t>——————————————————————————————————————————————————————————————————————</w:t>
      </w:r>
    </w:p>
    <w:p>
      <w:pPr>
        <w:spacing w:before="160" w:after="40" w:line="240" w:lineRule="auto"/>
      </w:pPr>
      <w:r>
        <w:rPr>
          <w:b/>
        </w:rPr>
        <w:t xml:space="preserve">[14] </w:t>
      </w:r>
      <w:hyperlink r:id="rId176">
        <w:r>
          <w:rPr>
            <w:color w:val="1155CC"/>
            <w:u w:val="single"/>
          </w:rPr>
          <w:t>用于多种气体嗅觉的低功耗仿生离子热电装置</w:t>
        </w:r>
      </w:hyperlink>
    </w:p>
    <w:p>
      <w:pPr>
        <w:spacing w:before="0" w:after="80"/>
      </w:pPr>
      <w:r>
        <w:rPr>
          <w:i/>
          <w:sz w:val="20"/>
        </w:rPr>
        <w:t>EN: Low-power biomimetic ionic thermoelectric device for multi-gas olfaction</w:t>
      </w:r>
    </w:p>
    <w:p>
      <w:pPr>
        <w:spacing w:before="0" w:after="120"/>
      </w:pPr>
      <w:r>
        <w:rPr>
          <w:b/>
        </w:rPr>
        <w:t xml:space="preserve">Source: </w:t>
      </w:r>
      <w:r>
        <w:t>National Science Review Advance Access</w:t>
      </w:r>
      <w:r>
        <w:t xml:space="preserve">    </w:t>
      </w:r>
      <w:r>
        <w:rPr>
          <w:b/>
        </w:rPr>
        <w:t xml:space="preserve">Pub date: </w:t>
      </w:r>
      <w:r>
        <w:t>2026-05-28 00:00:00+00:00</w:t>
      </w:r>
      <w:r>
        <w:t xml:space="preserve">    </w:t>
      </w:r>
      <w:r>
        <w:rPr>
          <w:b/>
        </w:rPr>
        <w:t xml:space="preserve">DOI: </w:t>
      </w:r>
      <w:hyperlink r:id="rId177">
        <w:r>
          <w:rPr>
            <w:color w:val="1155CC"/>
            <w:u w:val="single"/>
          </w:rPr>
          <w:t>10.1093/nsr/nwag320</w:t>
        </w:r>
      </w:hyperlink>
    </w:p>
    <w:p>
      <w:pPr>
        <w:spacing w:before="0" w:after="120"/>
      </w:pPr>
      <w:r>
        <w:rPr>
          <w:b/>
        </w:rPr>
        <w:t xml:space="preserve">Notes: </w:t>
      </w:r>
      <w:r>
        <w:t>abstract_source=rss_oup</w:t>
      </w:r>
    </w:p>
    <w:p>
      <w:pPr>
        <w:spacing w:before="0" w:after="80" w:lineRule="auto" w:line="276"/>
      </w:pPr>
      <w:r>
        <w:rPr>
          <w:b/>
        </w:rPr>
        <w:t xml:space="preserve">摘要（ZH）: </w:t>
      </w:r>
      <w:r>
        <w:t>对智能多气体传感的需求不断增长，推动了对具有更高功效的高性能人工嗅觉系统的需求。这项工作提出了一种由固态离子聚合物中巨大的离子热电效应实现的创新气体传感机制，克服了传统电子热电材料的低热电导热系数（S/κ）限制。利用晶圆级微加工技术，我们展示了第一个功能性离子热电仿生嗅觉装置，可以同时解析混合气体分析物。该单片平台集成了多个亚 100 μm 传感单元，每个单元都将离子热电模块与窄带通光学滤波器相结合，以选择性地解析混合气体环境中单个气体种类的贡献。该设备实现了创纪录的 2340 V/W 响应度​​，比商用探测器（通常分别为 2、CH4 和 CO）提高了 20 倍。这项工作为基于离子热电效应的下一代人工嗅觉系统建立了一条有前景的路线。</w:t>
      </w:r>
    </w:p>
    <w:p>
      <w:pPr>
        <w:spacing w:before="0" w:after="200" w:lineRule="auto" w:line="276"/>
      </w:pPr>
      <w:r>
        <w:rPr>
          <w:b/>
        </w:rPr>
        <w:t xml:space="preserve">Abstract (EN): </w:t>
      </w:r>
      <w:r>
        <w:t>The escalating demand for intelligent multi-gas sensing has driven the need for high-performance artificial olfactory systems with enhanced power efficiency. This work proposes an innovative gas sensing mechanism enabled by the giant ionic-thermoelectric effects in solid-state ionic polymer, which overcomes the low thermopower-to-thermal conductivity (S/κ) limitation of the conventional electronic thermoelectric materials. Using wafer-scale microfabrication technology, we demonstrate the first functional ionic-thermoelectric biomimetic olfactory device that can simultaneously resolve mixed gas analytes. This monolithic platform integrates multiple sub-100 μm sensing units, each combining an ionic-thermoelectric module with a narrow-bandpass optical filter, to selectively resolve the contributions of individual gas species in mixed-gas environments. The device achieves a record responsivity of 2340 V/W, a 20-fold improvement over commercial detectors (typically 2, CH4 and CO, respectively. This work establishes a promising route to next-generation artificial olfactory systems based on the ionic-thermoelectric effects.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78">
        <w:r>
          <w:rPr>
            <w:color w:val="1155CC"/>
            <w:u w:val="single"/>
          </w:rPr>
          <w:t>核废料处置延误的财务风险：对德国废料基金 KENFO 的随机分析</w:t>
        </w:r>
      </w:hyperlink>
    </w:p>
    <w:p>
      <w:pPr>
        <w:spacing w:before="0" w:after="80"/>
      </w:pPr>
      <w:r>
        <w:rPr>
          <w:i/>
          <w:sz w:val="20"/>
        </w:rPr>
        <w:t>EN: The financial risks of delays in nuclear waste disposal: A stochastic analysis of Germany’s waste fund KENFO</w:t>
      </w:r>
    </w:p>
    <w:p>
      <w:pPr>
        <w:spacing w:before="0" w:after="120"/>
      </w:pPr>
      <w:r>
        <w:rPr>
          <w:b/>
        </w:rPr>
        <w:t xml:space="preserve">Source: </w:t>
      </w:r>
      <w:r>
        <w:t>ScienceDirect Publication: Energy Policy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79">
        <w:r>
          <w:rPr>
            <w:color w:val="1155CC"/>
            <w:u w:val="single"/>
          </w:rPr>
          <w:t>一种合成异孔共价有机骨架膜快速富集铀酰离子的通用方法</w:t>
        </w:r>
      </w:hyperlink>
    </w:p>
    <w:p>
      <w:pPr>
        <w:spacing w:before="0" w:after="80"/>
      </w:pPr>
      <w:r>
        <w:rPr>
          <w:i/>
          <w:sz w:val="20"/>
        </w:rPr>
        <w:t>EN: A general method for synthesizing heteropore covalent organic framework membranes to rapidly enrich uranyl ions</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由于其快速传输和强亲和力的结合，异孔共价有机框架膜预计将表现出优异的铀提取能力。然而，当引入支撑基底时，共价有机框架网络的生长方向容易受到干扰，这对制造具有明确分级孔的共价有机框架膜构成了重大挑战。这里介绍了制备异孔共价有机骨架膜的一般合成方法。通过将共价有机骨架纳米颗粒预涂覆到尼龙基材上，随后的共价有机骨架网络在溶剂热条件下沿着纳米颗粒的取向生长。该方法在广泛的共价有机框架系统中表现出显着的多功能性，包括单孔（带有 sql net）和双孔（带有 kgm net）网络。几种异孔共价有机框架膜的孔径范围为 7.1/26.9 Å 至 11.2/34.3 Å 和 14.0/42.1 Å。具有7.1/26.9 Å双孔的共价有机骨架膜在所有希夫碱多孔膜中表现出最快的铀酰离子传输速率，比典型的单孔通道共价有机骨架膜快4.3倍。经过辐照处理后，共价有机框架膜能够将海水中的铀（VI）离子转化为不溶性沉淀物，这表明异孔共价有机框架膜的通用设计范例</w:t>
      </w:r>
    </w:p>
    <w:p>
      <w:pPr>
        <w:spacing w:before="0" w:after="200" w:lineRule="auto" w:line="276"/>
      </w:pPr>
      <w:r>
        <w:rPr>
          <w:b/>
        </w:rPr>
        <w:t xml:space="preserve">Abstract (EN): </w:t>
      </w:r>
      <w:r>
        <w:t>Heteropore covalent organic framework membranes are predicted to exhibit excellent uranium extraction capabilities due to their combination of rapid transport and strong affinity. However, the growth orientation of covalent organic framework networks is susceptible to disturbance when a supporting substrate is introduced, posing a major challenge to the fabrication of covalent organic framework membranes with well-defined hierarchical pores. Here, a general synthetic method is introduced for the preparation of heteropore covalent organic framework membranes. By pre-coating covalent organic framework nanoparticles onto a nylon substrate, the subsequent covalent organic framework network grows following the orientation of the nanoparticles under solvothermal conditions. This method demonstrates remarkable versatility across a broad range of covalent organic framework systems, including single-pore (with sql net) and dual-pore (with kgm net) networks. Several heteropore covalent organic framework membranes are fabricated with pore sizes ranging from 7.1/26.9 Å to 11.2/34.3 Å and 14.0/42.1 Å. The covalent organic framework membrane with 7.1/26.9 Å dual-pores exhibits the fastest uranyl ion transport rate among all Schiff-base porous membranes, which is 4.3 times faster than that of typical covalent organic framework membranes with single-pore channels. After irradiation treatment, the covalent organic framework membrane enables the conversion of uranium (VI) ions from seawater into insoluble precipitates, which suggests a versatile design paradigm for heteropore covalent organic framework membranes with synthetically engineered functionalities.</w:t>
      </w:r>
    </w:p>
    <w:p>
      <w:pPr>
        <w:spacing w:before="120" w:after="120"/>
      </w:pPr>
      <w:r>
        <w:rPr>
          <w:sz w:val="18"/>
        </w:rPr>
        <w:t>——————————————————————————————————————————————————————————————————————</w:t>
      </w:r>
    </w:p>
    <w:p>
      <w:pPr>
        <w:spacing w:before="160" w:after="40" w:line="240" w:lineRule="auto"/>
      </w:pPr>
      <w:r>
        <w:rPr>
          <w:b/>
        </w:rPr>
        <w:t xml:space="preserve">[3] </w:t>
      </w:r>
      <w:hyperlink r:id="rId180">
        <w:r>
          <w:rPr>
            <w:color w:val="1155CC"/>
            <w:u w:val="single"/>
          </w:rPr>
          <w:t>对“刚柔调节和软硬供体组合：锕系/镧系分离共价有机框架构建的双重策略”的更正</w:t>
        </w:r>
      </w:hyperlink>
    </w:p>
    <w:p>
      <w:pPr>
        <w:spacing w:before="0" w:after="80"/>
      </w:pPr>
      <w:r>
        <w:rPr>
          <w:i/>
          <w:sz w:val="20"/>
        </w:rPr>
        <w:t>EN: Correction to “Rigidity‐Flexibility Regulation and Hard‐Soft Donor Combination: Dual Strategies in Covalent Organic Frameworks Construction for Actinides/Lanthanides Separation”</w:t>
      </w:r>
    </w:p>
    <w:p>
      <w:pPr>
        <w:spacing w:before="0" w:after="120"/>
      </w:pPr>
      <w:r>
        <w:rPr>
          <w:b/>
        </w:rPr>
        <w:t xml:space="preserve">Source: </w:t>
      </w:r>
      <w:r>
        <w:t>Wiley: Advanced Materials: Table of Contents</w:t>
      </w:r>
      <w:r>
        <w:t xml:space="preserve">    </w:t>
      </w:r>
      <w:r>
        <w:rPr>
          <w:b/>
        </w:rPr>
        <w:t xml:space="preserve">Pub date: </w:t>
      </w:r>
      <w:r>
        <w:t>2026-05-27 05:51:21+00:00</w:t>
      </w:r>
      <w:r>
        <w:t xml:space="preserve">    </w:t>
      </w:r>
      <w:r>
        <w:rPr>
          <w:b/>
        </w:rPr>
        <w:t xml:space="preserve">DOI: </w:t>
      </w:r>
      <w:hyperlink r:id="rId181">
        <w:r>
          <w:rPr>
            <w:color w:val="1155CC"/>
            <w:u w:val="single"/>
          </w:rPr>
          <w:t>10.1002/adma.73472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82">
        <w:r>
          <w:rPr>
            <w:color w:val="1155CC"/>
            <w:u w:val="single"/>
          </w:rPr>
          <w:t>用于联产电和氢的加压氨燃料 SOFC 系统的技术热力学研究</w:t>
        </w:r>
      </w:hyperlink>
    </w:p>
    <w:p>
      <w:pPr>
        <w:spacing w:before="0" w:after="80"/>
      </w:pPr>
      <w:r>
        <w:rPr>
          <w:i/>
          <w:sz w:val="20"/>
        </w:rPr>
        <w:t>EN: Techno-thermodynamic investigation of pressurized ammonia-fueled SOFC systems for co-production of electricity and hydrogen</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83">
        <w:r>
          <w:rPr>
            <w:color w:val="1155CC"/>
            <w:u w:val="single"/>
          </w:rPr>
          <w:t>通过沸石封装的 PdCu 合金协同催化高效 CO2 加氢生成乙醇</w:t>
        </w:r>
      </w:hyperlink>
    </w:p>
    <w:p>
      <w:pPr>
        <w:spacing w:before="0" w:after="80"/>
      </w:pPr>
      <w:r>
        <w:rPr>
          <w:i/>
          <w:sz w:val="20"/>
        </w:rPr>
        <w:t>EN: Synergetic catalysis via zeolite-encapsulated PdCu alloy for highly efficient CO2 hydrogenation to ethanol</w:t>
      </w:r>
    </w:p>
    <w:p>
      <w:pPr>
        <w:spacing w:before="0" w:after="120"/>
      </w:pPr>
      <w:r>
        <w:rPr>
          <w:b/>
        </w:rPr>
        <w:t xml:space="preserve">Source: </w:t>
      </w:r>
      <w:r>
        <w:t>National Science Review Advance Access</w:t>
      </w:r>
      <w:r>
        <w:t xml:space="preserve">    </w:t>
      </w:r>
      <w:r>
        <w:rPr>
          <w:b/>
        </w:rPr>
        <w:t xml:space="preserve">Pub date: </w:t>
      </w:r>
      <w:r>
        <w:t>2026-05-23 00:00:00+00:00</w:t>
      </w:r>
      <w:r>
        <w:t xml:space="preserve">    </w:t>
      </w:r>
      <w:r>
        <w:rPr>
          <w:b/>
        </w:rPr>
        <w:t xml:space="preserve">DOI: </w:t>
      </w:r>
      <w:hyperlink r:id="rId184">
        <w:r>
          <w:rPr>
            <w:color w:val="1155CC"/>
            <w:u w:val="single"/>
          </w:rPr>
          <w:t>10.1093/nsr/nwag303</w:t>
        </w:r>
      </w:hyperlink>
    </w:p>
    <w:p>
      <w:pPr>
        <w:spacing w:before="0" w:after="120"/>
      </w:pPr>
      <w:r>
        <w:rPr>
          <w:b/>
        </w:rPr>
        <w:t xml:space="preserve">Notes: </w:t>
      </w:r>
      <w:r>
        <w:t>abstract_source=rss_oup</w:t>
      </w:r>
    </w:p>
    <w:p>
      <w:pPr>
        <w:spacing w:before="0" w:after="80" w:lineRule="auto" w:line="276"/>
      </w:pPr>
      <w:r>
        <w:rPr>
          <w:b/>
        </w:rPr>
        <w:t xml:space="preserve">摘要（ZH）: </w:t>
      </w:r>
      <w:r>
        <w:t>二氧化碳催化加氢为乙醇生产提供了一种极具前景的替代途径，具有大规模二氧化碳减排和绿色氢气储存的双重好处。然而，由于复杂的反应网络和缺乏有效的催化剂设计策略，这种方法面临着乙醇选择性和活性低等重大挑战。在这项工作中，我们提出了一种有效的二氧化碳加氢制乙醇催化剂设计策略，通过在合金纳米粒子和沸石之间构建协同催化位点来解耦关键的竞争反应步骤。开发的Y沸石封装的PdCu合金催化剂同时实现了高乙醇选择性（&gt; 93％）和活性（&gt; 200 mg gcat−1 h−1），优于大多数先前报道的多相催化剂。机理研究表明，合金-沸石协同位点促进了可控的C-C耦合并增强了C-O键断裂，从而平衡了CO2加氢生成乙醇的选择性和催化活性。这项工作为将二氧化碳有效转化为高附加值和结构复杂的产品提供了可行的催化剂设计策略。</w:t>
      </w:r>
    </w:p>
    <w:p>
      <w:pPr>
        <w:spacing w:before="0" w:after="200" w:lineRule="auto" w:line="276"/>
      </w:pPr>
      <w:r>
        <w:rPr>
          <w:b/>
        </w:rPr>
        <w:t xml:space="preserve">Abstract (EN): </w:t>
      </w:r>
      <w:r>
        <w:t>CO2 catalytic hydrogenation presents a highly promising and alternative pathway for ethanol production, offering the dual benefits of large-scale CO2 emission reduction and green H2 storage. However, this approach faces major challenges such as low ethanol selectivity and activity, stemming from the complex reaction network and the lack of efficient catalyst design strategies. In this work, we proposed an effective catalyst design strategy for CO2 hydrogenation to ethanol by constructing synergetic catalytic sites between alloy nanoparticles and zeolite to decouple key competition reaction steps. The developed PdCu alloy catalyst encapsulated by Y zeolite achieved simultaneously high ethanol selectivity (&gt;93%) and activity (&gt;200 mg gcat−1 h−1), outperforming most previously reported heterogeneous catalysts. Mechanistic investigations revealed that the alloy-zeolite synergetic sites facilitate controllable C–C coupling and enhance C–O bond cleavage, thereby balancing selectivity and catalytic activity toward CO2 hydrogenation to ethanol. This work offers a feasible catalyst design strategy for the efficient conversion of CO2 into high-value-added and structurally complex products.</w:t>
      </w:r>
    </w:p>
    <w:p>
      <w:pPr>
        <w:spacing w:before="120" w:after="120"/>
      </w:pPr>
      <w:r>
        <w:rPr>
          <w:sz w:val="18"/>
        </w:rPr>
        <w:t>——————————————————————————————————————————————————————————————————————</w:t>
      </w:r>
    </w:p>
    <w:p>
      <w:pPr>
        <w:spacing w:before="160" w:after="40" w:line="240" w:lineRule="auto"/>
      </w:pPr>
      <w:r>
        <w:rPr>
          <w:b/>
        </w:rPr>
        <w:t xml:space="preserve">[3] </w:t>
      </w:r>
      <w:hyperlink r:id="rId185">
        <w:r>
          <w:rPr>
            <w:color w:val="1155CC"/>
            <w:u w:val="single"/>
          </w:rPr>
          <w:t>用于太阳能响应和电网自适应优化运行的动态系统级 rSOC 模型</w:t>
        </w:r>
      </w:hyperlink>
    </w:p>
    <w:p>
      <w:pPr>
        <w:spacing w:before="0" w:after="80"/>
      </w:pPr>
      <w:r>
        <w:rPr>
          <w:i/>
          <w:sz w:val="20"/>
        </w:rPr>
        <w:t>EN: Dynamic system-level rSOC model for solar-responsive and grid-adaptive optimal operation</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86">
        <w:r>
          <w:rPr>
            <w:color w:val="1155CC"/>
            <w:u w:val="single"/>
          </w:rPr>
          <w:t>用于 power-to-X 应用的共电解操作的工业规模固体氧化物电解池的长期降解和微观结构演变</w:t>
        </w:r>
      </w:hyperlink>
    </w:p>
    <w:p>
      <w:pPr>
        <w:spacing w:before="0" w:after="80"/>
      </w:pPr>
      <w:r>
        <w:rPr>
          <w:i/>
          <w:sz w:val="20"/>
        </w:rPr>
        <w:t>EN: Long-term degradation and microstructural evolution of industrial-sized solid oxide electrolysis cells operated in co-electrolysis for power-to-X applications</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87">
        <w:r>
          <w:rPr>
            <w:color w:val="1155CC"/>
            <w:u w:val="single"/>
          </w:rPr>
          <w:t>Ir 纳米线网络完全相变为富含缺陷的氧化物催化剂，用于高性能 PEM 水电解</w:t>
        </w:r>
      </w:hyperlink>
    </w:p>
    <w:p>
      <w:pPr>
        <w:spacing w:before="0" w:after="80"/>
      </w:pPr>
      <w:r>
        <w:rPr>
          <w:i/>
          <w:sz w:val="20"/>
        </w:rPr>
        <w:t>EN: Complete Phase Transformation of Ir Nanowire Network into Defect‐Rich Oxide Catalyst for High‐Performance PEM Water Electrolysis</w:t>
      </w:r>
    </w:p>
    <w:p>
      <w:pPr>
        <w:spacing w:before="0" w:after="120"/>
      </w:pPr>
      <w:r>
        <w:rPr>
          <w:b/>
        </w:rPr>
        <w:t xml:space="preserve">Source: </w:t>
      </w:r>
      <w:r>
        <w:t>Wiley: Advanced Materials: Table of Contents</w:t>
      </w:r>
      <w:r>
        <w:t xml:space="preserve">    </w:t>
      </w:r>
      <w:r>
        <w:rPr>
          <w:b/>
        </w:rPr>
        <w:t xml:space="preserve">Pub date: </w:t>
      </w:r>
      <w:r>
        <w:t>2026-05-23 06:08:11+00:00</w:t>
      </w:r>
      <w:r>
        <w:t xml:space="preserve">    </w:t>
      </w:r>
      <w:r>
        <w:rPr>
          <w:b/>
        </w:rPr>
        <w:t xml:space="preserve">DOI: </w:t>
      </w:r>
      <w:hyperlink r:id="rId188">
        <w:r>
          <w:rPr>
            <w:color w:val="1155CC"/>
            <w:u w:val="single"/>
          </w:rPr>
          <w:t>10.1002/adma.202523682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铱基催化剂仍然是质子交换膜水电解槽（PEMWE）中析氧反应（OER）最可靠的选择。然而，它们的高成本和有限的性能是这种绿色制氢技术商业化的关键障碍。在此，我们报告了金属铱纳米线网络（IrNWN）的创建，该网络通过原位转变为具有高本征活性的氧化物结构而表现出优异的OER性能。 0.25 mg 的低负载量</w:t>
      </w:r>
      <w:r>
        <w:t xml:space="preserve"> </w:t>
      </w:r>
      <w:r>
        <w:t>红外线</w:t>
      </w:r>
      <w:r>
        <w:t xml:space="preserve"> </w:t>
      </w:r>
      <w:r>
        <w:t>/厘米</w:t>
      </w:r>
      <w:r>
        <w:rPr>
          <w:vertAlign w:val="subscript"/>
        </w:rPr>
        <w:t>2</w:t>
      </w:r>
      <w:r>
        <w:t>在 PEMWE 中，IrNWN 的电流密度达到 3.13 A/cm</w:t>
      </w:r>
      <w:r>
        <w:rPr>
          <w:vertAlign w:val="subscript"/>
        </w:rPr>
        <w:t>2</w:t>
      </w:r>
      <w:r>
        <w:t>电池电压为 1.8 V，性能优于商用铱基催化剂，并超过了能源部 (DOE) 2026 年的技术目标。此外，IrNWN在2 A/cm的耐久性测试中保持了900小时的高活性</w:t>
      </w:r>
      <w:r>
        <w:rPr>
          <w:vertAlign w:val="subscript"/>
        </w:rPr>
        <w:t>2</w:t>
      </w:r>
      <w:r>
        <w:t>，显示出 0.042 mV/小时的低降解率。电化学氧化的 IrNWN 的结构分析揭示了混合 Ir 氧化态的存在和高密度的表面末端氧基团 (μ1-O)，这有助于降低决定速率的 O-O 偶联步骤的能垒。</w:t>
      </w:r>
    </w:p>
    <w:p>
      <w:pPr>
        <w:spacing w:before="0" w:after="200" w:lineRule="auto" w:line="276"/>
      </w:pPr>
      <w:r>
        <w:rPr>
          <w:b/>
        </w:rPr>
        <w:t xml:space="preserve">Abstract (EN): </w:t>
      </w:r>
      <w:r>
        <w:t>Iridium‐based catalysts remain the most reliable option for the oxygen evolution reaction (OER) in proton exchange membrane water electrolyzers (PEMWEs). However, their high cost and limited performance represent critical barriers to the commercialization of this green hydrogen production technology. Herein, we report the creation of a metallic Ir nanowire network (IrNWN), which exhibits superior OER performance through its in situ transition into an oxide structure with high intrinsic activity. At a low loading of 0.25 mg</w:t>
      </w:r>
      <w:r>
        <w:t xml:space="preserve"> </w:t>
      </w:r>
      <w:r>
        <w:t>Ir</w:t>
      </w:r>
      <w:r>
        <w:t xml:space="preserve"> </w:t>
      </w:r>
      <w:r>
        <w:t>/cm</w:t>
      </w:r>
      <w:r>
        <w:rPr>
          <w:vertAlign w:val="subscript"/>
        </w:rPr>
        <w:t>2</w:t>
      </w:r>
      <w:r>
        <w:t>in PEMWEs, IrNWN achieved a current density of 3.13 A/cm</w:t>
      </w:r>
      <w:r>
        <w:rPr>
          <w:vertAlign w:val="subscript"/>
        </w:rPr>
        <w:t>2</w:t>
      </w:r>
      <w:r>
        <w:t>at a cell voltage of 1.8 V, outperforming the commercial Ir‐based catalyst and surpassing the Department of Energy (DOE) 2026 technical target. Moreover, the high activity of IrNWN was maintained for 900 h in a durability test at 2 A/cm</w:t>
      </w:r>
      <w:r>
        <w:rPr>
          <w:vertAlign w:val="subscript"/>
        </w:rPr>
        <w:t>2</w:t>
      </w:r>
      <w:r>
        <w:t>, showing a low degradation rate of 0.042 mV/hour. Structural analysis of the electrochemically oxidized IrNWN revealed the presence of mixed Ir oxidation states and a high density of surface terminal oxygen groups (µ1‐O), which contributed to a reduced energy barrier for the rate‐determining O‐O coupling step.</w:t>
      </w:r>
    </w:p>
    <w:p>
      <w:pPr>
        <w:spacing w:before="120" w:after="120"/>
      </w:pPr>
      <w:r>
        <w:rPr>
          <w:sz w:val="18"/>
        </w:rPr>
        <w:t>——————————————————————————————————————————————————————————————————————</w:t>
      </w:r>
    </w:p>
    <w:p>
      <w:pPr>
        <w:spacing w:before="160" w:after="40" w:line="240" w:lineRule="auto"/>
      </w:pPr>
      <w:r>
        <w:rPr>
          <w:b/>
        </w:rPr>
        <w:t xml:space="preserve">[6] </w:t>
      </w:r>
      <w:hyperlink r:id="rId189">
        <w:r>
          <w:rPr>
            <w:color w:val="1155CC"/>
            <w:u w:val="single"/>
          </w:rPr>
          <w:t>卤化铅钙钛矿光电催化</w:t>
        </w:r>
      </w:hyperlink>
    </w:p>
    <w:p>
      <w:pPr>
        <w:spacing w:before="0" w:after="80"/>
      </w:pPr>
      <w:r>
        <w:rPr>
          <w:i/>
          <w:sz w:val="20"/>
        </w:rPr>
        <w:t>EN: Lead Halide Perovskite Photoelectrocatalysis</w:t>
      </w:r>
    </w:p>
    <w:p>
      <w:pPr>
        <w:spacing w:before="0" w:after="120"/>
      </w:pPr>
      <w:r>
        <w:rPr>
          <w:b/>
        </w:rPr>
        <w:t xml:space="preserve">Source: </w:t>
      </w:r>
      <w:r>
        <w:t>Wiley: Advanced Materials: Table of Contents</w:t>
      </w:r>
      <w:r>
        <w:t xml:space="preserve">    </w:t>
      </w:r>
      <w:r>
        <w:rPr>
          <w:b/>
        </w:rPr>
        <w:t xml:space="preserve">Pub date: </w:t>
      </w:r>
      <w:r>
        <w:t>2026-05-23 07:00:00+00:00</w:t>
      </w:r>
      <w:r>
        <w:t xml:space="preserve">    </w:t>
      </w:r>
      <w:r>
        <w:rPr>
          <w:b/>
        </w:rPr>
        <w:t xml:space="preserve">DOI: </w:t>
      </w:r>
      <w:hyperlink r:id="rId190">
        <w:r>
          <w:rPr>
            <w:color w:val="1155CC"/>
            <w:u w:val="single"/>
          </w:rPr>
          <w:t>10.1002/adma.73442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卤化铅钙钛矿已成为一类出色的光收集材料。虽然太阳能电池效率取得了很大进展，但这些材料也证明了光驱动水、二氧化碳转化的潜力</w:t>
      </w:r>
      <w:r>
        <w:rPr>
          <w:vertAlign w:val="subscript"/>
        </w:rPr>
        <w:t>2</w:t>
      </w:r>
      <w:r>
        <w:t>或有机废物流入太阳能燃料和增值化学品。本案例研究重点介绍了在合理光电极设计方面取得的进展，以提高太阳能到化学物质的转换效率、产品范围和可扩展性。为此，我们将探索器件架构和性能之间的相互作用、抑制水分降解途径的策略以及控制 CO 选择性的基本机制</w:t>
      </w:r>
      <w:r>
        <w:rPr>
          <w:vertAlign w:val="subscript"/>
        </w:rPr>
        <w:t>2</w:t>
      </w:r>
      <w:r>
        <w:t>还原产品。这些见解可推广到广泛的薄膜埋结光电极，突出了该技术在现实世界场景中的独特适用性。</w:t>
      </w:r>
    </w:p>
    <w:p>
      <w:pPr>
        <w:spacing w:before="0" w:after="200" w:lineRule="auto" w:line="276"/>
      </w:pPr>
      <w:r>
        <w:rPr>
          <w:b/>
        </w:rPr>
        <w:t xml:space="preserve">Abstract (EN): </w:t>
      </w:r>
      <w:r>
        <w:t>Lead halide perovskites have emerged as an outstanding class of light harvesting materials. While much progress has been made in solar cell efficiency, the materials also proved potential for light‐driven conversion of water, CO</w:t>
      </w:r>
      <w:r>
        <w:rPr>
          <w:vertAlign w:val="subscript"/>
        </w:rPr>
        <w:t>2</w:t>
      </w:r>
      <w:r>
        <w:t>or organic waste streams into solar fuels and value‐added chemicals. This case study highlights advances made in the rational photoelectrode design to improve solar‐to‐chemical conversion efficiency, product scope, and scalability. To this end, we will explore the interplay between device architecture and performance, strategies to suppress moisture degradation pathways, as well as fundamental mechanisms to steer selectivity of CO</w:t>
      </w:r>
      <w:r>
        <w:rPr>
          <w:vertAlign w:val="subscript"/>
        </w:rPr>
        <w:t>2</w:t>
      </w:r>
      <w:r>
        <w:t>reduction products. These insights are generalizable to a wide scope of thin‐film buried‐junction photoelectrodes, highlighting the unique applicability of this technology to real‐world scenarios.</w:t>
      </w:r>
    </w:p>
    <w:p>
      <w:pPr>
        <w:spacing w:before="120" w:after="120"/>
      </w:pPr>
      <w:r>
        <w:rPr>
          <w:sz w:val="18"/>
        </w:rPr>
        <w:t>——————————————————————————————————————————————————————————————————————</w:t>
      </w:r>
    </w:p>
    <w:p>
      <w:pPr>
        <w:spacing w:before="160" w:after="40" w:line="240" w:lineRule="auto"/>
      </w:pPr>
      <w:r>
        <w:rPr>
          <w:b/>
        </w:rPr>
        <w:t xml:space="preserve">[7] </w:t>
      </w:r>
      <w:hyperlink r:id="rId191">
        <w:r>
          <w:rPr>
            <w:color w:val="1155CC"/>
            <w:u w:val="single"/>
          </w:rPr>
          <w:t>In2O3 催化 CO2 氢化为甲醇：17O NMR 显示氧空位、表面羟基和反应活性的温度依赖性</w:t>
        </w:r>
      </w:hyperlink>
    </w:p>
    <w:p>
      <w:pPr>
        <w:spacing w:before="0" w:after="80"/>
      </w:pPr>
      <w:r>
        <w:rPr>
          <w:i/>
          <w:sz w:val="20"/>
        </w:rPr>
        <w:t>EN: Hydrogenation of CO2 to Methanol Catalyzed by In2O3: Oxygen Vacancies, Surface Hydroxyl Groups, and Temperature Dependence for Reactivity Revealed by 17O NMR</w:t>
      </w:r>
    </w:p>
    <w:p>
      <w:pPr>
        <w:spacing w:before="0" w:after="120"/>
      </w:pPr>
      <w:r>
        <w:rPr>
          <w:b/>
        </w:rPr>
        <w:t xml:space="preserve">Source: </w:t>
      </w:r>
      <w:r>
        <w:t>Wiley: Angewandte Chemie International Edition: Table of Contents</w:t>
      </w:r>
      <w:r>
        <w:t xml:space="preserve">    </w:t>
      </w:r>
      <w:r>
        <w:rPr>
          <w:b/>
        </w:rPr>
        <w:t xml:space="preserve">Pub date: </w:t>
      </w:r>
      <w:r>
        <w:t>2026-05-23 16:28:38+00:00</w:t>
      </w:r>
      <w:r>
        <w:t xml:space="preserve">    </w:t>
      </w:r>
      <w:r>
        <w:rPr>
          <w:b/>
        </w:rPr>
        <w:t xml:space="preserve">DOI: </w:t>
      </w:r>
      <w:hyperlink r:id="rId192">
        <w:r>
          <w:rPr>
            <w:color w:val="1155CC"/>
            <w:u w:val="single"/>
          </w:rPr>
          <w:t>10.1002/anie.2883791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CO催化加氢</w:t>
      </w:r>
      <w:r>
        <w:rPr>
          <w:vertAlign w:val="subscript"/>
        </w:rPr>
        <w:t>2</w:t>
      </w:r>
      <w:r>
        <w:t>超过输入</w:t>
      </w:r>
      <w:r>
        <w:rPr>
          <w:vertAlign w:val="subscript"/>
        </w:rPr>
        <w:t>2</w:t>
      </w:r>
      <w:r>
        <w:t>氧</w:t>
      </w:r>
      <w:r>
        <w:rPr>
          <w:vertAlign w:val="subscript"/>
        </w:rPr>
        <w:t>3</w:t>
      </w:r>
      <w:r>
        <w:t>由于其极高的甲醇选择性和通过结构修饰的广泛可调性而引起了人们的强烈兴趣。然而，由于目前可用的表征方法的分辨率有限，人们对氧空位（OV）的精确形成机制和羟基（InOH）这两种最重要的表面结构的确切作用仍然知之甚少。在这里，通过采用先进的</w:t>
      </w:r>
      <w:r>
        <w:t xml:space="preserve"> </w:t>
      </w:r>
      <w:r>
        <w:t>17 号</w:t>
      </w:r>
      <w:r>
        <w:t xml:space="preserve"> </w:t>
      </w:r>
      <w:r>
        <w:t>O 标记策略与高达 18.8 T 的高场固态 NMR (ssNMR) 相结合，我们实现了极高的光谱分辨率</w:t>
      </w:r>
      <w:r>
        <w:t xml:space="preserve"> </w:t>
      </w:r>
      <w:r>
        <w:t>17 号</w:t>
      </w:r>
      <w:r>
        <w:t xml:space="preserve"> </w:t>
      </w:r>
      <w:r>
        <w:t>O NMR，能够明确分离不同的表面氧物种。这种方法可以追踪这些物种的热演化并探测它们对二氧化碳的反应性</w:t>
      </w:r>
      <w:r>
        <w:rPr>
          <w:vertAlign w:val="subscript"/>
        </w:rPr>
        <w:t>2</w:t>
      </w:r>
      <w:r>
        <w:t>活化和氢化。值得注意的是，表面 OIn</w:t>
      </w:r>
      <w:r>
        <w:rPr>
          <w:vertAlign w:val="subscript"/>
        </w:rPr>
        <w:t>3</w:t>
      </w:r>
      <w:r>
        <w:t>位点被确定为 OV 前体，其形成势垒约为 200°C。没想到，</w:t>
      </w:r>
      <w:r>
        <w:t xml:space="preserve"> </w:t>
      </w:r>
      <w:r>
        <w:t>室温氧气交换</w:t>
      </w:r>
      <w:r>
        <w:t xml:space="preserve"> </w:t>
      </w:r>
      <w:r>
        <w:t>之间 在</w:t>
      </w:r>
      <w:r>
        <w:rPr>
          <w:vertAlign w:val="subscript"/>
        </w:rPr>
        <w:t>2</w:t>
      </w:r>
      <w:r>
        <w:t>氧</w:t>
      </w:r>
      <w:r>
        <w:rPr>
          <w:vertAlign w:val="subscript"/>
        </w:rPr>
        <w:t>3</w:t>
      </w:r>
      <w:r>
        <w:t>和二氧化碳</w:t>
      </w:r>
      <w:r>
        <w:rPr>
          <w:vertAlign w:val="subscript"/>
        </w:rPr>
        <w:t>2</w:t>
      </w:r>
      <w:r>
        <w:t>被观察到，通过新的高灵敏度实现</w:t>
      </w:r>
      <w:r>
        <w:t xml:space="preserve"> </w:t>
      </w:r>
      <w:r>
        <w:t>17 号</w:t>
      </w:r>
    </w:p>
    <w:p>
      <w:pPr>
        <w:spacing w:before="0" w:after="200" w:lineRule="auto" w:line="276"/>
      </w:pPr>
      <w:r>
        <w:rPr>
          <w:b/>
        </w:rPr>
        <w:t xml:space="preserve">Abstract (EN): </w:t>
      </w:r>
      <w:r>
        <w:t>Catalytic hydrogenation of CO</w:t>
      </w:r>
      <w:r>
        <w:rPr>
          <w:vertAlign w:val="subscript"/>
        </w:rPr>
        <w:t>2</w:t>
      </w:r>
      <w:r>
        <w:t>over In</w:t>
      </w:r>
      <w:r>
        <w:rPr>
          <w:vertAlign w:val="subscript"/>
        </w:rPr>
        <w:t>2</w:t>
      </w:r>
      <w:r>
        <w:t>O</w:t>
      </w:r>
      <w:r>
        <w:rPr>
          <w:vertAlign w:val="subscript"/>
        </w:rPr>
        <w:t>3</w:t>
      </w:r>
      <w:r>
        <w:t>has attracted intense interest due to its exceptionally high methanol selectivity and broad tunability through structural modification. However, the precise formation mechanism of oxygen vacancies (OVs) and exact roles of hydroxyl groups (InOHs), the two most important surface structures, remain poorly understood due to the limited resolution of currently available characterization methods. Here, by employing an advanced</w:t>
      </w:r>
      <w:r>
        <w:rPr>
          <w:vertAlign w:val="subscript"/>
        </w:rPr>
        <w:t>17</w:t>
      </w:r>
      <w:r>
        <w:t>O labeling strategy combined with high‐field solid‐state NMR (ssNMR) up to 18.8 T, we achieve exceptionally high spectral resolution of</w:t>
      </w:r>
      <w:r>
        <w:rPr>
          <w:vertAlign w:val="subscript"/>
        </w:rPr>
        <w:t>17</w:t>
      </w:r>
      <w:r>
        <w:t>O NMR, enabling explicit separation of distinct surface oxygen species. This approach allows tracing the thermal evolution of these species and probing their reactivities toward CO</w:t>
      </w:r>
      <w:r>
        <w:rPr>
          <w:vertAlign w:val="subscript"/>
        </w:rPr>
        <w:t>2</w:t>
      </w:r>
      <w:r>
        <w:t>activation and hydrogenation. Notably, surface OIn</w:t>
      </w:r>
      <w:r>
        <w:rPr>
          <w:vertAlign w:val="subscript"/>
        </w:rPr>
        <w:t>3</w:t>
      </w:r>
      <w:r>
        <w:t>sites are identified as the OV precursors, with a formation barrier of approximately 200°C. Unexpectedly,</w:t>
      </w:r>
      <w:r>
        <w:t xml:space="preserve"> </w:t>
      </w:r>
      <w:r>
        <w:t>room‐temperature oxygen exchange</w:t>
      </w:r>
      <w:r>
        <w:t xml:space="preserve"> </w:t>
      </w:r>
      <w:r>
        <w:t>between In</w:t>
      </w:r>
      <w:r>
        <w:rPr>
          <w:vertAlign w:val="subscript"/>
        </w:rPr>
        <w:t>2</w:t>
      </w:r>
      <w:r>
        <w:t>O</w:t>
      </w:r>
      <w:r>
        <w:rPr>
          <w:vertAlign w:val="subscript"/>
        </w:rPr>
        <w:t>3</w:t>
      </w:r>
      <w:r>
        <w:t>and CO</w:t>
      </w:r>
      <w:r>
        <w:rPr>
          <w:vertAlign w:val="subscript"/>
        </w:rPr>
        <w:t>2</w:t>
      </w:r>
      <w:r>
        <w:t>is observed, enabled by the high sensitivity of the new</w:t>
      </w:r>
      <w:r>
        <w:rPr>
          <w:vertAlign w:val="subscript"/>
        </w:rPr>
        <w:t>17</w:t>
      </w:r>
      <w:r>
        <w:t>O NMR method. Further probing with</w:t>
      </w:r>
      <w:r>
        <w:rPr>
          <w:vertAlign w:val="subscript"/>
        </w:rPr>
        <w:t>13</w:t>
      </w:r>
      <w:r>
        <w:t>CO</w:t>
      </w:r>
      <w:r>
        <w:rPr>
          <w:vertAlign w:val="subscript"/>
        </w:rPr>
        <w:t>2</w:t>
      </w:r>
      <w:r>
        <w:t>and/or H</w:t>
      </w:r>
      <w:r>
        <w:rPr>
          <w:vertAlign w:val="subscript"/>
        </w:rPr>
        <w:t>2</w:t>
      </w:r>
      <w:r>
        <w:t>, at variable temperatures, we are capable of unraveling the roles between OVs, InOHs and surface lattice oxygen species in CO</w:t>
      </w:r>
      <w:r>
        <w:rPr>
          <w:vertAlign w:val="subscript"/>
        </w:rPr>
        <w:t>2</w:t>
      </w:r>
      <w:r>
        <w:t>/H</w:t>
      </w:r>
      <w:r>
        <w:rPr>
          <w:vertAlign w:val="subscript"/>
        </w:rPr>
        <w:t>2</w:t>
      </w:r>
      <w:r>
        <w:t>activation and their stepwise conversion into formate intermediates and ultimately methanol, which may prompt rational designs to lower the reaction temperature for In</w:t>
      </w:r>
      <w:r>
        <w:rPr>
          <w:vertAlign w:val="subscript"/>
        </w:rPr>
        <w:t>2</w:t>
      </w:r>
      <w:r>
        <w:t>O</w:t>
      </w:r>
      <w:r>
        <w:rPr>
          <w:vertAlign w:val="subscript"/>
        </w:rPr>
        <w:t>3</w:t>
      </w:r>
      <w:r>
        <w:t>.</w:t>
      </w:r>
    </w:p>
    <w:p>
      <w:pPr>
        <w:spacing w:before="120" w:after="120"/>
      </w:pPr>
      <w:r>
        <w:rPr>
          <w:sz w:val="18"/>
        </w:rPr>
        <w:t>——————————————————————————————————————————————————————————————————————</w:t>
      </w:r>
    </w:p>
    <w:p>
      <w:pPr>
        <w:spacing w:before="160" w:after="40" w:line="240" w:lineRule="auto"/>
      </w:pPr>
      <w:r>
        <w:rPr>
          <w:b/>
        </w:rPr>
        <w:t xml:space="preserve">[8] </w:t>
      </w:r>
      <w:hyperlink r:id="rId193">
        <w:r>
          <w:rPr>
            <w:color w:val="1155CC"/>
            <w:u w:val="single"/>
          </w:rPr>
          <w:t>高熵合金固态储氢材料大规模应用的前景与进展</w:t>
        </w:r>
      </w:hyperlink>
    </w:p>
    <w:p>
      <w:pPr>
        <w:spacing w:before="0" w:after="80"/>
      </w:pPr>
      <w:r>
        <w:rPr>
          <w:i/>
          <w:sz w:val="20"/>
        </w:rPr>
        <w:t>EN: Prospect and advancement of high-entropy alloys as solid-state hydrogen storage materials for large-scale applications</w:t>
      </w:r>
    </w:p>
    <w:p>
      <w:pPr>
        <w:spacing w:before="0" w:after="120"/>
      </w:pPr>
      <w:r>
        <w:rPr>
          <w:b/>
        </w:rPr>
        <w:t xml:space="preserve">Source: </w:t>
      </w:r>
      <w:r>
        <w:t>ScienceDirect Publication: Applied Energy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94">
        <w:r>
          <w:rPr>
            <w:color w:val="1155CC"/>
            <w:u w:val="single"/>
          </w:rPr>
          <w:t>天然氢系统：了解积累并应对地下挑战</w:t>
        </w:r>
      </w:hyperlink>
    </w:p>
    <w:p>
      <w:pPr>
        <w:spacing w:before="0" w:after="80"/>
      </w:pPr>
      <w:r>
        <w:rPr>
          <w:i/>
          <w:sz w:val="20"/>
        </w:rPr>
        <w:t>EN: Natural hydrogen systems: understanding accumulation and confronting subsurface challenges</w:t>
      </w:r>
    </w:p>
    <w:p>
      <w:pPr>
        <w:spacing w:before="0" w:after="120"/>
      </w:pPr>
      <w:r>
        <w:rPr>
          <w:b/>
        </w:rPr>
        <w:t xml:space="preserve">Source: </w:t>
      </w:r>
      <w:r>
        <w:t>ScienceDirect Publication: Applied Energy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95">
        <w:r>
          <w:rPr>
            <w:color w:val="1155CC"/>
            <w:u w:val="single"/>
          </w:rPr>
          <w:t>考虑 PEM 电解槽关键部件退化的电氢耦合系统的工作区域表征</w:t>
        </w:r>
      </w:hyperlink>
    </w:p>
    <w:p>
      <w:pPr>
        <w:spacing w:before="0" w:after="80"/>
      </w:pPr>
      <w:r>
        <w:rPr>
          <w:i/>
          <w:sz w:val="20"/>
        </w:rPr>
        <w:t>EN: Operating region characterization for electric-hydrogen coupling systems considering degradation of key components in PEM electrolyzers</w:t>
      </w:r>
    </w:p>
    <w:p>
      <w:pPr>
        <w:spacing w:before="0" w:after="120"/>
      </w:pPr>
      <w:r>
        <w:rPr>
          <w:b/>
        </w:rPr>
        <w:t xml:space="preserve">Source: </w:t>
      </w:r>
      <w:r>
        <w:t>ScienceDirect Publication: Applied Energy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96">
        <w:r>
          <w:rPr>
            <w:color w:val="1155CC"/>
            <w:u w:val="single"/>
          </w:rPr>
          <w:t>微生物-半导体混合体可实现近红外驱动的光合产氢，用于肿瘤靶向免疫治疗</w:t>
        </w:r>
      </w:hyperlink>
    </w:p>
    <w:p>
      <w:pPr>
        <w:spacing w:before="0" w:after="80"/>
      </w:pPr>
      <w:r>
        <w:rPr>
          <w:i/>
          <w:sz w:val="20"/>
        </w:rPr>
        <w:t>EN: Microbial‐Semiconductor Hybrids Enable Near Infrared‐Driven Photosynthetic Hydrogen Production for Tumor‐Targeted Immunotherapy</w:t>
      </w:r>
    </w:p>
    <w:p>
      <w:pPr>
        <w:spacing w:before="0" w:after="120"/>
      </w:pPr>
      <w:r>
        <w:rPr>
          <w:b/>
        </w:rPr>
        <w:t xml:space="preserve">Source: </w:t>
      </w:r>
      <w:r>
        <w:t>Wiley: Advanced Materials: Table of Contents</w:t>
      </w:r>
      <w:r>
        <w:t xml:space="preserve">    </w:t>
      </w:r>
      <w:r>
        <w:rPr>
          <w:b/>
        </w:rPr>
        <w:t xml:space="preserve">Pub date: </w:t>
      </w:r>
      <w:r>
        <w:t>2026-05-25 07:10:59+00:00</w:t>
      </w:r>
      <w:r>
        <w:t xml:space="preserve">    </w:t>
      </w:r>
      <w:r>
        <w:rPr>
          <w:b/>
        </w:rPr>
        <w:t xml:space="preserve">DOI: </w:t>
      </w:r>
      <w:hyperlink r:id="rId197">
        <w:r>
          <w:rPr>
            <w:color w:val="1155CC"/>
            <w:u w:val="single"/>
          </w:rPr>
          <w:t>10.1002/adma.73476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光合氢（H</w:t>
      </w:r>
      <w:r>
        <w:rPr>
          <w:vertAlign w:val="subscript"/>
        </w:rPr>
        <w:t>2</w:t>
      </w:r>
      <w:r>
        <w:t>)-产生微生物代表了一种非常有前途的H</w:t>
      </w:r>
      <w:r>
        <w:rPr>
          <w:vertAlign w:val="subscript"/>
        </w:rPr>
        <w:t>2</w:t>
      </w:r>
      <w:r>
        <w:t>由于其自发的肿瘤定植和高催化选择性，成为抗肿瘤治疗的递送平台。然而，现有微生物的近红外（NIR）响应能力和光电子注入能力不足。在这里，我们通过将负载硫化铜的层状双氢氧化物（LDH/CuS）纳米片静电组装到微生物表面来设计微生物-半导体混合体。</w:t>
      </w:r>
      <w:r>
        <w:t xml:space="preserve"> </w:t>
      </w:r>
      <w:r>
        <w:t>沼泽红假单胞菌</w:t>
      </w:r>
      <w:r>
        <w:t xml:space="preserve"> </w:t>
      </w:r>
      <w:r>
        <w:t>（</w:t>
      </w:r>
      <w:r>
        <w:t xml:space="preserve"> </w:t>
      </w:r>
      <w:r>
        <w:t>RP</w:t>
      </w:r>
      <w:r>
        <w:t xml:space="preserve"> </w:t>
      </w:r>
      <w:r>
        <w:t>.) 用于近红外驱动的光合作用 H</w:t>
      </w:r>
      <w:r>
        <w:rPr>
          <w:vertAlign w:val="subscript"/>
        </w:rPr>
        <w:t>2</w:t>
      </w:r>
      <w:r>
        <w:t>免疫疗法。 LDH/CuS 增强了近红外捕获并形成 p-n 异质结，削弱了电子排斥势垒，从而能够将光生电子定向泵入</w:t>
      </w:r>
      <w:r>
        <w:t xml:space="preserve"> </w:t>
      </w:r>
      <w:r>
        <w:t>RP</w:t>
      </w:r>
      <w:r>
        <w:t xml:space="preserve"> </w:t>
      </w:r>
      <w:r>
        <w:t>。在 808 nm 照射下，LDH/CuS 异质结促进光电子注入氢化酶系统</w:t>
      </w:r>
      <w:r>
        <w:t xml:space="preserve"> </w:t>
      </w:r>
      <w:r>
        <w:t>RP</w:t>
      </w:r>
      <w:r>
        <w:t xml:space="preserve"> </w:t>
      </w:r>
      <w:r>
        <w:t>。 6.8倍，实现高效光合H</w:t>
      </w:r>
      <w:r>
        <w:rPr>
          <w:vertAlign w:val="subscript"/>
        </w:rPr>
        <w:t>2</w:t>
      </w:r>
      <w:r>
        <w:t>生产。值得注意的是，</w:t>
      </w:r>
      <w:r>
        <w:t xml:space="preserve"> </w:t>
      </w:r>
      <w:r>
        <w:t>RP</w:t>
      </w:r>
      <w:r>
        <w:t xml:space="preserve"> </w:t>
      </w:r>
      <w:r>
        <w:t>.@LDH/CuS 以 73.2% 的高靶向效率积极定植缺氧肿瘤，并选择性地将肿瘤富集的乳酸 (LA) 和糖原转化为 H</w:t>
      </w:r>
      <w:r>
        <w:rPr>
          <w:vertAlign w:val="subscript"/>
        </w:rPr>
        <w:t>2</w:t>
      </w:r>
      <w:r>
        <w:t>在近红外刺激下。通过</w:t>
      </w:r>
    </w:p>
    <w:p>
      <w:pPr>
        <w:spacing w:before="0" w:after="200" w:lineRule="auto" w:line="276"/>
      </w:pPr>
      <w:r>
        <w:rPr>
          <w:b/>
        </w:rPr>
        <w:t xml:space="preserve">Abstract (EN): </w:t>
      </w:r>
      <w:r>
        <w:t>Photosynthetic hydrogen (H</w:t>
      </w:r>
      <w:r>
        <w:rPr>
          <w:vertAlign w:val="subscript"/>
        </w:rPr>
        <w:t>2</w:t>
      </w:r>
      <w:r>
        <w:t>)‐generating microbes represent a highly promising H</w:t>
      </w:r>
      <w:r>
        <w:rPr>
          <w:vertAlign w:val="subscript"/>
        </w:rPr>
        <w:t>2</w:t>
      </w:r>
      <w:r>
        <w:t>delivery platform for antitumor therapy due to their spontaneous tumor colonization and high catalytic selectivity. However, existing microbes suffer from inadequate near‐infrared (NIR) responsiveness and photoelectron injection. Here, we engineer a microbial‐semiconductor hybrid by electrostatically assembling copper sulfide‐loaded layered double hydroxide (LDH/CuS) nanosheets onto the surface of</w:t>
      </w:r>
      <w:r>
        <w:t xml:space="preserve"> </w:t>
      </w:r>
      <w:r>
        <w:t>Rhodopseudomonas palustris</w:t>
      </w:r>
      <w:r>
        <w:t xml:space="preserve"> </w:t>
      </w:r>
      <w:r>
        <w:t>(</w:t>
      </w:r>
      <w:r>
        <w:t xml:space="preserve"> </w:t>
      </w:r>
      <w:r>
        <w:t>R.P</w:t>
      </w:r>
      <w:r>
        <w:t xml:space="preserve"> </w:t>
      </w:r>
      <w:r>
        <w:t>.) for NIR‐driven photosynthetic H</w:t>
      </w:r>
      <w:r>
        <w:rPr>
          <w:vertAlign w:val="subscript"/>
        </w:rPr>
        <w:t>2</w:t>
      </w:r>
      <w:r>
        <w:t>immunotherapy. The LDH/CuS enhances NIR capture and forms a p‒n heterojunction that weakens the electron exclusion barrier, enabling directed pumping of photogenerated electrons into</w:t>
      </w:r>
      <w:r>
        <w:t xml:space="preserve"> </w:t>
      </w:r>
      <w:r>
        <w:t>R.P</w:t>
      </w:r>
      <w:r>
        <w:t xml:space="preserve"> </w:t>
      </w:r>
      <w:r>
        <w:t>. Under 808 nm irradiation, the LDH/CuS heterojunction boosts photoelectron injection into the hydrogenase system of</w:t>
      </w:r>
      <w:r>
        <w:t xml:space="preserve"> </w:t>
      </w:r>
      <w:r>
        <w:t>R.P</w:t>
      </w:r>
      <w:r>
        <w:t xml:space="preserve"> </w:t>
      </w:r>
      <w:r>
        <w:t>. by 6.8‐fold, achieving highly efficient photosynthetic H</w:t>
      </w:r>
      <w:r>
        <w:rPr>
          <w:vertAlign w:val="subscript"/>
        </w:rPr>
        <w:t>2</w:t>
      </w:r>
      <w:r>
        <w:t>production. Notably, the</w:t>
      </w:r>
      <w:r>
        <w:t xml:space="preserve"> </w:t>
      </w:r>
      <w:r>
        <w:t>R.P</w:t>
      </w:r>
      <w:r>
        <w:t xml:space="preserve"> </w:t>
      </w:r>
      <w:r>
        <w:t>.@LDH/CuS actively colonizes hypoxic tumors with a high targeting efficiency of 73.2% and selectively converts tumor‐enriched lactic acid (LA) and glycogen into H</w:t>
      </w:r>
      <w:r>
        <w:rPr>
          <w:vertAlign w:val="subscript"/>
        </w:rPr>
        <w:t>2</w:t>
      </w:r>
      <w:r>
        <w:t>under NIR stimulation. Through the LA depletion and immunogenic cell death induction, the microbial‐semiconductor hybrid triggers potent antitumor immune responses, increasing infiltrated CD8</w:t>
      </w:r>
      <w:r>
        <w:t xml:space="preserve"> </w:t>
      </w:r>
      <w:r>
        <w:t>+</w:t>
      </w:r>
      <w:r>
        <w:t xml:space="preserve"> </w:t>
      </w:r>
      <w:r>
        <w:t>T cells by over 9‐fold and achieving a remarkable tumor inhibition rate of 97.8%. This work presents an NIR‐driven biohybrid system with spatially directional electron pumping for efficient photosynthetic H</w:t>
      </w:r>
      <w:r>
        <w:rPr>
          <w:vertAlign w:val="subscript"/>
        </w:rPr>
        <w:t>2</w:t>
      </w:r>
      <w:r>
        <w:t>generation, advancing a promising paradigm for precision‐targeted tumor immunotherapy.</w:t>
      </w:r>
    </w:p>
    <w:p>
      <w:pPr>
        <w:spacing w:before="120" w:after="120"/>
      </w:pPr>
      <w:r>
        <w:rPr>
          <w:sz w:val="18"/>
        </w:rPr>
        <w:t>——————————————————————————————————————————————————————————————————————</w:t>
      </w:r>
    </w:p>
    <w:p>
      <w:pPr>
        <w:spacing w:before="160" w:after="40" w:line="240" w:lineRule="auto"/>
      </w:pPr>
      <w:r>
        <w:rPr>
          <w:b/>
        </w:rPr>
        <w:t xml:space="preserve">[12] </w:t>
      </w:r>
      <w:hyperlink r:id="rId198">
        <w:r>
          <w:rPr>
            <w:color w:val="1155CC"/>
            <w:u w:val="single"/>
          </w:rPr>
          <w:t>[ASAP] 阳离子限制的氢氧化物阴离子扩散驱动过渡金属修饰的铂表面上的不对称氢动力学</w:t>
        </w:r>
      </w:hyperlink>
    </w:p>
    <w:p>
      <w:pPr>
        <w:spacing w:before="0" w:after="80"/>
      </w:pPr>
      <w:r>
        <w:rPr>
          <w:i/>
          <w:sz w:val="20"/>
        </w:rPr>
        <w:t>EN: [ASAP] Cation-Limited Hydroxide Anion Diffusion Drives Asymmetric Hydrogen Kinetics on Transition-Metal Decorated Platinum Surface</w:t>
      </w:r>
    </w:p>
    <w:p>
      <w:pPr>
        <w:spacing w:before="0" w:after="120"/>
      </w:pPr>
      <w:r>
        <w:rPr>
          <w:b/>
        </w:rPr>
        <w:t xml:space="preserve">Source: </w:t>
      </w:r>
      <w:r>
        <w:t>Journal of the American Chemical Society: Latest Articles (ACS Publications)</w:t>
      </w:r>
      <w:r>
        <w:t xml:space="preserve">    </w:t>
      </w:r>
      <w:r>
        <w:rPr>
          <w:b/>
        </w:rPr>
        <w:t xml:space="preserve">Pub date: </w:t>
      </w:r>
      <w:r>
        <w:t>2026-05-25 09:26:40+00:00</w:t>
      </w:r>
      <w:r>
        <w:t xml:space="preserve">    </w:t>
      </w:r>
      <w:r>
        <w:rPr>
          <w:b/>
        </w:rPr>
        <w:t xml:space="preserve">DOI: </w:t>
      </w:r>
      <w:hyperlink r:id="rId199">
        <w:r>
          <w:rPr>
            <w:color w:val="1155CC"/>
            <w:u w:val="single"/>
          </w:rPr>
          <w:t>10.1021/jacs.6c03810</w:t>
        </w:r>
      </w:hyperlink>
    </w:p>
    <w:p>
      <w:pPr>
        <w:spacing w:before="0" w:after="120"/>
      </w:pPr>
      <w:r>
        <w:rPr>
          <w:b/>
        </w:rPr>
        <w:t xml:space="preserve">Notes: </w:t>
      </w:r>
      <w:r>
        <w:t>abstract_source=openalex</w:t>
      </w:r>
    </w:p>
    <w:p>
      <w:pPr>
        <w:spacing w:before="0" w:after="80" w:lineRule="auto" w:line="276"/>
      </w:pPr>
      <w:r>
        <w:rPr>
          <w:b/>
        </w:rPr>
        <w:t xml:space="preserve">摘要（ZH）: </w:t>
      </w:r>
      <w:r>
        <w:t>电催化反应发生在动态的、离子调节的电化学界面上。在电催化过程中，例如碱性析氢/氧化反应（HER/HOR），其运行电压低于电极的零电荷电势，电解质阳离子不仅仅是旁观者，而且深刻地影响着反应行为。一般认为，碱性 HER 和 HOR 是可逆反应，它们共享缓慢的 Volmer 步骤作为其共同的速率决定步骤，因此在 Pt 基催化剂上表现出对称行为。在这里，我们证明了 HER 和 HOR 之间的表观动力学对称性可以在某些过渡金属 (TM) 修饰的 Pt 表面上被打破。使用 Ni 修饰的 Pt 作为模型系统，我们发现 Ni-OH 物质的形成通过促进水解离来增强 HER 动力学，但矛盾的是抑制了 HOR 动力学，特别是在与可逆氢电极相比电位高于 0.05 V 的高碱性电解质中。系统分析表明，丰富的 TM-OH 物质在外亥姆霍兹平面上驱动强烈的阳离子积累，形成致密的阳离子层，与氢氧根阴离子 (OH-) 配对，并在 HOR 过程中抑制其向内扩散。将这一框架扩展到 TM 修饰的 Pt 表面，揭示了取决于 TM 氧化电位的系统趋势。低氧化电位的 TM 可以增强 HER，但会导致明显的 OH–扩散限制的 HOR。中间TMs促进HER和HOR，而高氧化电位TMs由于TM-OH形成不足而抑制这两种反应。全面的</w:t>
      </w:r>
    </w:p>
    <w:p>
      <w:pPr>
        <w:spacing w:before="0" w:after="200" w:lineRule="auto" w:line="276"/>
      </w:pPr>
      <w:r>
        <w:rPr>
          <w:b/>
        </w:rPr>
        <w:t xml:space="preserve">Abstract (EN): </w:t>
      </w:r>
      <w:r>
        <w:t>Electrocatalytic reactions occur at dynamic, ion-regulated electrochemical interfaces. In electrocatalytic processes such as alkaline hydrogen evolution/oxidation reactions (HER/HOR), which operate at potentials below the electrode’s potential of zero charge, electrolyte cations are not mere spectators but profoundly shape reaction behavior. It is generally believed that the alkaline HER and HOR are reversible reactions that share the sluggish Volmer step as their common rate-determining step and therefore exhibit symmetric behavior on Pt-based catalysts. Here, we show that the apparent kinetic symmetry between HER and HOR can be broken on certain transition-metal (TM)-decorated Pt surfaces. Using Ni-decorated Pt as a model system, we show that the formation of Ni–OH species enhances HER kinetics by promoting water dissociation yet paradoxically suppresses HOR kinetics, particularly in highly alkaline electrolytes at potentials above 0.05 V versus the reversible hydrogen electrode. Systematic analyses indicate that abundant TM–OH species drive strong cation accumulation at the outer Helmholtz plane, forming a compact cation layer that pairs with hydroxide anions (OH–) and suppresses their inward diffusion during HOR. Extending this framework across TM-decorated Pt surfaces reveals a systematic trend depending on the TM oxidation potential. Low-oxidation-potential TMs enhance HER but lead to pronounced OH–-diffusion-limited HOR. Intermediate TMs promote both HER and HOR, whereas high-oxidation-potential TMs suppress both reactions due to insufficient TM–OH formation. Overall, this work establishes a unified mechanistic framework that links cation accumulation and interfacial OH– transport to distinct HER/HOR kinetics on TM-decorated Pt surfaces in alkaline media, providing design principles for alkaline electrocatalysts.</w:t>
      </w:r>
    </w:p>
    <w:p>
      <w:pPr>
        <w:spacing w:before="120" w:after="120"/>
      </w:pPr>
      <w:r>
        <w:rPr>
          <w:sz w:val="18"/>
        </w:rPr>
        <w:t>——————————————————————————————————————————————————————————————————————</w:t>
      </w:r>
    </w:p>
    <w:p>
      <w:pPr>
        <w:spacing w:before="160" w:after="40" w:line="240" w:lineRule="auto"/>
      </w:pPr>
      <w:r>
        <w:rPr>
          <w:b/>
        </w:rPr>
        <w:t xml:space="preserve">[13] </w:t>
      </w:r>
      <w:hyperlink r:id="rId165">
        <w:r>
          <w:rPr>
            <w:color w:val="1155CC"/>
            <w:u w:val="single"/>
          </w:rPr>
          <w:t>[ASAP] 涂层集成焦耳加热架构，用于从化学载体中高效释放氢气</w:t>
        </w:r>
      </w:hyperlink>
    </w:p>
    <w:p>
      <w:pPr>
        <w:spacing w:before="0" w:after="80"/>
      </w:pPr>
      <w:r>
        <w:rPr>
          <w:i/>
          <w:sz w:val="20"/>
        </w:rPr>
        <w:t>EN: [ASAP] Coating-Integrated Joule Heating Architecture for Energy-Efficient Hydrogen Release from Chemical Carriers</w:t>
      </w:r>
    </w:p>
    <w:p>
      <w:pPr>
        <w:spacing w:before="0" w:after="120"/>
      </w:pPr>
      <w:r>
        <w:rPr>
          <w:b/>
        </w:rPr>
        <w:t xml:space="preserve">Source: </w:t>
      </w:r>
      <w:r>
        <w:t>Journal of the American Chemical Society: Latest Articles (ACS Publications)</w:t>
      </w:r>
      <w:r>
        <w:t xml:space="preserve">    </w:t>
      </w:r>
      <w:r>
        <w:rPr>
          <w:b/>
        </w:rPr>
        <w:t xml:space="preserve">Pub date: </w:t>
      </w:r>
      <w:r>
        <w:t>2026-05-25 13:53:15+00:00</w:t>
      </w:r>
      <w:r>
        <w:t xml:space="preserve">    </w:t>
      </w:r>
      <w:r>
        <w:rPr>
          <w:b/>
        </w:rPr>
        <w:t xml:space="preserve">DOI: </w:t>
      </w:r>
      <w:hyperlink r:id="rId166">
        <w:r>
          <w:rPr>
            <w:color w:val="1155CC"/>
            <w:u w:val="single"/>
          </w:rPr>
          <w:t>10.1021/jacs.6c06415</w:t>
        </w:r>
      </w:hyperlink>
    </w:p>
    <w:p>
      <w:pPr>
        <w:spacing w:before="0" w:after="120"/>
      </w:pPr>
      <w:r>
        <w:rPr>
          <w:b/>
        </w:rPr>
        <w:t xml:space="preserve">Notes: </w:t>
      </w:r>
      <w:r>
        <w:t>abstract_source=pubmed</w:t>
      </w:r>
    </w:p>
    <w:p>
      <w:pPr>
        <w:spacing w:before="0" w:after="80" w:lineRule="auto" w:line="276"/>
      </w:pPr>
      <w:r>
        <w:rPr>
          <w:b/>
        </w:rPr>
        <w:t xml:space="preserve">摘要（ZH）: </w:t>
      </w:r>
      <w:r>
        <w:t>氢载体提供了一种以化学形式存储和运输可再生电力的实用途径，但基于载体的氢供应的端到端效率通常取决于最终的氢释放步骤，其中吸热化学和非生产性热损失造成了巨大的能量损失。在这里，我们提出了一种涂层集成焦耳加热架构，可改善能量与氢释放反应器的耦合方式。多孔碳化硅骨架充当通用电热转换器，而反应所需的催化剂直接涂覆在碳化硅表面上，将电热发热与催化功能解耦，同时保留活性界面处的微尺度热耦合。这种设计消除了催化剂床电导率的限制，从而将焦耳热推广到各种氢释放化学物质。对于焦耳热驱动的氨分解，Ru/CeO2涂层碳化硅反应器在输入功率为23.4 W时产氢率为5.6 molH2 gcat-1 h-1，能耗为15.5 kWh kgH2-1。使用Pt/CeO2作为催化剂涂层，将同一平台扩展到液态有机氢载体脱氢，在仅5.5 W的功率输入下实现了86.6%的环己烷转化率，性能与280°C下的传统热催化效果相当。热分析揭示了焦耳加热下多孔碳化硅骨架的热状态，捕获从入口到出口的气体温度演变，量化能量流分布</w:t>
      </w:r>
    </w:p>
    <w:p>
      <w:pPr>
        <w:spacing w:before="0" w:after="200" w:lineRule="auto" w:line="276"/>
      </w:pPr>
      <w:r>
        <w:rPr>
          <w:b/>
        </w:rPr>
        <w:t xml:space="preserve">Abstract (EN): </w:t>
      </w:r>
      <w:r>
        <w:t>Hydrogen carriers offer a practical route to store and transport renewable electricity in chemical form, but the end-to-end efficiency of carrier-based hydrogen supply is often dictated by the terminal hydrogen-release step, where endothermic chemistry and nonproductive heat losses impose a substantial energy penalty. Here we present a coating-integrated Joule heating architecture that improves how energy is coupled into hydrogen-release reactors. A porous silicon carbide skeleton functions as a universal electrothermal converter, while the reaction-required catalyst is directly coated onto the silicon carbide surface, decoupling electrothermal heat generation from catalytic function yet preserving microscale thermal coupling at the active interface. This design removes the constraint of catalyst-bed conductivity and thereby generalizes Joule heating to diverse hydrogen-release chemistries. For ammonia decomposition driven by Joule heating, the Ru/CeO2-coated silicon carbide reactor delivers a hydrogen production rate of 5.6 molH2 gcat-1 h-1 at an input power of 23.4 W, with an energy consumption of 15.5 kWh kgH2-1. Using Pt/CeO2 as the catalyst coating, the same platform is extended to liquid organic hydrogen carrier dehydrogenation, achieving 86.6% cyclohexane conversion at a power input of only 5.5 W─a performance comparable to that achieved by conventional thermal catalysis at 280 °C. Thermal profiling reveals the thermal state of the porous silicon carbide skeleton under Joule heating, captures gas-temperature evolution from inlet to outlet, quantifies energy flow distribution, and provides a theoretical basis for array-scale reactor design. This coating-integrated electrothermal platform is compatible and scalable, offering a general approach to energy-efficient hydrogen release from ammonia and other hydrogen carriers.</w:t>
      </w:r>
    </w:p>
    <w:p>
      <w:pPr>
        <w:spacing w:before="120" w:after="120"/>
      </w:pPr>
      <w:r>
        <w:rPr>
          <w:sz w:val="18"/>
        </w:rPr>
        <w:t>——————————————————————————————————————————————————————————————————————</w:t>
      </w:r>
    </w:p>
    <w:p>
      <w:pPr>
        <w:spacing w:before="160" w:after="40" w:line="240" w:lineRule="auto"/>
      </w:pPr>
      <w:r>
        <w:rPr>
          <w:b/>
        </w:rPr>
        <w:t xml:space="preserve">[14] </w:t>
      </w:r>
      <w:hyperlink r:id="rId200">
        <w:r>
          <w:rPr>
            <w:color w:val="1155CC"/>
            <w:u w:val="single"/>
          </w:rPr>
          <w:t>[ASAP] 金属泡沫形态影响使用镍催化剂的 OER 的运行重现性</w:t>
        </w:r>
      </w:hyperlink>
    </w:p>
    <w:p>
      <w:pPr>
        <w:spacing w:before="0" w:after="80"/>
      </w:pPr>
      <w:r>
        <w:rPr>
          <w:i/>
          <w:sz w:val="20"/>
        </w:rPr>
        <w:t>EN: [ASAP] Metal Foam Morphology Affects the Run to Run Reproducibility of OER Using Nickel Catalysts</w:t>
      </w:r>
    </w:p>
    <w:p>
      <w:pPr>
        <w:spacing w:before="0" w:after="120"/>
      </w:pPr>
      <w:r>
        <w:rPr>
          <w:b/>
        </w:rPr>
        <w:t xml:space="preserve">Source: </w:t>
      </w:r>
      <w:r>
        <w:t>ACS Energy Letters: Latest Articles (ACS Publications)</w:t>
      </w:r>
      <w:r>
        <w:t xml:space="preserve">    </w:t>
      </w:r>
      <w:r>
        <w:rPr>
          <w:b/>
        </w:rPr>
        <w:t xml:space="preserve">Pub date: </w:t>
      </w:r>
      <w:r>
        <w:t>2026-05-25 15:21:39+00:00</w:t>
      </w:r>
      <w:r>
        <w:t xml:space="preserve">    </w:t>
      </w:r>
      <w:r>
        <w:rPr>
          <w:b/>
        </w:rPr>
        <w:t xml:space="preserve">DOI: </w:t>
      </w:r>
      <w:hyperlink r:id="rId201">
        <w:r>
          <w:rPr>
            <w:color w:val="1155CC"/>
            <w:u w:val="single"/>
          </w:rPr>
          <w:t>10.1021/acsenergylett.6c00750</w:t>
        </w:r>
      </w:hyperlink>
    </w:p>
    <w:p>
      <w:pPr>
        <w:spacing w:before="0" w:after="120"/>
      </w:pPr>
      <w:r>
        <w:rPr>
          <w:b/>
        </w:rPr>
        <w:t xml:space="preserve">Notes: </w:t>
      </w:r>
      <w:r>
        <w:t>abstract_source=openalex</w:t>
      </w:r>
    </w:p>
    <w:p>
      <w:pPr>
        <w:spacing w:before="0" w:after="80" w:lineRule="auto" w:line="276"/>
      </w:pPr>
      <w:r>
        <w:rPr>
          <w:b/>
        </w:rPr>
        <w:t xml:space="preserve">摘要（ZH）: </w:t>
      </w:r>
      <w:r>
        <w:t>泡沫镍 (Ni) 电极是析氧反应的优异催化剂；然而，我们发现镍泡沫的随机孔径分布导致电化学活性表面积的显着变化，从而损害了实验的再现性。我们提供了量化这一关键材料特性的见解，并由四个电化学实验室验证。</w:t>
      </w:r>
    </w:p>
    <w:p>
      <w:pPr>
        <w:spacing w:before="0" w:after="200" w:lineRule="auto" w:line="276"/>
      </w:pPr>
      <w:r>
        <w:rPr>
          <w:b/>
        </w:rPr>
        <w:t xml:space="preserve">Abstract (EN): </w:t>
      </w:r>
      <w:r>
        <w:t>Nickel (Ni) foam-based electrodes are excellent catalysts for the oxygen evolution reaction; however, we found that the random pore-size distribution of Ni foams contributes to a significant variability in electrochemically active surface area, compromising experimental reproducibility. We provide insights into quantifying this critical material property, verified by four electrochemical laboratories.</w:t>
      </w:r>
    </w:p>
    <w:p>
      <w:pPr>
        <w:spacing w:before="120" w:after="120"/>
      </w:pPr>
      <w:r>
        <w:rPr>
          <w:sz w:val="18"/>
        </w:rPr>
        <w:t>——————————————————————————————————————————————————————————————————————</w:t>
      </w:r>
    </w:p>
    <w:p>
      <w:pPr>
        <w:spacing w:before="160" w:after="40" w:line="240" w:lineRule="auto"/>
      </w:pPr>
      <w:r>
        <w:rPr>
          <w:b/>
        </w:rPr>
        <w:t xml:space="preserve">[15] </w:t>
      </w:r>
      <w:hyperlink r:id="rId202">
        <w:r>
          <w:rPr>
            <w:color w:val="1155CC"/>
            <w:u w:val="single"/>
          </w:rPr>
          <w:t>[ASAP] 铜共价有机框架中的质子馈送双 N 爪位点促进电催化硝酸盐还原的氢化动力学</w:t>
        </w:r>
      </w:hyperlink>
    </w:p>
    <w:p>
      <w:pPr>
        <w:spacing w:before="0" w:after="80"/>
      </w:pPr>
      <w:r>
        <w:rPr>
          <w:i/>
          <w:sz w:val="20"/>
        </w:rPr>
        <w:t>EN: [ASAP] Proton-Feeding Dual-N Claw Sites in a Copper-Covalent Organic Framework Promote Hydrogenation Kinetics for Electrocatalytic Nitrate 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2026-05-25 16:00:00+00:00</w:t>
      </w:r>
      <w:r>
        <w:t xml:space="preserve">    </w:t>
      </w:r>
      <w:r>
        <w:rPr>
          <w:b/>
        </w:rPr>
        <w:t xml:space="preserve">DOI: </w:t>
      </w:r>
      <w:hyperlink r:id="rId203">
        <w:r>
          <w:rPr>
            <w:color w:val="1155CC"/>
            <w:u w:val="single"/>
          </w:rPr>
          <w:t>10.1021/jacs.6c04283</w:t>
        </w:r>
      </w:hyperlink>
    </w:p>
    <w:p>
      <w:pPr>
        <w:spacing w:before="0" w:after="120"/>
      </w:pPr>
      <w:r>
        <w:rPr>
          <w:b/>
        </w:rPr>
        <w:t xml:space="preserve">Notes: </w:t>
      </w:r>
      <w:r>
        <w:t>abstract_source=pubmed</w:t>
      </w:r>
    </w:p>
    <w:p>
      <w:pPr>
        <w:spacing w:before="0" w:after="80" w:lineRule="auto" w:line="276"/>
      </w:pPr>
      <w:r>
        <w:rPr>
          <w:b/>
        </w:rPr>
        <w:t xml:space="preserve">摘要（ZH）: </w:t>
      </w:r>
      <w:r>
        <w:t>硝酸盐电催化转化为氨为环境修复和绿色能源生产提供了可持续的解决方案，但其复杂的质子耦合电子转移动力学对催化剂设计提出了巨大的挑战。在此，我们展示了铜共价有机框架（DNCS-CuCOF）内的质子供给双氮爪位点（DNCS），它捕获并向铜中心的含氮中间体提供局部质子，从而实现高效氢化。与原始CuCOF相比，DNCS-CuCOF保持了结构稳定性，并表现出显着增强的电催化性能，在-0.8 V vs RHE下实现了94%的高法拉第效率和10.6 mg h-1 mgcat-1的氨产率。原位表征和密度泛函理论计算表明，DNCS 通过提供局域质子，加速了质子转移动力学，并通过 N 位辅助的 Langmuir-Hinshelwood 机制降低了限速步骤 (*NO → *NHO) 的能垒。这项工作通过创建局部质子供给，建立了原子级精确创新工程的新设计原则，为推进电催化提供了一个多功能平台。</w:t>
      </w:r>
    </w:p>
    <w:p>
      <w:pPr>
        <w:spacing w:before="0" w:after="200" w:lineRule="auto" w:line="276"/>
      </w:pPr>
      <w:r>
        <w:rPr>
          <w:b/>
        </w:rPr>
        <w:t xml:space="preserve">Abstract (EN): </w:t>
      </w:r>
      <w:r>
        <w:t>The electrocatalytic conversion of nitrate to ammonia offers a sustainable solution for both environmental remediation and green energy production, yet its complex proton-coupled electron transfer kinetics poses a grand challenge for catalyst design. Herein, we demonstrate a proton-feeding dual-nitrogen claw site (DNCS) within a copper-covalent organic framework (DNCS-CuCOF) that captures and supplies localized protons to nitrogenous intermediates on the Cu center, enabling efficient hydrogenation. Compared with pristine CuCOF, DNCS-CuCOF maintains structural stability and exhibits significantly enhanced electrocatalytic performance, achieving a high Faradaic efficiency of 94% and an ammonia yield of 10.6 mg h-1 mgcat-1 at -0.8 V vs RHE. In-situ characterizations and density functional theory calculations reveal that the DNCS, by supplying localized protons, accelerates proton transfer kinetics and reduces the energy barrier for the rate-limiting step (*NO → *NHO) via an N-site-assisted Langmuir-Hinshelwood mechanism. This work establishes a new design principle of atomically precise innovation-engineering by creating localized proton feeding, offering a versatile platform for advancing electrocatalysis.</w:t>
      </w:r>
    </w:p>
    <w:p>
      <w:pPr>
        <w:spacing w:before="120" w:after="120"/>
      </w:pPr>
      <w:r>
        <w:rPr>
          <w:sz w:val="18"/>
        </w:rPr>
        <w:t>——————————————————————————————————————————————————————————————————————</w:t>
      </w:r>
    </w:p>
    <w:p>
      <w:pPr>
        <w:spacing w:before="160" w:after="40" w:line="240" w:lineRule="auto"/>
      </w:pPr>
      <w:r>
        <w:rPr>
          <w:b/>
        </w:rPr>
        <w:t xml:space="preserve">[16] </w:t>
      </w:r>
      <w:hyperlink r:id="rId204">
        <w:r>
          <w:rPr>
            <w:color w:val="1155CC"/>
            <w:u w:val="single"/>
          </w:rPr>
          <w:t>[ASAP] 通过燃料电池金属间异质结构的界面编辑来隔离耦合效应</w:t>
        </w:r>
      </w:hyperlink>
    </w:p>
    <w:p>
      <w:pPr>
        <w:spacing w:before="0" w:after="80"/>
      </w:pPr>
      <w:r>
        <w:rPr>
          <w:i/>
          <w:sz w:val="20"/>
        </w:rPr>
        <w:t>EN: [ASAP] Isolating Coupled Effects by Interface Editing of Intermetallic Heterostructures for Fuel Cells</w:t>
      </w:r>
    </w:p>
    <w:p>
      <w:pPr>
        <w:spacing w:before="0" w:after="120"/>
      </w:pPr>
      <w:r>
        <w:rPr>
          <w:b/>
        </w:rPr>
        <w:t xml:space="preserve">Source: </w:t>
      </w:r>
      <w:r>
        <w:t>Journal of the American Chemical Society: Latest Articles (ACS Publications)</w:t>
      </w:r>
      <w:r>
        <w:t xml:space="preserve">    </w:t>
      </w:r>
      <w:r>
        <w:rPr>
          <w:b/>
        </w:rPr>
        <w:t xml:space="preserve">Pub date: </w:t>
      </w:r>
      <w:r>
        <w:t>2026-05-25 16:27:13+00:00</w:t>
      </w:r>
      <w:r>
        <w:t xml:space="preserve">    </w:t>
      </w:r>
      <w:r>
        <w:rPr>
          <w:b/>
        </w:rPr>
        <w:t xml:space="preserve">DOI: </w:t>
      </w:r>
      <w:hyperlink r:id="rId205">
        <w:r>
          <w:rPr>
            <w:color w:val="1155CC"/>
            <w:u w:val="single"/>
          </w:rPr>
          <w:t>10.1021/jacs.6c03329</w:t>
        </w:r>
      </w:hyperlink>
    </w:p>
    <w:p>
      <w:pPr>
        <w:spacing w:before="0" w:after="120"/>
      </w:pPr>
      <w:r>
        <w:rPr>
          <w:b/>
        </w:rPr>
        <w:t xml:space="preserve">Notes: </w:t>
      </w:r>
      <w:r>
        <w:t>abstract_source=pubmed</w:t>
      </w:r>
    </w:p>
    <w:p>
      <w:pPr>
        <w:spacing w:before="0" w:after="80" w:lineRule="auto" w:line="276"/>
      </w:pPr>
      <w:r>
        <w:rPr>
          <w:b/>
        </w:rPr>
        <w:t xml:space="preserve">摘要（ZH）: </w:t>
      </w:r>
      <w:r>
        <w:t>异质结构纳米材料已通过工程异质结构诱导的相互作用表现出非凡的催化增强作用，但其起源在很大程度上仍难以捉摸，因为目前制造模型系统的限制可以隔离各种耦合效应。在这里，我们报告了一种相互扩散控制的原子替换策略，以实现两种不同金属间异质结构（i-HS）系统的可编程定制。 (1-m)PdTe||mPdBi Janus 六方纳米片 [(1-m)PdTe||mPdBi JHPs] 系统通过适当的晶格匹配保持高度相干的异质界面，从而能够对配体效应进行独立研究；具有严重晶格畸变的(1-n)Pd20Te7||nPdBi核冠六方纳米片[(1-n)Pd20Te7||nPdBi CHPs]系统建立了一个互补模型来探索应变活性。系统氧还原反应分析揭示了两个系统中的火山形活性趋势，其中，与高 Bi 负载量 (62 at.%) 的 (1-m)PdTe||mPdBi JHPs 相比，低铋 (Bi) 负载量 (31 at.%) 且界面晶格失配为 4.1% 的 (1-n)Pd20Te7||nPdBi CHPs 实现了最高峰值性能，这表明应变效应为配体效应优化催化性能。值得注意的是，在阴离子交换膜燃料电池（AEMFC）中，性能最好的 0.69Pd20Te7||0.31PdBi CHP 膜电极组件可提供 1.37 W cm-2 的峰值功率密度和 27.4 W mgPd-1 的比功率，大大优于所有尖端 AEMFC，并且长期耐用。</w:t>
      </w:r>
    </w:p>
    <w:p>
      <w:pPr>
        <w:spacing w:before="0" w:after="200" w:lineRule="auto" w:line="276"/>
      </w:pPr>
      <w:r>
        <w:rPr>
          <w:b/>
        </w:rPr>
        <w:t xml:space="preserve">Abstract (EN): </w:t>
      </w:r>
      <w:r>
        <w:t>Heterostructured nanomaterials have demonstrated extraordinary catalytic enhancements through engineered heterostructure-induced interactions, yet the origins remain largely elusive since current limitations in fabricating model systems can isolate various coupled effects. Here, we report an interdiffusion-controlled atomic replacement strategy to achieve programmable customization for two distinct intermetallic heterostructure (i-HS) systems. The (1-m)PdTe||mPdBi Janus hexagonal nanoplatelet [(1-m)PdTe||mPdBi JHPs] system maintains a highly coherent heterointerface through proper lattice matching, enabling isolated investigation for ligand effects; the (1-n)Pd20Te7||nPdBi core-crown hexagonal nanoplatelet [(1-n)Pd20Te7||nPdBi CHPs] system with severe lattice distortion establishes a complementary model to explore strain activity. Systematic oxygen reduction reaction analyses reveal the volcano-shaped activity trends in both systems, where (1-n)Pd20Te7||nPdBi CHPs at low bismuth (Bi) loading (31 at. %) with 4.1% interfacial lattice mismatching achieve the highest peak performance compared to (1-m)PdTe||mPdBi JHPs at high Bi loading (62 at. %), which demonstrates that the strain effect provides a superior complement to the ligand effect for optimizing the catalytic performance. Remarkably, in the anion exchange membrane fuel cells (AEMFCs), the best-performing 0.69Pd20Te7||0.31PdBi CHP-based membrane electrode assembly delivers a peak power density of 1.37 W cm-2 and specific power of 27.4 W mgPd-1, substantially outperforming all cutting-edge AEMFCs, as well as long-term durability with a negligible power density loss after 100 h. This study establishes a programmable synthesis platform for interface-precise i-HSs, being critical for heterostructure design systems toward catalysis and energy conversion technologies.</w:t>
      </w:r>
    </w:p>
    <w:p>
      <w:pPr>
        <w:spacing w:before="120" w:after="120"/>
      </w:pPr>
      <w:r>
        <w:rPr>
          <w:sz w:val="18"/>
        </w:rPr>
        <w:t>——————————————————————————————————————————————————————————————————————</w:t>
      </w:r>
    </w:p>
    <w:p>
      <w:pPr>
        <w:spacing w:before="160" w:after="40" w:line="240" w:lineRule="auto"/>
      </w:pPr>
      <w:r>
        <w:rPr>
          <w:b/>
        </w:rPr>
        <w:t xml:space="preserve">[17] </w:t>
      </w:r>
      <w:hyperlink r:id="rId206">
        <w:r>
          <w:rPr>
            <w:color w:val="1155CC"/>
            <w:u w:val="single"/>
          </w:rPr>
          <w:t>用于光催化应用的铟基胶体量子点：进展和前景</w:t>
        </w:r>
      </w:hyperlink>
    </w:p>
    <w:p>
      <w:pPr>
        <w:spacing w:before="0" w:after="80"/>
      </w:pPr>
      <w:r>
        <w:rPr>
          <w:i/>
          <w:sz w:val="20"/>
        </w:rPr>
        <w:t>EN: Indium-based colloidal quantum dots for photocatalytic applications: advances and perspectives</w:t>
      </w:r>
    </w:p>
    <w:p>
      <w:pPr>
        <w:spacing w:before="0" w:after="120"/>
      </w:pPr>
      <w:r>
        <w:rPr>
          <w:b/>
        </w:rPr>
        <w:t xml:space="preserve">Source: </w:t>
      </w:r>
      <w:r>
        <w:t>RSC - Chem. Soc. Rev. latest articles</w:t>
      </w:r>
      <w:r>
        <w:t xml:space="preserve">    </w:t>
      </w:r>
      <w:r>
        <w:rPr>
          <w:b/>
        </w:rPr>
        <w:t xml:space="preserve">Pub date: </w:t>
      </w:r>
      <w:r>
        <w:t>2026-05-25 23:00:00+00:00</w:t>
      </w:r>
    </w:p>
    <w:p>
      <w:pPr>
        <w:spacing w:before="0" w:after="120"/>
      </w:pPr>
      <w:r>
        <w:rPr>
          <w:b/>
        </w:rPr>
        <w:t xml:space="preserve">Notes: </w:t>
      </w:r>
      <w:r>
        <w:t>abstract_source=rsc_html</w:t>
      </w:r>
    </w:p>
    <w:p>
      <w:pPr>
        <w:spacing w:before="0" w:after="80" w:lineRule="auto" w:line="276"/>
      </w:pPr>
      <w:r>
        <w:rPr>
          <w:b/>
        </w:rPr>
        <w:t xml:space="preserve">摘要（ZH）: </w:t>
      </w:r>
      <w:r>
        <w:t>包括III-V族（例如InP和InAs）和I-III-VI族（例如CuInS2、CuInSe2和AgInS2）在内的铟基量子点（InQD）作为用于光催化能量转换和环境应用的传统镉基和铅基量子点的环保替代品而受到越来越多的关注。它们的尺寸和成分可调的电子结构、广泛的可见光吸收以及在大多数情况下出色的光化学稳定性使它们成为驱动各种光催化反应（包括析氢、二氧化碳还原和有机转化）的理想平台。本文系统地总结了 InQD 光催化应用的合理设计和性能优化的最新进展，特别关注增强电荷分离和抑制非辐射复合的结构调制、表面钝化和界面工程策略。我们进一步阐明了InQD的组成、壳层构型和缺陷态及其相应的催化活性和稳定性之间的基本关系。此外，还讨论了诸如助催化剂耦合、异质结构构建和混合集成等新兴策略，以增强光捕获和反应动力学。最后，概述了当前的挑战和未来的前景，包括可扩展的绿色合成、精确的界面控制和数据驱动的设计，这为加速开发用于可持续光合作用的高效、无重金属的InQD提供了见解。</w:t>
      </w:r>
    </w:p>
    <w:p>
      <w:pPr>
        <w:spacing w:before="0" w:after="200" w:lineRule="auto" w:line="276"/>
      </w:pPr>
      <w:r>
        <w:rPr>
          <w:b/>
        </w:rPr>
        <w:t xml:space="preserve">Abstract (EN): </w:t>
      </w:r>
      <w:r>
        <w:t>Indium-based quantum dots (InQDs), including both III–V (e.g., InP and InAs) and I–III–VI (e.g., CuInS2, CuInSe2, and AgInS2) families, have attracted growing attention as environmentally friendly alternatives to traditional Cd- and Pb-based QDs for photocatalytic energy conversion and environmental applications. Their size- and composition-tunable electronic structures, broad visible-light absorption, and excellent photochemical stability under most circumstances make them ideal platforms for driving various photocatalytic reactions, including hydrogen evolution, carbon dioxide reduction, and organic transformations. This review systematically summarizes recent advances in the rational design and performance optimization of InQDs for photocatalytic applications, with a particular focus on structural modulation, surface passivation, and interface engineering strategies that enhance charge separation and suppress nonradiative recombination. We further elucidate the fundamental relationships between the composition, shell configuration, and defect states of InQDs and their corresponding catalytic activities and stabilities. In addition, emerging strategies, such as co-catalyst coupling, heterostructure construction, and hybrid integration, are discussed to enhance light harvesting and reaction kinetics. Finally, the current challenges and future perspectives are outlined, including scalable green synthesis, precise interfacial control, and data-driven design, which provide insights to accelerate the development of high-efficiency, heavy-metal-free InQDs for sustainable photocatalytic hydrogen generation, CO2 conversion, and organic transformations.</w:t>
      </w:r>
    </w:p>
    <w:p>
      <w:pPr>
        <w:spacing w:before="120" w:after="120"/>
      </w:pPr>
      <w:r>
        <w:rPr>
          <w:sz w:val="18"/>
        </w:rPr>
        <w:t>——————————————————————————————————————————————————————————————————————</w:t>
      </w:r>
    </w:p>
    <w:p>
      <w:pPr>
        <w:spacing w:before="160" w:after="40" w:line="240" w:lineRule="auto"/>
      </w:pPr>
      <w:r>
        <w:rPr>
          <w:b/>
        </w:rPr>
        <w:t xml:space="preserve">[18] </w:t>
      </w:r>
      <w:hyperlink r:id="rId207">
        <w:r>
          <w:rPr>
            <w:color w:val="1155CC"/>
            <w:u w:val="single"/>
          </w:rPr>
          <w:t>用于优质质子固体氧化物电池的氧电极中蒸汽诱导的阳离子交换</w:t>
        </w:r>
      </w:hyperlink>
    </w:p>
    <w:p>
      <w:pPr>
        <w:spacing w:before="0" w:after="80"/>
      </w:pPr>
      <w:r>
        <w:rPr>
          <w:i/>
          <w:sz w:val="20"/>
        </w:rPr>
        <w:t>EN: Steam-induced cation exchange in oxygen electrodes for superior protonic solid oxide cells</w:t>
      </w:r>
    </w:p>
    <w:p>
      <w:pPr>
        <w:spacing w:before="0" w:after="120"/>
      </w:pPr>
      <w:r>
        <w:rPr>
          <w:b/>
        </w:rPr>
        <w:t xml:space="preserve">Source: </w:t>
      </w:r>
      <w:r>
        <w:t>Joule</w:t>
      </w:r>
      <w:r>
        <w:t xml:space="preserve">    </w:t>
      </w:r>
      <w:r>
        <w:rPr>
          <w:b/>
        </w:rPr>
        <w:t xml:space="preserve">Pub date: </w:t>
      </w:r>
      <w:r>
        <w:t>2026-05-26 00:00:00+00:00</w:t>
      </w:r>
      <w:r>
        <w:t xml:space="preserve">    </w:t>
      </w:r>
      <w:r>
        <w:rPr>
          <w:b/>
        </w:rPr>
        <w:t xml:space="preserve">DOI: </w:t>
      </w:r>
      <w:hyperlink r:id="rId208">
        <w:r>
          <w:rPr>
            <w:color w:val="1155CC"/>
            <w:u w:val="single"/>
          </w:rPr>
          <w:t>10.1016/j.joule.2026.102491</w:t>
        </w:r>
      </w:hyperlink>
    </w:p>
    <w:p>
      <w:pPr>
        <w:spacing w:before="0" w:after="120"/>
      </w:pPr>
      <w:r>
        <w:rPr>
          <w:b/>
        </w:rPr>
        <w:t xml:space="preserve">Notes: </w:t>
      </w:r>
      <w:r>
        <w:t>abstract_source=rss_cell</w:t>
      </w:r>
    </w:p>
    <w:p>
      <w:pPr>
        <w:spacing w:before="0" w:after="80" w:lineRule="auto" w:line="276"/>
      </w:pPr>
      <w:r>
        <w:rPr>
          <w:b/>
        </w:rPr>
        <w:t xml:space="preserve">摘要（ZH）: </w:t>
      </w:r>
      <w:r>
        <w:t>蒸汽工程 BaCo0.8Fe0.1Hf0.05W0.05O3−δ 氧电极具有动态 W-Fe 阳离子交换功能，使质子固体氧化物电池具有基准燃料电池和电解性能。原位光谱学、阻抗测量、DRT 分析和 DFT 计算阐明了质子参与的 ORR 机制，而可扩展的制造则展示了出色的可制造性和广泛的适用性。</w:t>
      </w:r>
    </w:p>
    <w:p>
      <w:pPr>
        <w:spacing w:before="0" w:after="200" w:lineRule="auto" w:line="276"/>
      </w:pPr>
      <w:r>
        <w:rPr>
          <w:b/>
        </w:rPr>
        <w:t xml:space="preserve">Abstract (EN): </w:t>
      </w:r>
      <w:r>
        <w:t>A steam-engineered BaCo0.8Fe0.1Hf0.05W0.05O3−δ oxygen electrode featuring dynamic W-Fe cation exchange enables protonic solid oxide cells with benchmark fuel cell and electrolysis performance. In situ spectroscopy, impedance measurements, DRT analysis, and DFT calculations elucidate the proton-involved ORR mechanism, while scalable fabrication demonstrates excellent manufacturability and broad applicability.</w:t>
      </w:r>
    </w:p>
    <w:p>
      <w:pPr>
        <w:spacing w:before="120" w:after="120"/>
      </w:pPr>
      <w:r>
        <w:rPr>
          <w:sz w:val="18"/>
        </w:rPr>
        <w:t>——————————————————————————————————————————————————————————————————————</w:t>
      </w:r>
    </w:p>
    <w:p>
      <w:pPr>
        <w:spacing w:before="160" w:after="40" w:line="240" w:lineRule="auto"/>
      </w:pPr>
      <w:r>
        <w:rPr>
          <w:b/>
        </w:rPr>
        <w:t xml:space="preserve">[19] </w:t>
      </w:r>
      <w:hyperlink r:id="rId209">
        <w:r>
          <w:rPr>
            <w:color w:val="1155CC"/>
            <w:u w:val="single"/>
          </w:rPr>
          <w:t>金属磷化物的前沿进展：电化学水分解的合理合成到动态重构</w:t>
        </w:r>
      </w:hyperlink>
    </w:p>
    <w:p>
      <w:pPr>
        <w:spacing w:before="0" w:after="80"/>
      </w:pPr>
      <w:r>
        <w:rPr>
          <w:i/>
          <w:sz w:val="20"/>
        </w:rPr>
        <w:t>EN: Cutting‐Edge Advances in Metal Phosphides: Rational Synthesis to Dynamic Reconstruction for Electrochemical Water Splitting</w:t>
      </w:r>
    </w:p>
    <w:p>
      <w:pPr>
        <w:spacing w:before="0" w:after="120"/>
      </w:pPr>
      <w:r>
        <w:rPr>
          <w:b/>
        </w:rPr>
        <w:t xml:space="preserve">Source: </w:t>
      </w:r>
      <w:r>
        <w:t>Wiley: Advanced Energy Materials: Table of Contents</w:t>
      </w:r>
      <w:r>
        <w:t xml:space="preserve">    </w:t>
      </w:r>
      <w:r>
        <w:rPr>
          <w:b/>
        </w:rPr>
        <w:t xml:space="preserve">Pub date: </w:t>
      </w:r>
      <w:r>
        <w:t>2026-05-26 07:00:52+00:00</w:t>
      </w:r>
      <w:r>
        <w:t xml:space="preserve">    </w:t>
      </w:r>
      <w:r>
        <w:rPr>
          <w:b/>
        </w:rPr>
        <w:t xml:space="preserve">DOI: </w:t>
      </w:r>
      <w:hyperlink r:id="rId210">
        <w:r>
          <w:rPr>
            <w:color w:val="1155CC"/>
            <w:u w:val="single"/>
          </w:rPr>
          <w:t>10.1002/aenm.71079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氢能以其高能量密度和零碳排放而著称，被广泛认为是21世纪不可或缺的支柱。</w:t>
      </w:r>
      <w:r>
        <w:t xml:space="preserve"> </w:t>
      </w:r>
      <w:r>
        <w:t>圣</w:t>
      </w:r>
      <w:r>
        <w:t xml:space="preserve"> </w:t>
      </w:r>
      <w:r>
        <w:t>‐世纪绿色能源系统。在此背景下，过渡金属磷化物（TMP）由于其独特的物理化学性质在电化学水分解（EWS）中应用时引起了广泛关注。然而，它们的内在活性仍然受到反应中间体的次优吸附能量学、水离解的高动力学势垒以及通常冗长或能量密集型的合成方案的限制。本综述首先对微波辅助合成进行了简要概述，这是一种快速、节能且高度可控的材料制造策略。然后，我们全面介绍了通过多种改性策略合理设计基于 TMP 的电催化剂，并特别介绍了其在操作条件下的动态电化学重构行为。特别关注先进的工程方法，通过整合可再生能源驱动的先进技术，实现可扩展、高效的氢气生产。最后一部分重点介绍了 TMP 电催化剂在下一代能源结构不断发展的格局中的最新应用进展、持续挑战和新兴机遇。总的来说，这篇综述提供了精确设计的具有重构功能的 TMP 电催化剂的全面总结</w:t>
      </w:r>
    </w:p>
    <w:p>
      <w:pPr>
        <w:spacing w:before="0" w:after="200" w:lineRule="auto" w:line="276"/>
      </w:pPr>
      <w:r>
        <w:rPr>
          <w:b/>
        </w:rPr>
        <w:t xml:space="preserve">Abstract (EN): </w:t>
      </w:r>
      <w:r>
        <w:t>Hydrogen energy, celebrated for its high energy density and zero carbon emissions, is widely regarded as an indispensable pillar of 21</w:t>
      </w:r>
      <w:r>
        <w:t xml:space="preserve"> </w:t>
      </w:r>
      <w:r>
        <w:t>st</w:t>
      </w:r>
      <w:r>
        <w:t xml:space="preserve"> </w:t>
      </w:r>
      <w:r>
        <w:t>‐century green energy systems. Against this backdrop, transition metal phosphides (TMPs) have attracted considerable attention due to their distinctive physicochemical properties when applied in electrochemical water splitting (EWS). Nevertheless, their intrinsic activity remains limited by the suboptimal adsorption energetics of reaction intermediates, high kinetic barriers for water dissociation, and often lengthy or energy‐intensive synthesis protocols. This review begins with a concise overview of microwave‐assisted synthesis, a rapid, energy‐efficient, and highly controllable strategy for material fabrication. Then, we provide a comprehensive introduction to the rational design of TMP‐based electrocatalysts through diverse modification strategies, with particular information on their dynamic electrochemical reconstruction behavior under operational conditions. Special focus is placed on advanced engineering approaches that enable scalable, efficient hydrogen production by integrating advanced techniques powered by renewable sources. The final section highlights recent application advances, ongoing challenges, and emerging opportunities for TMP electrocatalysts within the evolving landscape of next‐generation energy structure. Collectively, this review provides a comprehensive summary of precisely engineered TMP electrocatalysts with reconstruction behavior that functions as high‐performance bifunctional electrocatalysts for EWS‐based renewable energy generation.</w:t>
      </w:r>
    </w:p>
    <w:p>
      <w:pPr>
        <w:spacing w:before="120" w:after="120"/>
      </w:pPr>
      <w:r>
        <w:rPr>
          <w:sz w:val="18"/>
        </w:rPr>
        <w:t>——————————————————————————————————————————————————————————————————————</w:t>
      </w:r>
    </w:p>
    <w:p>
      <w:pPr>
        <w:spacing w:before="160" w:after="40" w:line="240" w:lineRule="auto"/>
      </w:pPr>
      <w:r>
        <w:rPr>
          <w:b/>
        </w:rPr>
        <w:t xml:space="preserve">[20] </w:t>
      </w:r>
      <w:hyperlink r:id="rId211">
        <w:r>
          <w:rPr>
            <w:color w:val="1155CC"/>
            <w:u w:val="single"/>
          </w:rPr>
          <w:t>[ASAP] 黑色磷烯纳米带的可扩展拓扑化学合成</w:t>
        </w:r>
      </w:hyperlink>
    </w:p>
    <w:p>
      <w:pPr>
        <w:spacing w:before="0" w:after="80"/>
      </w:pPr>
      <w:r>
        <w:rPr>
          <w:i/>
          <w:sz w:val="20"/>
        </w:rPr>
        <w:t>EN: [ASAP] Scalable Topochemical Synthesis of Black Phosphorene Nanoribbons</w:t>
      </w:r>
    </w:p>
    <w:p>
      <w:pPr>
        <w:spacing w:before="0" w:after="120"/>
      </w:pPr>
      <w:r>
        <w:rPr>
          <w:b/>
        </w:rPr>
        <w:t xml:space="preserve">Source: </w:t>
      </w:r>
      <w:r>
        <w:t>Journal of the American Chemical Society: Latest Articles (ACS Publications)</w:t>
      </w:r>
      <w:r>
        <w:t xml:space="preserve">    </w:t>
      </w:r>
      <w:r>
        <w:rPr>
          <w:b/>
        </w:rPr>
        <w:t xml:space="preserve">Pub date: </w:t>
      </w:r>
      <w:r>
        <w:t>2026-05-26 15:31:26+00:00</w:t>
      </w:r>
      <w:r>
        <w:t xml:space="preserve">    </w:t>
      </w:r>
      <w:r>
        <w:rPr>
          <w:b/>
        </w:rPr>
        <w:t xml:space="preserve">DOI: </w:t>
      </w:r>
      <w:hyperlink r:id="rId212">
        <w:r>
          <w:rPr>
            <w:color w:val="1155CC"/>
            <w:u w:val="single"/>
          </w:rPr>
          <w:t>10.1021/jacs.6c02221</w:t>
        </w:r>
      </w:hyperlink>
    </w:p>
    <w:p>
      <w:pPr>
        <w:spacing w:before="0" w:after="120"/>
      </w:pPr>
      <w:r>
        <w:rPr>
          <w:b/>
        </w:rPr>
        <w:t xml:space="preserve">Notes: </w:t>
      </w:r>
      <w:r>
        <w:t>abstract_source=pubmed</w:t>
      </w:r>
    </w:p>
    <w:p>
      <w:pPr>
        <w:spacing w:before="0" w:after="80" w:lineRule="auto" w:line="276"/>
      </w:pPr>
      <w:r>
        <w:rPr>
          <w:b/>
        </w:rPr>
        <w:t xml:space="preserve">摘要（ZH）: </w:t>
      </w:r>
      <w:r>
        <w:t>黑色磷烯纳米带（PNR）是一种独特的准一维纳米材料，由于其可调谐带隙、磁性和室温下半导体基态等特性而引起了人们的极大兴趣。然而，PNR 的可扩展合成仍然是一个相当大的挑战。我们报告了通过黑磷（BP）粉末的固体锂化以及随后剥离成纳米带的可扩展拓扑化学合成PNR。所生产的 PNR 平均长度为 3.48 μm，长宽比高达 137，单个纳米带的最小厚度为 5 层，平均厚度为 14 层。该方法收率高达61%，粉体生产规模为10g，胶体分散体达到升级。通过丝网印刷，PNR 可以在织物基材上轻松加工成多功能、灵活的设备。纤维素/(DMF分散的PNR)(Cel/D-PNR)柔性薄膜具有优异的阻燃性能，极限氧指数(LOI)达到33%。 PNR 负载的 Co 纳米粒子 (Cox-PNR) 具有出色的析氧反应 (OER) 性能，在 10 mA/cm2 下的过电势仅为 350 mV。这项工作允许扩展 PNR 的生产，以探索其在柔性电子和能源转换中的潜在应用。</w:t>
      </w:r>
    </w:p>
    <w:p>
      <w:pPr>
        <w:spacing w:before="0" w:after="200" w:lineRule="auto" w:line="276"/>
      </w:pPr>
      <w:r>
        <w:rPr>
          <w:b/>
        </w:rPr>
        <w:t xml:space="preserve">Abstract (EN): </w:t>
      </w:r>
      <w:r>
        <w:t>Black phosphorene nanoribbons (PNRs) are unique quasi-1D nanomaterials that have attracted enormous interest due to their properties, such as tunable bandgap, magnetism, and semiconducting ground states at room temperature. However, the scalable synthesis of PNRs has remained a considerable challenge. We report the scalable topochemical synthesis of PNRs by the solid lithiation of black phosphorus (BP) powder and subsequent exfoliation into nanoribbons. The produced PNRs have an average length of 3.48 μm, an aspect ratio up to 137, a minimum thickness of 5 layers for individual nanoribbons, and an average thickness of 14 layers. This method has a high yield of 61%, a powder production scale of 10 g, and a liter-range colloidal dispersion. The PNRs can be easily processed into versatile, flexible devices on a fabric substrate by screen printing. A cellulose/(DMF-dispersed PNR) (Cel/D-PNR) flexible film has excellent flame-retardant properties, with a limiting oxygen index (LOI) reaching 33%. PNR-supported Co nanoparticles (Cox-PNR) had an outstanding oxygen evolution reaction (OER) performance with an overpotential of only 350 mV at 10 mA/cm2. This work allows the scalable production of PNRs in order to explore their potential applications in flexible electronics and energy conversion.</w:t>
      </w:r>
    </w:p>
    <w:p>
      <w:pPr>
        <w:spacing w:before="120" w:after="120"/>
      </w:pPr>
      <w:r>
        <w:rPr>
          <w:sz w:val="18"/>
        </w:rPr>
        <w:t>——————————————————————————————————————————————————————————————————————</w:t>
      </w:r>
    </w:p>
    <w:p>
      <w:pPr>
        <w:spacing w:before="160" w:after="40" w:line="240" w:lineRule="auto"/>
      </w:pPr>
      <w:r>
        <w:rPr>
          <w:b/>
        </w:rPr>
        <w:t xml:space="preserve">[21] </w:t>
      </w:r>
      <w:hyperlink r:id="rId213">
        <w:r>
          <w:rPr>
            <w:color w:val="1155CC"/>
            <w:u w:val="single"/>
          </w:rPr>
          <w:t>通过高熵合金的分级中继催化解耦动力学耦合步骤实现高效氨分解</w:t>
        </w:r>
      </w:hyperlink>
    </w:p>
    <w:p>
      <w:pPr>
        <w:spacing w:before="0" w:after="80"/>
      </w:pPr>
      <w:r>
        <w:rPr>
          <w:i/>
          <w:sz w:val="20"/>
        </w:rPr>
        <w:t>EN: Decoupling Kinetically Coupled Steps via Hierarchical Relay Catalysis on High‐Entropy Alloy for Efficient Ammonia Decomposition</w:t>
      </w:r>
    </w:p>
    <w:p>
      <w:pPr>
        <w:spacing w:before="0" w:after="120"/>
      </w:pPr>
      <w:r>
        <w:rPr>
          <w:b/>
        </w:rPr>
        <w:t xml:space="preserve">Source: </w:t>
      </w:r>
      <w:r>
        <w:t>Wiley: Angewandte Chemie International Edition: Table of Contents</w:t>
      </w:r>
      <w:r>
        <w:t xml:space="preserve">    </w:t>
      </w:r>
      <w:r>
        <w:rPr>
          <w:b/>
        </w:rPr>
        <w:t xml:space="preserve">Pub date: </w:t>
      </w:r>
      <w:r>
        <w:t>2026-05-26 16:29:49+00:00</w:t>
      </w:r>
      <w:r>
        <w:t xml:space="preserve">    </w:t>
      </w:r>
      <w:r>
        <w:rPr>
          <w:b/>
        </w:rPr>
        <w:t xml:space="preserve">DOI: </w:t>
      </w:r>
      <w:hyperlink r:id="rId214">
        <w:r>
          <w:rPr>
            <w:color w:val="1155CC"/>
            <w:u w:val="single"/>
          </w:rPr>
          <w:t>10.1002/anie.5529813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氨（NH</w:t>
      </w:r>
      <w:r>
        <w:rPr>
          <w:vertAlign w:val="subscript"/>
        </w:rPr>
        <w:t>3</w:t>
      </w:r>
      <w:r>
        <w:t>）由于其较高的重量储氢密度（17.6 wt%）而成为一种很有前途的氢载体，但其实际应用受到中等温度下缓慢分解动力学的阻碍。对于常用的钌基催化剂，反应仍然受到动力学耦合基本步骤的限制，包括 N-H 键活化和抑制的 H 解吸。在此，我们提出了一种由RuNiCoFeMo高熵合金（HEA）催化剂实现的分级接力催化策略，其中不同的金属中心合理地集成以调节单个催化框架内的各个基本步骤。具体来说，NiCoFe位点优先促进连续的N-H键断裂，而Mo的掺入则以电子方式调节合金，以削弱金属-H相互作用并抑制氢中毒，从而打破多个基本步骤的尺度限制。因此，优化的催化剂表现出约。 NH 分别高 56% 和 54%</w:t>
      </w:r>
      <w:r>
        <w:rPr>
          <w:vertAlign w:val="subscript"/>
        </w:rPr>
        <w:t>3</w:t>
      </w:r>
      <w:r>
        <w:t>和H</w:t>
      </w:r>
      <w:r>
        <w:rPr>
          <w:vertAlign w:val="subscript"/>
        </w:rPr>
        <w:t>2</w:t>
      </w:r>
      <w:r>
        <w:t>分别相对于单金属 Ru 的反应级数，表明 NH 增强</w:t>
      </w:r>
      <w:r>
        <w:rPr>
          <w:vertAlign w:val="subscript"/>
        </w:rPr>
        <w:t>3</w:t>
      </w:r>
      <w:r>
        <w:t>活化并减轻氢中毒。这些动力学优势转化为 NH 的三倍增加</w:t>
      </w:r>
      <w:r>
        <w:rPr>
          <w:vertAlign w:val="subscript"/>
        </w:rPr>
        <w:t>3</w:t>
      </w:r>
      <w:r>
        <w:t>转换和H</w:t>
      </w:r>
      <w:r>
        <w:rPr>
          <w:vertAlign w:val="subscript"/>
        </w:rPr>
        <w:t>2</w:t>
      </w:r>
      <w:r>
        <w:t>产量，达到约。 80% 氨</w:t>
      </w:r>
      <w:r>
        <w:rPr>
          <w:vertAlign w:val="subscript"/>
        </w:rPr>
        <w:t>3</w:t>
      </w:r>
      <w:r>
        <w:t>转换为 4</w:t>
      </w:r>
    </w:p>
    <w:p>
      <w:pPr>
        <w:spacing w:before="0" w:after="200" w:lineRule="auto" w:line="276"/>
      </w:pPr>
      <w:r>
        <w:rPr>
          <w:b/>
        </w:rPr>
        <w:t xml:space="preserve">Abstract (EN): </w:t>
      </w:r>
      <w:r>
        <w:t>Ammonia (NH</w:t>
      </w:r>
      <w:r>
        <w:rPr>
          <w:vertAlign w:val="subscript"/>
        </w:rPr>
        <w:t>3</w:t>
      </w:r>
      <w:r>
        <w:t>) is a promising hydrogen carrier owing to its high gravimetric hydrogen storage density (17.6 wt%), but its practical utilization is hindered by sluggish decomposition kinetics at moderate temperatures. For commonly used Ru‐based catalysts, the reaction remains constrained by kinetically coupled elementary steps, including both N‐H bond activation and inhibited H desorption. Herein, we propose a hierarchical relay catalysis strategy enabled by a RuNiCoFeMo high‐entropy‐alloy (HEA) catalyst, wherein distinct metallic centers are rationally integrated to regulate individual elementary steps within a single catalytic framework. Specifically, NiCoFe sites preferentially promote sequential N‐H bond scission, while Mo incorporation electronically modulates the alloy to weaken metal‐H interactions and suppress hydrogen poisoning, thereby breaking scaling constraints across multiple elementary steps. Consequently, the optimized catalyst exhibits ca. 56% and 54% higher NH</w:t>
      </w:r>
      <w:r>
        <w:rPr>
          <w:vertAlign w:val="subscript"/>
        </w:rPr>
        <w:t>3</w:t>
      </w:r>
      <w:r>
        <w:t>and H</w:t>
      </w:r>
      <w:r>
        <w:rPr>
          <w:vertAlign w:val="subscript"/>
        </w:rPr>
        <w:t>2</w:t>
      </w:r>
      <w:r>
        <w:t>reaction orders relative to the monometallic Ru, respectively, indicating enhanced NH</w:t>
      </w:r>
      <w:r>
        <w:rPr>
          <w:vertAlign w:val="subscript"/>
        </w:rPr>
        <w:t>3</w:t>
      </w:r>
      <w:r>
        <w:t>activation and alleviated hydrogen poisoning. These kinetic benefits translate into a threefold increase in NH</w:t>
      </w:r>
      <w:r>
        <w:rPr>
          <w:vertAlign w:val="subscript"/>
        </w:rPr>
        <w:t>3</w:t>
      </w:r>
      <w:r>
        <w:t>conversion and H</w:t>
      </w:r>
      <w:r>
        <w:rPr>
          <w:vertAlign w:val="subscript"/>
        </w:rPr>
        <w:t>2</w:t>
      </w:r>
      <w:r>
        <w:t>production, reaching ca. 80% NH</w:t>
      </w:r>
      <w:r>
        <w:rPr>
          <w:vertAlign w:val="subscript"/>
        </w:rPr>
        <w:t>3</w:t>
      </w:r>
      <w:r>
        <w:t>conversion at 450°C, which is among the highest activities reported for Ru‐based catalysts. This work provides a general design principle for catalyst design in complex multistep reactions beyond NH</w:t>
      </w:r>
      <w:r>
        <w:rPr>
          <w:vertAlign w:val="subscript"/>
        </w:rPr>
        <w:t>3</w:t>
      </w:r>
      <w:r>
        <w:t>decomposition.</w:t>
      </w:r>
    </w:p>
    <w:p>
      <w:pPr>
        <w:spacing w:before="120" w:after="120"/>
      </w:pPr>
      <w:r>
        <w:rPr>
          <w:sz w:val="18"/>
        </w:rPr>
        <w:t>——————————————————————————————————————————————————————————————————————</w:t>
      </w:r>
    </w:p>
    <w:p>
      <w:pPr>
        <w:spacing w:before="160" w:after="40" w:line="240" w:lineRule="auto"/>
      </w:pPr>
      <w:r>
        <w:rPr>
          <w:b/>
        </w:rPr>
        <w:t xml:space="preserve">[22] </w:t>
      </w:r>
      <w:hyperlink r:id="rId215">
        <w:r>
          <w:rPr>
            <w:color w:val="1155CC"/>
            <w:u w:val="single"/>
          </w:rPr>
          <w:t>[ASAP] 吸附质电荷协同重建末端活性 Co-OH 位点的操作成像</w:t>
        </w:r>
      </w:hyperlink>
    </w:p>
    <w:p>
      <w:pPr>
        <w:spacing w:before="0" w:after="80"/>
      </w:pPr>
      <w:r>
        <w:rPr>
          <w:i/>
          <w:sz w:val="20"/>
        </w:rPr>
        <w:t>EN: [ASAP] Operando Imaging of Adsorbate-Charge Cooperative Reconstruction into Terminal Active Co–OH Sites</w:t>
      </w:r>
    </w:p>
    <w:p>
      <w:pPr>
        <w:spacing w:before="0" w:after="120"/>
      </w:pPr>
      <w:r>
        <w:rPr>
          <w:b/>
        </w:rPr>
        <w:t xml:space="preserve">Source: </w:t>
      </w:r>
      <w:r>
        <w:t>Journal of the American Chemical Society: Latest Articles (ACS Publications)</w:t>
      </w:r>
      <w:r>
        <w:t xml:space="preserve">    </w:t>
      </w:r>
      <w:r>
        <w:rPr>
          <w:b/>
        </w:rPr>
        <w:t xml:space="preserve">Pub date: </w:t>
      </w:r>
      <w:r>
        <w:t>2026-05-26 18:51:59+00:00</w:t>
      </w:r>
      <w:r>
        <w:t xml:space="preserve">    </w:t>
      </w:r>
      <w:r>
        <w:rPr>
          <w:b/>
        </w:rPr>
        <w:t xml:space="preserve">DOI: </w:t>
      </w:r>
      <w:hyperlink r:id="rId216">
        <w:r>
          <w:rPr>
            <w:color w:val="1155CC"/>
            <w:u w:val="single"/>
          </w:rPr>
          <w:t>10.1021/jacs.6c06054</w:t>
        </w:r>
      </w:hyperlink>
    </w:p>
    <w:p>
      <w:pPr>
        <w:spacing w:before="0" w:after="120"/>
      </w:pPr>
      <w:r>
        <w:rPr>
          <w:b/>
        </w:rPr>
        <w:t xml:space="preserve">Notes: </w:t>
      </w:r>
      <w:r>
        <w:t>abstract_source=pubmed</w:t>
      </w:r>
    </w:p>
    <w:p>
      <w:pPr>
        <w:spacing w:before="0" w:after="80" w:lineRule="auto" w:line="276"/>
      </w:pPr>
      <w:r>
        <w:rPr>
          <w:b/>
        </w:rPr>
        <w:t xml:space="preserve">摘要（ZH）: </w:t>
      </w:r>
      <w:r>
        <w:t>层状过渡金属（羟基）氢氧化物是高活性的析氧反应（OER）催化剂，但其结构动力学的起源以及控制活性位点形成和电荷补偿的预OER氧化还原过程仍不清楚。在这里，我们引入了吸附物和电荷协同活化框架：反应中间体和局部电荷补偿共同诱导和稳定具有催化能力的配位/价态基序。 Operando成像和DFT计算表明，在OER条件下，四面体和欠配位边缘Co位点转化为亚稳态末端八面体Co-OH基序。这些基序介导 OH- 吸附并稳定氧中间体，作为后续氧析出的关键引发中心。伴随的电子重组增加了费米能级附近的状态并增强了电子转移。从机制上讲，活化过程通过两个电位依赖阶段进行：初始吸附和电荷驱动形成活性Co-OH稳定的八面体基序，随后进行更高电位的晶格氧化，该氧化不会产生新的活性位点，而是构建电荷存储主体框架，从而在功能上区分活性位点生成和晶格电荷调节。该框架稳定并电子优化了活性 Co-OH 中心。这一分配得到了原位 XRD (11° → 12.5° → 13°) 的证实，与 DFT 模拟衍射和横截面 STEM (∼0.68 nm) 一致。总的来说，这些结果揭示了预氧化引发的 Co-OH m 的形成</w:t>
      </w:r>
    </w:p>
    <w:p>
      <w:pPr>
        <w:spacing w:before="0" w:after="200" w:lineRule="auto" w:line="276"/>
      </w:pPr>
      <w:r>
        <w:rPr>
          <w:b/>
        </w:rPr>
        <w:t xml:space="preserve">Abstract (EN): </w:t>
      </w:r>
      <w:r>
        <w:t>Layered transition-metal (oxy)hydroxides are highly active oxygen evolution reaction (OER) catalysts, yet the origins of their structural dynamics and the pre-OER redox processes governing active-site formation and charge compensation remain unclear. Here we introduce an adsorbate-and-charge cooperative activation framework: reaction intermediates and local charge compensation jointly induce and stabilize catalytically competent coordination/valence motifs. Operando imaging and DFT calculations reveal that, under OER conditions, tetrahedral and undercoordinated edge Co sites convert into metastable terminal octahedral Co-OH motifs. These motifs mediate OH- adsorption and stabilize oxygen intermediates, serving as key initiation centers for subsequent oxygen evolution. Concomitant electronic restructuring increases states near the Fermi level and enhances electron transfer. Mechanistically, activation proceeds via two potential-dependent stages: an initial adsorbate- and charge-driven formation of active Co-OH-stabilized octahedral motifs, followed by higher-potential lattice oxidation that does not generate new active sites but instead constructs a charge-storage host framework, thereby functionally distinguishing active-site generation from lattice charge regulation. This framework stabilizes and electronically optimizes the active Co-OH centers. This assignment is corroborated by in situ XRD (11° → 12.5° → 13°), consistent with DFT-simulated diffraction and cross-sectional STEM (∼0.68 nm). Collectively, these results uncover the preoxidation-triggered formation of Co-OH motifs as a key origin of terminal Co activity and reveal the intrinsically reaction- and charge-coupled dynamic nature of layered transition-metal (oxy)hydroxide catalysts, providing a conceptual foundation for designing dynamically adaptive electrocatalysts.</w:t>
      </w:r>
    </w:p>
    <w:p>
      <w:pPr>
        <w:spacing w:before="120" w:after="120"/>
      </w:pPr>
      <w:r>
        <w:rPr>
          <w:sz w:val="18"/>
        </w:rPr>
        <w:t>——————————————————————————————————————————————————————————————————————</w:t>
      </w:r>
    </w:p>
    <w:p>
      <w:pPr>
        <w:spacing w:before="160" w:after="40" w:line="240" w:lineRule="auto"/>
      </w:pPr>
      <w:r>
        <w:rPr>
          <w:b/>
        </w:rPr>
        <w:t xml:space="preserve">[23] </w:t>
      </w:r>
      <w:hyperlink r:id="rId217">
        <w:r>
          <w:rPr>
            <w:color w:val="1155CC"/>
            <w:u w:val="single"/>
          </w:rPr>
          <w:t>解开助催化剂-半导体异质结中的活性-电荷耦合以优化析氧</w:t>
        </w:r>
      </w:hyperlink>
    </w:p>
    <w:p>
      <w:pPr>
        <w:spacing w:before="0" w:after="80"/>
      </w:pPr>
      <w:r>
        <w:rPr>
          <w:i/>
          <w:sz w:val="20"/>
        </w:rPr>
        <w:t>EN: Disentangling the Activity-Charge Coupling in Cocatalyst-Semiconductor Heterojunctions for Optimized Oxygen Evolution</w:t>
      </w:r>
    </w:p>
    <w:p>
      <w:pPr>
        <w:spacing w:before="0" w:after="120"/>
      </w:pPr>
      <w:r>
        <w:rPr>
          <w:b/>
        </w:rPr>
        <w:t xml:space="preserve">Source: </w:t>
      </w:r>
      <w:r>
        <w:t>RSC - Energy Environ. Sci. latest articles</w:t>
      </w:r>
      <w:r>
        <w:t xml:space="preserve">    </w:t>
      </w:r>
      <w:r>
        <w:rPr>
          <w:b/>
        </w:rPr>
        <w:t xml:space="preserve">Pub date: </w:t>
      </w:r>
      <w:r>
        <w:t>2026-05-26 23:00:00+00:00</w:t>
      </w:r>
    </w:p>
    <w:p>
      <w:pPr>
        <w:spacing w:before="0" w:after="120"/>
      </w:pPr>
      <w:r>
        <w:rPr>
          <w:b/>
        </w:rPr>
        <w:t xml:space="preserve">Notes: </w:t>
      </w:r>
      <w:r>
        <w:t>abstract_source=rsc_html</w:t>
      </w:r>
    </w:p>
    <w:p>
      <w:pPr>
        <w:spacing w:before="0" w:after="80" w:lineRule="auto" w:line="276"/>
      </w:pPr>
      <w:r>
        <w:rPr>
          <w:b/>
        </w:rPr>
        <w:t xml:space="preserve">摘要（ZH）: </w:t>
      </w:r>
      <w:r>
        <w:t>光催化中的解耦助催化剂效应通常与增强光载流子积累和提高内在催化活性（ICA）交织在一起，对于合理的光催化剂设计至关重要但也具有挑战性。使用助催化剂-IrO2/TiO2异质结作为原型，我们将从头算分子动力学与第一原理微动力学模型相结合，以阐明不同光强度下水界面的析氧反应（OER）机制。我们的分析揭示了 IrO2 如何调节光空穴收集以调节水活化和 O-O 耦合，从而能够定量分离 IC​​A 与助催化剂介导的效应。令人惊讶的是，ICA 中的 IrO2/TiO2 并不超过裸露的 TiO2，因为表面 Ir 位点处过强的氧结合阻碍了 O-O 键的形成。相反，O2 转换的增强源于表面空穴浓度的增加，这得益于 IrO2 卓越的空穴积累能力 (HAC) 和肖特基结的形成，从而补偿了其有限的 ICA。将此分析扩展到具有不同氧亲和力的金红石型金属氧化物助催化剂，揭示了一种内在的 ICA-HAC 跷跷板关系，该关系产生了火山型 OER 活性趋势。我们进一步将功函数 (ɸ) 确定为统一描述符，预计中等 ɸ 助催化剂（例如 RhO2 和 CrO2）可通过平衡这些竞争效应来提供最佳性能。这项研究首次定量阐明了助催化剂的功能，建立了高效 OER 助催化剂的一般设计原则。</w:t>
      </w:r>
    </w:p>
    <w:p>
      <w:pPr>
        <w:spacing w:before="0" w:after="200" w:lineRule="auto" w:line="276"/>
      </w:pPr>
      <w:r>
        <w:rPr>
          <w:b/>
        </w:rPr>
        <w:t xml:space="preserve">Abstract (EN): </w:t>
      </w:r>
      <w:r>
        <w:t>Decoupling cocatalyst effects in photocatalysis, often intertwined between enhancing photocarrier accumulation and boosting intrinsic catalytic activity (ICA), is essential yet challenging for rational photocatalyst design. Using cocatalyst-IrO2/TiO2 heterojunction as a prototype, we integrate ab initio molecular dynamics with first-principles microkinetic modeling to elucidate the oxygen evolution reaction (OER) mechanism at the aqueous interface under varying light intensities. Our analysis reveals how IrO2 modulates photo-hole harvesting to regulate water activation and O-O coupling, enabling a quantitative separation of ICA from cocatalyst-mediated effects. Surprisingly, IrO2/TiO2 does not exceed bare TiO2 in ICA, as excessively strong oxygen binding at surface Ir sites hinders O-O bond formation. Instead, the enhanced O2 turnover originates from an increased surface hole concentration, facilitated by the superior hole accumulation capacity (HAC) of IrO2 and the formation of Schottky junction, which compensate for its limited ICA. Extending this analysis to rutile-type metal oxide cocatalysts with varying oxygen affinities uncovers an intrinsic ICA-HAC seesaw relationship that gives rise to a volcanotype OER activity trend. We further identify the work function (ɸ) as a unifying descriptor, with moderate-ɸ cocatalysts (e.g., RhO2 and CrO2 ) predicted to deliver optimal performance by balancing these competing effects. This study provides the first quantitative disentanglement of cocatalyst functions, establishing a general design principle for efficient OER cocatalysts.</w:t>
      </w:r>
    </w:p>
    <w:p>
      <w:pPr>
        <w:spacing w:before="120" w:after="120"/>
      </w:pPr>
      <w:r>
        <w:rPr>
          <w:sz w:val="18"/>
        </w:rPr>
        <w:t>——————————————————————————————————————————————————————————————————————</w:t>
      </w:r>
    </w:p>
    <w:p>
      <w:pPr>
        <w:spacing w:before="160" w:after="40" w:line="240" w:lineRule="auto"/>
      </w:pPr>
      <w:r>
        <w:rPr>
          <w:b/>
        </w:rPr>
        <w:t xml:space="preserve">[24] </w:t>
      </w:r>
      <w:hyperlink r:id="rId218">
        <w:r>
          <w:rPr>
            <w:color w:val="1155CC"/>
            <w:u w:val="single"/>
          </w:rPr>
          <w:t>电化学析氢气-液-固三相界面的多尺度微环境工程</w:t>
        </w:r>
      </w:hyperlink>
    </w:p>
    <w:p>
      <w:pPr>
        <w:spacing w:before="0" w:after="80"/>
      </w:pPr>
      <w:r>
        <w:rPr>
          <w:i/>
          <w:sz w:val="20"/>
        </w:rPr>
        <w:t>EN: Multiscale Microenvironment Engineering at Gas-Liquid-Solid Triple-Phase Interface for Electrochemical Hydrogen Evolution</w:t>
      </w:r>
    </w:p>
    <w:p>
      <w:pPr>
        <w:spacing w:before="0" w:after="120"/>
      </w:pPr>
      <w:r>
        <w:rPr>
          <w:b/>
        </w:rPr>
        <w:t xml:space="preserve">Source: </w:t>
      </w:r>
      <w:r>
        <w:t>RSC - Energy Environ. Sci. latest articles</w:t>
      </w:r>
      <w:r>
        <w:t xml:space="preserve">    </w:t>
      </w:r>
      <w:r>
        <w:rPr>
          <w:b/>
        </w:rPr>
        <w:t xml:space="preserve">Pub date: </w:t>
      </w:r>
      <w:r>
        <w:t>2026-05-26 23:00:00+00:00</w:t>
      </w:r>
    </w:p>
    <w:p>
      <w:pPr>
        <w:spacing w:before="0" w:after="120"/>
      </w:pPr>
      <w:r>
        <w:rPr>
          <w:b/>
        </w:rPr>
        <w:t xml:space="preserve">Notes: </w:t>
      </w:r>
      <w:r>
        <w:t>abstract_source=rsc_html</w:t>
      </w:r>
    </w:p>
    <w:p>
      <w:pPr>
        <w:spacing w:before="0" w:after="80" w:lineRule="auto" w:line="276"/>
      </w:pPr>
      <w:r>
        <w:rPr>
          <w:b/>
        </w:rPr>
        <w:t xml:space="preserve">摘要（ZH）: </w:t>
      </w:r>
      <w:r>
        <w:t>电催化析氢反应（HER）已成为可持续制氢的一种有前景的策略。与当前主要关注催化剂设计的评论相反，这篇评论提供了对 HER 气-液-固三相界面多尺度微环境工程的深入了解。我们从原子/分子水平、介观尺度和宏观微环境工程三个方面阐述了最新进展。基于代表性研究，详细讨论了每个类别的独特特征、潜在机制和监管策略，强调了它们在 HER 中的前景。本综述最后对 HER 微环境工程的挑战和未来方向进行了展望，为开发高效、耐用的制氢系统提供了指导。</w:t>
      </w:r>
    </w:p>
    <w:p>
      <w:pPr>
        <w:spacing w:before="0" w:after="200" w:lineRule="auto" w:line="276"/>
      </w:pPr>
      <w:r>
        <w:rPr>
          <w:b/>
        </w:rPr>
        <w:t xml:space="preserve">Abstract (EN): </w:t>
      </w:r>
      <w:r>
        <w:t>The electrocatalytic hydrogen evolution reaction (HER) has emerged as a promising strategy for sustainable hydrogen production. Contrary to current reviews that primarily focus on catalyst design, this review offers an insight into multiscale microenvironment engineering at the gas-liquid-solid triple-phase interface for HER. We elaborate on the latest developments from three aspects, including atomic/molecular-level, mesoscale, and macroscale microenvironment engineering. Based on representative studies, the unique characteristics, underlying mechanisms, and regulatory strategies of each category are discussed in detail, emphasizing their prospects in HER. This review concludes with a perspective on the challenges and future directions in microenvironment engineering for HER, offering guidance for the development of efficient and durable hydrogen production systems.</w:t>
      </w:r>
    </w:p>
    <w:p>
      <w:pPr>
        <w:spacing w:before="120" w:after="120"/>
      </w:pPr>
      <w:r>
        <w:rPr>
          <w:sz w:val="18"/>
        </w:rPr>
        <w:t>——————————————————————————————————————————————————————————————————————</w:t>
      </w:r>
    </w:p>
    <w:p>
      <w:pPr>
        <w:spacing w:before="160" w:after="40" w:line="240" w:lineRule="auto"/>
      </w:pPr>
      <w:r>
        <w:rPr>
          <w:b/>
        </w:rPr>
        <w:t xml:space="preserve">[25] </w:t>
      </w:r>
      <w:hyperlink r:id="rId219">
        <w:r>
          <w:rPr>
            <w:color w:val="1155CC"/>
            <w:u w:val="single"/>
          </w:rPr>
          <w:t>基于聚酮合酶的聚环丙烷化燃料分子的受控合成</w:t>
        </w:r>
      </w:hyperlink>
    </w:p>
    <w:p>
      <w:pPr>
        <w:spacing w:before="0" w:after="80"/>
      </w:pPr>
      <w:r>
        <w:rPr>
          <w:i/>
          <w:sz w:val="20"/>
        </w:rPr>
        <w:t>EN: Polyketide synthase-based controlled synthesis of polycyclopropanated fuel molecules</w:t>
      </w:r>
    </w:p>
    <w:p>
      <w:pPr>
        <w:spacing w:before="0" w:after="120"/>
      </w:pPr>
      <w:r>
        <w:rPr>
          <w:b/>
        </w:rPr>
        <w:t xml:space="preserve">Source: </w:t>
      </w:r>
      <w:r>
        <w:t>Biological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Reducing carbon emissions from aviation and long-distance transportation sectors requires the development of sustainable biofuels with suitable energy density, freezing point, and other physical properties. We previously demonstrated biological production of high energy polycyclopropanated fatty acids (POP-FAs, class I) using an iterative polyketide synthase (iPKS) pathway in a Streptomyces host. Here, we used a computational model of fuel properties to identify chain length and cyclopropanation control as critical steps to engineer this iPKS for biofuel applications.接下来，我们通过研究同源途径来探索 POP 生物合成的自然多样性。然后，通过体内基因交换，我们确定环丙烷酶 (CP) 催化是 POP-FA 工程的关键。 Leveraging both natural and engineered pathway product diversity, we demonstrate targeted production of improved POP-FAs, namely shortened POP-FAs with predicted superior freezing point properties for aviation, as well as fully cyclopropane-saturated POP-FAs which should have superior energy-density.这些对 POP-FA 结构的精确可控修改为设计 POP 燃料的生物生产打开了大门。</w:t>
      </w:r>
    </w:p>
    <w:p>
      <w:pPr>
        <w:spacing w:before="0" w:after="200" w:lineRule="auto" w:line="276"/>
      </w:pPr>
      <w:r>
        <w:rPr>
          <w:b/>
        </w:rPr>
        <w:t xml:space="preserve">Abstract (EN): </w:t>
      </w:r>
      <w:r>
        <w:t>Reducing carbon emissions from aviation and long-distance transportation sectors requires the development of sustainable biofuels with suitable energy density, freezing point, and other physical properties. We previously demonstrated biological production of high energy polycyclopropanated fatty acids (POP-FAs, class I) using an iterative polyketide synthase (iPKS) pathway in a Streptomyces host. Here, we used a computational model of fuel properties to identify chain length and cyclopropanation control as critical steps to engineer this iPKS for biofuel applications. We next explored the natural diversity of POP biosynthesis by investigating homologous pathways. Then, by in vivo gene exchange, we determined cyclopropanase (CP) catalysis to be key for POP-FA engineering. Leveraging both natural and engineered pathway product diversity, we demonstrate targeted production of improved POP-FAs, namely shortened POP-FAs with predicted superior freezing point properties for aviation, as well as fully cyclopropane-saturated POP-FAs which should have superior energy-density. These precise and controllable modifications to POP-FA structure open the door for bioproduction of designer POP fuels.</w:t>
      </w:r>
    </w:p>
    <w:p>
      <w:pPr>
        <w:spacing w:before="120" w:after="120"/>
      </w:pPr>
      <w:r>
        <w:rPr>
          <w:sz w:val="18"/>
        </w:rPr>
        <w:t>——————————————————————————————————————————————————————————————————————</w:t>
      </w:r>
    </w:p>
    <w:p>
      <w:pPr>
        <w:spacing w:before="160" w:after="40" w:line="240" w:lineRule="auto"/>
      </w:pPr>
      <w:r>
        <w:rPr>
          <w:b/>
        </w:rPr>
        <w:t xml:space="preserve">[26] </w:t>
      </w:r>
      <w:hyperlink r:id="rId220">
        <w:r>
          <w:rPr>
            <w:color w:val="1155CC"/>
            <w:u w:val="single"/>
          </w:rPr>
          <w:t>通过表面活性剂凝聚层进行的水工程可实现高效、稳健的太阳能析氢</w:t>
        </w:r>
      </w:hyperlink>
    </w:p>
    <w:p>
      <w:pPr>
        <w:spacing w:before="0" w:after="80"/>
      </w:pPr>
      <w:r>
        <w:rPr>
          <w:i/>
          <w:sz w:val="20"/>
        </w:rPr>
        <w:t>EN: Water engineering via surfactant coacervates enables efficient and robust solar hydrogen evolution</w:t>
      </w:r>
    </w:p>
    <w:p>
      <w:pPr>
        <w:spacing w:before="0" w:after="120"/>
      </w:pPr>
      <w:r>
        <w:rPr>
          <w:b/>
        </w:rPr>
        <w:t xml:space="preserve">Source: </w:t>
      </w:r>
      <w:r>
        <w:t>Physical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水在光合作用中至关重要，它既充当反应物又充当调节电荷传输和反应动力学的介质。虽然催化剂设计受到了广泛关注，但水结构对反应活性的影响几乎仍未被探索。在这里，我们报告通过表面活性剂凝聚层进行水工程可以显着提高人工光合作用制氢的性能。通过在破坏的氢键网络内创建动态水性凝聚层相，我们创造了产生更活跃、无序水分子的环境。这种调整后的水态在甲醇水溶液中产生了 918 mmol·g−1·h−1 的稳定析氢速率和 420 nm 处 69% 的表观量子效率，表现出具有竞争力的催化性能。光谱和量热表征以及计算模拟表明，表面活性剂凝聚层增加了中间水的量，同时削弱了氢键，从而降低了表观活化能，促进了电荷转移，并促进了高效催化。这项研究提出了一种调节水结构以增强太阳能制氢催化反应活性的方法，在涉及水的催化系统中具有广泛的应用潜力。</w:t>
      </w:r>
    </w:p>
    <w:p>
      <w:pPr>
        <w:spacing w:before="0" w:after="200" w:lineRule="auto" w:line="276"/>
      </w:pPr>
      <w:r>
        <w:rPr>
          <w:b/>
        </w:rPr>
        <w:t xml:space="preserve">Abstract (EN): </w:t>
      </w:r>
      <w:r>
        <w:t>Water is essential in photosynthesis, acting both as a reactant and a medium regulating charge transport and reaction kinetics. While catalyst design has received significant attention, the impact of water structure on reactivity remains almost unexplored. Here, we report that water engineering via surfactant coacervates can significantly improve the performance of artificial photosynthesis for hydrogen production. By creating dynamic aqueous coacervate phases within a disrupted hydrogen-bond network, we create environments that yield more active, disordered water molecules. This tuned water state yields a stable hydrogen evolution rate of 918 mmol·g−1·h−1 and an apparent quantum efficiency of 69% at 420 nm in an aqueous methanol solution, demonstrating competitive catalytic performance. Spectroscopic and calorimetric characterizations, as well as computational simulations, indicate that surfactant coacervates increase the amount of intermediate water while weakening hydrogen bonding, thereby reducing the apparent activation energy, promoting charge transfer, and facilitating efficient catalysis. This study presents an approach to regulate water structure to enhance catalytic reactivity for solar hydrogen production, with broad potential for applications in water-involved catalytic systems.</w:t>
      </w:r>
    </w:p>
    <w:p>
      <w:pPr>
        <w:spacing w:before="120" w:after="120"/>
      </w:pPr>
      <w:r>
        <w:rPr>
          <w:sz w:val="18"/>
        </w:rPr>
        <w:t>——————————————————————————————————————————————————————————————————————</w:t>
      </w:r>
    </w:p>
    <w:p>
      <w:pPr>
        <w:spacing w:before="160" w:after="40" w:line="240" w:lineRule="auto"/>
      </w:pPr>
      <w:r>
        <w:rPr>
          <w:b/>
        </w:rPr>
        <w:t xml:space="preserve">[27] </w:t>
      </w:r>
      <w:hyperlink r:id="rId221">
        <w:r>
          <w:rPr>
            <w:color w:val="1155CC"/>
            <w:u w:val="single"/>
          </w:rPr>
          <w:t>作者更正：带电界面降氧水促进高效、持久的电解</w:t>
        </w:r>
      </w:hyperlink>
    </w:p>
    <w:p>
      <w:pPr>
        <w:spacing w:before="0" w:after="80"/>
      </w:pPr>
      <w:r>
        <w:rPr>
          <w:i/>
          <w:sz w:val="20"/>
        </w:rPr>
        <w:t>EN: Author Correction: Electrified interfacial oxygen-down water boosts efficient and durable electrolysis</w:t>
      </w:r>
    </w:p>
    <w:p>
      <w:pPr>
        <w:spacing w:before="0" w:after="120"/>
      </w:pPr>
      <w:r>
        <w:rPr>
          <w:b/>
        </w:rPr>
        <w:t xml:space="preserve">Source: </w:t>
      </w:r>
      <w:r>
        <w:t>Physical sciences : Nature Communications subject feeds</w:t>
      </w:r>
      <w:r>
        <w:t xml:space="preserve">    </w:t>
      </w:r>
      <w:r>
        <w:rPr>
          <w:b/>
        </w:rPr>
        <w:t xml:space="preserve">Pub date: </w:t>
      </w:r>
      <w:r>
        <w:t>2026-05-27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222">
        <w:r>
          <w:rPr>
            <w:color w:val="1155CC"/>
            <w:u w:val="single"/>
          </w:rPr>
          <w:t>根据成本效益优先考虑电解氢的使用：十一条途径的比较分析</w:t>
        </w:r>
      </w:hyperlink>
    </w:p>
    <w:p>
      <w:pPr>
        <w:spacing w:before="0" w:after="80"/>
      </w:pPr>
      <w:r>
        <w:rPr>
          <w:i/>
          <w:sz w:val="20"/>
        </w:rPr>
        <w:t>EN: Prioritizing electrolytic hydrogen use based on cost-effectiveness: A comparative analysis of eleven pathways</w:t>
      </w:r>
    </w:p>
    <w:p>
      <w:pPr>
        <w:spacing w:before="0" w:after="120"/>
      </w:pPr>
      <w:r>
        <w:rPr>
          <w:b/>
        </w:rPr>
        <w:t xml:space="preserve">Source: </w:t>
      </w:r>
      <w:r>
        <w:t>ScienceDirect Publication: Applied Energy</w:t>
      </w:r>
      <w:r>
        <w:t xml:space="preserve">    </w:t>
      </w:r>
      <w:r>
        <w:rPr>
          <w:b/>
        </w:rPr>
        <w:t xml:space="preserve">Pub date: </w:t>
      </w:r>
      <w:r>
        <w:t>2026-05-27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223">
        <w:r>
          <w:rPr>
            <w:color w:val="1155CC"/>
            <w:u w:val="single"/>
          </w:rPr>
          <w:t>电场重建使得低浓度硝酸盐压电合成氨成为可能</w:t>
        </w:r>
      </w:hyperlink>
    </w:p>
    <w:p>
      <w:pPr>
        <w:spacing w:before="0" w:after="80"/>
      </w:pPr>
      <w:r>
        <w:rPr>
          <w:i/>
          <w:sz w:val="20"/>
        </w:rPr>
        <w:t>EN: Electric Field Reconstruction Enables Piezoelectric Ammonia Synthesis From Low‐Concentration Nitrates</w:t>
      </w:r>
    </w:p>
    <w:p>
      <w:pPr>
        <w:spacing w:before="0" w:after="120"/>
      </w:pPr>
      <w:r>
        <w:rPr>
          <w:b/>
        </w:rPr>
        <w:t xml:space="preserve">Source: </w:t>
      </w:r>
      <w:r>
        <w:t>Wiley: Advanced Energy Materials: Table of Contents</w:t>
      </w:r>
      <w:r>
        <w:t xml:space="preserve">    </w:t>
      </w:r>
      <w:r>
        <w:rPr>
          <w:b/>
        </w:rPr>
        <w:t xml:space="preserve">Pub date: </w:t>
      </w:r>
      <w:r>
        <w:t>2026-05-27 05:25:33+00:00</w:t>
      </w:r>
      <w:r>
        <w:t xml:space="preserve">    </w:t>
      </w:r>
      <w:r>
        <w:rPr>
          <w:b/>
        </w:rPr>
        <w:t xml:space="preserve">DOI: </w:t>
      </w:r>
      <w:hyperlink r:id="rId224">
        <w:r>
          <w:rPr>
            <w:color w:val="1155CC"/>
            <w:u w:val="single"/>
          </w:rPr>
          <w:t>10.1002/aenm.71118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将低浓度硝酸盐转化为增值氨（NH</w:t>
      </w:r>
      <w:r>
        <w:rPr>
          <w:vertAlign w:val="subscript"/>
        </w:rPr>
        <w:t>3</w:t>
      </w:r>
      <w:r>
        <w:t>）受到传统光催化和电催化系统中缓慢的动力学和低效的电子利用的阻碍。在此，这项工作提出了一种独特的电场重建策略，以实现硝酸盐高效压电还原为氨。通过 SnS 处的电场重建</w:t>
      </w:r>
      <w:r>
        <w:rPr>
          <w:vertAlign w:val="subscript"/>
        </w:rPr>
        <w:t>2</w:t>
      </w:r>
      <w:r>
        <w:t>/TiC界面，产生强吸附和高活性的催化位点进行活化</w:t>
      </w:r>
      <w:r>
        <w:t xml:space="preserve"> </w:t>
      </w:r>
      <w:r>
        <w:t>*</w:t>
      </w:r>
      <w:r>
        <w:t xml:space="preserve"> </w:t>
      </w:r>
      <w:r>
        <w:t>H 和</w:t>
      </w:r>
      <w:r>
        <w:t xml:space="preserve"> </w:t>
      </w:r>
      <w:r>
        <w:t>*</w:t>
      </w:r>
      <w:r>
        <w:t xml:space="preserve"> </w:t>
      </w:r>
      <w:r>
        <w:t>否</w:t>
      </w:r>
      <w:r>
        <w:rPr>
          <w:vertAlign w:val="subscript"/>
        </w:rPr>
        <w:t>3</w:t>
      </w:r>
      <w:r>
        <w:t>-</w:t>
      </w:r>
      <w:r>
        <w:t>，从而增强脱氧和氢化过程。此外，压电驱动场重建不仅加速了载流子迁移，而且还调制了电子能带，进一步促进了NO的生成。</w:t>
      </w:r>
      <w:r>
        <w:rPr>
          <w:vertAlign w:val="subscript"/>
        </w:rPr>
        <w:t>3</w:t>
      </w:r>
      <w:r>
        <w:t>-</w:t>
      </w:r>
      <w:r>
        <w:t>还原反应（NO</w:t>
      </w:r>
      <w:r>
        <w:rPr>
          <w:vertAlign w:val="subscript"/>
        </w:rPr>
        <w:t>3</w:t>
      </w:r>
      <w:r>
        <w:t>-</w:t>
      </w:r>
      <w:r>
        <w:t>RR）催化。因此，优化的SnS</w:t>
      </w:r>
      <w:r>
        <w:rPr>
          <w:vertAlign w:val="subscript"/>
        </w:rPr>
        <w:t>2</w:t>
      </w:r>
      <w:r>
        <w:t>/TiC异质结构表现出高NH</w:t>
      </w:r>
      <w:r>
        <w:rPr>
          <w:vertAlign w:val="subscript"/>
        </w:rPr>
        <w:t>3</w:t>
      </w:r>
      <w:r>
        <w:t>合成率为 10.26 mmol g</w:t>
      </w:r>
      <w:r>
        <w:t xml:space="preserve"> </w:t>
      </w:r>
      <w:r>
        <w:t>−1</w:t>
      </w:r>
      <w:r>
        <w:t xml:space="preserve"> </w:t>
      </w:r>
      <w:r>
        <w:t>小时</w:t>
      </w:r>
      <w:r>
        <w:t xml:space="preserve"> </w:t>
      </w:r>
      <w:r>
        <w:t>−1</w:t>
      </w:r>
      <w:r>
        <w:t xml:space="preserve"> </w:t>
      </w:r>
      <w:r>
        <w:t>在低浓度下电子利用率高达 98%，超过了大多数先前报道的光催化 NH</w:t>
      </w:r>
      <w:r>
        <w:rPr>
          <w:vertAlign w:val="subscript"/>
        </w:rPr>
        <w:t>3</w:t>
      </w:r>
    </w:p>
    <w:p>
      <w:pPr>
        <w:spacing w:before="0" w:after="200" w:lineRule="auto" w:line="276"/>
      </w:pPr>
      <w:r>
        <w:rPr>
          <w:b/>
        </w:rPr>
        <w:t xml:space="preserve">Abstract (EN): </w:t>
      </w:r>
      <w:r>
        <w:t>The conversion of low‐concentration nitrate into value‐added ammonia (NH</w:t>
      </w:r>
      <w:r>
        <w:rPr>
          <w:vertAlign w:val="subscript"/>
        </w:rPr>
        <w:t>3</w:t>
      </w:r>
      <w:r>
        <w:t>) is hindered by sluggish kinetics and inefficient electron utilization in conventional photo‐ and electrocatalytic systems. Herein, this work proposes a unique electric field reconstruction strategy to achieve efficient piezoelectric reduction of nitrate to ammonia. Through electric field reconstruction at the SnS</w:t>
      </w:r>
      <w:r>
        <w:rPr>
          <w:vertAlign w:val="subscript"/>
        </w:rPr>
        <w:t>2</w:t>
      </w:r>
      <w:r>
        <w:t>/TiC interface, the strong adsorption and highly active catalytic sites are generated to activate</w:t>
      </w:r>
      <w:r>
        <w:t xml:space="preserve"> </w:t>
      </w:r>
      <w:r>
        <w:t>*</w:t>
      </w:r>
      <w:r>
        <w:t xml:space="preserve"> </w:t>
      </w:r>
      <w:r>
        <w:t>H and</w:t>
      </w:r>
      <w:r>
        <w:t xml:space="preserve"> </w:t>
      </w:r>
      <w:r>
        <w:t>*</w:t>
      </w:r>
      <w:r>
        <w:t xml:space="preserve"> </w:t>
      </w:r>
      <w:r>
        <w:t>NO</w:t>
      </w:r>
      <w:r>
        <w:rPr>
          <w:vertAlign w:val="subscript"/>
        </w:rPr>
        <w:t>3</w:t>
      </w:r>
      <w:r>
        <w:t>−</w:t>
      </w:r>
      <w:r>
        <w:t>, thereby enhancing deoxygenation and hydrogenation processes. In addition, piezoelectric‐driven field reconstruction not only accelerates charge carrier migration, but also modulates the electronic energy bands, further facilitating the NO</w:t>
      </w:r>
      <w:r>
        <w:rPr>
          <w:vertAlign w:val="subscript"/>
        </w:rPr>
        <w:t>3</w:t>
      </w:r>
      <w:r>
        <w:t>−</w:t>
      </w:r>
      <w:r>
        <w:t>reduction reaction (NO</w:t>
      </w:r>
      <w:r>
        <w:rPr>
          <w:vertAlign w:val="subscript"/>
        </w:rPr>
        <w:t>3</w:t>
      </w:r>
      <w:r>
        <w:t>−</w:t>
      </w:r>
      <w:r>
        <w:t>RR) catalysis. Therefore, the optimized SnS</w:t>
      </w:r>
      <w:r>
        <w:rPr>
          <w:vertAlign w:val="subscript"/>
        </w:rPr>
        <w:t>2</w:t>
      </w:r>
      <w:r>
        <w:t>/TiC heterostructures display a high NH</w:t>
      </w:r>
      <w:r>
        <w:rPr>
          <w:vertAlign w:val="subscript"/>
        </w:rPr>
        <w:t>3</w:t>
      </w:r>
      <w:r>
        <w:t>synthesis rate of 10.26 mmol g</w:t>
      </w:r>
      <w:r>
        <w:t xml:space="preserve"> </w:t>
      </w:r>
      <w:r>
        <w:t>−1</w:t>
      </w:r>
      <w:r>
        <w:t xml:space="preserve"> </w:t>
      </w:r>
      <w:r>
        <w:t>h</w:t>
      </w:r>
      <w:r>
        <w:t xml:space="preserve"> </w:t>
      </w:r>
      <w:r>
        <w:t>−1</w:t>
      </w:r>
      <w:r>
        <w:t xml:space="preserve"> </w:t>
      </w:r>
      <w:r>
        <w:t>and a high electron utilization of 98% at low concentrations, surpassing most previously reported photocatalytic NH</w:t>
      </w:r>
      <w:r>
        <w:rPr>
          <w:vertAlign w:val="subscript"/>
        </w:rPr>
        <w:t>3</w:t>
      </w:r>
      <w:r>
        <w:t>production rates and electrocatalytic electron utilization. Moreover, the residual nitrate concentration was reduced below the World Health Organization drinking water standard. Electric field reconstruction at the heterostructural interface provides a tunable and efficient route for green ammonia production via piezoelectric catalysis.</w:t>
      </w:r>
    </w:p>
    <w:p>
      <w:pPr>
        <w:spacing w:before="120" w:after="120"/>
      </w:pPr>
      <w:r>
        <w:rPr>
          <w:sz w:val="18"/>
        </w:rPr>
        <w:t>——————————————————————————————————————————————————————————————————————</w:t>
      </w:r>
    </w:p>
    <w:p>
      <w:pPr>
        <w:spacing w:before="160" w:after="40" w:line="240" w:lineRule="auto"/>
      </w:pPr>
      <w:r>
        <w:rPr>
          <w:b/>
        </w:rPr>
        <w:t xml:space="preserve">[30] </w:t>
      </w:r>
      <w:hyperlink r:id="rId225">
        <w:r>
          <w:rPr>
            <w:color w:val="1155CC"/>
            <w:u w:val="single"/>
          </w:rPr>
          <w:t>激活金属化开关以记录单原子改性极性 MOF 压电催化剂中的析氢量（Adv. Mater. 30//2026）</w:t>
        </w:r>
      </w:hyperlink>
    </w:p>
    <w:p>
      <w:pPr>
        <w:spacing w:before="0" w:after="80"/>
      </w:pPr>
      <w:r>
        <w:rPr>
          <w:i/>
          <w:sz w:val="20"/>
        </w:rPr>
        <w:t>EN: Activating a Metallization Switch for Record Hydrogen Evolution in Single‐Atom Modified Polar MOF Piezocatalysts (Adv. Mater. 30//2026)</w:t>
      </w:r>
    </w:p>
    <w:p>
      <w:pPr>
        <w:spacing w:before="0" w:after="120"/>
      </w:pPr>
      <w:r>
        <w:rPr>
          <w:b/>
        </w:rPr>
        <w:t xml:space="preserve">Source: </w:t>
      </w:r>
      <w:r>
        <w:t>Wiley: Advanced Materials: Table of Contents</w:t>
      </w:r>
      <w:r>
        <w:t xml:space="preserve">    </w:t>
      </w:r>
      <w:r>
        <w:rPr>
          <w:b/>
        </w:rPr>
        <w:t xml:space="preserve">Pub date: </w:t>
      </w:r>
      <w:r>
        <w:t>2026-05-27 05:48:48+00:00</w:t>
      </w:r>
      <w:r>
        <w:t xml:space="preserve">    </w:t>
      </w:r>
      <w:r>
        <w:rPr>
          <w:b/>
        </w:rPr>
        <w:t xml:space="preserve">DOI: </w:t>
      </w:r>
      <w:hyperlink r:id="rId226">
        <w:r>
          <w:rPr>
            <w:color w:val="1155CC"/>
            <w:u w:val="single"/>
          </w:rPr>
          <w:t>10.1002/adma.73332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227">
        <w:r>
          <w:rPr>
            <w:color w:val="1155CC"/>
            <w:u w:val="single"/>
          </w:rPr>
          <w:t>破译将电催化剂化学状态与活性关联起来的竞争基本步骤</w:t>
        </w:r>
      </w:hyperlink>
    </w:p>
    <w:p>
      <w:pPr>
        <w:spacing w:before="0" w:after="80"/>
      </w:pPr>
      <w:r>
        <w:rPr>
          <w:i/>
          <w:sz w:val="20"/>
        </w:rPr>
        <w:t>EN: Deciphering competing elementary steps to correlate electrocatalyst chemical state with activity</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228">
        <w:r>
          <w:rPr>
            <w:color w:val="1155CC"/>
            <w:u w:val="single"/>
          </w:rPr>
          <w:t>10.1126/sciadv.aeb9828</w:t>
        </w:r>
      </w:hyperlink>
    </w:p>
    <w:p>
      <w:pPr>
        <w:spacing w:before="0" w:after="120"/>
      </w:pPr>
      <w:r>
        <w:rPr>
          <w:b/>
        </w:rPr>
        <w:t xml:space="preserve">Notes: </w:t>
      </w:r>
      <w:r>
        <w:t>abstract_source=crossref</w:t>
      </w:r>
    </w:p>
    <w:p>
      <w:pPr>
        <w:spacing w:before="0" w:after="80" w:lineRule="auto" w:line="276"/>
      </w:pPr>
      <w:r>
        <w:rPr>
          <w:b/>
        </w:rPr>
        <w:t xml:space="preserve">摘要（ZH）: </w:t>
      </w:r>
      <w:r>
        <w:t>多电子转移多相电催化中的超电势从根本上来说是由基本步骤之间的热力学和动力学差异引起的。然而，解读耦合和竞争的步骤长期以来仍然是一个挑战。在这里，我们基于电催化反应中的关键过程（例如电荷积累、电子/质子转移和中间演化）建立了电化学反卷积范式，以解决竞争的基本步骤。以析氧反应为典型反应，我们设计了一种具有精确隔离的阳离子-阴离子空位对的模型催化剂，并通过消除吸附氧中间体的干扰来追踪以前难以捉摸的晶格氧的电化学行为。从机制上讲，晶格氧氧化途径源自与不饱和阳离子位点配位的补充水分子的自发、非电化学去质子化。交流电技术进一步揭示，尽管晶格氧氧化需要比金属氧化更高的电势，但它表现出更快的动力学，从而深入了解其卓越的催化活性。这些发现建立了初始化学状态和催化活性之间的直接实验相关性，并证明了表面限制晶格氧循环。此外，将传统的势流分析扩展到多维框架可以解开关键基本步骤的热力学和动力学贡献，从而指导各种复杂的合理优化。</w:t>
      </w:r>
    </w:p>
    <w:p>
      <w:pPr>
        <w:spacing w:before="0" w:after="200" w:lineRule="auto" w:line="276"/>
      </w:pPr>
      <w:r>
        <w:rPr>
          <w:b/>
        </w:rPr>
        <w:t xml:space="preserve">Abstract (EN): </w:t>
      </w:r>
      <w:r>
        <w:t>The overpotential in multielectron transfer heterogeneous electrocatalysis fundamentally arises from thermodynamic and kinetic disparities among elementary steps; however, deciphering coupled and competing steps has long remained a challenge. Here, we establish an electrochemical deconvolution paradigm based on key processes in electrocatalytic reactions, such as charge accumulation, electron/proton transfer, and intermediate evolution, to resolve competing elementary steps. Taking the oxygen evolution reaction as a prototypical reaction, we design a model catalyst featuring a precise isolated cation-anion vacancy pair and track the previously elusive electrochemical behavior of lattice oxygen by disentangling interference from adsorbed oxygen intermediates. Mechanistically, the lattice oxygen oxidation pathway originates from the spontaneous, nonelectrochemical deprotonation of replenished water molecules coordinated to unsaturated cation sites. Alternating current techniques further reveal that although lattice oxygen oxidation requires a higher potential than metal oxidation, it exhibits faster kinetics, providing insight into its superior catalytic activity. These findings establish a direct experimental correlation between the initial chemical state and the catalytic activity and prove surface-confined lattice oxygen cycling. Furthermore, expanding conventional potential-current analysis into a multidimensional framework enables disentanglement of thermodynamic and kinetic contributions of key elementary steps, thereby guiding the rational optimization of various complex multielectron transfer reactions.</w:t>
      </w:r>
    </w:p>
    <w:p>
      <w:pPr>
        <w:spacing w:before="120" w:after="120"/>
      </w:pPr>
      <w:r>
        <w:rPr>
          <w:sz w:val="18"/>
        </w:rPr>
        <w:t>——————————————————————————————————————————————————————————————————————</w:t>
      </w:r>
    </w:p>
    <w:p>
      <w:pPr>
        <w:spacing w:before="160" w:after="40" w:line="240" w:lineRule="auto"/>
      </w:pPr>
      <w:r>
        <w:rPr>
          <w:b/>
        </w:rPr>
        <w:t xml:space="preserve">[32] </w:t>
      </w:r>
      <w:hyperlink r:id="rId229">
        <w:r>
          <w:rPr>
            <w:color w:val="1155CC"/>
            <w:u w:val="single"/>
          </w:rPr>
          <w:t>二氧化碳自由基阴离子原位质子化激发生物质定量光重整为 CO</w:t>
        </w:r>
      </w:hyperlink>
    </w:p>
    <w:p>
      <w:pPr>
        <w:spacing w:before="0" w:after="80"/>
      </w:pPr>
      <w:r>
        <w:rPr>
          <w:i/>
          <w:sz w:val="20"/>
        </w:rPr>
        <w:t>EN: Quantitative Photo‐Reforming of Biomass to CO Spurred by In Situ Protonation of Carbon Dioxide Radical Anions</w:t>
      </w:r>
    </w:p>
    <w:p>
      <w:pPr>
        <w:spacing w:before="0" w:after="120"/>
      </w:pPr>
      <w:r>
        <w:rPr>
          <w:b/>
        </w:rPr>
        <w:t xml:space="preserve">Source: </w:t>
      </w:r>
      <w:r>
        <w:t>Wiley: Angewandte Chemie International Edition: Table of Contents</w:t>
      </w:r>
      <w:r>
        <w:t xml:space="preserve">    </w:t>
      </w:r>
      <w:r>
        <w:rPr>
          <w:b/>
        </w:rPr>
        <w:t xml:space="preserve">Pub date: </w:t>
      </w:r>
      <w:r>
        <w:t>2026-05-27 07:19:48+00:00</w:t>
      </w:r>
      <w:r>
        <w:t xml:space="preserve">    </w:t>
      </w:r>
      <w:r>
        <w:rPr>
          <w:b/>
        </w:rPr>
        <w:t xml:space="preserve">DOI: </w:t>
      </w:r>
      <w:hyperlink r:id="rId230">
        <w:r>
          <w:rPr>
            <w:color w:val="1155CC"/>
            <w:u w:val="single"/>
          </w:rPr>
          <w:t>10.1002/anie.9066578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多相光催化已成为将可再生生物质转化为生物燃料和化学品的绿色解决方案，但其碳利用效率通常不令人满意。在这里，我们提出了一种由富电子 Cd 位点实现的“二合一”光还原策略，这些位点既远离硫空位（Vs），又邻近硫空位（Vs）。该策略对于减少 O2 具有高度选择性</w:t>
      </w:r>
      <w:r>
        <w:rPr>
          <w:vertAlign w:val="subscript"/>
        </w:rPr>
        <w:t>2</w:t>
      </w:r>
      <w:r>
        <w:t>和二氧化碳自由基阴离子（•CO</w:t>
      </w:r>
      <w:r>
        <w:rPr>
          <w:vertAlign w:val="subscript"/>
        </w:rPr>
        <w:t>2</w:t>
      </w:r>
      <w:r>
        <w:t>-</w:t>
      </w:r>
      <w:r>
        <w:t>）在 Bi 上原位形成</w:t>
      </w:r>
      <w:r>
        <w:rPr>
          <w:vertAlign w:val="subscript"/>
        </w:rPr>
        <w:t>2</w:t>
      </w:r>
      <w:r>
        <w:t>S</w:t>
      </w:r>
      <w:r>
        <w:rPr>
          <w:vertAlign w:val="subscript"/>
        </w:rPr>
        <w:t>3</w:t>
      </w:r>
      <w:r>
        <w:t>分别通过水氧化和草酸（OA）氧化C-C裂解形成成分（空穴）。壳蛋黄 Z 型 Bi</w:t>
      </w:r>
      <w:r>
        <w:rPr>
          <w:vertAlign w:val="subscript"/>
        </w:rPr>
        <w:t>2</w:t>
      </w:r>
      <w:r>
        <w:t>S</w:t>
      </w:r>
      <w:r>
        <w:rPr>
          <w:vertAlign w:val="subscript"/>
        </w:rPr>
        <w:t>3</w:t>
      </w:r>
      <w:r>
        <w:t>/CdS-Vs 实现了 OA 完全光热催化升级为 CO，产量达到前所未有的水平（1671 µmol g</w:t>
      </w:r>
      <w:r>
        <w:t xml:space="preserve"> </w:t>
      </w:r>
      <w:r>
        <w:t>−1</w:t>
      </w:r>
      <w:r>
        <w:t xml:space="preserve"> </w:t>
      </w:r>
      <w:r>
        <w:t>小时</w:t>
      </w:r>
      <w:r>
        <w:t xml:space="preserve"> </w:t>
      </w:r>
      <w:r>
        <w:t>−1</w:t>
      </w:r>
      <w:r>
        <w:t xml:space="preserve"> </w:t>
      </w:r>
      <w:r>
        <w:t>）和选择性 &gt; 99%，优于最先进的 CO 光催化剂</w:t>
      </w:r>
      <w:r>
        <w:rPr>
          <w:vertAlign w:val="subscript"/>
        </w:rPr>
        <w:t>2</w:t>
      </w:r>
      <w:r>
        <w:t>减少二氧化碳排放。机理研究表明壳 Bi</w:t>
      </w:r>
      <w:r>
        <w:rPr>
          <w:vertAlign w:val="subscript"/>
        </w:rPr>
        <w:t>2</w:t>
      </w:r>
      <w:r>
        <w:t>S</w:t>
      </w:r>
      <w:r>
        <w:rPr>
          <w:vertAlign w:val="subscript"/>
        </w:rPr>
        <w:t>3</w:t>
      </w:r>
      <w:r>
        <w:t>可以与蛋黄 CdS-Vs 生成/转移的·OH 配合，介导·CO 的高效生产</w:t>
      </w:r>
      <w:r>
        <w:rPr>
          <w:vertAlign w:val="subscript"/>
        </w:rPr>
        <w:t>2</w:t>
      </w:r>
      <w:r>
        <w:t>－</w:t>
      </w:r>
      <w:r>
        <w:t xml:space="preserve"> </w:t>
      </w:r>
      <w:r>
        <w:t>。中空微环境</w:t>
      </w:r>
    </w:p>
    <w:p>
      <w:pPr>
        <w:spacing w:before="0" w:after="200" w:lineRule="auto" w:line="276"/>
      </w:pPr>
      <w:r>
        <w:rPr>
          <w:b/>
        </w:rPr>
        <w:t xml:space="preserve">Abstract (EN): </w:t>
      </w:r>
      <w:r>
        <w:t>Heterogeneous photocatalysis has emerged as a green solution for converting renewable biomass into biofuels and chemicals, though it typically suffers from unsatisfactory carbon utilization efficiency. Here, we present a “two‐in‐one” photoreduction strategy enabled by electron‐rich Cd sites, both remote from and adjacent to sulfur vacancies (Vs). This strategy is highly selective for the reduction of O</w:t>
      </w:r>
      <w:r>
        <w:rPr>
          <w:vertAlign w:val="subscript"/>
        </w:rPr>
        <w:t>2</w:t>
      </w:r>
      <w:r>
        <w:t>and carbon dioxide radical anions (•CO</w:t>
      </w:r>
      <w:r>
        <w:rPr>
          <w:vertAlign w:val="subscript"/>
        </w:rPr>
        <w:t>2</w:t>
      </w:r>
      <w:r>
        <w:t>−</w:t>
      </w:r>
      <w:r>
        <w:t>) in situ formed on the Bi</w:t>
      </w:r>
      <w:r>
        <w:rPr>
          <w:vertAlign w:val="subscript"/>
        </w:rPr>
        <w:t>2</w:t>
      </w:r>
      <w:r>
        <w:t>S</w:t>
      </w:r>
      <w:r>
        <w:rPr>
          <w:vertAlign w:val="subscript"/>
        </w:rPr>
        <w:t>3</w:t>
      </w:r>
      <w:r>
        <w:t>composition (hole) through water oxidation and oxalic acid (OA) oxidative C–C cleavage, respectively. The shell‐yolk Z‐scheme Bi</w:t>
      </w:r>
      <w:r>
        <w:rPr>
          <w:vertAlign w:val="subscript"/>
        </w:rPr>
        <w:t>2</w:t>
      </w:r>
      <w:r>
        <w:t>S</w:t>
      </w:r>
      <w:r>
        <w:rPr>
          <w:vertAlign w:val="subscript"/>
        </w:rPr>
        <w:t>3</w:t>
      </w:r>
      <w:r>
        <w:t>/CdS‐Vs achieves complete photothermal catalytic upgrading of OA to CO with an unprecedented yield (1671 µmol g</w:t>
      </w:r>
      <w:r>
        <w:t xml:space="preserve"> </w:t>
      </w:r>
      <w:r>
        <w:t>−1</w:t>
      </w:r>
      <w:r>
        <w:t xml:space="preserve"> </w:t>
      </w:r>
      <w:r>
        <w:t>h</w:t>
      </w:r>
      <w:r>
        <w:t xml:space="preserve"> </w:t>
      </w:r>
      <w:r>
        <w:t>−1</w:t>
      </w:r>
      <w:r>
        <w:t xml:space="preserve"> </w:t>
      </w:r>
      <w:r>
        <w:t>) and selectivity &amp;gt; 99%, outperforming state‐of‐the‐art photocatalysts for CO</w:t>
      </w:r>
      <w:r>
        <w:rPr>
          <w:vertAlign w:val="subscript"/>
        </w:rPr>
        <w:t>2</w:t>
      </w:r>
      <w:r>
        <w:t>‐to‐CO reduction. Mechanistic investigations reveal that shell Bi</w:t>
      </w:r>
      <w:r>
        <w:rPr>
          <w:vertAlign w:val="subscript"/>
        </w:rPr>
        <w:t>2</w:t>
      </w:r>
      <w:r>
        <w:t>S</w:t>
      </w:r>
      <w:r>
        <w:rPr>
          <w:vertAlign w:val="subscript"/>
        </w:rPr>
        <w:t>3</w:t>
      </w:r>
      <w:r>
        <w:t>can cooperate with •OH generated/transferred from the yolk CdS‐Vs to mediate the efficient production of •CO</w:t>
      </w:r>
      <w:r>
        <w:rPr>
          <w:vertAlign w:val="subscript"/>
        </w:rPr>
        <w:t>2</w:t>
      </w:r>
      <w:r>
        <w:t>‒</w:t>
      </w:r>
      <w:r>
        <w:t xml:space="preserve"> </w:t>
      </w:r>
      <w:r>
        <w:t>. Hollow microenvironment and electronic structure of the yolk CdS‐Vs can be manipulated by Vs to increase enrichment of •CO</w:t>
      </w:r>
      <w:r>
        <w:rPr>
          <w:vertAlign w:val="subscript"/>
        </w:rPr>
        <w:t>2</w:t>
      </w:r>
      <w:r>
        <w:t>−</w:t>
      </w:r>
      <w:r>
        <w:t>and favor its proton‐coupled electron transfer to produce CO. Bi</w:t>
      </w:r>
      <w:r>
        <w:rPr>
          <w:vertAlign w:val="subscript"/>
        </w:rPr>
        <w:t>2</w:t>
      </w:r>
      <w:r>
        <w:t>S</w:t>
      </w:r>
      <w:r>
        <w:rPr>
          <w:vertAlign w:val="subscript"/>
        </w:rPr>
        <w:t>3</w:t>
      </w:r>
      <w:r>
        <w:t>/CdS‐Vs exhibits good reusability and universality for converting various bio‐organic acids into CO with 94%‒100% selectivity. Tailor‐made versatile photocatalysts via vacancy engineering provide a viable avenue for the full‐carbon upcycling of biomass and waste sources to biofuels.</w:t>
      </w:r>
    </w:p>
    <w:p>
      <w:pPr>
        <w:spacing w:before="120" w:after="120"/>
      </w:pPr>
      <w:r>
        <w:rPr>
          <w:sz w:val="18"/>
        </w:rPr>
        <w:t>——————————————————————————————————————————————————————————————————————</w:t>
      </w:r>
    </w:p>
    <w:p>
      <w:pPr>
        <w:spacing w:before="160" w:after="40" w:line="240" w:lineRule="auto"/>
      </w:pPr>
      <w:r>
        <w:rPr>
          <w:b/>
        </w:rPr>
        <w:t xml:space="preserve">[33] </w:t>
      </w:r>
      <w:hyperlink r:id="rId231">
        <w:r>
          <w:rPr>
            <w:color w:val="1155CC"/>
            <w:u w:val="single"/>
          </w:rPr>
          <w:t>PDI线性共轭聚合物异构化加速激子动力学用于高效光催化析氧</w:t>
        </w:r>
      </w:hyperlink>
    </w:p>
    <w:p>
      <w:pPr>
        <w:spacing w:before="0" w:after="80"/>
      </w:pPr>
      <w:r>
        <w:rPr>
          <w:i/>
          <w:sz w:val="20"/>
        </w:rPr>
        <w:t>EN: Isomerization‐Accelerated Exciton Kinetics in PDI Linear Conjugated Polymers for High‐Efficiency Photocatalytic Oxygen Evolution</w:t>
      </w:r>
    </w:p>
    <w:p>
      <w:pPr>
        <w:spacing w:before="0" w:after="120"/>
      </w:pPr>
      <w:r>
        <w:rPr>
          <w:b/>
        </w:rPr>
        <w:t xml:space="preserve">Source: </w:t>
      </w:r>
      <w:r>
        <w:t>Wiley: Angewandte Chemie International Edition: Table of Contents</w:t>
      </w:r>
      <w:r>
        <w:t xml:space="preserve">    </w:t>
      </w:r>
      <w:r>
        <w:rPr>
          <w:b/>
        </w:rPr>
        <w:t xml:space="preserve">Pub date: </w:t>
      </w:r>
      <w:r>
        <w:t>2026-05-27 10:35:01+00:00</w:t>
      </w:r>
      <w:r>
        <w:t xml:space="preserve">    </w:t>
      </w:r>
      <w:r>
        <w:rPr>
          <w:b/>
        </w:rPr>
        <w:t xml:space="preserve">DOI: </w:t>
      </w:r>
      <w:hyperlink r:id="rId232">
        <w:r>
          <w:rPr>
            <w:color w:val="1155CC"/>
            <w:u w:val="single"/>
          </w:rPr>
          <w:t>10.1002/anie.3903637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并大幅加速基于苝二酰亚胺（PDI）的线性共轭聚合物（LCP）中的激子动力学代表了光催化领域一个有前途但具有挑战性的前沿领域。在此，提出了一种异构化策略，通过桥键异构化构建两种基于PDI的LCP，以诱导π堆积来精细调节电荷分布，所得马来酰胺-PDI表现出优异的牺牲剂辅助光催化析氧活性，在380 nm处的表观量子产率为13.4%，超过了大多数报道的有机聚合物光催化剂。理论计算结合原位傅里叶变换红外光谱表明，异构化诱导的高结晶度、紧密的π堆积和有效的空间激子分离激活了桥链上的羰基，赋予其高光催化活性。这项工作开创了使用异构化来改性基于 PDI 的 LCP，突出了激子加速在光催化中的关键作用，并为 PDI-LCP 的异构化设计提供了指导。</w:t>
      </w:r>
    </w:p>
    <w:p>
      <w:pPr>
        <w:spacing w:before="0" w:after="200" w:lineRule="auto" w:line="276"/>
      </w:pPr>
      <w:r>
        <w:rPr>
          <w:b/>
        </w:rPr>
        <w:t xml:space="preserve">Abstract (EN): </w:t>
      </w:r>
      <w:r>
        <w:t>Understanding and substantively accelerating exciton kinetics in perylene diimide (PDI)‐based linear conjugated polymers (LCPs) represents a promising yet challenging frontier in the field of photocatalysis. Herein, an isomerization strategy is proposed to construct two PDI‐based LCPs through bridge‐bond isomerization to induce π‐stacking to finely modulate charge distribution, and the obtained maleamide‐PDI exhibits excellent activity for sacrificial‐agent‐assisted photocatalytic oxygen evolution with a remarkable apparent quantum yield of 13.4% at 380 nm, surpassing the majority of reported organic polymer photocatalysts. Theoretical calculations combined with in situ Fourier transform infrared spectra reveal that isomerization‐induced high crystallinity with tight π‐stacking and efficient spatial exciton separation activate the carbonyl group located at the bridging chain, endowing it with high photocatalytic activity. This work pioneers the use of isomerization for modifying PDI‐based LCPs, highlighting the pivotal role of exciton acceleration in photocatalysis and providing guidance for the isomerized design of PDI‐LCPs.</w:t>
      </w:r>
    </w:p>
    <w:p>
      <w:pPr>
        <w:spacing w:before="120" w:after="120"/>
      </w:pPr>
      <w:r>
        <w:rPr>
          <w:sz w:val="18"/>
        </w:rPr>
        <w:t>——————————————————————————————————————————————————————————————————————</w:t>
      </w:r>
    </w:p>
    <w:p>
      <w:pPr>
        <w:spacing w:before="160" w:after="40" w:line="240" w:lineRule="auto"/>
      </w:pPr>
      <w:r>
        <w:rPr>
          <w:b/>
        </w:rPr>
        <w:t xml:space="preserve">[34] </w:t>
      </w:r>
      <w:hyperlink r:id="rId233">
        <w:r>
          <w:rPr>
            <w:color w:val="1155CC"/>
            <w:u w:val="single"/>
          </w:rPr>
          <w:t>协调诱导重建优化异质但协作位点的空间排列，以促进氧还原动力学</w:t>
        </w:r>
      </w:hyperlink>
    </w:p>
    <w:p>
      <w:pPr>
        <w:spacing w:before="0" w:after="80"/>
      </w:pPr>
      <w:r>
        <w:rPr>
          <w:i/>
          <w:sz w:val="20"/>
        </w:rPr>
        <w:t>EN: Coordination‐Induced Reconstruction Optimizes Spatial Arrangements of Heterogeneous Yet Cooperative Sites to Boost Oxygen Reduction Kinetics</w:t>
      </w:r>
    </w:p>
    <w:p>
      <w:pPr>
        <w:spacing w:before="0" w:after="120"/>
      </w:pPr>
      <w:r>
        <w:rPr>
          <w:b/>
        </w:rPr>
        <w:t xml:space="preserve">Source: </w:t>
      </w:r>
      <w:r>
        <w:t>Wiley: Advanced Materials: Table of Contents</w:t>
      </w:r>
      <w:r>
        <w:t xml:space="preserve">    </w:t>
      </w:r>
      <w:r>
        <w:rPr>
          <w:b/>
        </w:rPr>
        <w:t xml:space="preserve">Pub date: </w:t>
      </w:r>
      <w:r>
        <w:t>2026-05-27 13:12:47+00:00</w:t>
      </w:r>
      <w:r>
        <w:t xml:space="preserve">    </w:t>
      </w:r>
      <w:r>
        <w:rPr>
          <w:b/>
        </w:rPr>
        <w:t xml:space="preserve">DOI: </w:t>
      </w:r>
      <w:hyperlink r:id="rId234">
        <w:r>
          <w:rPr>
            <w:color w:val="1155CC"/>
            <w:u w:val="single"/>
          </w:rPr>
          <w:t>10.1002/adma.73499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对异质但协作位点的空间排列的控制对于增强反应动力学来说是非常理想的，但也具有挑战性。这项研究开发了一种配位诱导重建（CIR）策略，在氯化物气氛下，原位将 Fe 纳米粒子转化为 FeN</w:t>
      </w:r>
      <w:r>
        <w:rPr>
          <w:vertAlign w:val="subscript"/>
        </w:rPr>
        <w:t>4</w:t>
      </w:r>
      <w:r>
        <w:t>Cl 单原子 (SA) 和 Fe 原子团簇 (AC) 位于氮掺杂碳 (NC) 上，使得单个 AC 周围有多个 SA，平均距离约为 0.86 ± 0.08 nm。这种空间排列构成了异质但催化协作的界面，使得质子生成、质子传输和氧氢化在合适距离的有利位点上能够有效级联，正如操作红外光谱、动力学同位素效应、局部 pH 测量和理论计算所揭示的那样。所得FeN</w:t>
      </w:r>
      <w:r>
        <w:rPr>
          <w:vertAlign w:val="subscript"/>
        </w:rPr>
        <w:t>4</w:t>
      </w:r>
      <w:r>
        <w:t>氯</w:t>
      </w:r>
      <w:r>
        <w:t xml:space="preserve"> </w:t>
      </w:r>
      <w:r>
        <w:t>SA</w:t>
      </w:r>
      <w:r>
        <w:t xml:space="preserve"> </w:t>
      </w:r>
      <w:r>
        <w:t>‐铁</w:t>
      </w:r>
      <w:r>
        <w:t xml:space="preserve"> </w:t>
      </w:r>
      <w:r>
        <w:t>空调</w:t>
      </w:r>
      <w:r>
        <w:t xml:space="preserve"> </w:t>
      </w:r>
      <w:r>
        <w:t>/NC 显着增强了氧还原反应 (ORR)，并将其引导至 4 电子途径，ORR 半波电位为 0.934 V，并且具有 50 000 个循环的稳健稳定性。 CIR 策略至少对镍基和锰基系统有效。</w:t>
      </w:r>
    </w:p>
    <w:p>
      <w:pPr>
        <w:spacing w:before="0" w:after="200" w:lineRule="auto" w:line="276"/>
      </w:pPr>
      <w:r>
        <w:rPr>
          <w:b/>
        </w:rPr>
        <w:t xml:space="preserve">Abstract (EN): </w:t>
      </w:r>
      <w:r>
        <w:t>Control over the spatial arrangement of heterogeneous yet cooperative sites is highly desirable yet challenging to enhance reaction kinetics. This study develops a coordination‐induced reconstruction (CIR) strategy that, under a chloride atmosphere, in situ converts Fe nanoparticles into FeN</w:t>
      </w:r>
      <w:r>
        <w:rPr>
          <w:vertAlign w:val="subscript"/>
        </w:rPr>
        <w:t>4</w:t>
      </w:r>
      <w:r>
        <w:t>Cl single atoms (SAs) and Fe atomic clusters (ACs) on nitrogen‐doped carbon (NC), enabling several SAs around single ACs with an average distance of about 0.86 ± 0.08 nm. This spatial arrangement constitutes heterogeneous yet catalytically cooperative interfaces, enabling an efficient cascade of proton generation, proton transport, and oxygen hydrogenation at favorable sites with suitable distances, as revealed by operando infrared spectra, kinetic isotope effect, local pH measurements, and theoretical calculations. Resultant FeN</w:t>
      </w:r>
      <w:r>
        <w:rPr>
          <w:vertAlign w:val="subscript"/>
        </w:rPr>
        <w:t>4</w:t>
      </w:r>
      <w:r>
        <w:t>Cl</w:t>
      </w:r>
      <w:r>
        <w:t xml:space="preserve"> </w:t>
      </w:r>
      <w:r>
        <w:t>SAs</w:t>
      </w:r>
      <w:r>
        <w:t xml:space="preserve"> </w:t>
      </w:r>
      <w:r>
        <w:t>‐Fe</w:t>
      </w:r>
      <w:r>
        <w:t xml:space="preserve"> </w:t>
      </w:r>
      <w:r>
        <w:t>ACs</w:t>
      </w:r>
      <w:r>
        <w:t xml:space="preserve"> </w:t>
      </w:r>
      <w:r>
        <w:t>/NC remarkably enhances the oxygen reduction reaction (ORR) and steers it toward a 4‐electron pathway with an ORR half‐wave potential of 0.934 V, and robust stability for 50 000 cycles. The CIR strategy is effective for at least Ni‐ and Mn‐based systems.</w:t>
      </w:r>
    </w:p>
    <w:p>
      <w:pPr>
        <w:spacing w:before="120" w:after="120"/>
      </w:pPr>
      <w:r>
        <w:rPr>
          <w:sz w:val="18"/>
        </w:rPr>
        <w:t>——————————————————————————————————————————————————————————————————————</w:t>
      </w:r>
    </w:p>
    <w:p>
      <w:pPr>
        <w:spacing w:before="160" w:after="40" w:line="240" w:lineRule="auto"/>
      </w:pPr>
      <w:r>
        <w:rPr>
          <w:b/>
        </w:rPr>
        <w:t xml:space="preserve">[35] </w:t>
      </w:r>
      <w:hyperlink r:id="rId235">
        <w:r>
          <w:rPr>
            <w:color w:val="1155CC"/>
            <w:u w:val="single"/>
          </w:rPr>
          <w:t>MoS2 上边缘位点 FeOx 团簇和面内空位协同增强甲醇形成，用于 CO2 加氢</w:t>
        </w:r>
      </w:hyperlink>
    </w:p>
    <w:p>
      <w:pPr>
        <w:spacing w:before="0" w:after="80"/>
      </w:pPr>
      <w:r>
        <w:rPr>
          <w:i/>
          <w:sz w:val="20"/>
        </w:rPr>
        <w:t>EN: Synergistic Enhancement of Methanol Formation by Edge‐Site FeOx Clusters and In‐Plane Vacancies on MoS2 for CO2 Hydrogenation</w:t>
      </w:r>
    </w:p>
    <w:p>
      <w:pPr>
        <w:spacing w:before="0" w:after="120"/>
      </w:pPr>
      <w:r>
        <w:rPr>
          <w:b/>
        </w:rPr>
        <w:t xml:space="preserve">Source: </w:t>
      </w:r>
      <w:r>
        <w:t>Wiley: Angewandte Chemie International Edition: Table of Contents</w:t>
      </w:r>
      <w:r>
        <w:t xml:space="preserve">    </w:t>
      </w:r>
      <w:r>
        <w:rPr>
          <w:b/>
        </w:rPr>
        <w:t xml:space="preserve">Pub date: </w:t>
      </w:r>
      <w:r>
        <w:t>2026-05-27 14:05:51+00:00</w:t>
      </w:r>
      <w:r>
        <w:t xml:space="preserve">    </w:t>
      </w:r>
      <w:r>
        <w:rPr>
          <w:b/>
        </w:rPr>
        <w:t xml:space="preserve">DOI: </w:t>
      </w:r>
      <w:hyperlink r:id="rId236">
        <w:r>
          <w:rPr>
            <w:color w:val="1155CC"/>
            <w:u w:val="single"/>
          </w:rPr>
          <w:t>10.1002/anie.5129158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二硫化钼</w:t>
      </w:r>
      <w:r>
        <w:rPr>
          <w:vertAlign w:val="subscript"/>
        </w:rPr>
        <w:t>2</w:t>
      </w:r>
      <w:r>
        <w:t>是一种很有前景的 CO 合成甲醇催化剂</w:t>
      </w:r>
      <w:r>
        <w:rPr>
          <w:vertAlign w:val="subscript"/>
        </w:rPr>
        <w:t>2</w:t>
      </w:r>
      <w:r>
        <w:t>加氢。人们普遍认为，面内硫空位是甲醇形成的活性位点，而边缘硫空位则催化甲烷形成，这通常是不希望的。我们证明装饰 MoS2 的边缘，而不是用杂原子掺杂剂阻挡边缘位点</w:t>
      </w:r>
      <w:r>
        <w:rPr>
          <w:vertAlign w:val="subscript"/>
        </w:rPr>
        <w:t>2</w:t>
      </w:r>
      <w:r>
        <w:t>含功能性 Fe3O</w:t>
      </w:r>
      <w:r>
        <w:t xml:space="preserve"> </w:t>
      </w:r>
      <w:r>
        <w:t>x</w:t>
      </w:r>
      <w:r>
        <w:t xml:space="preserve"> </w:t>
      </w:r>
      <w:r>
        <w:t>通过锚定 Fe3O 的 RWGS 活性之间的协同作用，簇有效地促进了甲醇的形成</w:t>
      </w:r>
      <w:r>
        <w:t xml:space="preserve"> </w:t>
      </w:r>
      <w:r>
        <w:t>x</w:t>
      </w:r>
      <w:r>
        <w:t xml:space="preserve"> </w:t>
      </w:r>
      <w:r>
        <w:t>簇和面内硫空位的 CO 加氢活性。综合而言，这是通过化学锚定 FeO 的真空浸渍方法实现的</w:t>
      </w:r>
      <w:r>
        <w:t xml:space="preserve"> </w:t>
      </w:r>
      <w:r>
        <w:t>x</w:t>
      </w:r>
      <w:r>
        <w:t xml:space="preserve"> </w:t>
      </w:r>
      <w:r>
        <w:t>MoS2边缘的簇</w:t>
      </w:r>
      <w:r>
        <w:rPr>
          <w:vertAlign w:val="subscript"/>
        </w:rPr>
        <w:t>2</w:t>
      </w:r>
      <w:r>
        <w:t>，形成稳定的Fe-S/Fe-O界面。通过这些 Fe-S/Fe-O 界面，Fe/MoS</w:t>
      </w:r>
      <w:r>
        <w:rPr>
          <w:vertAlign w:val="subscript"/>
        </w:rPr>
        <w:t>2</w:t>
      </w:r>
      <w:r>
        <w:t>催化剂表现出显着增强的甲醇选择性（至 80%）和 0.6 mmol 的高本征时空产率 (STY)</w:t>
      </w:r>
      <w:r>
        <w:t xml:space="preserve"> </w:t>
      </w:r>
      <w:r>
        <w:t>甲醇</w:t>
      </w:r>
      <w:r>
        <w:t xml:space="preserve"> </w:t>
      </w:r>
      <w:r>
        <w:t>·米</w:t>
      </w:r>
      <w:r>
        <w:t xml:space="preserve"> </w:t>
      </w:r>
      <w:r>
        <w:t>−2</w:t>
      </w:r>
      <w:r>
        <w:t xml:space="preserve"> </w:t>
      </w:r>
      <w:r>
        <w:t>·小时</w:t>
      </w:r>
      <w:r>
        <w:t xml:space="preserve"> </w:t>
      </w:r>
      <w:r>
        <w:t>−1</w:t>
      </w:r>
      <w:r>
        <w:t xml:space="preserve"> </w:t>
      </w:r>
      <w:r>
        <w:t>。原位光谱和显微炭</w:t>
      </w:r>
    </w:p>
    <w:p>
      <w:pPr>
        <w:spacing w:before="0" w:after="200" w:lineRule="auto" w:line="276"/>
      </w:pPr>
      <w:r>
        <w:rPr>
          <w:b/>
        </w:rPr>
        <w:t xml:space="preserve">Abstract (EN): </w:t>
      </w:r>
      <w:r>
        <w:t>MoS</w:t>
      </w:r>
      <w:r>
        <w:rPr>
          <w:vertAlign w:val="subscript"/>
        </w:rPr>
        <w:t>2</w:t>
      </w:r>
      <w:r>
        <w:t>is a promising catalyst for methanol synthesis from CO</w:t>
      </w:r>
      <w:r>
        <w:rPr>
          <w:vertAlign w:val="subscript"/>
        </w:rPr>
        <w:t>2</w:t>
      </w:r>
      <w:r>
        <w:t>hydrogenation. It is widely accepted that the in‐plane sulfur vacancies are the active sites for methanol formation, while the edge sulfur vacancies catalyze methane formation, which is typically undesirable. Rather than blocking the edge sites with heteroatom dopants, we demonstrate that decorating the edges of MoS</w:t>
      </w:r>
      <w:r>
        <w:rPr>
          <w:vertAlign w:val="subscript"/>
        </w:rPr>
        <w:t>2</w:t>
      </w:r>
      <w:r>
        <w:t>with functional FeO</w:t>
      </w:r>
      <w:r>
        <w:t xml:space="preserve"> </w:t>
      </w:r>
      <w:r>
        <w:t>x</w:t>
      </w:r>
      <w:r>
        <w:t xml:space="preserve"> </w:t>
      </w:r>
      <w:r>
        <w:t>clusters effectively boost methanol formation via synergy between the RWGS activity of the anchored FeO</w:t>
      </w:r>
      <w:r>
        <w:t xml:space="preserve"> </w:t>
      </w:r>
      <w:r>
        <w:t>x</w:t>
      </w:r>
      <w:r>
        <w:t xml:space="preserve"> </w:t>
      </w:r>
      <w:r>
        <w:t>clusters and the CO hydrogenation activity of the in‐plane sulfur vacancies. Synthetically, this was achieved by a vacuum impregnation method that chemically anchors FeO</w:t>
      </w:r>
      <w:r>
        <w:t xml:space="preserve"> </w:t>
      </w:r>
      <w:r>
        <w:t>x</w:t>
      </w:r>
      <w:r>
        <w:t xml:space="preserve"> </w:t>
      </w:r>
      <w:r>
        <w:t>clusters on the edges of MoS</w:t>
      </w:r>
      <w:r>
        <w:rPr>
          <w:vertAlign w:val="subscript"/>
        </w:rPr>
        <w:t>2</w:t>
      </w:r>
      <w:r>
        <w:t>, forming stable Fe‐S/Fe‐O interfaces. With these Fe‐S/Fe‐O interfaces, the Fe/MoS</w:t>
      </w:r>
      <w:r>
        <w:rPr>
          <w:vertAlign w:val="subscript"/>
        </w:rPr>
        <w:t>2</w:t>
      </w:r>
      <w:r>
        <w:t>catalyst shows markedly enhanced methanol selectivity (to 80%) and a high intrinsic space‐time‐yield (STY) of 0.6 mmol</w:t>
      </w:r>
      <w:r>
        <w:t xml:space="preserve"> </w:t>
      </w:r>
      <w:r>
        <w:t>CH3OH</w:t>
      </w:r>
      <w:r>
        <w:t xml:space="preserve"> </w:t>
      </w:r>
      <w:r>
        <w:t>·m</w:t>
      </w:r>
      <w:r>
        <w:t xml:space="preserve"> </w:t>
      </w:r>
      <w:r>
        <w:t>−2</w:t>
      </w:r>
      <w:r>
        <w:t xml:space="preserve"> </w:t>
      </w:r>
      <w:r>
        <w:t>·h</w:t>
      </w:r>
      <w:r>
        <w:t xml:space="preserve"> </w:t>
      </w:r>
      <w:r>
        <w:t>−1</w:t>
      </w:r>
      <w:r>
        <w:t xml:space="preserve"> </w:t>
      </w:r>
      <w:r>
        <w:t>. In situ spectroscopic and microscopic characterizations combined with theoretical calculations corroborate that the formation of amorphous FeO</w:t>
      </w:r>
      <w:r>
        <w:t xml:space="preserve"> </w:t>
      </w:r>
      <w:r>
        <w:t>x</w:t>
      </w:r>
      <w:r>
        <w:t xml:space="preserve"> </w:t>
      </w:r>
      <w:r>
        <w:t>clusters at edge sites of MoS</w:t>
      </w:r>
      <w:r>
        <w:rPr>
          <w:vertAlign w:val="subscript"/>
        </w:rPr>
        <w:t>2</w:t>
      </w:r>
      <w:r>
        <w:t>could effectively suppress edge S</w:t>
      </w:r>
      <w:r>
        <w:t xml:space="preserve"> </w:t>
      </w:r>
      <w:r>
        <w:t>v</w:t>
      </w:r>
      <w:r>
        <w:t xml:space="preserve"> </w:t>
      </w:r>
      <w:r>
        <w:t>formation, generate additional CO</w:t>
      </w:r>
      <w:r>
        <w:t xml:space="preserve"> </w:t>
      </w:r>
      <w:r>
        <w:t>*</w:t>
      </w:r>
      <w:r>
        <w:t xml:space="preserve"> </w:t>
      </w:r>
      <w:r>
        <w:t>, and promote the formation of methanol at the in‐plane S</w:t>
      </w:r>
      <w:r>
        <w:t xml:space="preserve"> </w:t>
      </w:r>
      <w:r>
        <w:t>v</w:t>
      </w:r>
      <w:r>
        <w:t xml:space="preserve"> </w:t>
      </w:r>
      <w:r>
        <w:t>sites. Broadly speaking, this work has demonstrated the modulation of MoS</w:t>
      </w:r>
      <w:r>
        <w:rPr>
          <w:vertAlign w:val="subscript"/>
        </w:rPr>
        <w:t>2</w:t>
      </w:r>
      <w:r>
        <w:t>edge sites using simple and scalable catalyst preparation methods to enhance methanol formation.</w:t>
      </w:r>
    </w:p>
    <w:p>
      <w:pPr>
        <w:spacing w:before="120" w:after="120"/>
      </w:pPr>
      <w:r>
        <w:rPr>
          <w:sz w:val="18"/>
        </w:rPr>
        <w:t>——————————————————————————————————————————————————————————————————————</w:t>
      </w:r>
    </w:p>
    <w:p>
      <w:pPr>
        <w:spacing w:before="160" w:after="40" w:line="240" w:lineRule="auto"/>
      </w:pPr>
      <w:r>
        <w:rPr>
          <w:b/>
        </w:rPr>
        <w:t xml:space="preserve">[36] </w:t>
      </w:r>
      <w:hyperlink r:id="rId237">
        <w:r>
          <w:rPr>
            <w:color w:val="1155CC"/>
            <w:u w:val="single"/>
          </w:rPr>
          <w:t>激光制造的阳极流场微图案增强了质子交换膜水电解中的肋下质量传输和性能</w:t>
        </w:r>
      </w:hyperlink>
    </w:p>
    <w:p>
      <w:pPr>
        <w:spacing w:before="0" w:after="80"/>
      </w:pPr>
      <w:r>
        <w:rPr>
          <w:i/>
          <w:sz w:val="20"/>
        </w:rPr>
        <w:t>EN: Laser fabricated micropattern of anode flow field enhances under-rib mass transport and performance in PEM water electrolysis</w:t>
      </w:r>
    </w:p>
    <w:p>
      <w:pPr>
        <w:spacing w:before="0" w:after="120"/>
      </w:pPr>
      <w:r>
        <w:rPr>
          <w:b/>
        </w:rPr>
        <w:t xml:space="preserve">Source: </w:t>
      </w:r>
      <w:r>
        <w:t>ScienceDirect Publication: Applied Energy</w:t>
      </w:r>
      <w:r>
        <w:t xml:space="preserve">    </w:t>
      </w:r>
      <w:r>
        <w:rPr>
          <w:b/>
        </w:rPr>
        <w:t xml:space="preserve">Pub date: </w:t>
      </w:r>
      <w:r>
        <w:t>2026-05-28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238">
        <w:r>
          <w:rPr>
            <w:color w:val="1155CC"/>
            <w:u w:val="single"/>
          </w:rPr>
          <w:t>强支撑铂簇的催化性能与原子数的依赖性</w:t>
        </w:r>
      </w:hyperlink>
    </w:p>
    <w:p>
      <w:pPr>
        <w:spacing w:before="0" w:after="80"/>
      </w:pPr>
      <w:r>
        <w:rPr>
          <w:i/>
          <w:sz w:val="20"/>
        </w:rPr>
        <w:t>EN: Dependence of catalytic properties of strongly supported platinum clusters with atom counts</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239">
        <w:r>
          <w:rPr>
            <w:color w:val="1155CC"/>
            <w:u w:val="single"/>
          </w:rPr>
          <w:t>10.1126/science.aeb3087</w:t>
        </w:r>
      </w:hyperlink>
    </w:p>
    <w:p>
      <w:pPr>
        <w:spacing w:before="0" w:after="120"/>
      </w:pPr>
      <w:r>
        <w:rPr>
          <w:b/>
        </w:rPr>
        <w:t xml:space="preserve">Notes: </w:t>
      </w:r>
      <w:r>
        <w:t>abstract_source=crossref</w:t>
      </w:r>
    </w:p>
    <w:p>
      <w:pPr>
        <w:spacing w:before="0" w:after="80" w:lineRule="auto" w:line="276"/>
      </w:pPr>
      <w:r>
        <w:rPr>
          <w:b/>
        </w:rPr>
        <w:t xml:space="preserve">摘要（ZH）: </w:t>
      </w:r>
      <w:r>
        <w:t>由数十个原子组成的金属簇结构代表了一类新型催化剂，与其他传统催化剂相比，具有潜在的优异催化活性和耐久性。然而，控制簇中组成原子的数量并在支撑物上实现高密度负载仍然具有挑战性。我们减少PtCl</w:t>
      </w:r>
      <w:r>
        <w:rPr>
          <w:vertAlign w:val="subscript"/>
        </w:rPr>
        <w:t>4</w:t>
      </w:r>
      <w:r>
        <w:t>2−</w:t>
      </w:r>
      <w:r>
        <w:t>与甲醇一起产生铂原子，在选定的氧化铝表面上形成牢固锚定的铂簇，并控制原子数。我们解析了铂簇的原子结构，并且可以将簇-载体相互作用的程度、催化活性和耐久性与原子计数相关联。我们通过开发铂簇展示了这种方法的前景，该铂簇在迄今为止报道的环烃氢载体脱氢制氢中表现出最高的每次铂使用催化性能。</w:t>
      </w:r>
    </w:p>
    <w:p>
      <w:pPr>
        <w:spacing w:before="0" w:after="200" w:lineRule="auto" w:line="276"/>
      </w:pPr>
      <w:r>
        <w:rPr>
          <w:b/>
        </w:rPr>
        <w:t xml:space="preserve">Abstract (EN): </w:t>
      </w:r>
      <w:r>
        <w:t>Metal cluster structures composed of tens of atoms represent a new class of catalysts with potentially superior catalytic activity and durability compared with those of other conventional catalysts. However, controlling the number of constituent atoms in clusters and achieving high-density loading on supports remain challenging. We reduce PtCl</w:t>
      </w:r>
      <w:r>
        <w:rPr>
          <w:vertAlign w:val="subscript"/>
        </w:rPr>
        <w:t>4</w:t>
      </w:r>
      <w:r>
        <w:t>2−</w:t>
      </w:r>
      <w:r>
        <w:t>with methanol to create platinum atoms forming strongly anchored platinum clusters with controlled atom counts on selected surfaces of alumina. We resolved the atomic structures of the platinum clusters and could correlate the degree of cluster-support interaction, catalytic activity, and durability with atom counts. We demonstrate the promise of this approach by developing platinum clusters that exhibit the highest catalytic performance per platinum usage reported to date for hydrogen production from the dehydrogenation of cyclic hydrocarbon hydrogen carriers.</w:t>
      </w:r>
    </w:p>
    <w:p>
      <w:pPr>
        <w:spacing w:before="120" w:after="120"/>
      </w:pPr>
      <w:r>
        <w:rPr>
          <w:sz w:val="18"/>
        </w:rPr>
        <w:t>——————————————————————————————————————————————————————————————————————</w:t>
      </w:r>
    </w:p>
    <w:p>
      <w:pPr>
        <w:spacing w:before="160" w:after="40" w:line="240" w:lineRule="auto"/>
      </w:pPr>
      <w:r>
        <w:rPr>
          <w:b/>
        </w:rPr>
        <w:t xml:space="preserve">[38] </w:t>
      </w:r>
      <w:hyperlink r:id="rId240">
        <w:r>
          <w:rPr>
            <w:color w:val="1155CC"/>
            <w:u w:val="single"/>
          </w:rPr>
          <w:t>Salphen 熔合纳米带中的高密度 Co-Ir-Co 三原子位点打破了碱性析氧过程中的活性-稳定性困境</w:t>
        </w:r>
      </w:hyperlink>
    </w:p>
    <w:p>
      <w:pPr>
        <w:spacing w:before="0" w:after="80"/>
      </w:pPr>
      <w:r>
        <w:rPr>
          <w:i/>
          <w:sz w:val="20"/>
        </w:rPr>
        <w:t>EN: High‐Density Co–Ir–Co Triple‐Atom Sites in Salphen‐Fused Nanoribbons Break the Activity‐Stability Dilemma in Alkaline Oxygen Evolution</w:t>
      </w:r>
    </w:p>
    <w:p>
      <w:pPr>
        <w:spacing w:before="0" w:after="120"/>
      </w:pPr>
      <w:r>
        <w:rPr>
          <w:b/>
        </w:rPr>
        <w:t xml:space="preserve">Source: </w:t>
      </w:r>
      <w:r>
        <w:t>Wiley: Advanced Materials: Table of Contents</w:t>
      </w:r>
      <w:r>
        <w:t xml:space="preserve">    </w:t>
      </w:r>
      <w:r>
        <w:rPr>
          <w:b/>
        </w:rPr>
        <w:t xml:space="preserve">Pub date: </w:t>
      </w:r>
      <w:r>
        <w:t>2026-05-28 06:15:42+00:00</w:t>
      </w:r>
      <w:r>
        <w:t xml:space="preserve">    </w:t>
      </w:r>
      <w:r>
        <w:rPr>
          <w:b/>
        </w:rPr>
        <w:t xml:space="preserve">DOI: </w:t>
      </w:r>
      <w:hyperlink r:id="rId241">
        <w:r>
          <w:rPr>
            <w:color w:val="1155CC"/>
            <w:u w:val="single"/>
          </w:rPr>
          <w:t>10.1002/adma.73496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稳定、活性和结构明确的水氧化电催化剂对于大规模绿色氢气生产至关重要。然而，电催化剂活性和稳定性之间固有的权衡对其实际应用造成了根本限制。在此，我们制造了一种分子精确的三原子催化剂，具有高度分散的原子铱（14.3% wt.%）以及固定在 Salphen 熔融纳米带（Co</w:t>
      </w:r>
      <w:r>
        <w:rPr>
          <w:vertAlign w:val="subscript"/>
        </w:rPr>
        <w:t>2</w:t>
      </w:r>
      <w:r>
        <w:t>Ir-SNR），实现高效且持久的析氧反应（OER）。原位红外光谱与理论计算表明，Co</w:t>
      </w:r>
      <w:r>
        <w:rPr>
          <w:vertAlign w:val="subscript"/>
        </w:rPr>
        <w:t>2</w:t>
      </w:r>
      <w:r>
        <w:t>Ir-SNR 遵循罕见氧化物路径机制 (OPM)，能量势垒降低，其中限制在两个钴夹具中的活性铱位点促进 O−O 自由基的直接耦合</w:t>
      </w:r>
      <w:r>
        <w:rPr>
          <w:vertAlign w:val="subscript"/>
        </w:rPr>
        <w:t>2</w:t>
      </w:r>
      <w:r>
        <w:t>进化。因此，三原子催化剂在 10mAcm 下实现了 212 ± 3 mV 的显着过电势</w:t>
      </w:r>
      <w:r>
        <w:t xml:space="preserve"> </w:t>
      </w:r>
      <w:r>
        <w:t>−2</w:t>
      </w:r>
      <w:r>
        <w:t xml:space="preserve"> </w:t>
      </w:r>
      <w:r>
        <w:t>并具有在碱性条件下在安培级电流密度下稳定运行长达1000小时的耐久性。这项工作提出了一种打破 OER 中遇到的活性稳定性困境的可行策略，为开发能够承受工业氢气生产严格要求的催化剂提供了重要指导。</w:t>
      </w:r>
    </w:p>
    <w:p>
      <w:pPr>
        <w:spacing w:before="0" w:after="200" w:lineRule="auto" w:line="276"/>
      </w:pPr>
      <w:r>
        <w:rPr>
          <w:b/>
        </w:rPr>
        <w:t xml:space="preserve">Abstract (EN): </w:t>
      </w:r>
      <w:r>
        <w:t>The development of stable, active, and well‐defined electrocatalysts for water oxidation is vital for large‐scale green hydrogen production. However, the inherent trade‐off between activity and stability of electrocatalysts imposes fundamental limitations on their practical applications. Herein, we fabricated a molecularly precise triatomic catalyst featuring highly dispersed atomic iridium (14.3 wt.%) along with dense atomic cobalt grippers (10.4 wt.%) anchored on a Salphen‐fused nanoribbon (Co</w:t>
      </w:r>
      <w:r>
        <w:rPr>
          <w:vertAlign w:val="subscript"/>
        </w:rPr>
        <w:t>2</w:t>
      </w:r>
      <w:r>
        <w:t>Ir‐SNR), enabling highly effective and durable oxygen evolution reaction (OER). In situ infrared spectroscopy together with theoretical calculations reveals that the Co</w:t>
      </w:r>
      <w:r>
        <w:rPr>
          <w:vertAlign w:val="subscript"/>
        </w:rPr>
        <w:t>2</w:t>
      </w:r>
      <w:r>
        <w:t>Ir‐SNR follows the infrequent oxide path mechanism (OPM) with a reduced energy barrier, where the active iridium sites confined in two cobalt grippers promote direct O−O radical coupling for O</w:t>
      </w:r>
      <w:r>
        <w:rPr>
          <w:vertAlign w:val="subscript"/>
        </w:rPr>
        <w:t>2</w:t>
      </w:r>
      <w:r>
        <w:t>evolution. Consequently, the triatomic catalyst achieves a remarkable overpotential of 212 ± 3 mV at 10 mA cm</w:t>
      </w:r>
      <w:r>
        <w:t xml:space="preserve"> </w:t>
      </w:r>
      <w:r>
        <w:t>−2</w:t>
      </w:r>
      <w:r>
        <w:t xml:space="preserve"> </w:t>
      </w:r>
      <w:r>
        <w:t>and possesses durability with stable operation for up to 1000 h at an ampere‐level current density under alkaline conditions. This work presents a viable strategy to break the activity‐stability dilemma encountered in OER, providing crucial guidance for developing catalysts that withstand the stringent requirements of industrial hydrogen production.</w:t>
      </w:r>
    </w:p>
    <w:p>
      <w:pPr>
        <w:spacing w:before="120" w:after="120"/>
      </w:pPr>
      <w:r>
        <w:rPr>
          <w:sz w:val="18"/>
        </w:rPr>
        <w:t>——————————————————————————————————————————————————————————————————————</w:t>
      </w:r>
    </w:p>
    <w:p>
      <w:pPr>
        <w:spacing w:before="160" w:after="40" w:line="240" w:lineRule="auto"/>
      </w:pPr>
      <w:r>
        <w:rPr>
          <w:b/>
        </w:rPr>
        <w:t xml:space="preserve">[39] </w:t>
      </w:r>
      <w:hyperlink r:id="rId242">
        <w:r>
          <w:rPr>
            <w:color w:val="1155CC"/>
            <w:u w:val="single"/>
          </w:rPr>
          <w:t>路易斯碱配位使芘基 MOF 上高度分散的 Pt 助催化剂能够增强光催化析氢</w:t>
        </w:r>
      </w:hyperlink>
    </w:p>
    <w:p>
      <w:pPr>
        <w:spacing w:before="0" w:after="80"/>
      </w:pPr>
      <w:r>
        <w:rPr>
          <w:i/>
          <w:sz w:val="20"/>
        </w:rPr>
        <w:t>EN: Lewis‐Base Coordination Enables Highly Dispersed Pt Cocatalyst on Pyrene‐Based MOFs for Enhanced Photocatalytic Hydrogen Evolution</w:t>
      </w:r>
    </w:p>
    <w:p>
      <w:pPr>
        <w:spacing w:before="0" w:after="120"/>
      </w:pPr>
      <w:r>
        <w:rPr>
          <w:b/>
        </w:rPr>
        <w:t xml:space="preserve">Source: </w:t>
      </w:r>
      <w:r>
        <w:t>Wiley: Angewandte Chemie International Edition: Table of Contents</w:t>
      </w:r>
      <w:r>
        <w:t xml:space="preserve">    </w:t>
      </w:r>
      <w:r>
        <w:rPr>
          <w:b/>
        </w:rPr>
        <w:t xml:space="preserve">Pub date: </w:t>
      </w:r>
      <w:r>
        <w:t>2026-05-28 09:14:21+00:00</w:t>
      </w:r>
      <w:r>
        <w:t xml:space="preserve">    </w:t>
      </w:r>
      <w:r>
        <w:rPr>
          <w:b/>
        </w:rPr>
        <w:t xml:space="preserve">DOI: </w:t>
      </w:r>
      <w:hyperlink r:id="rId243">
        <w:r>
          <w:rPr>
            <w:color w:val="1155CC"/>
            <w:u w:val="single"/>
          </w:rPr>
          <w:t>10.1002/anie.8241756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理优化Pt基助催化剂的配位结构，同时实现增强的电荷分离/转移和降低的反应能垒对于光催化具有重要意义。在此，我们通过接枝不同的路易斯碱基团，设计了铂助催化剂在芘基金属有机框架（MOF）上的配位。引入基团的柔软度直接决定了它们对 Pt 前驱体的亲和力，从而可以精确调整 Pt 和 MOF 的电子金属载体相互作用 (EMSI)，从而形成独特的 Pt 配位结构。这些结构特征通过建立的内部电场加速电荷分离/转移，并通过氧化 Pt 表面降低催化能垒，从而显着增强光催化活性。具体来说，-SH-功能化 MOF (Pt/NU-M) 具有强 EMSI，实现了 Pt-O/S 配位的原子分散，并具有 5.68 mmol g 的优异析氢速率</w:t>
      </w:r>
      <w:r>
        <w:t xml:space="preserve"> </w:t>
      </w:r>
      <w:r>
        <w:t>猫</w:t>
      </w:r>
      <w:r>
        <w:t xml:space="preserve"> </w:t>
      </w:r>
      <w:r>
        <w:t>−1</w:t>
      </w:r>
      <w:r>
        <w:t xml:space="preserve"> </w:t>
      </w:r>
      <w:r>
        <w:t>小时</w:t>
      </w:r>
      <w:r>
        <w:t xml:space="preserve"> </w:t>
      </w:r>
      <w:r>
        <w:t>−1</w:t>
      </w:r>
      <w:r>
        <w:t xml:space="preserve"> </w:t>
      </w:r>
      <w:r>
        <w:t>（405.71 毫摩尔克</w:t>
      </w:r>
      <w:r>
        <w:t xml:space="preserve"> </w:t>
      </w:r>
      <w:r>
        <w:t>点</w:t>
      </w:r>
      <w:r>
        <w:t xml:space="preserve"> </w:t>
      </w:r>
      <w:r>
        <w:t>−1</w:t>
      </w:r>
      <w:r>
        <w:t xml:space="preserve"> </w:t>
      </w:r>
      <w:r>
        <w:t>小时</w:t>
      </w:r>
      <w:r>
        <w:t xml:space="preserve"> </w:t>
      </w:r>
      <w:r>
        <w:t>−1</w:t>
      </w:r>
      <w:r>
        <w:t xml:space="preserve"> </w:t>
      </w:r>
      <w:r>
        <w:t>）当在全光谱光照射下使用抗坏血酸作为牺牲剂时，其比 Pt/NU 对照高约 16 倍，并且超过了许多报道的 MOF 基材料。值得注意的是，该催化剂在连续运行 20 小时以上仍保持卓越的稳定性。</w:t>
      </w:r>
    </w:p>
    <w:p>
      <w:pPr>
        <w:spacing w:before="0" w:after="200" w:lineRule="auto" w:line="276"/>
      </w:pPr>
      <w:r>
        <w:rPr>
          <w:b/>
        </w:rPr>
        <w:t xml:space="preserve">Abstract (EN): </w:t>
      </w:r>
      <w:r>
        <w:t>Rationally optimizing the coordination structures of Pt‐based cocatalysts to concurrently achieve enhanced charge separation/transfer and lowered reaction energy barriers is significant for photocatalysis. Herein, we engineered the coordination of Pt cocatalyst on pyrene‐based metal‐organic frameworks (MOFs) through grafting different Lewis‐base groups. The softness of the introduced groups directly determines their affinity for Pt precursors, allowing for precise tailoring of the electronic metal‐support interactions (EMSI) of Pt and MOFs, which leads to the distinct Pt coordination structures. These structural features accelerate charge separation/transfer by an established internal electric field and lower catalytic energy barriers enabled by the oxidized Pt surface, leading to significantly enhanced photocatalytic activity. Specifically, the ‐SH‐functionalized MOF (Pt/NU‐M), featuring strong EMSI, achieves atomic dispersion of Pt‐O/S coordination and delivers a superior hydrogen evolution rate of 5.68 mmol g</w:t>
      </w:r>
      <w:r>
        <w:t xml:space="preserve"> </w:t>
      </w:r>
      <w:r>
        <w:t>cat</w:t>
      </w:r>
      <w:r>
        <w:t xml:space="preserve"> </w:t>
      </w:r>
      <w:r>
        <w:t>−1</w:t>
      </w:r>
      <w:r>
        <w:t xml:space="preserve"> </w:t>
      </w:r>
      <w:r>
        <w:t>h</w:t>
      </w:r>
      <w:r>
        <w:t xml:space="preserve"> </w:t>
      </w:r>
      <w:r>
        <w:t>−1</w:t>
      </w:r>
      <w:r>
        <w:t xml:space="preserve"> </w:t>
      </w:r>
      <w:r>
        <w:t>(405.71 mmol g</w:t>
      </w:r>
      <w:r>
        <w:t xml:space="preserve"> </w:t>
      </w:r>
      <w:r>
        <w:t>pt</w:t>
      </w:r>
      <w:r>
        <w:t xml:space="preserve"> </w:t>
      </w:r>
      <w:r>
        <w:t>−1</w:t>
      </w:r>
      <w:r>
        <w:t xml:space="preserve"> </w:t>
      </w:r>
      <w:r>
        <w:t>h</w:t>
      </w:r>
      <w:r>
        <w:t xml:space="preserve"> </w:t>
      </w:r>
      <w:r>
        <w:t>−1</w:t>
      </w:r>
      <w:r>
        <w:t xml:space="preserve"> </w:t>
      </w:r>
      <w:r>
        <w:t>) when using ascorbic acid as a sacrificial agent upon full‐spectrum light irradiation, which is about 16 times higher than that of the Pt/NU control and surpasses many reported MOF‐based materials. Notably, the catalyst maintains exceptional stability over 20 h of continuous operation. This work highlights Lewis‐base coordination for tailoring active sites and optimizing EMSI, providing new insights for rational catalyst design and related energy applications.</w:t>
      </w:r>
    </w:p>
    <w:p>
      <w:pPr>
        <w:spacing w:before="120" w:after="120"/>
      </w:pPr>
      <w:r>
        <w:rPr>
          <w:sz w:val="18"/>
        </w:rPr>
        <w:t>——————————————————————————————————————————————————————————————————————</w:t>
      </w:r>
    </w:p>
    <w:p>
      <w:pPr>
        <w:spacing w:before="160" w:after="40" w:line="240" w:lineRule="auto"/>
      </w:pPr>
      <w:r>
        <w:rPr>
          <w:b/>
        </w:rPr>
        <w:t xml:space="preserve">[40] </w:t>
      </w:r>
      <w:hyperlink r:id="rId244">
        <w:r>
          <w:rPr>
            <w:color w:val="1155CC"/>
            <w:u w:val="single"/>
          </w:rPr>
          <w:t>用于高效低压氨合成的锂-锗合金界面</w:t>
        </w:r>
      </w:hyperlink>
    </w:p>
    <w:p>
      <w:pPr>
        <w:spacing w:before="0" w:after="80"/>
      </w:pPr>
      <w:r>
        <w:rPr>
          <w:i/>
          <w:sz w:val="20"/>
        </w:rPr>
        <w:t>EN: Lithium‐Germanium Alloy Interfaces for Efficient Low‐Pressure Ammonia Synthesis</w:t>
      </w:r>
    </w:p>
    <w:p>
      <w:pPr>
        <w:spacing w:before="0" w:after="120"/>
      </w:pPr>
      <w:r>
        <w:rPr>
          <w:b/>
        </w:rPr>
        <w:t xml:space="preserve">Source: </w:t>
      </w:r>
      <w:r>
        <w:t>Wiley: Angewandte Chemie International Edition: Table of Contents</w:t>
      </w:r>
      <w:r>
        <w:t xml:space="preserve">    </w:t>
      </w:r>
      <w:r>
        <w:rPr>
          <w:b/>
        </w:rPr>
        <w:t xml:space="preserve">Pub date: </w:t>
      </w:r>
      <w:r>
        <w:t>2026-05-28 10:51:43+00:00</w:t>
      </w:r>
      <w:r>
        <w:t xml:space="preserve">    </w:t>
      </w:r>
      <w:r>
        <w:rPr>
          <w:b/>
        </w:rPr>
        <w:t xml:space="preserve">DOI: </w:t>
      </w:r>
      <w:hyperlink r:id="rId245">
        <w:r>
          <w:rPr>
            <w:color w:val="1155CC"/>
            <w:u w:val="single"/>
          </w:rPr>
          <w:t>10.1002/anie.9951729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介导的氮还原反应（Li-NRR）为氨合成提供了一条可持续的途径，为能源密集型哈伯-博世工艺提供了可行的替代方案。虽然大多数先前的研究都集中在溶液相优化上，但我们通过合理设计三乙铵锗酸盐改性铜（Cu/TEG）电极引入了一种变革性的电极工程策略。多技术表征揭示了Li的形成</w:t>
      </w:r>
      <w:r>
        <w:rPr>
          <w:vertAlign w:val="subscript"/>
        </w:rPr>
        <w:t>15</w:t>
      </w:r>
      <w:r>
        <w:t>锗</w:t>
      </w:r>
      <w:r>
        <w:rPr>
          <w:vertAlign w:val="subscript"/>
        </w:rPr>
        <w:t>4</w:t>
      </w:r>
      <w:r>
        <w:t>Li-NRR期间的合金。电化学测量与 DFT 计算相结合表明 Li</w:t>
      </w:r>
      <w:r>
        <w:rPr>
          <w:vertAlign w:val="subscript"/>
        </w:rPr>
        <w:t>15</w:t>
      </w:r>
      <w:r>
        <w:t>锗</w:t>
      </w:r>
      <w:r>
        <w:rPr>
          <w:vertAlign w:val="subscript"/>
        </w:rPr>
        <w:t>4</w:t>
      </w:r>
      <w:r>
        <w:t>合金同时促进锂沉积并转移N</w:t>
      </w:r>
      <w:r>
        <w:rPr>
          <w:vertAlign w:val="subscript"/>
        </w:rPr>
        <w:t>2</w:t>
      </w:r>
      <w:r>
        <w:t>吸附能较多放热。最重要的是，这种界面工程能够在前所未有的 N 条件下实现高达 92.5% 的法拉第效率 (FE)</w:t>
      </w:r>
      <w:r>
        <w:rPr>
          <w:vertAlign w:val="subscript"/>
        </w:rPr>
        <w:t>2</w:t>
      </w:r>
      <w:r>
        <w:t>压力低至 4 bar，相对于锂沉积开始的过电势最小。这种协同作用最大限度地减少了能量损失，据我们所知，在批量电池中实现了最高的伪能源效率值（17.6%）。总的来说，这项工作通过锂-锗合金形成建立了双功能界面工程作为突破性策略，超越了传统的溶液相优化，为高效电学提供了一种新方法。</w:t>
      </w:r>
    </w:p>
    <w:p>
      <w:pPr>
        <w:spacing w:before="0" w:after="200" w:lineRule="auto" w:line="276"/>
      </w:pPr>
      <w:r>
        <w:rPr>
          <w:b/>
        </w:rPr>
        <w:t xml:space="preserve">Abstract (EN): </w:t>
      </w:r>
      <w:r>
        <w:t>The lithium‐mediated nitrogen reduction reaction (Li‐NRR) offers a sustainable pathway for ammonia synthesis, providing a viable alternative to the energy‐intensive Haber‐Bosch process. While most prior studies focused on solution‐phase optimization, we introduce a transformative electrode engineering strategy via the rational design of triethylammonium germanate‐modified copper (Cu/TEG) electrodes. Multi‐technique characterization reveals the formation of the Li</w:t>
      </w:r>
      <w:r>
        <w:rPr>
          <w:vertAlign w:val="subscript"/>
        </w:rPr>
        <w:t>15</w:t>
      </w:r>
      <w:r>
        <w:t>Ge</w:t>
      </w:r>
      <w:r>
        <w:rPr>
          <w:vertAlign w:val="subscript"/>
        </w:rPr>
        <w:t>4</w:t>
      </w:r>
      <w:r>
        <w:t>alloy during the Li‐NRR. Electrochemical measurements combined with DFT calculations demonstrate that the Li</w:t>
      </w:r>
      <w:r>
        <w:rPr>
          <w:vertAlign w:val="subscript"/>
        </w:rPr>
        <w:t>15</w:t>
      </w:r>
      <w:r>
        <w:t>Ge</w:t>
      </w:r>
      <w:r>
        <w:rPr>
          <w:vertAlign w:val="subscript"/>
        </w:rPr>
        <w:t>4</w:t>
      </w:r>
      <w:r>
        <w:t>alloy simultaneously facilitates lithium deposition and shifts the N</w:t>
      </w:r>
      <w:r>
        <w:rPr>
          <w:vertAlign w:val="subscript"/>
        </w:rPr>
        <w:t>2</w:t>
      </w:r>
      <w:r>
        <w:t>adsorption energy more exothermic. Most importantly, this interfacial engineering enables a Faradaic efficiency (FE) of up to 92.5% at an unprecedented N</w:t>
      </w:r>
      <w:r>
        <w:rPr>
          <w:vertAlign w:val="subscript"/>
        </w:rPr>
        <w:t>2</w:t>
      </w:r>
      <w:r>
        <w:t>pressure as low as 4 bar and with minimal overpotential relative to the onset of lithium deposition. This synergy minimizes energy losses, achieving the highest reported pseudo‐energy efficiency value (17.6%) in a batch cell to the best of our knowledge. Overall, this work establishes dual‐function interfacial engineering via lithium‐germanium alloy formation as a breakthrough strategy, moving beyond conventional solution‐phase optimization to provide a new approach for efficient electrochemical nitrogen fixation.</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246">
        <w:r>
          <w:rPr>
            <w:color w:val="1155CC"/>
            <w:u w:val="single"/>
          </w:rPr>
          <w:t>超越普遍决策者：能源系统脱碳和减少能源贫困的创新政策</w:t>
        </w:r>
      </w:hyperlink>
    </w:p>
    <w:p>
      <w:pPr>
        <w:spacing w:before="0" w:after="80"/>
      </w:pPr>
      <w:r>
        <w:rPr>
          <w:i/>
          <w:sz w:val="20"/>
        </w:rPr>
        <w:t>EN: Beyond the universal decision maker: renovation policy for decarbonizing energy systems and reducing energy poverty</w:t>
      </w:r>
    </w:p>
    <w:p>
      <w:pPr>
        <w:spacing w:before="0" w:after="120"/>
      </w:pPr>
      <w:r>
        <w:rPr>
          <w:b/>
        </w:rPr>
        <w:t xml:space="preserve">Source: </w:t>
      </w:r>
      <w:r>
        <w:t>ScienceDirect Publication: Energy Policy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47">
        <w:r>
          <w:rPr>
            <w:color w:val="1155CC"/>
            <w:u w:val="single"/>
          </w:rPr>
          <w:t>用于能源密集型行业灵活负载调节的条件触发自适应稳健 MPC：铝电解案例研究</w:t>
        </w:r>
      </w:hyperlink>
    </w:p>
    <w:p>
      <w:pPr>
        <w:spacing w:before="0" w:after="80"/>
      </w:pPr>
      <w:r>
        <w:rPr>
          <w:i/>
          <w:sz w:val="20"/>
        </w:rPr>
        <w:t>EN: Condition-triggered adaptive robust MPC for flexible load regulation in energy-intensive industries: A case study of aluminum electrolysis</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48">
        <w:r>
          <w:rPr>
            <w:color w:val="1155CC"/>
            <w:u w:val="single"/>
          </w:rPr>
          <w:t>硝酸盐稳定的 Cuδ+ 位点促进选择性 CO2 电还原为乙醇，用于串联乙酰胺电合成</w:t>
        </w:r>
      </w:hyperlink>
    </w:p>
    <w:p>
      <w:pPr>
        <w:spacing w:before="0" w:after="80"/>
      </w:pPr>
      <w:r>
        <w:rPr>
          <w:i/>
          <w:sz w:val="20"/>
        </w:rPr>
        <w:t>EN: Nitrate‐Stabilized Cuδ+ Sites Promote Selective CO2 Electroreduction to Ethanol for Tandem Acetamide Electrosynthesis</w:t>
      </w:r>
    </w:p>
    <w:p>
      <w:pPr>
        <w:spacing w:before="0" w:after="120"/>
      </w:pPr>
      <w:r>
        <w:rPr>
          <w:b/>
        </w:rPr>
        <w:t xml:space="preserve">Source: </w:t>
      </w:r>
      <w:r>
        <w:t>Wiley: Angewandte Chemie International Edition: Table of Contents</w:t>
      </w:r>
      <w:r>
        <w:t xml:space="preserve">    </w:t>
      </w:r>
      <w:r>
        <w:rPr>
          <w:b/>
        </w:rPr>
        <w:t xml:space="preserve">Pub date: </w:t>
      </w:r>
      <w:r>
        <w:t>2026-05-23 11:37:05+00:00</w:t>
      </w:r>
      <w:r>
        <w:t xml:space="preserve">    </w:t>
      </w:r>
      <w:r>
        <w:rPr>
          <w:b/>
        </w:rPr>
        <w:t xml:space="preserve">DOI: </w:t>
      </w:r>
      <w:hyperlink r:id="rId249">
        <w:r>
          <w:rPr>
            <w:color w:val="1155CC"/>
            <w:u w:val="single"/>
          </w:rPr>
          <w:t>10.1002/anie.5526884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从丰富的 CO 中电合成乙酰胺（一种含有 C─C─N 键的多碳含氮化合物）</w:t>
      </w:r>
      <w:r>
        <w:rPr>
          <w:vertAlign w:val="subscript"/>
        </w:rPr>
        <w:t>2</w:t>
      </w:r>
      <w:r>
        <w:t>硝酸盐对于低碳工业很重要。然而，同时电还原构建C─C和C─N键具有挑战性。在此，我们提出了一种分别在阴极和阳极串联构建 C─C 和 C─N 键的策略。在阴极，硝酸盐诱导的动态 Cu</w:t>
      </w:r>
      <w:r>
        <w:t xml:space="preserve"> </w:t>
      </w:r>
      <w:r>
        <w:t>δ+</w:t>
      </w:r>
      <w:r>
        <w:t xml:space="preserve"> </w:t>
      </w:r>
      <w:r>
        <w:t>该位点旨在促进 CO 的 C─C 偶联活性</w:t>
      </w:r>
      <w:r>
        <w:rPr>
          <w:vertAlign w:val="subscript"/>
        </w:rPr>
        <w:t>2</w:t>
      </w:r>
      <w:r>
        <w:t>还原为乙醇，同时伴随着硝酸盐还原生成氨，总法拉第效率为88.6%。产生的乙醇和氨作为原料，通过可能的亲核攻击途径在阳极区域串联构建 C─N 键。我们实现了乙酰胺的合成，法拉第效率为 71.4%，产率为 0.13 mmol h</w:t>
      </w:r>
      <w:r>
        <w:t xml:space="preserve"> </w:t>
      </w:r>
      <w:r>
        <w:t>−1</w:t>
      </w:r>
      <w:r>
        <w:t xml:space="preserve"> </w:t>
      </w:r>
      <w:r>
        <w:t>厘米</w:t>
      </w:r>
      <w:r>
        <w:t xml:space="preserve"> </w:t>
      </w:r>
      <w:r>
        <w:t>−2</w:t>
      </w:r>
      <w:r>
        <w:t xml:space="preserve"> </w:t>
      </w:r>
      <w:r>
        <w:t>。该串联策略的碳足迹分析显示，碳强度为 0.23 千克，实现净零排放</w:t>
      </w:r>
      <w:r>
        <w:t xml:space="preserve"> </w:t>
      </w:r>
      <w:r>
        <w:t>二氧化碳当量</w:t>
      </w:r>
      <w:r>
        <w:t xml:space="preserve"> </w:t>
      </w:r>
      <w:r>
        <w:t>千瓦时</w:t>
      </w:r>
      <w:r>
        <w:t xml:space="preserve"> </w:t>
      </w:r>
      <w:r>
        <w:t>−1</w:t>
      </w:r>
      <w:r>
        <w:t xml:space="preserve"> </w:t>
      </w:r>
      <w:r>
        <w:t>，从碳中和的角度表明其可持续性质。</w:t>
      </w:r>
    </w:p>
    <w:p>
      <w:pPr>
        <w:spacing w:before="0" w:after="200" w:lineRule="auto" w:line="276"/>
      </w:pPr>
      <w:r>
        <w:rPr>
          <w:b/>
        </w:rPr>
        <w:t xml:space="preserve">Abstract (EN): </w:t>
      </w:r>
      <w:r>
        <w:t>Electrosynthesis of acetamide, a multicarbon nitrogenous compound containing C─C─N bonds, from abundant CO</w:t>
      </w:r>
      <w:r>
        <w:rPr>
          <w:vertAlign w:val="subscript"/>
        </w:rPr>
        <w:t>2</w:t>
      </w:r>
      <w:r>
        <w:t>and nitrate is important for low‐carbon industry. However, the simultaneous electroreduction construction of C─C and C─N bonds is challenging. Herein, we propose a strategy to construct C─C and C─N bonds in tandem at the cathode and anode, respectively. At the cathode, a nitrate‐induced dynamic Cu</w:t>
      </w:r>
      <w:r>
        <w:t xml:space="preserve"> </w:t>
      </w:r>
      <w:r>
        <w:t>δ+</w:t>
      </w:r>
      <w:r>
        <w:t xml:space="preserve"> </w:t>
      </w:r>
      <w:r>
        <w:t>site is designed to promote C─C coupling activity from CO</w:t>
      </w:r>
      <w:r>
        <w:rPr>
          <w:vertAlign w:val="subscript"/>
        </w:rPr>
        <w:t>2</w:t>
      </w:r>
      <w:r>
        <w:t>reduction to ethanol, which is accompanied by the generation of ammonia from nitrate reduction, with a total Faradaic efficiency of 88.6%. The generated ethanol and ammonia serve as feedstocks for the tandem construction of C─N bonds at the anodic region via a possible nucleophilic attack pathway. We achieve the synthesis of acetamide with a Faradaic efficiency of 71.4% and a yield rate of 0.13 mmol h</w:t>
      </w:r>
      <w:r>
        <w:t xml:space="preserve"> </w:t>
      </w:r>
      <w:r>
        <w:t>−1</w:t>
      </w:r>
      <w:r>
        <w:t xml:space="preserve"> </w:t>
      </w:r>
      <w:r>
        <w:t>cm</w:t>
      </w:r>
      <w:r>
        <w:t xml:space="preserve"> </w:t>
      </w:r>
      <w:r>
        <w:t>−2</w:t>
      </w:r>
      <w:r>
        <w:t xml:space="preserve"> </w:t>
      </w:r>
      <w:r>
        <w:t>. The carbon footprint analysis of this tandem strategy revealed net‐zero emissions at a carbon intensity of 0.23 kg</w:t>
      </w:r>
      <w:r>
        <w:t xml:space="preserve"> </w:t>
      </w:r>
      <w:r>
        <w:t>CO2e</w:t>
      </w:r>
      <w:r>
        <w:t xml:space="preserve"> </w:t>
      </w:r>
      <w:r>
        <w:t>kWh</w:t>
      </w:r>
      <w:r>
        <w:t xml:space="preserve"> </w:t>
      </w:r>
      <w:r>
        <w:t>−1</w:t>
      </w:r>
      <w:r>
        <w:t xml:space="preserve"> </w:t>
      </w:r>
      <w:r>
        <w:t>, indicating its sustainable nature from the viewpoint of carbon neutrality.</w:t>
      </w:r>
    </w:p>
    <w:p>
      <w:pPr>
        <w:spacing w:before="120" w:after="120"/>
      </w:pPr>
      <w:r>
        <w:rPr>
          <w:sz w:val="18"/>
        </w:rPr>
        <w:t>——————————————————————————————————————————————————————————————————————</w:t>
      </w:r>
    </w:p>
    <w:p>
      <w:pPr>
        <w:spacing w:before="160" w:after="40" w:line="240" w:lineRule="auto"/>
      </w:pPr>
      <w:r>
        <w:rPr>
          <w:b/>
        </w:rPr>
        <w:t xml:space="preserve">[4] </w:t>
      </w:r>
      <w:hyperlink r:id="rId250">
        <w:r>
          <w:rPr>
            <w:color w:val="1155CC"/>
            <w:u w:val="single"/>
          </w:rPr>
          <w:t>用于高效电催化二氧化碳还原反应的有机金属框架</w:t>
        </w:r>
      </w:hyperlink>
    </w:p>
    <w:p>
      <w:pPr>
        <w:spacing w:before="0" w:after="80"/>
      </w:pPr>
      <w:r>
        <w:rPr>
          <w:i/>
          <w:sz w:val="20"/>
        </w:rPr>
        <w:t>EN: Organometallic Frameworks for Efficient Electrocatalytic CO2 Reduction Reactions</w:t>
      </w:r>
    </w:p>
    <w:p>
      <w:pPr>
        <w:spacing w:before="0" w:after="120"/>
      </w:pPr>
      <w:r>
        <w:rPr>
          <w:b/>
        </w:rPr>
        <w:t xml:space="preserve">Source: </w:t>
      </w:r>
      <w:r>
        <w:t>Wiley: Angewandte Chemie International Edition: Table of Contents</w:t>
      </w:r>
      <w:r>
        <w:t xml:space="preserve">    </w:t>
      </w:r>
      <w:r>
        <w:rPr>
          <w:b/>
        </w:rPr>
        <w:t xml:space="preserve">Pub date: </w:t>
      </w:r>
      <w:r>
        <w:t>2026-05-23 11:38:00+00:00</w:t>
      </w:r>
      <w:r>
        <w:t xml:space="preserve">    </w:t>
      </w:r>
      <w:r>
        <w:rPr>
          <w:b/>
        </w:rPr>
        <w:t xml:space="preserve">DOI: </w:t>
      </w:r>
      <w:hyperlink r:id="rId251">
        <w:r>
          <w:rPr>
            <w:color w:val="1155CC"/>
            <w:u w:val="single"/>
          </w:rPr>
          <w:t>10.1002/anie.3794364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CO的电催化转化</w:t>
      </w:r>
      <w:r>
        <w:rPr>
          <w:vertAlign w:val="subscript"/>
        </w:rPr>
        <w:t>2</w:t>
      </w:r>
      <w:r>
        <w:t>由可再生电力驱动的增值化学品提供了减少大气二氧化碳的可行策略</w:t>
      </w:r>
      <w:r>
        <w:rPr>
          <w:vertAlign w:val="subscript"/>
        </w:rPr>
        <w:t>2</w:t>
      </w:r>
      <w:r>
        <w:t>集中能量，实现能量储存。具有周期性有序隔离金属活性位点和大表面积的结晶多孔金属有机框架（MOF）代表了有前途的CO</w:t>
      </w:r>
      <w:r>
        <w:rPr>
          <w:vertAlign w:val="subscript"/>
        </w:rPr>
        <w:t>2</w:t>
      </w:r>
      <w:r>
        <w:t>还原反应（CO</w:t>
      </w:r>
      <w:r>
        <w:rPr>
          <w:vertAlign w:val="subscript"/>
        </w:rPr>
        <w:t>2</w:t>
      </w:r>
      <w:r>
        <w:t>RR) 催化剂由于其快速 CO</w:t>
      </w:r>
      <w:r>
        <w:rPr>
          <w:vertAlign w:val="subscript"/>
        </w:rPr>
        <w:t>2</w:t>
      </w:r>
      <w:r>
        <w:t>吸附动力学。然而，传统的 MOF 通常表现出不足的 CO</w:t>
      </w:r>
      <w:r>
        <w:rPr>
          <w:vertAlign w:val="subscript"/>
        </w:rPr>
        <w:t>2</w:t>
      </w:r>
      <w:r>
        <w:t>RR 电流密度源于固有的低电导率和缓慢的电子转移动力学。在骨架中引入Metal-C键可以直接调控金属中心的电子结构，优化中间体吸附。在这里，我们合成了两种具有碳银连接性的有机金属框架，以增强 CO</w:t>
      </w:r>
      <w:r>
        <w:rPr>
          <w:vertAlign w:val="subscript"/>
        </w:rPr>
        <w:t>2</w:t>
      </w:r>
      <w:r>
        <w:t>RR 表演。炔烃部分和金属中心之间独特的σ-π配位基序赋予这些框架增强的电子转移能力、优异的CO</w:t>
      </w:r>
      <w:r>
        <w:rPr>
          <w:vertAlign w:val="subscript"/>
        </w:rPr>
        <w:t>2</w:t>
      </w:r>
      <w:r>
        <w:t>活化能力，显着提高CO</w:t>
      </w:r>
      <w:r>
        <w:rPr>
          <w:vertAlign w:val="subscript"/>
        </w:rPr>
        <w:t>2</w:t>
      </w:r>
      <w:r>
        <w:t>RR 性能。至关重要的是，这些材料实现了卓越的 CO 法拉第效率 (FE</w:t>
      </w:r>
    </w:p>
    <w:p>
      <w:pPr>
        <w:spacing w:before="0" w:after="200" w:lineRule="auto" w:line="276"/>
      </w:pPr>
      <w:r>
        <w:rPr>
          <w:b/>
        </w:rPr>
        <w:t xml:space="preserve">Abstract (EN): </w:t>
      </w:r>
      <w:r>
        <w:t>The electrocatalytic conversion of CO</w:t>
      </w:r>
      <w:r>
        <w:rPr>
          <w:vertAlign w:val="subscript"/>
        </w:rPr>
        <w:t>2</w:t>
      </w:r>
      <w:r>
        <w:t>to value‐added chemicals driven by renewable electricity offers a viable strategy to reduce atmospheric CO</w:t>
      </w:r>
      <w:r>
        <w:rPr>
          <w:vertAlign w:val="subscript"/>
        </w:rPr>
        <w:t>2</w:t>
      </w:r>
      <w:r>
        <w:t>concentration and realize energy storage. Crystalline porous metal‐organic frameworks (MOFs) with periodically ordered isolated metal active sites and large surface areas represent promising CO</w:t>
      </w:r>
      <w:r>
        <w:rPr>
          <w:vertAlign w:val="subscript"/>
        </w:rPr>
        <w:t>2</w:t>
      </w:r>
      <w:r>
        <w:t>reduction reaction (CO</w:t>
      </w:r>
      <w:r>
        <w:rPr>
          <w:vertAlign w:val="subscript"/>
        </w:rPr>
        <w:t>2</w:t>
      </w:r>
      <w:r>
        <w:t>RR) catalysts due to their rapid CO</w:t>
      </w:r>
      <w:r>
        <w:rPr>
          <w:vertAlign w:val="subscript"/>
        </w:rPr>
        <w:t>2</w:t>
      </w:r>
      <w:r>
        <w:t>adsorption kinetics. However, conventional MOFs typically exhibit insufficient CO</w:t>
      </w:r>
      <w:r>
        <w:rPr>
          <w:vertAlign w:val="subscript"/>
        </w:rPr>
        <w:t>2</w:t>
      </w:r>
      <w:r>
        <w:t>RR current densities stemming from inherent low electrical conductivity and sluggish electron transfer kinetics. Introducing Metal‐C bonds into the framework can directly regulate the electronic structure of the metal center, optimizing intermediate adsorption. Herein, we synthesized two organometallic frameworks featuring carbon‐silver connectivity to enhance the CO</w:t>
      </w:r>
      <w:r>
        <w:rPr>
          <w:vertAlign w:val="subscript"/>
        </w:rPr>
        <w:t>2</w:t>
      </w:r>
      <w:r>
        <w:t>RR performances. The distinctive σ‐π coordination motif between alkyne moieties and metal centers endows these frameworks with enhanced electron transfer capability, superior CO</w:t>
      </w:r>
      <w:r>
        <w:rPr>
          <w:vertAlign w:val="subscript"/>
        </w:rPr>
        <w:t>2</w:t>
      </w:r>
      <w:r>
        <w:t>activation ability, and significantly improved CO</w:t>
      </w:r>
      <w:r>
        <w:rPr>
          <w:vertAlign w:val="subscript"/>
        </w:rPr>
        <w:t>2</w:t>
      </w:r>
      <w:r>
        <w:t>RR performance. Crucially, these materials achieve exceptional CO Faraday efficiencies (FE</w:t>
      </w:r>
      <w:r>
        <w:t xml:space="preserve"> </w:t>
      </w:r>
      <w:r>
        <w:t>CO</w:t>
      </w:r>
      <w:r>
        <w:t xml:space="preserve"> </w:t>
      </w:r>
      <w:r>
        <w:t>) exceeding 90% when operated at industrially relevant current densities (&amp;gt; 500 mA cm</w:t>
      </w:r>
      <w:r>
        <w:t xml:space="preserve"> </w:t>
      </w:r>
      <w:r>
        <w:t>−2</w:t>
      </w:r>
      <w:r>
        <w:t xml:space="preserve"> </w:t>
      </w:r>
      <w:r>
        <w:t>), surpassing most reported MOF‐based systems. This work establishes a novel design paradigm for organometallic frameworks and accelerates their practical deployment in industrial CO</w:t>
      </w:r>
      <w:r>
        <w:rPr>
          <w:vertAlign w:val="subscript"/>
        </w:rPr>
        <w:t>2</w:t>
      </w:r>
      <w:r>
        <w:t>electroreduction processes.</w:t>
      </w:r>
    </w:p>
    <w:p>
      <w:pPr>
        <w:spacing w:before="120" w:after="120"/>
      </w:pPr>
      <w:r>
        <w:rPr>
          <w:sz w:val="18"/>
        </w:rPr>
        <w:t>——————————————————————————————————————————————————————————————————————</w:t>
      </w:r>
    </w:p>
    <w:p>
      <w:pPr>
        <w:spacing w:before="160" w:after="40" w:line="240" w:lineRule="auto"/>
      </w:pPr>
      <w:r>
        <w:rPr>
          <w:b/>
        </w:rPr>
        <w:t xml:space="preserve">[5] </w:t>
      </w:r>
      <w:hyperlink r:id="rId252">
        <w:r>
          <w:rPr>
            <w:color w:val="1155CC"/>
            <w:u w:val="single"/>
          </w:rPr>
          <w:t>确定德国钢铁行业脱碳的障碍，作为可行性评估的基础</w:t>
        </w:r>
      </w:hyperlink>
    </w:p>
    <w:p>
      <w:pPr>
        <w:spacing w:before="0" w:after="80"/>
      </w:pPr>
      <w:r>
        <w:rPr>
          <w:i/>
          <w:sz w:val="20"/>
        </w:rPr>
        <w:t>EN: Identification of barriers to decarbonise the German steel industry as a basis for a feasibility assessment</w:t>
      </w:r>
    </w:p>
    <w:p>
      <w:pPr>
        <w:spacing w:before="0" w:after="120"/>
      </w:pPr>
      <w:r>
        <w:rPr>
          <w:b/>
        </w:rPr>
        <w:t xml:space="preserve">Source: </w:t>
      </w:r>
      <w:r>
        <w:t>ScienceDirect Publication: Energy Policy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253">
        <w:r>
          <w:rPr>
            <w:color w:val="1155CC"/>
            <w:u w:val="single"/>
          </w:rPr>
          <w:t>[ASAP] 通过氧化C-C偶联从甲醇电合成乙二醇</w:t>
        </w:r>
      </w:hyperlink>
    </w:p>
    <w:p>
      <w:pPr>
        <w:spacing w:before="0" w:after="80"/>
      </w:pPr>
      <w:r>
        <w:rPr>
          <w:i/>
          <w:sz w:val="20"/>
        </w:rPr>
        <w:t>EN: [ASAP] Electrosynthesis of Ethylene Glycol from Methanol via Oxidative C–C Coupling</w:t>
      </w:r>
    </w:p>
    <w:p>
      <w:pPr>
        <w:spacing w:before="0" w:after="120"/>
      </w:pPr>
      <w:r>
        <w:rPr>
          <w:b/>
        </w:rPr>
        <w:t xml:space="preserve">Source: </w:t>
      </w:r>
      <w:r>
        <w:t>Journal of the American Chemical Society: Latest Articles (ACS Publications)</w:t>
      </w:r>
      <w:r>
        <w:t xml:space="preserve">    </w:t>
      </w:r>
      <w:r>
        <w:rPr>
          <w:b/>
        </w:rPr>
        <w:t xml:space="preserve">Pub date: </w:t>
      </w:r>
      <w:r>
        <w:t>2026-05-24 14:48:50+00:00</w:t>
      </w:r>
      <w:r>
        <w:t xml:space="preserve">    </w:t>
      </w:r>
      <w:r>
        <w:rPr>
          <w:b/>
        </w:rPr>
        <w:t xml:space="preserve">DOI: </w:t>
      </w:r>
      <w:hyperlink r:id="rId254">
        <w:r>
          <w:rPr>
            <w:color w:val="1155CC"/>
            <w:u w:val="single"/>
          </w:rPr>
          <w:t>10.1021/jacs.6c03536</w:t>
        </w:r>
      </w:hyperlink>
    </w:p>
    <w:p>
      <w:pPr>
        <w:spacing w:before="0" w:after="120"/>
      </w:pPr>
      <w:r>
        <w:rPr>
          <w:b/>
        </w:rPr>
        <w:t xml:space="preserve">Notes: </w:t>
      </w:r>
      <w:r>
        <w:t>abstract_source=openalex</w:t>
      </w:r>
    </w:p>
    <w:p>
      <w:pPr>
        <w:spacing w:before="0" w:after="80" w:lineRule="auto" w:line="276"/>
      </w:pPr>
      <w:r>
        <w:rPr>
          <w:b/>
        </w:rPr>
        <w:t xml:space="preserve">摘要（ZH）: </w:t>
      </w:r>
      <w:r>
        <w:t>乙二醇（EG）是一种大宗化学品，但其工业生产严重依赖化石原料（即油基乙烯和煤基合成气），并面临高碳足迹。在此，我们报道了通过阳极氧化 C-C 偶联，从重要的 C1 平台分子——甲醇 (MeOH) 一步电合成 EG。在硼掺杂金刚石 (BDD) 电极上，在电流密度为 100 mA cm–2 时，产生的 EG 法拉第效率为 34.3%，选择性为 48.7%，生产率为 639 μmol cm–2 h–1。机理研究表明，该反应通过自由基介导的途径进行，其中H2O首先在BDD电极上被氧化为羟基自由基(•OH)，其介导MeOH的C-H键活化以传递•CH2OH中间体，随后C-C偶联生成EG。为了提高 EG 选择性，设计了一种配对电解策略，在阳极将 MeOH 与 EG 偶联，并在阴极将副产物甲醛还原为 MeOH。在无膜流通池中，EG 选择性从 48.7% 提高到 72.1%，循环稳定性超过 80 小时。这项工作展示了通过电催化自由基型 C-C 偶联从基本 C1 原料合成碳链增长化学品的机会。</w:t>
      </w:r>
    </w:p>
    <w:p>
      <w:pPr>
        <w:spacing w:before="0" w:after="200" w:lineRule="auto" w:line="276"/>
      </w:pPr>
      <w:r>
        <w:rPr>
          <w:b/>
        </w:rPr>
        <w:t xml:space="preserve">Abstract (EN): </w:t>
      </w:r>
      <w:r>
        <w:t>Ethylene glycol (EG) is a commodity chemical, but its industrial production heavily relies on fossil-based feedstocks (that are, oil-based ethylene and coal-based syngas) and faces high carbon footprint. Herein, we report one-step electrosynthesis of EG from an important C1 platform molecule─methanol (MeOH), via oxidative C–C coupling at the anode. Over a boron-doped diamond (BDD) electrode, EG was produced with a Faradaic efficiency of 34.3% and a selectivity of 48.7% at a current density of 100 mA cm–2, delivering a productivity of 639 μmol cm–2 h–1. Mechanistic studies revealed that the reaction proceeded via a radical-mediated pathway, wherein H2O was first oxidized to the hydroxyl radical (•OH) on the BDD electrode, which mediated C–H bond activation of MeOH to deliver the •CH2OH intermediate, following C–C coupling to generate EG. To enhance EG selectivity, a paired-electrolysis strategy was designed that couples MeOH-to-EG at the anode and reduction of the byproduct formaldehyde to MeOH at the cathode. In a membrane-free flow cell, EG selectivity was increased from 48.7% to 72.1% with cycling stability over 80 h. This work demonstrates the opportunity to synthesize carbon-chain-propagated chemicals from basic C1 feedstock via radical-type C–C coupling by electrocatalysis.</w:t>
      </w:r>
    </w:p>
    <w:p>
      <w:pPr>
        <w:spacing w:before="120" w:after="120"/>
      </w:pPr>
      <w:r>
        <w:rPr>
          <w:sz w:val="18"/>
        </w:rPr>
        <w:t>——————————————————————————————————————————————————————————————————————</w:t>
      </w:r>
    </w:p>
    <w:p>
      <w:pPr>
        <w:spacing w:before="160" w:after="40" w:line="240" w:lineRule="auto"/>
      </w:pPr>
      <w:r>
        <w:rPr>
          <w:b/>
        </w:rPr>
        <w:t xml:space="preserve">[7] </w:t>
      </w:r>
      <w:hyperlink r:id="rId255">
        <w:r>
          <w:rPr>
            <w:color w:val="1155CC"/>
            <w:u w:val="single"/>
          </w:rPr>
          <w:t>欧盟排放交易体系紧急底价限制煤炭使用并在天然气价格冲击期间保护消费者</w:t>
        </w:r>
      </w:hyperlink>
    </w:p>
    <w:p>
      <w:pPr>
        <w:spacing w:before="0" w:after="80"/>
      </w:pPr>
      <w:r>
        <w:rPr>
          <w:i/>
          <w:sz w:val="20"/>
        </w:rPr>
        <w:t>EN: EU-ETS emergency reserve price curbs coal use and shields consumers during natural gas price shocks</w:t>
      </w:r>
    </w:p>
    <w:p>
      <w:pPr>
        <w:spacing w:before="0" w:after="120"/>
      </w:pPr>
      <w:r>
        <w:rPr>
          <w:b/>
        </w:rPr>
        <w:t xml:space="preserve">Source: </w:t>
      </w:r>
      <w:r>
        <w:t>Scientific community and society : Nature Communications subject feeds</w:t>
      </w:r>
      <w:r>
        <w:t xml:space="preserve">    </w:t>
      </w:r>
      <w:r>
        <w:rPr>
          <w:b/>
        </w:rPr>
        <w:t xml:space="preserve">Pub date: </w:t>
      </w:r>
      <w:r>
        <w:t>2026-05-25 00:00:00+00:00</w:t>
      </w:r>
    </w:p>
    <w:p>
      <w:pPr>
        <w:spacing w:before="0" w:after="120"/>
      </w:pPr>
      <w:r>
        <w:rPr>
          <w:b/>
        </w:rPr>
        <w:t xml:space="preserve">Notes: </w:t>
      </w:r>
      <w:r>
        <w:t>abstract_source=nature_html</w:t>
      </w:r>
    </w:p>
    <w:p>
      <w:pPr>
        <w:spacing w:before="0" w:after="80" w:lineRule="auto" w:line="276"/>
      </w:pPr>
      <w:r>
        <w:rPr>
          <w:b/>
        </w:rPr>
        <w:t xml:space="preserve">摘要（ZH）: </w:t>
      </w:r>
      <w:r>
        <w:t>天然气价格反复上涨，导致电价上涨，导致天然气向煤炭转换，促使采取酌情干预措施，并加剧了削弱脱碳的压力，从而给气候政策带来压力。我们开发了一个实证框架，量化天然气价格飙升如何损害气候政策，并提供一个工具包，根据环境有效性及其限制高电价的能力来评估排放交易系统的反应。利用俄罗斯入侵乌克兰后的天然气价格冲击，我们利用每小时电力市场数据估算了天然气价格对 13 个欧盟国家的煤炭发电、二氧化碳排放和电价的影响。我们发现欧盟的天然气价格上限的有效性有限，因此建议在欧盟排放交易体系（EU ETS）内建立一个有弹性的、基于规则的紧急机制。当天然气价格超过历史基准时，自动触发适度的拍卖底价，可以保护消费者，同时保留脱碳激励措施并限制临时干预的需要。</w:t>
      </w:r>
    </w:p>
    <w:p>
      <w:pPr>
        <w:spacing w:before="0" w:after="200" w:lineRule="auto" w:line="276"/>
      </w:pPr>
      <w:r>
        <w:rPr>
          <w:b/>
        </w:rPr>
        <w:t xml:space="preserve">Abstract (EN): </w:t>
      </w:r>
      <w:r>
        <w:t>Recurring surges in natural gas prices strain climate policy by raising electricity prices, inducing gas-to-coal switching, prompting discretionary interventions, and fueling pressure to weaken decarbonization. We develop an empirical framework that quantifies how gas price spikes compromise climate policy and provides a toolkit to assess emissions trading system responses based on environmental effectiveness and their capacity to limit high electricity prices. Exploiting the gas price shock following Russia’s invasion of Ukraine, we estimate the impacts of gas prices on coal generation, CO2 emissions, and electricity prices across 13 EU countries using hourly electricity market data. We find that the EU’s gas price cap has limited effectiveness and instead propose a resilient rule-based emergency mechanism within the EU Emissions Trading System (EU ETS). A modest auction reserve price, automatically triggered when gas prices exceed historical benchmarks, can protect consumers while preserving decarbonization incentives and limiting the need for ad hoc interventions.</w:t>
      </w:r>
    </w:p>
    <w:p>
      <w:pPr>
        <w:spacing w:before="120" w:after="120"/>
      </w:pPr>
      <w:r>
        <w:rPr>
          <w:sz w:val="18"/>
        </w:rPr>
        <w:t>——————————————————————————————————————————————————————————————————————</w:t>
      </w:r>
    </w:p>
    <w:p>
      <w:pPr>
        <w:spacing w:before="160" w:after="40" w:line="240" w:lineRule="auto"/>
      </w:pPr>
      <w:r>
        <w:rPr>
          <w:b/>
        </w:rPr>
        <w:t xml:space="preserve">[8] </w:t>
      </w:r>
      <w:hyperlink r:id="rId256">
        <w:r>
          <w:rPr>
            <w:color w:val="1155CC"/>
            <w:u w:val="single"/>
          </w:rPr>
          <w:t>欧盟建筑物和建筑的具体生命周期排放路径</w:t>
        </w:r>
      </w:hyperlink>
    </w:p>
    <w:p>
      <w:pPr>
        <w:spacing w:before="0" w:after="80"/>
      </w:pPr>
      <w:r>
        <w:rPr>
          <w:i/>
          <w:sz w:val="20"/>
        </w:rPr>
        <w:t>EN: Context-specific life cycle emissions pathways for EU buildings and construction</w:t>
      </w:r>
    </w:p>
    <w:p>
      <w:pPr>
        <w:spacing w:before="0" w:after="120"/>
      </w:pPr>
      <w:r>
        <w:rPr>
          <w:b/>
        </w:rPr>
        <w:t xml:space="preserve">Source: </w:t>
      </w:r>
      <w:r>
        <w:t>Earth and environmental sciences : Nature Communications subject feeds</w:t>
      </w:r>
      <w:r>
        <w:t xml:space="preserve">    </w:t>
      </w:r>
      <w:r>
        <w:rPr>
          <w:b/>
        </w:rPr>
        <w:t xml:space="preserve">Pub date: </w:t>
      </w:r>
      <w:r>
        <w:t>2026-05-25 00:00:00+00:00</w:t>
      </w:r>
    </w:p>
    <w:p>
      <w:pPr>
        <w:spacing w:before="0" w:after="120"/>
      </w:pPr>
      <w:r>
        <w:rPr>
          <w:b/>
        </w:rPr>
        <w:t xml:space="preserve">Notes: </w:t>
      </w:r>
      <w:r>
        <w:t>abstract_source=nature_html</w:t>
      </w:r>
    </w:p>
    <w:p>
      <w:pPr>
        <w:spacing w:before="0" w:after="80" w:lineRule="auto" w:line="276"/>
      </w:pPr>
      <w:r>
        <w:rPr>
          <w:b/>
        </w:rPr>
        <w:t xml:space="preserve">摘要（ZH）: </w:t>
      </w:r>
      <w:r>
        <w:t>欧盟的目标是到 2030 年将温室气体排放量比 1990 年减少 55%，并到 2050 年实现气候中和。然而，在不同的国家背景下，将这些目标转化为建筑和施工的道路是一项挑战。我们对欧盟 27 个成员国的建筑存量进行了建模，并考虑了国家能力，评估了 4096 个生命周期排放情景。我们在此表明​​，在 2020 年至 2050 年期间，实现这些目标需要避免 85.3 亿吨二氧化碳当量，相当于 2020 年水平大约十年的排放量。主要依靠提高能源效率和材料生产，将超出国家产能 27.2 亿吨，即所需减排量的 32%。如果采取综合方法，同时减少人均空间需求、采用循环措施和使用生物基材料，则可以在国家能力范围内实现额外 21.9 亿吨的目标。对于每个国家，我们都确定了最大化预计减排量的策略，为政策设计提供信息。</w:t>
      </w:r>
    </w:p>
    <w:p>
      <w:pPr>
        <w:spacing w:before="0" w:after="200" w:lineRule="auto" w:line="276"/>
      </w:pPr>
      <w:r>
        <w:rPr>
          <w:b/>
        </w:rPr>
        <w:t xml:space="preserve">Abstract (EN): </w:t>
      </w:r>
      <w:r>
        <w:t>The European Union aims to reduce greenhouse gas emissions by 55 percent by 2030 relative to 1990 and achieve climate neutrality by 2050. Yet, translating these targets into pathways for buildings and construction is challenging across diverse national contexts. We model building stocks for the twenty-seven Member States of the European Union and evaluate 4096 life cycle emissions scenarios, considering national capacities. Here we show that, over 2020–2050, achieving these targets would require avoiding 8.53 billion metric tons of carbon dioxide equivalent, approximately ten years of emissions at 2020 levels. Mostly relying on improving energy efficiency and material production would exceed national capacities by 2.72-billion-ton, 32 percent of the required reduction. A combined approach that also reduces per capita space demand, applies circularity measures, and uses bio‑based materials could achieve an additional 2.19 billion tons within national capacities. For each country, we identify the strategies that maximize projected reductions to inform policy design.</w:t>
      </w:r>
    </w:p>
    <w:p>
      <w:pPr>
        <w:spacing w:before="120" w:after="120"/>
      </w:pPr>
      <w:r>
        <w:rPr>
          <w:sz w:val="18"/>
        </w:rPr>
        <w:t>——————————————————————————————————————————————————————————————————————</w:t>
      </w:r>
    </w:p>
    <w:p>
      <w:pPr>
        <w:spacing w:before="160" w:after="40" w:line="240" w:lineRule="auto"/>
      </w:pPr>
      <w:r>
        <w:rPr>
          <w:b/>
        </w:rPr>
        <w:t xml:space="preserve">[9] </w:t>
      </w:r>
      <w:hyperlink r:id="rId257">
        <w:r>
          <w:rPr>
            <w:color w:val="1155CC"/>
            <w:u w:val="single"/>
          </w:rPr>
          <w:t>使用贝叶斯优化的电动汽车尺寸和控制协同优化</w:t>
        </w:r>
      </w:hyperlink>
    </w:p>
    <w:p>
      <w:pPr>
        <w:spacing w:before="0" w:after="80"/>
      </w:pPr>
      <w:r>
        <w:rPr>
          <w:i/>
          <w:sz w:val="20"/>
        </w:rPr>
        <w:t>EN: Size and control co-optimization of electric vehicles using Bayesian optimization</w:t>
      </w:r>
    </w:p>
    <w:p>
      <w:pPr>
        <w:spacing w:before="0" w:after="120"/>
      </w:pPr>
      <w:r>
        <w:rPr>
          <w:b/>
        </w:rPr>
        <w:t xml:space="preserve">Source: </w:t>
      </w:r>
      <w:r>
        <w:t>ScienceDirect Publication: Applied Energy</w:t>
      </w:r>
      <w:r>
        <w:t xml:space="preserve">    </w:t>
      </w:r>
      <w:r>
        <w:rPr>
          <w:b/>
        </w:rPr>
        <w:t xml:space="preserve">Pub date: </w:t>
      </w:r>
      <w:r>
        <w:t>2026-05-25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58">
        <w:r>
          <w:rPr>
            <w:color w:val="1155CC"/>
            <w:u w:val="single"/>
          </w:rPr>
          <w:t>协同高连通性和非平面构象生成稳定的氢键有机框架，用于基准甲醇到烯烃产品的分离</w:t>
        </w:r>
      </w:hyperlink>
    </w:p>
    <w:p>
      <w:pPr>
        <w:spacing w:before="0" w:after="80"/>
      </w:pPr>
      <w:r>
        <w:rPr>
          <w:i/>
          <w:sz w:val="20"/>
        </w:rPr>
        <w:t>EN: Synergistic High‐Connectivity and Nonplanar Conformation Generates a Stable Hydrogen‐Bonded Organic Framework for Benchmark Methanol‐to‐Olefin Product Separation</w:t>
      </w:r>
    </w:p>
    <w:p>
      <w:pPr>
        <w:spacing w:before="0" w:after="120"/>
      </w:pPr>
      <w:r>
        <w:rPr>
          <w:b/>
        </w:rPr>
        <w:t xml:space="preserve">Source: </w:t>
      </w:r>
      <w:r>
        <w:t>Wiley: Angewandte Chemie International Edition: Table of Contents</w:t>
      </w:r>
      <w:r>
        <w:t xml:space="preserve">    </w:t>
      </w:r>
      <w:r>
        <w:rPr>
          <w:b/>
        </w:rPr>
        <w:t xml:space="preserve">Pub date: </w:t>
      </w:r>
      <w:r>
        <w:t>2026-05-25 08:56:04+00:00</w:t>
      </w:r>
      <w:r>
        <w:t xml:space="preserve">    </w:t>
      </w:r>
      <w:r>
        <w:rPr>
          <w:b/>
        </w:rPr>
        <w:t xml:space="preserve">DOI: </w:t>
      </w:r>
      <w:hyperlink r:id="rId259">
        <w:r>
          <w:rPr>
            <w:color w:val="1155CC"/>
            <w:u w:val="single"/>
          </w:rPr>
          <w:t>10.1002/anie.4395812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氢键有机框架（HOF）是一种很有前途的多孔材料，但其发展受到结构稳定性和功能位点可及性之间固有的权衡的阻碍。依赖于广泛的 π-π 堆积的传统稳定策略不可避免地会屏蔽芳香表面，从而损害吸附性能。在此，我们报告了一种协同设计策略，该策略将高氢键连接性与固有的非平面分子构象相结合，以克服这一挑战。经过战略设计的四间苯二甲酸酯连接体以六甲基联苯为核心，采用非平面构象来抑制扩展的 π-π 堆积，同时其八个羧酸基团形成致密的氢键网络，确保框架的稳健性。由此产生的 HOF-ZJNU-10 表现出高 BET 表面积（2500 m</w:t>
      </w:r>
      <w:r>
        <w:rPr>
          <w:vertAlign w:val="subscript"/>
        </w:rPr>
        <w:t>2</w:t>
      </w:r>
      <w:r>
        <w:t>克</w:t>
      </w:r>
      <w:r>
        <w:t xml:space="preserve"> </w:t>
      </w:r>
      <w:r>
        <w:t>−1</w:t>
      </w:r>
      <w:r>
        <w:t xml:space="preserve"> </w:t>
      </w:r>
      <w:r>
        <w:t>），卓越的稳定性，以及最重要的是，完全可访问的芳香表面衬里的孔道。这种独特的组合可实现出色的甲醇制烯烃 (MTO) 产品纯化，以创纪录的高生产率提供聚合物级乙烯和丙烯。这项工作为 HOF 中功能位点掩蔽的稳定性解耦建立了一个总体蓝图。</w:t>
      </w:r>
    </w:p>
    <w:p>
      <w:pPr>
        <w:spacing w:before="0" w:after="200" w:lineRule="auto" w:line="276"/>
      </w:pPr>
      <w:r>
        <w:rPr>
          <w:b/>
        </w:rPr>
        <w:t xml:space="preserve">Abstract (EN): </w:t>
      </w:r>
      <w:r>
        <w:t>Hydrogen‐bonded organic frameworks (HOFs) are promising porous materials, yet their development is hindered by an inherent trade‐off between structural stability and functional site accessibility. Conventional stabilization strategies relying on extensive π–π stacking inevitably shield aromatic surfaces, compromising adsorption performance. Herein, we report a synergistic design strategy that integrates high hydrogen‐bonding connectivity with inherently nonplanar molecular conformations to overcome this challenge. The strategically designed tetraisophthalate linker, featuring a hexamethylbiphenyl core, adopts a nonplanar conformation that suppresses extended π–π stacking, while its eight carboxylic acid groups form a dense hydrogen‐bonded network ensuring framework robustness. The resulting HOF‐ZJNU‐10 exhibits a high BET surface area (2500 m</w:t>
      </w:r>
      <w:r>
        <w:rPr>
          <w:vertAlign w:val="subscript"/>
        </w:rPr>
        <w:t>2</w:t>
      </w:r>
      <w:r>
        <w:t>g</w:t>
      </w:r>
      <w:r>
        <w:t xml:space="preserve"> </w:t>
      </w:r>
      <w:r>
        <w:t>−1</w:t>
      </w:r>
      <w:r>
        <w:t xml:space="preserve"> </w:t>
      </w:r>
      <w:r>
        <w:t>), exceptional stability, and crucially, fully accessible aromatic surfaces lining the pore channels. This unique combination enables outstanding methanol‐to‐olefins (MTO) product purification, delivering polymer‐grade ethylene and propylene with record‐high productivity. This work establishes a general blueprint for decoupling stability from functional site masking in HOFs.</w:t>
      </w:r>
    </w:p>
    <w:p>
      <w:pPr>
        <w:spacing w:before="120" w:after="120"/>
      </w:pPr>
      <w:r>
        <w:rPr>
          <w:sz w:val="18"/>
        </w:rPr>
        <w:t>——————————————————————————————————————————————————————————————————————</w:t>
      </w:r>
    </w:p>
    <w:p>
      <w:pPr>
        <w:spacing w:before="160" w:after="40" w:line="240" w:lineRule="auto"/>
      </w:pPr>
      <w:r>
        <w:rPr>
          <w:b/>
        </w:rPr>
        <w:t xml:space="preserve">[11] </w:t>
      </w:r>
      <w:hyperlink r:id="rId260">
        <w:r>
          <w:rPr>
            <w:color w:val="1155CC"/>
            <w:u w:val="single"/>
          </w:rPr>
          <w:t>通过粘合网络重建实现超坚固且可持续的竹结构材料</w:t>
        </w:r>
      </w:hyperlink>
    </w:p>
    <w:p>
      <w:pPr>
        <w:spacing w:before="0" w:after="80"/>
      </w:pPr>
      <w:r>
        <w:rPr>
          <w:i/>
          <w:sz w:val="20"/>
        </w:rPr>
        <w:t>EN: Super-robust and sustainable bamboo structural material enabled by bonding network reconstruction</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轻质、均匀高强度、可持续的结构材料在先进工程领域发挥着至关重要的作用。如果竹子的机械强度和均质性显着提高，则可以加工成高性能结构材料。在此，我们报告了一种通过粘合网络重建技术将天然竹子加工成轻质、坚固且耐用的结构材料（HoRo-Bamboo）的策略，该材料在纵向（L）和横向（T）方向上具有均匀的高强度。该工艺需要通过H2O2/O3处理分散纤维，然后引入Al3+并快速压制以重建离子氢键网络（IHBN）。所制备的HoRo-Bamboo具有0.83 g·cm−3的低密度，在L（631 MPa）和T（628 MPa）方向上具有优异的高拉伸强度，以及优异的耐环境性和阻燃性。生命周期评估显示，生产 1 公斤 HoRo-Bamboo 的碳排放量为 1.67 公斤二氧化碳当量。我们的方法使竹子成为现有结构材料的绝佳替代品，具有轻质、超坚固、脱碳和可持续的特性。</w:t>
      </w:r>
    </w:p>
    <w:p>
      <w:pPr>
        <w:spacing w:before="0" w:after="200" w:lineRule="auto" w:line="276"/>
      </w:pPr>
      <w:r>
        <w:rPr>
          <w:b/>
        </w:rPr>
        <w:t xml:space="preserve">Abstract (EN): </w:t>
      </w:r>
      <w:r>
        <w:t>Lightweight, homogeneously high-strength, and sustainable structural materials exert a crucial role in advanced engineering fields. Bamboo can be processed into high-performance structural material if its mechanical strength and homogeneity are remarkably enhanced. Herein, we report a strategy to process natural bamboo into a lightweight, robust, and durable structural material (HoRo-Bamboo) with homogenously high strengths in both longitudinal (L) and transversal (T) directions through bonding network reconstruction technology. The process requires the dispersion of fibers through H2O2/O3 treatment, followed by the introduction of Al3+ and rapid pressing to reconstruct the ionic-hydrogen bonding network (IHBN). The as-prepared HoRo-Bamboo exhibits a low density of 0.83 g·cm−3 with superb high tensile strengths in both L (631 MPa) and T (628 MPa) directions, as well as the excellent environmental resistance and flame retardancy. Life cycle assessment shows that the carbon emissions from producing 1 kg of HoRo-Bamboo are 1.67 kg of CO2 eq. Our approach enables bamboo to be an excellent alternative to existing structural materials, offering lightweight, super-robust, decarbonized, and sustainable features.</w:t>
      </w:r>
    </w:p>
    <w:p>
      <w:pPr>
        <w:spacing w:before="120" w:after="120"/>
      </w:pPr>
      <w:r>
        <w:rPr>
          <w:sz w:val="18"/>
        </w:rPr>
        <w:t>——————————————————————————————————————————————————————————————————————</w:t>
      </w:r>
    </w:p>
    <w:p>
      <w:pPr>
        <w:spacing w:before="160" w:after="40" w:line="240" w:lineRule="auto"/>
      </w:pPr>
      <w:r>
        <w:rPr>
          <w:b/>
        </w:rPr>
        <w:t xml:space="preserve">[12] </w:t>
      </w:r>
      <w:hyperlink r:id="rId261">
        <w:r>
          <w:rPr>
            <w:color w:val="1155CC"/>
            <w:u w:val="single"/>
          </w:rPr>
          <w:t>通过串联加氢热解和气相加氢将塑料废物常压转化为喷气燃料环烷烃</w:t>
        </w:r>
      </w:hyperlink>
    </w:p>
    <w:p>
      <w:pPr>
        <w:spacing w:before="0" w:after="80"/>
      </w:pPr>
      <w:r>
        <w:rPr>
          <w:i/>
          <w:sz w:val="20"/>
        </w:rPr>
        <w:t>EN: Ambient-pressure conversion of plastic waste to jet fuel cycloalkanes by tandem hydropyrolysis and vapour-phase hydrogenation</w:t>
      </w:r>
    </w:p>
    <w:p>
      <w:pPr>
        <w:spacing w:before="0" w:after="120"/>
      </w:pPr>
      <w:r>
        <w:rPr>
          <w:b/>
        </w:rPr>
        <w:t xml:space="preserve">Source: </w:t>
      </w:r>
      <w:r>
        <w:t>Nature Energy</w:t>
      </w:r>
      <w:r>
        <w:t xml:space="preserve">    </w:t>
      </w:r>
      <w:r>
        <w:rPr>
          <w:b/>
        </w:rPr>
        <w:t xml:space="preserve">Pub date: </w:t>
      </w:r>
      <w:r>
        <w:t>2026-05-27 00:00:00+00:00</w:t>
      </w:r>
      <w:r>
        <w:t xml:space="preserve">    </w:t>
      </w:r>
      <w:r>
        <w:rPr>
          <w:b/>
        </w:rPr>
        <w:t xml:space="preserve">DOI: </w:t>
      </w:r>
      <w:hyperlink r:id="rId262">
        <w:r>
          <w:rPr>
            <w:color w:val="1155CC"/>
            <w:u w:val="single"/>
          </w:rPr>
          <w:t>10.1038/s41560-026-02078-7</w:t>
        </w:r>
      </w:hyperlink>
    </w:p>
    <w:p>
      <w:pPr>
        <w:spacing w:before="0" w:after="120"/>
      </w:pPr>
      <w:r>
        <w:rPr>
          <w:b/>
        </w:rPr>
        <w:t xml:space="preserve">Notes: </w:t>
      </w:r>
      <w:r>
        <w:t>abstract_source=nature_html</w:t>
      </w:r>
    </w:p>
    <w:p>
      <w:pPr>
        <w:spacing w:before="0" w:after="80" w:lineRule="auto" w:line="276"/>
      </w:pPr>
      <w:r>
        <w:rPr>
          <w:b/>
        </w:rPr>
        <w:t xml:space="preserve">摘要（ZH）: </w:t>
      </w:r>
      <w:r>
        <w:t>将塑料废物转化为航空燃料可以支持航空业的脱碳，但目前的升级改造路线依赖于高压（~3 MPa）和较长的反应时间（长达 144 小时）。在这里，我们报告了一种由 Co-Al 氧化物 (RuSA@CoAlOx) 上的单原子 Ru 催化剂实现的串联加氢热解和气相加氢策略。该催化剂在常压下苯加氢的周转频率达到144 s−1，超过商业Ru/C的100倍以上。在串联固定床反应器中，在 460 °C 下进行加氢热解，并在 160 °C 下进行下游气相加氢，聚苯乙烯在 0.15 MPa 下转化为 94.8 wt% 环烷烃，在大气压下转化为 59 wt% 环烷烃。该方法扩展到混合塑料，实现了喷气燃料范围内碳氢化合物的产率超过 82 wt%。该催化剂在连续气相加氢过程中保持稳定超过 110 小时。生命周期分析表明，相对于石油基喷气燃料，从井到泵的二氧化碳排放量减少了 73%，技术经济分析表明，具有竞争力的最低售价为每公斤 1.0-1.8 美元。</w:t>
      </w:r>
    </w:p>
    <w:p>
      <w:pPr>
        <w:spacing w:before="0" w:after="200" w:lineRule="auto" w:line="276"/>
      </w:pPr>
      <w:r>
        <w:rPr>
          <w:b/>
        </w:rPr>
        <w:t xml:space="preserve">Abstract (EN): </w:t>
      </w:r>
      <w:r>
        <w:t>Converting plastic waste into jet fuel could support the decarbonization of the aviation industry, yet current upcycling routes rely on high pressures (~3 MPa) and prolonged reaction times (up to 144 h). Here we report a tandem hydropyrolysis and vapour-phase hydrogenation strategy enabled by a single-atom Ru catalyst on Co-Al oxides (RuSA@CoAlOx). The catalyst achieves a turnover frequency of 144 s−1 for benzene hydrogenation at atmospheric pressure, exceeding that of commercial Ru/C by over 100-fold. In a tandem fixed-bed reactor with hydropyrolysis at 460 °C and downstream vapour-phase hydrogenation at 160 °C, polystyrene is converted to 94.8 wt% cycloalkanes at 0.15 MPa and to 59 wt% cycloalkanes at atmospheric pressure. The approach extends to mixed plastics, achieving jet-fuel-range hydrocarbon yields above 82 wt%. The catalyst remains stable for over 110 h during continuous vapour-phase hydrogenation. Life-cycle analysis indicates a 73% reduction in well-to-pump CO2 emissions relative to petroleum-based jet fuel, and techno-economic analysis suggests a competitive minimum selling price of US$1.0–1.8 per kg.</w:t>
      </w:r>
    </w:p>
    <w:p>
      <w:pPr>
        <w:spacing w:before="120" w:after="120"/>
      </w:pPr>
      <w:r>
        <w:rPr>
          <w:sz w:val="18"/>
        </w:rPr>
        <w:t>——————————————————————————————————————————————————————————————————————</w:t>
      </w:r>
    </w:p>
    <w:p>
      <w:pPr>
        <w:spacing w:before="160" w:after="40" w:line="240" w:lineRule="auto"/>
      </w:pPr>
      <w:r>
        <w:rPr>
          <w:b/>
        </w:rPr>
        <w:t xml:space="preserve">[13] </w:t>
      </w:r>
      <w:hyperlink r:id="rId263">
        <w:r>
          <w:rPr>
            <w:color w:val="1155CC"/>
            <w:u w:val="single"/>
          </w:rPr>
          <w:t>气候承诺的严重失调揭示了可持续发展道路的不平衡</w:t>
        </w:r>
      </w:hyperlink>
    </w:p>
    <w:p>
      <w:pPr>
        <w:spacing w:before="0" w:after="80"/>
      </w:pPr>
      <w:r>
        <w:rPr>
          <w:i/>
          <w:sz w:val="20"/>
        </w:rPr>
        <w:t>EN: Critical misalignments in climate pledges reveal imbalanced sustainable development pathways</w:t>
      </w:r>
    </w:p>
    <w:p>
      <w:pPr>
        <w:spacing w:before="0" w:after="120"/>
      </w:pPr>
      <w:r>
        <w:rPr>
          <w:b/>
        </w:rPr>
        <w:t xml:space="preserve">Source: </w:t>
      </w:r>
      <w:r>
        <w:t>Earth and environmental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我们使用基于人工智能、经过人工验证的框架，在前两份提交的国家自主贡献 (NDC) 中探索气候行动和可持续发展目标 (SDG) 的整合。我们的目标是提供与评估政策充分性相关的事前证据。我们发现关注主题存在差异，高收入国家强调系统性挑战（健康、可持续发展目标 3），而低收入国家则优先考虑水-能源-粮食关系（可持续发展目标 6-7-12）和自然资源管理（可持续发展目标 15）。我们讨论这些不同的发展轨迹对《巴黎协定》和《2030 年可持续发展议程》在全球不平等、可持续资金流动和多边治理方面意味着什么。</w:t>
      </w:r>
    </w:p>
    <w:p>
      <w:pPr>
        <w:spacing w:before="0" w:after="200" w:lineRule="auto" w:line="276"/>
      </w:pPr>
      <w:r>
        <w:rPr>
          <w:b/>
        </w:rPr>
        <w:t xml:space="preserve">Abstract (EN): </w:t>
      </w:r>
      <w:r>
        <w:t>We explore the integration of climate action and Sustainable Development Goals (SDGs) in the first two submissions of nationally determined contributions (NDCs) using an AI-based, human-validated framework. Our goal is to provide ex-ante evidence relevant to assessing policy adequacy. We find disparities in topics of interest with high-income countries emphasizing systemic challenges (health, SDG3) and low-income nations prioritizing the water-energy-food nexus (SDGs 6-7-12) and natural resource management (SDG15). We discuss what these diverging development trajectories imply for the Paris Agreement and the 2030 Agenda for sustainable development in terms of global inequality, sustainable finance flows and multilateral governance.</w:t>
      </w:r>
    </w:p>
    <w:p>
      <w:pPr>
        <w:spacing w:before="120" w:after="120"/>
      </w:pPr>
      <w:r>
        <w:rPr>
          <w:sz w:val="18"/>
        </w:rPr>
        <w:t>——————————————————————————————————————————————————————————————————————</w:t>
      </w:r>
    </w:p>
    <w:p>
      <w:pPr>
        <w:spacing w:before="160" w:after="40" w:line="240" w:lineRule="auto"/>
      </w:pPr>
      <w:r>
        <w:rPr>
          <w:b/>
        </w:rPr>
        <w:t xml:space="preserve">[14] </w:t>
      </w:r>
      <w:hyperlink r:id="rId264">
        <w:r>
          <w:rPr>
            <w:color w:val="1155CC"/>
            <w:u w:val="single"/>
          </w:rPr>
          <w:t>协同 Ru/RuO2 纳米岛和卫星 Ru-N4 位点通过双途径实现高效氮光固定</w:t>
        </w:r>
      </w:hyperlink>
    </w:p>
    <w:p>
      <w:pPr>
        <w:spacing w:before="0" w:after="80"/>
      </w:pPr>
      <w:r>
        <w:rPr>
          <w:i/>
          <w:sz w:val="20"/>
        </w:rPr>
        <w:t>EN: Synergistic Ru/RuO2 Nano‐Islands and Satellite Ru–N4 Sites for Efficient Nitrogen Photofixation via Dual Pathways</w:t>
      </w:r>
    </w:p>
    <w:p>
      <w:pPr>
        <w:spacing w:before="0" w:after="120"/>
      </w:pPr>
      <w:r>
        <w:rPr>
          <w:b/>
        </w:rPr>
        <w:t xml:space="preserve">Source: </w:t>
      </w:r>
      <w:r>
        <w:t>Wiley: Angewandte Chemie International Edition: Table of Contents</w:t>
      </w:r>
      <w:r>
        <w:t xml:space="preserve">    </w:t>
      </w:r>
      <w:r>
        <w:rPr>
          <w:b/>
        </w:rPr>
        <w:t xml:space="preserve">Pub date: </w:t>
      </w:r>
      <w:r>
        <w:t>2026-05-27 10:31:51+00:00</w:t>
      </w:r>
      <w:r>
        <w:t xml:space="preserve">    </w:t>
      </w:r>
      <w:r>
        <w:rPr>
          <w:b/>
        </w:rPr>
        <w:t xml:space="preserve">DOI: </w:t>
      </w:r>
      <w:hyperlink r:id="rId265">
        <w:r>
          <w:rPr>
            <w:color w:val="1155CC"/>
            <w:u w:val="single"/>
          </w:rPr>
          <w:t>10.1002/anie.7729112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硝酸盐生产的太阳能驱动的氮氧化反应是传统能源密集型硝酸盐合成工业的一个有前途的替代方案。然而，其性能从根本上受到低效载流子利用、氮分子固有惰性以及对反应途径的机械认识不足的阻碍。在这里，我们报道了一种由 Ru/RuO 组成的协同纳米岛/海催化剂</w:t>
      </w:r>
      <w:r>
        <w:rPr>
          <w:vertAlign w:val="subscript"/>
        </w:rPr>
        <w:t>2</w:t>
      </w:r>
      <w:r>
        <w:t>纳米颗粒（NP，纳米岛）和密集分散的卫星状 Ru−N</w:t>
      </w:r>
      <w:r>
        <w:rPr>
          <w:vertAlign w:val="subscript"/>
        </w:rPr>
        <w:t>4</w:t>
      </w:r>
      <w:r>
        <w:t>锚定在介孔氮化碳上的单原子位点（如海洋）。这种光催化剂可产生高NO</w:t>
      </w:r>
      <w:r>
        <w:rPr>
          <w:vertAlign w:val="subscript"/>
        </w:rPr>
        <w:t>3</w:t>
      </w:r>
      <w:r>
        <w:t>-</w:t>
      </w:r>
      <w:r>
        <w:t>生产率 14.34 mg g</w:t>
      </w:r>
      <w:r>
        <w:t xml:space="preserve"> </w:t>
      </w:r>
      <w:r>
        <w:t>猫</w:t>
      </w:r>
      <w:r>
        <w:t xml:space="preserve"> </w:t>
      </w:r>
      <w:r>
        <w:t>−1</w:t>
      </w:r>
      <w:r>
        <w:t xml:space="preserve"> </w:t>
      </w:r>
      <w:r>
        <w:t>小时</w:t>
      </w:r>
      <w:r>
        <w:t xml:space="preserve"> </w:t>
      </w:r>
      <w:r>
        <w:t>−1</w:t>
      </w:r>
      <w:r>
        <w:t xml:space="preserve"> </w:t>
      </w:r>
      <w:r>
        <w:t>，420 nm 处的表观量子产率为 5.2%。 Ru−N</w:t>
      </w:r>
      <w:r>
        <w:rPr>
          <w:vertAlign w:val="subscript"/>
        </w:rPr>
        <w:t>4</w:t>
      </w:r>
      <w:r>
        <w:t>位点和 Ru NPs 优先捕获光生电子以激活 N</w:t>
      </w:r>
      <w:r>
        <w:rPr>
          <w:vertAlign w:val="subscript"/>
        </w:rPr>
        <w:t>2</w:t>
      </w:r>
      <w:r>
        <w:t>和O</w:t>
      </w:r>
      <w:r>
        <w:rPr>
          <w:vertAlign w:val="subscript"/>
        </w:rPr>
        <w:t>2</w:t>
      </w:r>
      <w:r>
        <w:t>，产生*N</w:t>
      </w:r>
      <w:r>
        <w:rPr>
          <w:vertAlign w:val="subscript"/>
        </w:rPr>
        <w:t>2</w:t>
      </w:r>
      <w:r>
        <w:t>和·OH，分别。氧化钌</w:t>
      </w:r>
      <w:r>
        <w:rPr>
          <w:vertAlign w:val="subscript"/>
        </w:rPr>
        <w:t>2</w:t>
      </w:r>
      <w:r>
        <w:t>NPs捕获光生空穴以促进界面H</w:t>
      </w:r>
      <w:r>
        <w:rPr>
          <w:vertAlign w:val="subscript"/>
        </w:rPr>
        <w:t>2</w:t>
      </w:r>
      <w:r>
        <w:t>O 解离，产生额外的·OH 自由基。我们进一步揭示·OH 促进 N−N 键的快速裂解 t</w:t>
      </w:r>
    </w:p>
    <w:p>
      <w:pPr>
        <w:spacing w:before="0" w:after="200" w:lineRule="auto" w:line="276"/>
      </w:pPr>
      <w:r>
        <w:rPr>
          <w:b/>
        </w:rPr>
        <w:t xml:space="preserve">Abstract (EN): </w:t>
      </w:r>
      <w:r>
        <w:t>Solar‐driven nitrogen oxidation reactions for nitrate production are a promising alternative to the traditional energy‐intensive nitrate synthesis industry. Nevertheless, its performance is fundamentally hampered by inefficient charge carrier utilization, the intrinsic inertness of nitrogen molecules, and insufficient mechanistic insights into the reaction pathway. Here, we report a synergistic nano‐island/sea catalyst composed of Ru/RuO</w:t>
      </w:r>
      <w:r>
        <w:rPr>
          <w:vertAlign w:val="subscript"/>
        </w:rPr>
        <w:t>2</w:t>
      </w:r>
      <w:r>
        <w:t>nanoparticles (NPs, as nano‐islands) and densely dispersed satellite‐like Ru−N</w:t>
      </w:r>
      <w:r>
        <w:rPr>
          <w:vertAlign w:val="subscript"/>
        </w:rPr>
        <w:t>4</w:t>
      </w:r>
      <w:r>
        <w:t>single‐atom sites (as the sea) anchored on mesoporous carbon nitride. This photocatalyst delivers a high NO</w:t>
      </w:r>
      <w:r>
        <w:rPr>
          <w:vertAlign w:val="subscript"/>
        </w:rPr>
        <w:t>3</w:t>
      </w:r>
      <w:r>
        <w:t>−</w:t>
      </w:r>
      <w:r>
        <w:t>production rate of 14.34 mg g</w:t>
      </w:r>
      <w:r>
        <w:t xml:space="preserve"> </w:t>
      </w:r>
      <w:r>
        <w:t>cat</w:t>
      </w:r>
      <w:r>
        <w:t xml:space="preserve"> </w:t>
      </w:r>
      <w:r>
        <w:t>−1</w:t>
      </w:r>
      <w:r>
        <w:t xml:space="preserve"> </w:t>
      </w:r>
      <w:r>
        <w:t>h</w:t>
      </w:r>
      <w:r>
        <w:t xml:space="preserve"> </w:t>
      </w:r>
      <w:r>
        <w:t>−1</w:t>
      </w:r>
      <w:r>
        <w:t xml:space="preserve"> </w:t>
      </w:r>
      <w:r>
        <w:t>, together with an apparent quantum yield of 5.2% at 420 nm. The Ru−N</w:t>
      </w:r>
      <w:r>
        <w:rPr>
          <w:vertAlign w:val="subscript"/>
        </w:rPr>
        <w:t>4</w:t>
      </w:r>
      <w:r>
        <w:t>sites and Ru NPs preferentially capture photogenerated electrons to activate N</w:t>
      </w:r>
      <w:r>
        <w:rPr>
          <w:vertAlign w:val="subscript"/>
        </w:rPr>
        <w:t>2</w:t>
      </w:r>
      <w:r>
        <w:t>and O</w:t>
      </w:r>
      <w:r>
        <w:rPr>
          <w:vertAlign w:val="subscript"/>
        </w:rPr>
        <w:t>2</w:t>
      </w:r>
      <w:r>
        <w:t>, producing *N</w:t>
      </w:r>
      <w:r>
        <w:rPr>
          <w:vertAlign w:val="subscript"/>
        </w:rPr>
        <w:t>2</w:t>
      </w:r>
      <w:r>
        <w:t>and ·OH, respectively. RuO</w:t>
      </w:r>
      <w:r>
        <w:rPr>
          <w:vertAlign w:val="subscript"/>
        </w:rPr>
        <w:t>2</w:t>
      </w:r>
      <w:r>
        <w:t>NPs trap photogenerated holes to promote interfacial H</w:t>
      </w:r>
      <w:r>
        <w:rPr>
          <w:vertAlign w:val="subscript"/>
        </w:rPr>
        <w:t>2</w:t>
      </w:r>
      <w:r>
        <w:t>O dissociation, generating additional ·OH radicals. We further revealed that ·OH facilitates the rapid cleavage of the N≡N bond to form *NO intermediates, which are subsequently converted to NO</w:t>
      </w:r>
      <w:r>
        <w:rPr>
          <w:vertAlign w:val="subscript"/>
        </w:rPr>
        <w:t>3</w:t>
      </w:r>
      <w:r>
        <w:t>−</w:t>
      </w:r>
      <w:r>
        <w:t>through dual pathways: (1) direct oxidation of *NO to NO</w:t>
      </w:r>
      <w:r>
        <w:rPr>
          <w:vertAlign w:val="subscript"/>
        </w:rPr>
        <w:t>3</w:t>
      </w:r>
      <w:r>
        <w:t>−</w:t>
      </w:r>
      <w:r>
        <w:t>by ·OH radicals, (2) *NO → NO</w:t>
      </w:r>
      <w:r>
        <w:rPr>
          <w:vertAlign w:val="subscript"/>
        </w:rPr>
        <w:t>2</w:t>
      </w:r>
      <w:r>
        <w:t>oxidation by O</w:t>
      </w:r>
      <w:r>
        <w:rPr>
          <w:vertAlign w:val="subscript"/>
        </w:rPr>
        <w:t>2</w:t>
      </w:r>
      <w:r>
        <w:t>and subsequent spontaneous NO</w:t>
      </w:r>
      <w:r>
        <w:rPr>
          <w:vertAlign w:val="subscript"/>
        </w:rPr>
        <w:t>2</w:t>
      </w:r>
      <w:r>
        <w:t>→ NO</w:t>
      </w:r>
      <w:r>
        <w:rPr>
          <w:vertAlign w:val="subscript"/>
        </w:rPr>
        <w:t>3</w:t>
      </w:r>
      <w:r>
        <w:t>−</w:t>
      </w:r>
      <w:r>
        <w:t>. The latter pathway dominates under O</w:t>
      </w:r>
      <w:r>
        <w:rPr>
          <w:vertAlign w:val="subscript"/>
        </w:rPr>
        <w:t>2</w:t>
      </w:r>
      <w:r>
        <w:t>‐enriched ambient conditions. This study provides a promising strategy for designing efficient catalysts for nitrogen photofixation.</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83">
        <w:r>
          <w:rPr>
            <w:color w:val="1155CC"/>
            <w:u w:val="single"/>
          </w:rPr>
          <w:t>通过沸石封装的 PdCu 合金协同催化高效 CO2 加氢生成乙醇</w:t>
        </w:r>
      </w:hyperlink>
    </w:p>
    <w:p>
      <w:pPr>
        <w:spacing w:before="0" w:after="80"/>
      </w:pPr>
      <w:r>
        <w:rPr>
          <w:i/>
          <w:sz w:val="20"/>
        </w:rPr>
        <w:t>EN: Synergetic catalysis via zeolite-encapsulated PdCu alloy for highly efficient CO2 hydrogenation to ethanol</w:t>
      </w:r>
    </w:p>
    <w:p>
      <w:pPr>
        <w:spacing w:before="0" w:after="120"/>
      </w:pPr>
      <w:r>
        <w:rPr>
          <w:b/>
        </w:rPr>
        <w:t xml:space="preserve">Source: </w:t>
      </w:r>
      <w:r>
        <w:t>National Science Review Advance Access</w:t>
      </w:r>
      <w:r>
        <w:t xml:space="preserve">    </w:t>
      </w:r>
      <w:r>
        <w:rPr>
          <w:b/>
        </w:rPr>
        <w:t xml:space="preserve">Pub date: </w:t>
      </w:r>
      <w:r>
        <w:t>2026-05-23 00:00:00+00:00</w:t>
      </w:r>
      <w:r>
        <w:t xml:space="preserve">    </w:t>
      </w:r>
      <w:r>
        <w:rPr>
          <w:b/>
        </w:rPr>
        <w:t xml:space="preserve">DOI: </w:t>
      </w:r>
      <w:hyperlink r:id="rId184">
        <w:r>
          <w:rPr>
            <w:color w:val="1155CC"/>
            <w:u w:val="single"/>
          </w:rPr>
          <w:t>10.1093/nsr/nwag303</w:t>
        </w:r>
      </w:hyperlink>
    </w:p>
    <w:p>
      <w:pPr>
        <w:spacing w:before="0" w:after="120"/>
      </w:pPr>
      <w:r>
        <w:rPr>
          <w:b/>
        </w:rPr>
        <w:t xml:space="preserve">Notes: </w:t>
      </w:r>
      <w:r>
        <w:t>abstract_source=rss_oup</w:t>
      </w:r>
    </w:p>
    <w:p>
      <w:pPr>
        <w:spacing w:before="0" w:after="80" w:lineRule="auto" w:line="276"/>
      </w:pPr>
      <w:r>
        <w:rPr>
          <w:b/>
        </w:rPr>
        <w:t xml:space="preserve">摘要（ZH）: </w:t>
      </w:r>
      <w:r>
        <w:t>二氧化碳催化加氢为乙醇生产提供了一种极具前景的替代途径，具有大规模二氧化碳减排和绿色氢气储存的双重好处。然而，由于复杂的反应网络和缺乏有效的催化剂设计策略，这种方法面临着乙醇选择性和活性低等重大挑战。在这项工作中，我们提出了一种有效的二氧化碳加氢制乙醇催化剂设计策略，通过在合金纳米粒子和沸石之间构建协同催化位点来解耦关键的竞争反应步骤。开发的Y沸石封装的PdCu合金催化剂同时实现了高乙醇选择性（&gt; 93％）和活性（&gt; 200 mg gcat−1 h−1），优于大多数先前报道的多相催化剂。机理研究表明，合金-沸石协同位点促进了可控的C-C耦合并增强了C-O键断裂，从而平衡了CO2加氢生成乙醇的选择性和催化活性。这项工作为将二氧化碳有效转化为高附加值和结构复杂的产品提供了可行的催化剂设计策略。</w:t>
      </w:r>
    </w:p>
    <w:p>
      <w:pPr>
        <w:spacing w:before="0" w:after="200" w:lineRule="auto" w:line="276"/>
      </w:pPr>
      <w:r>
        <w:rPr>
          <w:b/>
        </w:rPr>
        <w:t xml:space="preserve">Abstract (EN): </w:t>
      </w:r>
      <w:r>
        <w:t>CO2 catalytic hydrogenation presents a highly promising and alternative pathway for ethanol production, offering the dual benefits of large-scale CO2 emission reduction and green H2 storage. However, this approach faces major challenges such as low ethanol selectivity and activity, stemming from the complex reaction network and the lack of efficient catalyst design strategies. In this work, we proposed an effective catalyst design strategy for CO2 hydrogenation to ethanol by constructing synergetic catalytic sites between alloy nanoparticles and zeolite to decouple key competition reaction steps. The developed PdCu alloy catalyst encapsulated by Y zeolite achieved simultaneously high ethanol selectivity (&gt;93%) and activity (&gt;200 mg gcat−1 h−1), outperforming most previously reported heterogeneous catalysts. Mechanistic investigations revealed that the alloy-zeolite synergetic sites facilitate controllable C–C coupling and enhance C–O bond cleavage, thereby balancing selectivity and catalytic activity toward CO2 hydrogenation to ethanol. This work offers a feasible catalyst design strategy for the efficient conversion of CO2 into high-value-added and structurally complex products.</w:t>
      </w:r>
    </w:p>
    <w:p>
      <w:pPr>
        <w:spacing w:before="120" w:after="120"/>
      </w:pPr>
      <w:r>
        <w:rPr>
          <w:sz w:val="18"/>
        </w:rPr>
        <w:t>——————————————————————————————————————————————————————————————————————</w:t>
      </w:r>
    </w:p>
    <w:p>
      <w:pPr>
        <w:spacing w:before="160" w:after="40" w:line="240" w:lineRule="auto"/>
      </w:pPr>
      <w:r>
        <w:rPr>
          <w:b/>
        </w:rPr>
        <w:t xml:space="preserve">[2] </w:t>
      </w:r>
      <w:hyperlink r:id="rId189">
        <w:r>
          <w:rPr>
            <w:color w:val="1155CC"/>
            <w:u w:val="single"/>
          </w:rPr>
          <w:t>卤化铅钙钛矿光电催化</w:t>
        </w:r>
      </w:hyperlink>
    </w:p>
    <w:p>
      <w:pPr>
        <w:spacing w:before="0" w:after="80"/>
      </w:pPr>
      <w:r>
        <w:rPr>
          <w:i/>
          <w:sz w:val="20"/>
        </w:rPr>
        <w:t>EN: Lead Halide Perovskite Photoelectrocatalysis</w:t>
      </w:r>
    </w:p>
    <w:p>
      <w:pPr>
        <w:spacing w:before="0" w:after="120"/>
      </w:pPr>
      <w:r>
        <w:rPr>
          <w:b/>
        </w:rPr>
        <w:t xml:space="preserve">Source: </w:t>
      </w:r>
      <w:r>
        <w:t>Wiley: Advanced Materials: Table of Contents</w:t>
      </w:r>
      <w:r>
        <w:t xml:space="preserve">    </w:t>
      </w:r>
      <w:r>
        <w:rPr>
          <w:b/>
        </w:rPr>
        <w:t xml:space="preserve">Pub date: </w:t>
      </w:r>
      <w:r>
        <w:t>2026-05-23 07:00:00+00:00</w:t>
      </w:r>
      <w:r>
        <w:t xml:space="preserve">    </w:t>
      </w:r>
      <w:r>
        <w:rPr>
          <w:b/>
        </w:rPr>
        <w:t xml:space="preserve">DOI: </w:t>
      </w:r>
      <w:hyperlink r:id="rId190">
        <w:r>
          <w:rPr>
            <w:color w:val="1155CC"/>
            <w:u w:val="single"/>
          </w:rPr>
          <w:t>10.1002/adma.73442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卤化铅钙钛矿已成为一类出色的光收集材料。虽然太阳能电池效率取得了很大进展，但这些材料也证明了光驱动水、二氧化碳转化的潜力</w:t>
      </w:r>
      <w:r>
        <w:rPr>
          <w:vertAlign w:val="subscript"/>
        </w:rPr>
        <w:t>2</w:t>
      </w:r>
      <w:r>
        <w:t>或有机废物流入太阳能燃料和增值化学品。本案例研究重点介绍了在合理光电极设计方面取得的进展，以提高太阳能到化学物质的转换效率、产品范围和可扩展性。为此，我们将探索器件架构和性能之间的相互作用、抑制水分降解途径的策略以及控制 CO 选择性的基本机制</w:t>
      </w:r>
      <w:r>
        <w:rPr>
          <w:vertAlign w:val="subscript"/>
        </w:rPr>
        <w:t>2</w:t>
      </w:r>
      <w:r>
        <w:t>还原产品。这些见解可推广到广泛的薄膜埋结光电极，突出了该技术在现实世界场景中的独特适用性。</w:t>
      </w:r>
    </w:p>
    <w:p>
      <w:pPr>
        <w:spacing w:before="0" w:after="200" w:lineRule="auto" w:line="276"/>
      </w:pPr>
      <w:r>
        <w:rPr>
          <w:b/>
        </w:rPr>
        <w:t xml:space="preserve">Abstract (EN): </w:t>
      </w:r>
      <w:r>
        <w:t>Lead halide perovskites have emerged as an outstanding class of light harvesting materials. While much progress has been made in solar cell efficiency, the materials also proved potential for light‐driven conversion of water, CO</w:t>
      </w:r>
      <w:r>
        <w:rPr>
          <w:vertAlign w:val="subscript"/>
        </w:rPr>
        <w:t>2</w:t>
      </w:r>
      <w:r>
        <w:t>or organic waste streams into solar fuels and value‐added chemicals. This case study highlights advances made in the rational photoelectrode design to improve solar‐to‐chemical conversion efficiency, product scope, and scalability. To this end, we will explore the interplay between device architecture and performance, strategies to suppress moisture degradation pathways, as well as fundamental mechanisms to steer selectivity of CO</w:t>
      </w:r>
      <w:r>
        <w:rPr>
          <w:vertAlign w:val="subscript"/>
        </w:rPr>
        <w:t>2</w:t>
      </w:r>
      <w:r>
        <w:t>reduction products. These insights are generalizable to a wide scope of thin‐film buried‐junction photoelectrodes, highlighting the unique applicability of this technology to real‐world scenarios.</w:t>
      </w:r>
    </w:p>
    <w:p>
      <w:pPr>
        <w:spacing w:before="120" w:after="120"/>
      </w:pPr>
      <w:r>
        <w:rPr>
          <w:sz w:val="18"/>
        </w:rPr>
        <w:t>——————————————————————————————————————————————————————————————————————</w:t>
      </w:r>
    </w:p>
    <w:p>
      <w:pPr>
        <w:spacing w:before="160" w:after="40" w:line="240" w:lineRule="auto"/>
      </w:pPr>
      <w:r>
        <w:rPr>
          <w:b/>
        </w:rPr>
        <w:t xml:space="preserve">[3] </w:t>
      </w:r>
      <w:hyperlink r:id="rId248">
        <w:r>
          <w:rPr>
            <w:color w:val="1155CC"/>
            <w:u w:val="single"/>
          </w:rPr>
          <w:t>硝酸盐稳定的 Cuδ+ 位点促进选择性 CO2 电还原为乙醇，用于串联乙酰胺电合成</w:t>
        </w:r>
      </w:hyperlink>
    </w:p>
    <w:p>
      <w:pPr>
        <w:spacing w:before="0" w:after="80"/>
      </w:pPr>
      <w:r>
        <w:rPr>
          <w:i/>
          <w:sz w:val="20"/>
        </w:rPr>
        <w:t>EN: Nitrate‐Stabilized Cuδ+ Sites Promote Selective CO2 Electroreduction to Ethanol for Tandem Acetamide Electrosynthesis</w:t>
      </w:r>
    </w:p>
    <w:p>
      <w:pPr>
        <w:spacing w:before="0" w:after="120"/>
      </w:pPr>
      <w:r>
        <w:rPr>
          <w:b/>
        </w:rPr>
        <w:t xml:space="preserve">Source: </w:t>
      </w:r>
      <w:r>
        <w:t>Wiley: Angewandte Chemie International Edition: Table of Contents</w:t>
      </w:r>
      <w:r>
        <w:t xml:space="preserve">    </w:t>
      </w:r>
      <w:r>
        <w:rPr>
          <w:b/>
        </w:rPr>
        <w:t xml:space="preserve">Pub date: </w:t>
      </w:r>
      <w:r>
        <w:t>2026-05-23 11:37:05+00:00</w:t>
      </w:r>
      <w:r>
        <w:t xml:space="preserve">    </w:t>
      </w:r>
      <w:r>
        <w:rPr>
          <w:b/>
        </w:rPr>
        <w:t xml:space="preserve">DOI: </w:t>
      </w:r>
      <w:hyperlink r:id="rId249">
        <w:r>
          <w:rPr>
            <w:color w:val="1155CC"/>
            <w:u w:val="single"/>
          </w:rPr>
          <w:t>10.1002/anie.5526884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从丰富的 CO 中电合成乙酰胺（一种含有 C─C─N 键的多碳含氮化合物）</w:t>
      </w:r>
      <w:r>
        <w:rPr>
          <w:vertAlign w:val="subscript"/>
        </w:rPr>
        <w:t>2</w:t>
      </w:r>
      <w:r>
        <w:t>硝酸盐对于低碳工业很重要。然而，同时电还原构建C─C和C─N键具有挑战性。在此，我们提出了一种分别在阴极和阳极串联构建 C─C 和 C─N 键的策略。在阴极，硝酸盐诱导的动态 Cu</w:t>
      </w:r>
      <w:r>
        <w:t xml:space="preserve"> </w:t>
      </w:r>
      <w:r>
        <w:t>δ+</w:t>
      </w:r>
      <w:r>
        <w:t xml:space="preserve"> </w:t>
      </w:r>
      <w:r>
        <w:t>该位点旨在促进 CO 的 C─C 偶联活性</w:t>
      </w:r>
      <w:r>
        <w:rPr>
          <w:vertAlign w:val="subscript"/>
        </w:rPr>
        <w:t>2</w:t>
      </w:r>
      <w:r>
        <w:t>还原为乙醇，同时伴随着硝酸盐还原生成氨，总法拉第效率为88.6%。产生的乙醇和氨作为原料，通过可能的亲核攻击途径在阳极区域串联构建 C─N 键。我们实现了乙酰胺的合成，法拉第效率为 71.4%，产率为 0.13 mmol h</w:t>
      </w:r>
      <w:r>
        <w:t xml:space="preserve"> </w:t>
      </w:r>
      <w:r>
        <w:t>−1</w:t>
      </w:r>
      <w:r>
        <w:t xml:space="preserve"> </w:t>
      </w:r>
      <w:r>
        <w:t>厘米</w:t>
      </w:r>
      <w:r>
        <w:t xml:space="preserve"> </w:t>
      </w:r>
      <w:r>
        <w:t>−2</w:t>
      </w:r>
      <w:r>
        <w:t xml:space="preserve"> </w:t>
      </w:r>
      <w:r>
        <w:t>。该串联策略的碳足迹分析显示，碳强度为 0.23 千克，实现净零排放</w:t>
      </w:r>
      <w:r>
        <w:t xml:space="preserve"> </w:t>
      </w:r>
      <w:r>
        <w:t>二氧化碳当量</w:t>
      </w:r>
      <w:r>
        <w:t xml:space="preserve"> </w:t>
      </w:r>
      <w:r>
        <w:t>千瓦时</w:t>
      </w:r>
      <w:r>
        <w:t xml:space="preserve"> </w:t>
      </w:r>
      <w:r>
        <w:t>−1</w:t>
      </w:r>
      <w:r>
        <w:t xml:space="preserve"> </w:t>
      </w:r>
      <w:r>
        <w:t>，从碳中和的角度表明其可持续性质。</w:t>
      </w:r>
    </w:p>
    <w:p>
      <w:pPr>
        <w:spacing w:before="0" w:after="200" w:lineRule="auto" w:line="276"/>
      </w:pPr>
      <w:r>
        <w:rPr>
          <w:b/>
        </w:rPr>
        <w:t xml:space="preserve">Abstract (EN): </w:t>
      </w:r>
      <w:r>
        <w:t>Electrosynthesis of acetamide, a multicarbon nitrogenous compound containing C─C─N bonds, from abundant CO</w:t>
      </w:r>
      <w:r>
        <w:rPr>
          <w:vertAlign w:val="subscript"/>
        </w:rPr>
        <w:t>2</w:t>
      </w:r>
      <w:r>
        <w:t>and nitrate is important for low‐carbon industry. However, the simultaneous electroreduction construction of C─C and C─N bonds is challenging. Herein, we propose a strategy to construct C─C and C─N bonds in tandem at the cathode and anode, respectively. At the cathode, a nitrate‐induced dynamic Cu</w:t>
      </w:r>
      <w:r>
        <w:t xml:space="preserve"> </w:t>
      </w:r>
      <w:r>
        <w:t>δ+</w:t>
      </w:r>
      <w:r>
        <w:t xml:space="preserve"> </w:t>
      </w:r>
      <w:r>
        <w:t>site is designed to promote C─C coupling activity from CO</w:t>
      </w:r>
      <w:r>
        <w:rPr>
          <w:vertAlign w:val="subscript"/>
        </w:rPr>
        <w:t>2</w:t>
      </w:r>
      <w:r>
        <w:t>reduction to ethanol, which is accompanied by the generation of ammonia from nitrate reduction, with a total Faradaic efficiency of 88.6%. The generated ethanol and ammonia serve as feedstocks for the tandem construction of C─N bonds at the anodic region via a possible nucleophilic attack pathway. We achieve the synthesis of acetamide with a Faradaic efficiency of 71.4% and a yield rate of 0.13 mmol h</w:t>
      </w:r>
      <w:r>
        <w:t xml:space="preserve"> </w:t>
      </w:r>
      <w:r>
        <w:t>−1</w:t>
      </w:r>
      <w:r>
        <w:t xml:space="preserve"> </w:t>
      </w:r>
      <w:r>
        <w:t>cm</w:t>
      </w:r>
      <w:r>
        <w:t xml:space="preserve"> </w:t>
      </w:r>
      <w:r>
        <w:t>−2</w:t>
      </w:r>
      <w:r>
        <w:t xml:space="preserve"> </w:t>
      </w:r>
      <w:r>
        <w:t>. The carbon footprint analysis of this tandem strategy revealed net‐zero emissions at a carbon intensity of 0.23 kg</w:t>
      </w:r>
      <w:r>
        <w:t xml:space="preserve"> </w:t>
      </w:r>
      <w:r>
        <w:t>CO2e</w:t>
      </w:r>
      <w:r>
        <w:t xml:space="preserve"> </w:t>
      </w:r>
      <w:r>
        <w:t>kWh</w:t>
      </w:r>
      <w:r>
        <w:t xml:space="preserve"> </w:t>
      </w:r>
      <w:r>
        <w:t>−1</w:t>
      </w:r>
      <w:r>
        <w:t xml:space="preserve"> </w:t>
      </w:r>
      <w:r>
        <w:t>, indicating its sustainable nature from the viewpoint of carbon neutrality.</w:t>
      </w:r>
    </w:p>
    <w:p>
      <w:pPr>
        <w:spacing w:before="120" w:after="120"/>
      </w:pPr>
      <w:r>
        <w:rPr>
          <w:sz w:val="18"/>
        </w:rPr>
        <w:t>——————————————————————————————————————————————————————————————————————</w:t>
      </w:r>
    </w:p>
    <w:p>
      <w:pPr>
        <w:spacing w:before="160" w:after="40" w:line="240" w:lineRule="auto"/>
      </w:pPr>
      <w:r>
        <w:rPr>
          <w:b/>
        </w:rPr>
        <w:t xml:space="preserve">[4] </w:t>
      </w:r>
      <w:hyperlink r:id="rId250">
        <w:r>
          <w:rPr>
            <w:color w:val="1155CC"/>
            <w:u w:val="single"/>
          </w:rPr>
          <w:t>用于高效电催化二氧化碳还原反应的有机金属框架</w:t>
        </w:r>
      </w:hyperlink>
    </w:p>
    <w:p>
      <w:pPr>
        <w:spacing w:before="0" w:after="80"/>
      </w:pPr>
      <w:r>
        <w:rPr>
          <w:i/>
          <w:sz w:val="20"/>
        </w:rPr>
        <w:t>EN: Organometallic Frameworks for Efficient Electrocatalytic CO2 Reduction Reactions</w:t>
      </w:r>
    </w:p>
    <w:p>
      <w:pPr>
        <w:spacing w:before="0" w:after="120"/>
      </w:pPr>
      <w:r>
        <w:rPr>
          <w:b/>
        </w:rPr>
        <w:t xml:space="preserve">Source: </w:t>
      </w:r>
      <w:r>
        <w:t>Wiley: Angewandte Chemie International Edition: Table of Contents</w:t>
      </w:r>
      <w:r>
        <w:t xml:space="preserve">    </w:t>
      </w:r>
      <w:r>
        <w:rPr>
          <w:b/>
        </w:rPr>
        <w:t xml:space="preserve">Pub date: </w:t>
      </w:r>
      <w:r>
        <w:t>2026-05-23 11:38:00+00:00</w:t>
      </w:r>
      <w:r>
        <w:t xml:space="preserve">    </w:t>
      </w:r>
      <w:r>
        <w:rPr>
          <w:b/>
        </w:rPr>
        <w:t xml:space="preserve">DOI: </w:t>
      </w:r>
      <w:hyperlink r:id="rId251">
        <w:r>
          <w:rPr>
            <w:color w:val="1155CC"/>
            <w:u w:val="single"/>
          </w:rPr>
          <w:t>10.1002/anie.3794364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CO的电催化转化</w:t>
      </w:r>
      <w:r>
        <w:rPr>
          <w:vertAlign w:val="subscript"/>
        </w:rPr>
        <w:t>2</w:t>
      </w:r>
      <w:r>
        <w:t>由可再生电力驱动的增值化学品提供了减少大气二氧化碳的可行策略</w:t>
      </w:r>
      <w:r>
        <w:rPr>
          <w:vertAlign w:val="subscript"/>
        </w:rPr>
        <w:t>2</w:t>
      </w:r>
      <w:r>
        <w:t>集中能量，实现能量储存。具有周期性有序隔离金属活性位点和大表面积的结晶多孔金属有机框架（MOF）代表了有前途的CO</w:t>
      </w:r>
      <w:r>
        <w:rPr>
          <w:vertAlign w:val="subscript"/>
        </w:rPr>
        <w:t>2</w:t>
      </w:r>
      <w:r>
        <w:t>还原反应（CO</w:t>
      </w:r>
      <w:r>
        <w:rPr>
          <w:vertAlign w:val="subscript"/>
        </w:rPr>
        <w:t>2</w:t>
      </w:r>
      <w:r>
        <w:t>RR) 催化剂由于其快速 CO</w:t>
      </w:r>
      <w:r>
        <w:rPr>
          <w:vertAlign w:val="subscript"/>
        </w:rPr>
        <w:t>2</w:t>
      </w:r>
      <w:r>
        <w:t>吸附动力学。然而，传统的 MOF 通常表现出不足的 CO</w:t>
      </w:r>
      <w:r>
        <w:rPr>
          <w:vertAlign w:val="subscript"/>
        </w:rPr>
        <w:t>2</w:t>
      </w:r>
      <w:r>
        <w:t>RR 电流密度源于固有的低电导率和缓慢的电子转移动力学。在骨架中引入Metal-C键可以直接调控金属中心的电子结构，优化中间体吸附。在这里，我们合成了两种具有碳银连接性的有机金属框架，以增强 CO</w:t>
      </w:r>
      <w:r>
        <w:rPr>
          <w:vertAlign w:val="subscript"/>
        </w:rPr>
        <w:t>2</w:t>
      </w:r>
      <w:r>
        <w:t>RR 表演。炔烃部分和金属中心之间独特的σ-π配位基序赋予这些框架增强的电子转移能力、优异的CO</w:t>
      </w:r>
      <w:r>
        <w:rPr>
          <w:vertAlign w:val="subscript"/>
        </w:rPr>
        <w:t>2</w:t>
      </w:r>
      <w:r>
        <w:t>活化能力，显着提高CO</w:t>
      </w:r>
      <w:r>
        <w:rPr>
          <w:vertAlign w:val="subscript"/>
        </w:rPr>
        <w:t>2</w:t>
      </w:r>
      <w:r>
        <w:t>RR 性能。至关重要的是，这些材料实现了卓越的 CO 法拉第效率 (FE</w:t>
      </w:r>
    </w:p>
    <w:p>
      <w:pPr>
        <w:spacing w:before="0" w:after="200" w:lineRule="auto" w:line="276"/>
      </w:pPr>
      <w:r>
        <w:rPr>
          <w:b/>
        </w:rPr>
        <w:t xml:space="preserve">Abstract (EN): </w:t>
      </w:r>
      <w:r>
        <w:t>The electrocatalytic conversion of CO</w:t>
      </w:r>
      <w:r>
        <w:rPr>
          <w:vertAlign w:val="subscript"/>
        </w:rPr>
        <w:t>2</w:t>
      </w:r>
      <w:r>
        <w:t>to value‐added chemicals driven by renewable electricity offers a viable strategy to reduce atmospheric CO</w:t>
      </w:r>
      <w:r>
        <w:rPr>
          <w:vertAlign w:val="subscript"/>
        </w:rPr>
        <w:t>2</w:t>
      </w:r>
      <w:r>
        <w:t>concentration and realize energy storage. Crystalline porous metal‐organic frameworks (MOFs) with periodically ordered isolated metal active sites and large surface areas represent promising CO</w:t>
      </w:r>
      <w:r>
        <w:rPr>
          <w:vertAlign w:val="subscript"/>
        </w:rPr>
        <w:t>2</w:t>
      </w:r>
      <w:r>
        <w:t>reduction reaction (CO</w:t>
      </w:r>
      <w:r>
        <w:rPr>
          <w:vertAlign w:val="subscript"/>
        </w:rPr>
        <w:t>2</w:t>
      </w:r>
      <w:r>
        <w:t>RR) catalysts due to their rapid CO</w:t>
      </w:r>
      <w:r>
        <w:rPr>
          <w:vertAlign w:val="subscript"/>
        </w:rPr>
        <w:t>2</w:t>
      </w:r>
      <w:r>
        <w:t>adsorption kinetics. However, conventional MOFs typically exhibit insufficient CO</w:t>
      </w:r>
      <w:r>
        <w:rPr>
          <w:vertAlign w:val="subscript"/>
        </w:rPr>
        <w:t>2</w:t>
      </w:r>
      <w:r>
        <w:t>RR current densities stemming from inherent low electrical conductivity and sluggish electron transfer kinetics. Introducing Metal‐C bonds into the framework can directly regulate the electronic structure of the metal center, optimizing intermediate adsorption. Herein, we synthesized two organometallic frameworks featuring carbon‐silver connectivity to enhance the CO</w:t>
      </w:r>
      <w:r>
        <w:rPr>
          <w:vertAlign w:val="subscript"/>
        </w:rPr>
        <w:t>2</w:t>
      </w:r>
      <w:r>
        <w:t>RR performances. The distinctive σ‐π coordination motif between alkyne moieties and metal centers endows these frameworks with enhanced electron transfer capability, superior CO</w:t>
      </w:r>
      <w:r>
        <w:rPr>
          <w:vertAlign w:val="subscript"/>
        </w:rPr>
        <w:t>2</w:t>
      </w:r>
      <w:r>
        <w:t>activation ability, and significantly improved CO</w:t>
      </w:r>
      <w:r>
        <w:rPr>
          <w:vertAlign w:val="subscript"/>
        </w:rPr>
        <w:t>2</w:t>
      </w:r>
      <w:r>
        <w:t>RR performance. Crucially, these materials achieve exceptional CO Faraday efficiencies (FE</w:t>
      </w:r>
      <w:r>
        <w:t xml:space="preserve"> </w:t>
      </w:r>
      <w:r>
        <w:t>CO</w:t>
      </w:r>
      <w:r>
        <w:t xml:space="preserve"> </w:t>
      </w:r>
      <w:r>
        <w:t>) exceeding 90% when operated at industrially relevant current densities (&amp;gt; 500 mA cm</w:t>
      </w:r>
      <w:r>
        <w:t xml:space="preserve"> </w:t>
      </w:r>
      <w:r>
        <w:t>−2</w:t>
      </w:r>
      <w:r>
        <w:t xml:space="preserve"> </w:t>
      </w:r>
      <w:r>
        <w:t>), surpassing most reported MOF‐based systems. This work establishes a novel design paradigm for organometallic frameworks and accelerates their practical deployment in industrial CO</w:t>
      </w:r>
      <w:r>
        <w:rPr>
          <w:vertAlign w:val="subscript"/>
        </w:rPr>
        <w:t>2</w:t>
      </w:r>
      <w:r>
        <w:t>electroreduction processes.</w:t>
      </w:r>
    </w:p>
    <w:p>
      <w:pPr>
        <w:spacing w:before="120" w:after="120"/>
      </w:pPr>
      <w:r>
        <w:rPr>
          <w:sz w:val="18"/>
        </w:rPr>
        <w:t>——————————————————————————————————————————————————————————————————————</w:t>
      </w:r>
    </w:p>
    <w:p>
      <w:pPr>
        <w:spacing w:before="160" w:after="40" w:line="240" w:lineRule="auto"/>
      </w:pPr>
      <w:r>
        <w:rPr>
          <w:b/>
        </w:rPr>
        <w:t xml:space="preserve">[5] </w:t>
      </w:r>
      <w:hyperlink r:id="rId191">
        <w:r>
          <w:rPr>
            <w:color w:val="1155CC"/>
            <w:u w:val="single"/>
          </w:rPr>
          <w:t>In2O3 催化 CO2 氢化为甲醇：17O NMR 显示氧空位、表面羟基和反应活性的温度依赖性</w:t>
        </w:r>
      </w:hyperlink>
    </w:p>
    <w:p>
      <w:pPr>
        <w:spacing w:before="0" w:after="80"/>
      </w:pPr>
      <w:r>
        <w:rPr>
          <w:i/>
          <w:sz w:val="20"/>
        </w:rPr>
        <w:t>EN: Hydrogenation of CO2 to Methanol Catalyzed by In2O3: Oxygen Vacancies, Surface Hydroxyl Groups, and Temperature Dependence for Reactivity Revealed by 17O NMR</w:t>
      </w:r>
    </w:p>
    <w:p>
      <w:pPr>
        <w:spacing w:before="0" w:after="120"/>
      </w:pPr>
      <w:r>
        <w:rPr>
          <w:b/>
        </w:rPr>
        <w:t xml:space="preserve">Source: </w:t>
      </w:r>
      <w:r>
        <w:t>Wiley: Angewandte Chemie International Edition: Table of Contents</w:t>
      </w:r>
      <w:r>
        <w:t xml:space="preserve">    </w:t>
      </w:r>
      <w:r>
        <w:rPr>
          <w:b/>
        </w:rPr>
        <w:t xml:space="preserve">Pub date: </w:t>
      </w:r>
      <w:r>
        <w:t>2026-05-23 16:28:38+00:00</w:t>
      </w:r>
      <w:r>
        <w:t xml:space="preserve">    </w:t>
      </w:r>
      <w:r>
        <w:rPr>
          <w:b/>
        </w:rPr>
        <w:t xml:space="preserve">DOI: </w:t>
      </w:r>
      <w:hyperlink r:id="rId192">
        <w:r>
          <w:rPr>
            <w:color w:val="1155CC"/>
            <w:u w:val="single"/>
          </w:rPr>
          <w:t>10.1002/anie.2883791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CO催化加氢</w:t>
      </w:r>
      <w:r>
        <w:rPr>
          <w:vertAlign w:val="subscript"/>
        </w:rPr>
        <w:t>2</w:t>
      </w:r>
      <w:r>
        <w:t>超过输入</w:t>
      </w:r>
      <w:r>
        <w:rPr>
          <w:vertAlign w:val="subscript"/>
        </w:rPr>
        <w:t>2</w:t>
      </w:r>
      <w:r>
        <w:t>氧</w:t>
      </w:r>
      <w:r>
        <w:rPr>
          <w:vertAlign w:val="subscript"/>
        </w:rPr>
        <w:t>3</w:t>
      </w:r>
      <w:r>
        <w:t>由于其极高的甲醇选择性和通过结构修饰的广泛可调性而引起了人们的强烈兴趣。然而，由于目前可用的表征方法的分辨率有限，人们对氧空位（OV）的精确形成机制和羟基（InOH）这两种最重要的表面结构的确切作用仍然知之甚少。在这里，通过采用先进的</w:t>
      </w:r>
      <w:r>
        <w:t xml:space="preserve"> </w:t>
      </w:r>
      <w:r>
        <w:t>17 号</w:t>
      </w:r>
      <w:r>
        <w:t xml:space="preserve"> </w:t>
      </w:r>
      <w:r>
        <w:t>O 标记策略与高达 18.8 T 的高场固态 NMR (ssNMR) 相结合，我们实现了极高的光谱分辨率</w:t>
      </w:r>
      <w:r>
        <w:t xml:space="preserve"> </w:t>
      </w:r>
      <w:r>
        <w:t>17 号</w:t>
      </w:r>
      <w:r>
        <w:t xml:space="preserve"> </w:t>
      </w:r>
      <w:r>
        <w:t>O NMR，能够明确分离不同的表面氧物种。这种方法可以追踪这些物种的热演化并探测它们对二氧化碳的反应性</w:t>
      </w:r>
      <w:r>
        <w:rPr>
          <w:vertAlign w:val="subscript"/>
        </w:rPr>
        <w:t>2</w:t>
      </w:r>
      <w:r>
        <w:t>活化和氢化。值得注意的是，表面 OIn</w:t>
      </w:r>
      <w:r>
        <w:rPr>
          <w:vertAlign w:val="subscript"/>
        </w:rPr>
        <w:t>3</w:t>
      </w:r>
      <w:r>
        <w:t>位点被确定为 OV 前体，其形成势垒约为 200°C。没想到，</w:t>
      </w:r>
      <w:r>
        <w:t xml:space="preserve"> </w:t>
      </w:r>
      <w:r>
        <w:t>室温氧气交换</w:t>
      </w:r>
      <w:r>
        <w:t xml:space="preserve"> </w:t>
      </w:r>
      <w:r>
        <w:t>之间 在</w:t>
      </w:r>
      <w:r>
        <w:rPr>
          <w:vertAlign w:val="subscript"/>
        </w:rPr>
        <w:t>2</w:t>
      </w:r>
      <w:r>
        <w:t>氧</w:t>
      </w:r>
      <w:r>
        <w:rPr>
          <w:vertAlign w:val="subscript"/>
        </w:rPr>
        <w:t>3</w:t>
      </w:r>
      <w:r>
        <w:t>和二氧化碳</w:t>
      </w:r>
      <w:r>
        <w:rPr>
          <w:vertAlign w:val="subscript"/>
        </w:rPr>
        <w:t>2</w:t>
      </w:r>
      <w:r>
        <w:t>被观察到，通过新的高灵敏度实现</w:t>
      </w:r>
      <w:r>
        <w:t xml:space="preserve"> </w:t>
      </w:r>
      <w:r>
        <w:t>17 号</w:t>
      </w:r>
    </w:p>
    <w:p>
      <w:pPr>
        <w:spacing w:before="0" w:after="200" w:lineRule="auto" w:line="276"/>
      </w:pPr>
      <w:r>
        <w:rPr>
          <w:b/>
        </w:rPr>
        <w:t xml:space="preserve">Abstract (EN): </w:t>
      </w:r>
      <w:r>
        <w:t>Catalytic hydrogenation of CO</w:t>
      </w:r>
      <w:r>
        <w:rPr>
          <w:vertAlign w:val="subscript"/>
        </w:rPr>
        <w:t>2</w:t>
      </w:r>
      <w:r>
        <w:t>over In</w:t>
      </w:r>
      <w:r>
        <w:rPr>
          <w:vertAlign w:val="subscript"/>
        </w:rPr>
        <w:t>2</w:t>
      </w:r>
      <w:r>
        <w:t>O</w:t>
      </w:r>
      <w:r>
        <w:rPr>
          <w:vertAlign w:val="subscript"/>
        </w:rPr>
        <w:t>3</w:t>
      </w:r>
      <w:r>
        <w:t>has attracted intense interest due to its exceptionally high methanol selectivity and broad tunability through structural modification. However, the precise formation mechanism of oxygen vacancies (OVs) and exact roles of hydroxyl groups (InOHs), the two most important surface structures, remain poorly understood due to the limited resolution of currently available characterization methods. Here, by employing an advanced</w:t>
      </w:r>
      <w:r>
        <w:rPr>
          <w:vertAlign w:val="subscript"/>
        </w:rPr>
        <w:t>17</w:t>
      </w:r>
      <w:r>
        <w:t>O labeling strategy combined with high‐field solid‐state NMR (ssNMR) up to 18.8 T, we achieve exceptionally high spectral resolution of</w:t>
      </w:r>
      <w:r>
        <w:rPr>
          <w:vertAlign w:val="subscript"/>
        </w:rPr>
        <w:t>17</w:t>
      </w:r>
      <w:r>
        <w:t>O NMR, enabling explicit separation of distinct surface oxygen species. This approach allows tracing the thermal evolution of these species and probing their reactivities toward CO</w:t>
      </w:r>
      <w:r>
        <w:rPr>
          <w:vertAlign w:val="subscript"/>
        </w:rPr>
        <w:t>2</w:t>
      </w:r>
      <w:r>
        <w:t>activation and hydrogenation. Notably, surface OIn</w:t>
      </w:r>
      <w:r>
        <w:rPr>
          <w:vertAlign w:val="subscript"/>
        </w:rPr>
        <w:t>3</w:t>
      </w:r>
      <w:r>
        <w:t>sites are identified as the OV precursors, with a formation barrier of approximately 200°C. Unexpectedly,</w:t>
      </w:r>
      <w:r>
        <w:t xml:space="preserve"> </w:t>
      </w:r>
      <w:r>
        <w:t>room‐temperature oxygen exchange</w:t>
      </w:r>
      <w:r>
        <w:t xml:space="preserve"> </w:t>
      </w:r>
      <w:r>
        <w:t>between In</w:t>
      </w:r>
      <w:r>
        <w:rPr>
          <w:vertAlign w:val="subscript"/>
        </w:rPr>
        <w:t>2</w:t>
      </w:r>
      <w:r>
        <w:t>O</w:t>
      </w:r>
      <w:r>
        <w:rPr>
          <w:vertAlign w:val="subscript"/>
        </w:rPr>
        <w:t>3</w:t>
      </w:r>
      <w:r>
        <w:t>and CO</w:t>
      </w:r>
      <w:r>
        <w:rPr>
          <w:vertAlign w:val="subscript"/>
        </w:rPr>
        <w:t>2</w:t>
      </w:r>
      <w:r>
        <w:t>is observed, enabled by the high sensitivity of the new</w:t>
      </w:r>
      <w:r>
        <w:rPr>
          <w:vertAlign w:val="subscript"/>
        </w:rPr>
        <w:t>17</w:t>
      </w:r>
      <w:r>
        <w:t>O NMR method. Further probing with</w:t>
      </w:r>
      <w:r>
        <w:rPr>
          <w:vertAlign w:val="subscript"/>
        </w:rPr>
        <w:t>13</w:t>
      </w:r>
      <w:r>
        <w:t>CO</w:t>
      </w:r>
      <w:r>
        <w:rPr>
          <w:vertAlign w:val="subscript"/>
        </w:rPr>
        <w:t>2</w:t>
      </w:r>
      <w:r>
        <w:t>and/or H</w:t>
      </w:r>
      <w:r>
        <w:rPr>
          <w:vertAlign w:val="subscript"/>
        </w:rPr>
        <w:t>2</w:t>
      </w:r>
      <w:r>
        <w:t>, at variable temperatures, we are capable of unraveling the roles between OVs, InOHs and surface lattice oxygen species in CO</w:t>
      </w:r>
      <w:r>
        <w:rPr>
          <w:vertAlign w:val="subscript"/>
        </w:rPr>
        <w:t>2</w:t>
      </w:r>
      <w:r>
        <w:t>/H</w:t>
      </w:r>
      <w:r>
        <w:rPr>
          <w:vertAlign w:val="subscript"/>
        </w:rPr>
        <w:t>2</w:t>
      </w:r>
      <w:r>
        <w:t>activation and their stepwise conversion into formate intermediates and ultimately methanol, which may prompt rational designs to lower the reaction temperature for In</w:t>
      </w:r>
      <w:r>
        <w:rPr>
          <w:vertAlign w:val="subscript"/>
        </w:rPr>
        <w:t>2</w:t>
      </w:r>
      <w:r>
        <w:t>O</w:t>
      </w:r>
      <w:r>
        <w:rPr>
          <w:vertAlign w:val="subscript"/>
        </w:rPr>
        <w:t>3</w:t>
      </w:r>
      <w:r>
        <w:t>.</w:t>
      </w:r>
    </w:p>
    <w:p>
      <w:pPr>
        <w:spacing w:before="120" w:after="120"/>
      </w:pPr>
      <w:r>
        <w:rPr>
          <w:sz w:val="18"/>
        </w:rPr>
        <w:t>——————————————————————————————————————————————————————————————————————</w:t>
      </w:r>
    </w:p>
    <w:p>
      <w:pPr>
        <w:spacing w:before="160" w:after="40" w:line="240" w:lineRule="auto"/>
      </w:pPr>
      <w:r>
        <w:rPr>
          <w:b/>
        </w:rPr>
        <w:t xml:space="preserve">[6] </w:t>
      </w:r>
      <w:hyperlink r:id="rId266">
        <w:r>
          <w:rPr>
            <w:color w:val="1155CC"/>
            <w:u w:val="single"/>
          </w:rPr>
          <w:t>迈向可持续尿素合成：电催化和光（电）催化系统中的材料设计和机理视角</w:t>
        </w:r>
      </w:hyperlink>
    </w:p>
    <w:p>
      <w:pPr>
        <w:spacing w:before="0" w:after="80"/>
      </w:pPr>
      <w:r>
        <w:rPr>
          <w:i/>
          <w:sz w:val="20"/>
        </w:rPr>
        <w:t>EN: Toward Sustainable Urea Synthesis: Materials Design and Mechanistic Perspectives in Electrocatalytic and Photo(electro)Catalytic Systems</w:t>
      </w:r>
    </w:p>
    <w:p>
      <w:pPr>
        <w:spacing w:before="0" w:after="120"/>
      </w:pPr>
      <w:r>
        <w:rPr>
          <w:b/>
        </w:rPr>
        <w:t xml:space="preserve">Source: </w:t>
      </w:r>
      <w:r>
        <w:t>Wiley: Advanced Energy Materials: Table of Contents</w:t>
      </w:r>
      <w:r>
        <w:t xml:space="preserve">    </w:t>
      </w:r>
      <w:r>
        <w:rPr>
          <w:b/>
        </w:rPr>
        <w:t xml:space="preserve">Pub date: </w:t>
      </w:r>
      <w:r>
        <w:t>2026-05-23 17:06:51+00:00</w:t>
      </w:r>
      <w:r>
        <w:t xml:space="preserve">    </w:t>
      </w:r>
      <w:r>
        <w:rPr>
          <w:b/>
        </w:rPr>
        <w:t xml:space="preserve">DOI: </w:t>
      </w:r>
      <w:hyperlink r:id="rId267">
        <w:r>
          <w:rPr>
            <w:color w:val="1155CC"/>
            <w:u w:val="single"/>
          </w:rPr>
          <w:t>10.1002/aenm.71106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球尿素需求的快速增长，加上博世-迈塞尔工艺的能源密集型且对环境有害，凸显了对可持续生产替代方案的迫切需求。电催化（EC）、光催化（PC）和光电催化（PEC）途径已成为在环境条件下通过二氧化碳还原与氮活化合成尿素的有前途的绿色策略。这些方法成功的核心是功能材料的合理设计，这些材料可以同时促进 C─N 偶联并抑制竞争反应。本文系统地总结了催化剂和系统工程的最新进展，包括尺寸调控、形貌工程、合金化、缺陷工程、晶面控制、表面剪裁、异质结构建和局部环境调控。我们强调，虽然存在通用设计原则，但实现最佳性能的要求在 EC、PC 和 PEC 系统之间存在显着差异。此外，在概述未来研究的主要挑战和机遇之前，对流行的机制假设、最先进的催化材料和验证方法进行了严格的评估。这项工作提供了及时而全面的概述，加深了对可持续尿素合成的理解，并为下一代催化系统的合理设计提供了指导。</w:t>
      </w:r>
    </w:p>
    <w:p>
      <w:pPr>
        <w:spacing w:before="0" w:after="200" w:lineRule="auto" w:line="276"/>
      </w:pPr>
      <w:r>
        <w:rPr>
          <w:b/>
        </w:rPr>
        <w:t xml:space="preserve">Abstract (EN): </w:t>
      </w:r>
      <w:r>
        <w:t>The rapidly increasing global demand for urea, coupled with the energy‐intensive and environmentally detrimental Bosch‐Meiser process, underscores the urgent need for sustainable production alternatives. Electrocatalytic (EC), photocatalytic (PC), and photoelectrocatalytic (PEC) pathways have emerged as promising green strategies to synthesize urea under ambient conditions by coupling carbon dioxide reduction with nitrogen activation. Central to the success of these approaches is the rational design of functional materials that can simultaneously promote C─N coupling and suppress competing reactions. In this review, recent advances in catalyst and system engineering, including size regulation, morphology engineering, alloying, defect engineering, crystal facet control, surface tailoring, heterojunction construction, and local environment regulation, are systematically summarized. We highlight that while universal design principles exist, the requirements to achieve optimal performance differ significantly among EC, PC, and PEC systems. In addition, prevailing mechanistic hypotheses, state‐of‐the‐art catalytic materials, and verification methodologies are critically evaluated before outlining key challenges and opportunities for future research. This work provides a timely and comprehensive overview that deepens understanding of sustainable urea synthesis and offers guidance for the rational design of next‐generation catalytic systems.</w:t>
      </w:r>
    </w:p>
    <w:p>
      <w:pPr>
        <w:spacing w:before="120" w:after="120"/>
      </w:pPr>
      <w:r>
        <w:rPr>
          <w:sz w:val="18"/>
        </w:rPr>
        <w:t>——————————————————————————————————————————————————————————————————————</w:t>
      </w:r>
    </w:p>
    <w:p>
      <w:pPr>
        <w:spacing w:before="160" w:after="40" w:line="240" w:lineRule="auto"/>
      </w:pPr>
      <w:r>
        <w:rPr>
          <w:b/>
        </w:rPr>
        <w:t xml:space="preserve">[7] </w:t>
      </w:r>
      <w:hyperlink r:id="rId268">
        <w:r>
          <w:rPr>
            <w:color w:val="1155CC"/>
            <w:u w:val="single"/>
          </w:rPr>
          <w:t>用于 Cu+ 稳定的电子态耦合可促进 CO2 高效转化为 C2 产品</w:t>
        </w:r>
      </w:hyperlink>
    </w:p>
    <w:p>
      <w:pPr>
        <w:spacing w:before="0" w:after="80"/>
      </w:pPr>
      <w:r>
        <w:rPr>
          <w:i/>
          <w:sz w:val="20"/>
        </w:rPr>
        <w:t>EN: Electronic State Coupling for Cu+ Stabilization to Boost Highly Efficient Transformation of CO2 to C2 Products</w:t>
      </w:r>
    </w:p>
    <w:p>
      <w:pPr>
        <w:spacing w:before="0" w:after="120"/>
      </w:pPr>
      <w:r>
        <w:rPr>
          <w:b/>
        </w:rPr>
        <w:t xml:space="preserve">Source: </w:t>
      </w:r>
      <w:r>
        <w:t>Wiley: Angewandte Chemie International Edition: Table of Contents</w:t>
      </w:r>
      <w:r>
        <w:t xml:space="preserve">    </w:t>
      </w:r>
      <w:r>
        <w:rPr>
          <w:b/>
        </w:rPr>
        <w:t xml:space="preserve">Pub date: </w:t>
      </w:r>
      <w:r>
        <w:t>2026-05-24 06:29:18+00:00</w:t>
      </w:r>
      <w:r>
        <w:t xml:space="preserve">    </w:t>
      </w:r>
      <w:r>
        <w:rPr>
          <w:b/>
        </w:rPr>
        <w:t xml:space="preserve">DOI: </w:t>
      </w:r>
      <w:hyperlink r:id="rId269">
        <w:r>
          <w:rPr>
            <w:color w:val="1155CC"/>
            <w:u w:val="single"/>
          </w:rPr>
          <w:t>10.1002/anie.1066259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Cu基纳米材料在CO2的电还原方面引起了广泛关注</w:t>
      </w:r>
      <w:r>
        <w:rPr>
          <w:vertAlign w:val="subscript"/>
        </w:rPr>
        <w:t>2</w:t>
      </w:r>
      <w:r>
        <w:t>到有价值的 C2 产品。然而，铜基活性物质的物理化学性质的优化，特别是电子价态和轨道态，仍然是在恶劣的还原电解条件下实现理想的C2产品合成性能的最大挑战之一。为了解决这个障碍，我们提出了一种通过集成碳量子点（CQD）的脉冲驱动的铜价态调节策略。在脉冲电解下，Cu</w:t>
      </w:r>
      <w:r>
        <w:t xml:space="preserve"> </w:t>
      </w:r>
      <w:r>
        <w:t>2-x</w:t>
      </w:r>
      <w:r>
        <w:t xml:space="preserve"> </w:t>
      </w:r>
      <w:r>
        <w:t>Se/CQD 为 C2 产品提供高达 85.3% 的法拉第效率 (FE)，并保持 FE</w:t>
      </w:r>
      <w:r>
        <w:t xml:space="preserve"> </w:t>
      </w:r>
      <w:r>
        <w:t>C2</w:t>
      </w:r>
      <w:r>
        <w:t xml:space="preserve"> </w:t>
      </w:r>
      <w:r>
        <w:t>在 1.6 V 的超宽电势窗口上 &gt;70%。多个原位光谱表征和理论模拟阐明了 Cu 之间的强电子态耦合</w:t>
      </w:r>
      <w:r>
        <w:t xml:space="preserve"> </w:t>
      </w:r>
      <w:r>
        <w:t>2-x</w:t>
      </w:r>
      <w:r>
        <w:t xml:space="preserve"> </w:t>
      </w:r>
      <w:r>
        <w:t>Se 和 CQD 与脉冲电解一起，维持单价 Cu 物种 (Cu</w:t>
      </w:r>
      <w:r>
        <w:t xml:space="preserve"> </w:t>
      </w:r>
      <w:r>
        <w:t>+</w:t>
      </w:r>
      <w:r>
        <w:t xml:space="preserve"> </w:t>
      </w:r>
      <w:r>
        <w:t>），保证了出色的C2产品合成效率。这项工作提出了一种创新且通用的方案来指导需要精确氧化态控制的催化剂的合理设计。</w:t>
      </w:r>
    </w:p>
    <w:p>
      <w:pPr>
        <w:spacing w:before="0" w:after="200" w:lineRule="auto" w:line="276"/>
      </w:pPr>
      <w:r>
        <w:rPr>
          <w:b/>
        </w:rPr>
        <w:t xml:space="preserve">Abstract (EN): </w:t>
      </w:r>
      <w:r>
        <w:t>Cu‐based nanomaterials are attracting great attention for the electroreduction of CO</w:t>
      </w:r>
      <w:r>
        <w:rPr>
          <w:vertAlign w:val="subscript"/>
        </w:rPr>
        <w:t>2</w:t>
      </w:r>
      <w:r>
        <w:t>to valuable C2 products. However, the optimization of physicochemical properties of Cu‐based active species, especially the electronic valence and orbital states, remains one of the greatest challenges in achieving desirable C2 products synthesis performance under harsh reductive electrolysis conditions. To tackle this obstacle, we propose a pulse‐enabled Cu valence‐state regulation strategy by integrating carbon quantum dots (CQDs). Under pulsed electrolysis, Cu</w:t>
      </w:r>
      <w:r>
        <w:t xml:space="preserve"> </w:t>
      </w:r>
      <w:r>
        <w:t>2‐x</w:t>
      </w:r>
      <w:r>
        <w:t xml:space="preserve"> </w:t>
      </w:r>
      <w:r>
        <w:t>Se/CQDs delivers a Faradaic efficiency (FE) of up to 85.3% for C2 products and maintains FE</w:t>
      </w:r>
      <w:r>
        <w:t xml:space="preserve"> </w:t>
      </w:r>
      <w:r>
        <w:t>C2</w:t>
      </w:r>
      <w:r>
        <w:t xml:space="preserve"> </w:t>
      </w:r>
      <w:r>
        <w:t>&amp;gt;70% over an ultra‐wide potential window of 1.6 V. Multiple in situ spectroscopic characterizations and theoretical simulations clarify that the strong electronic state coupling between Cu</w:t>
      </w:r>
      <w:r>
        <w:t xml:space="preserve"> </w:t>
      </w:r>
      <w:r>
        <w:t>2‐x</w:t>
      </w:r>
      <w:r>
        <w:t xml:space="preserve"> </w:t>
      </w:r>
      <w:r>
        <w:t>Se and CQDs, together with pulsed electrolysis, maintains monovalent Cu species (Cu</w:t>
      </w:r>
      <w:r>
        <w:t xml:space="preserve"> </w:t>
      </w:r>
      <w:r>
        <w:t>+</w:t>
      </w:r>
      <w:r>
        <w:t xml:space="preserve"> </w:t>
      </w:r>
      <w:r>
        <w:t>), guaranteeing the outstanding C2 products synthesis efficiency. This work presents an innovative and universal protocol to guide the rational design of catalysts requiring precise oxidation‐state control.</w:t>
      </w:r>
    </w:p>
    <w:p>
      <w:pPr>
        <w:spacing w:before="120" w:after="120"/>
      </w:pPr>
      <w:r>
        <w:rPr>
          <w:sz w:val="18"/>
        </w:rPr>
        <w:t>——————————————————————————————————————————————————————————————————————</w:t>
      </w:r>
    </w:p>
    <w:p>
      <w:pPr>
        <w:spacing w:before="160" w:after="40" w:line="240" w:lineRule="auto"/>
      </w:pPr>
      <w:r>
        <w:rPr>
          <w:b/>
        </w:rPr>
        <w:t xml:space="preserve">[8] </w:t>
      </w:r>
      <w:hyperlink r:id="rId270">
        <w:r>
          <w:rPr>
            <w:color w:val="1155CC"/>
            <w:u w:val="single"/>
          </w:rPr>
          <w:t>通过自旋态工程增强 CO2 活化，促进 CO2 和 NO2− 共还原的尿素电合成</w:t>
        </w:r>
      </w:hyperlink>
    </w:p>
    <w:p>
      <w:pPr>
        <w:spacing w:before="0" w:after="80"/>
      </w:pPr>
      <w:r>
        <w:rPr>
          <w:i/>
          <w:sz w:val="20"/>
        </w:rPr>
        <w:t>EN: Enhanced CO2 Activation Through Spin States Engineering Boosting Urea Electrosynthesis From Co‐Reduction of CO2 and NO2−</w:t>
      </w:r>
    </w:p>
    <w:p>
      <w:pPr>
        <w:spacing w:before="0" w:after="120"/>
      </w:pPr>
      <w:r>
        <w:rPr>
          <w:b/>
        </w:rPr>
        <w:t xml:space="preserve">Source: </w:t>
      </w:r>
      <w:r>
        <w:t>Wiley: Angewandte Chemie International Edition: Table of Contents</w:t>
      </w:r>
      <w:r>
        <w:t xml:space="preserve">    </w:t>
      </w:r>
      <w:r>
        <w:rPr>
          <w:b/>
        </w:rPr>
        <w:t xml:space="preserve">Pub date: </w:t>
      </w:r>
      <w:r>
        <w:t>2026-05-25 08:51:19+00:00</w:t>
      </w:r>
      <w:r>
        <w:t xml:space="preserve">    </w:t>
      </w:r>
      <w:r>
        <w:rPr>
          <w:b/>
        </w:rPr>
        <w:t xml:space="preserve">DOI: </w:t>
      </w:r>
      <w:hyperlink r:id="rId271">
        <w:r>
          <w:rPr>
            <w:color w:val="1155CC"/>
            <w:u w:val="single"/>
          </w:rPr>
          <w:t>10.1002/anie.6197518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CO共还原电催化尿素合成</w:t>
      </w:r>
      <w:r>
        <w:rPr>
          <w:vertAlign w:val="subscript"/>
        </w:rPr>
        <w:t>2</w:t>
      </w:r>
      <w:r>
        <w:t>和没有</w:t>
      </w:r>
      <w:r>
        <w:rPr>
          <w:vertAlign w:val="subscript"/>
        </w:rPr>
        <w:t>3</w:t>
      </w:r>
      <w:r>
        <w:t>-</w:t>
      </w:r>
      <w:r>
        <w:t>/否</w:t>
      </w:r>
      <w:r>
        <w:rPr>
          <w:vertAlign w:val="subscript"/>
        </w:rPr>
        <w:t>2</w:t>
      </w:r>
      <w:r>
        <w:t>-</w:t>
      </w:r>
      <w:r>
        <w:t>已被认为是尿素生产的可持续替代品。然而，惰性 CO 面临的挑战</w:t>
      </w:r>
      <w:r>
        <w:rPr>
          <w:vertAlign w:val="subscript"/>
        </w:rPr>
        <w:t>2</w:t>
      </w:r>
      <w:r>
        <w:t>活化导致含碳物质覆盖效率低下，导致尿素产量低且 NH 占主导地位</w:t>
      </w:r>
      <w:r>
        <w:rPr>
          <w:vertAlign w:val="subscript"/>
        </w:rPr>
        <w:t>3</w:t>
      </w:r>
      <w:r>
        <w:t>生产。在此，我们通过共嵌入CuO设计了一种Cu-Mn双位催化剂</w:t>
      </w:r>
      <w:r>
        <w:t xml:space="preserve"> </w:t>
      </w:r>
      <w:r>
        <w:t>x</w:t>
      </w:r>
      <w:r>
        <w:t xml:space="preserve"> </w:t>
      </w:r>
      <w:r>
        <w:t>C 上的簇和单原子 Mn 位点</w:t>
      </w:r>
      <w:r>
        <w:rPr>
          <w:vertAlign w:val="subscript"/>
        </w:rPr>
        <w:t>3</w:t>
      </w:r>
      <w:r>
        <w:t>氮</w:t>
      </w:r>
      <w:r>
        <w:rPr>
          <w:vertAlign w:val="subscript"/>
        </w:rPr>
        <w:t>4</w:t>
      </w:r>
      <w:r>
        <w:t>‐包覆碳纳米管（CuO</w:t>
      </w:r>
      <w:r>
        <w:t xml:space="preserve"> </w:t>
      </w:r>
      <w:r>
        <w:t>x</w:t>
      </w:r>
      <w:r>
        <w:t xml:space="preserve"> </w:t>
      </w:r>
      <w:r>
        <w:t>/锰</w:t>
      </w:r>
      <w:r>
        <w:rPr>
          <w:vertAlign w:val="subscript"/>
        </w:rPr>
        <w:t>1</w:t>
      </w:r>
      <w:r>
        <w:t>‐C</w:t>
      </w:r>
      <w:r>
        <w:rPr>
          <w:vertAlign w:val="subscript"/>
        </w:rPr>
        <w:t>3</w:t>
      </w:r>
      <w:r>
        <w:t>氮</w:t>
      </w:r>
      <w:r>
        <w:rPr>
          <w:vertAlign w:val="subscript"/>
        </w:rPr>
        <w:t>4</w:t>
      </w:r>
      <w:r>
        <w:t>@CNT）通过CO共还原进行尿素电合成</w:t>
      </w:r>
      <w:r>
        <w:rPr>
          <w:vertAlign w:val="subscript"/>
        </w:rPr>
        <w:t>2</w:t>
      </w:r>
      <w:r>
        <w:t>和没有</w:t>
      </w:r>
      <w:r>
        <w:rPr>
          <w:vertAlign w:val="subscript"/>
        </w:rPr>
        <w:t>2</w:t>
      </w:r>
      <w:r>
        <w:t>-</w:t>
      </w:r>
      <w:r>
        <w:t>。实验和理论结果表明 CuO 的电子转移</w:t>
      </w:r>
      <w:r>
        <w:t xml:space="preserve"> </w:t>
      </w:r>
      <w:r>
        <w:t>x</w:t>
      </w:r>
      <w:r>
        <w:t xml:space="preserve"> </w:t>
      </w:r>
      <w:r>
        <w:t>簇到单原子 Mn 位点诱导 Mn 3d 电子离域和进一步的自旋构型从低自旋态到高自旋态的转变。电子态调节提高了Mn位点向基底的电子供给能力，并使</w:t>
      </w:r>
    </w:p>
    <w:p>
      <w:pPr>
        <w:spacing w:before="0" w:after="200" w:lineRule="auto" w:line="276"/>
      </w:pPr>
      <w:r>
        <w:rPr>
          <w:b/>
        </w:rPr>
        <w:t xml:space="preserve">Abstract (EN): </w:t>
      </w:r>
      <w:r>
        <w:t>Electrocatalytic urea synthesis through co‐reduction of CO</w:t>
      </w:r>
      <w:r>
        <w:rPr>
          <w:vertAlign w:val="subscript"/>
        </w:rPr>
        <w:t>2</w:t>
      </w:r>
      <w:r>
        <w:t>and NO</w:t>
      </w:r>
      <w:r>
        <w:rPr>
          <w:vertAlign w:val="subscript"/>
        </w:rPr>
        <w:t>3</w:t>
      </w:r>
      <w:r>
        <w:t>−</w:t>
      </w:r>
      <w:r>
        <w:t>/NO</w:t>
      </w:r>
      <w:r>
        <w:rPr>
          <w:vertAlign w:val="subscript"/>
        </w:rPr>
        <w:t>2</w:t>
      </w:r>
      <w:r>
        <w:t>−</w:t>
      </w:r>
      <w:r>
        <w:t>has been considered as a sustainable alternative for urea production. However, the challenge for inert CO</w:t>
      </w:r>
      <w:r>
        <w:rPr>
          <w:vertAlign w:val="subscript"/>
        </w:rPr>
        <w:t>2</w:t>
      </w:r>
      <w:r>
        <w:t>activation results in inefficient C‐containing species coverage, leading to low urea yield and dominant NH</w:t>
      </w:r>
      <w:r>
        <w:rPr>
          <w:vertAlign w:val="subscript"/>
        </w:rPr>
        <w:t>3</w:t>
      </w:r>
      <w:r>
        <w:t>production. Herein, we design a Cu‐Mn dual‐site catalyst by co‐embedding CuO</w:t>
      </w:r>
      <w:r>
        <w:t xml:space="preserve"> </w:t>
      </w:r>
      <w:r>
        <w:t>x</w:t>
      </w:r>
      <w:r>
        <w:t xml:space="preserve"> </w:t>
      </w:r>
      <w:r>
        <w:t>clusters and single‐atomic Mn sites on C</w:t>
      </w:r>
      <w:r>
        <w:rPr>
          <w:vertAlign w:val="subscript"/>
        </w:rPr>
        <w:t>3</w:t>
      </w:r>
      <w:r>
        <w:t>N</w:t>
      </w:r>
      <w:r>
        <w:rPr>
          <w:vertAlign w:val="subscript"/>
        </w:rPr>
        <w:t>4</w:t>
      </w:r>
      <w:r>
        <w:t>‐coated carbon nanotubes (CuO</w:t>
      </w:r>
      <w:r>
        <w:t xml:space="preserve"> </w:t>
      </w:r>
      <w:r>
        <w:t>x</w:t>
      </w:r>
      <w:r>
        <w:t xml:space="preserve"> </w:t>
      </w:r>
      <w:r>
        <w:t>/Mn</w:t>
      </w:r>
      <w:r>
        <w:rPr>
          <w:vertAlign w:val="subscript"/>
        </w:rPr>
        <w:t>1</w:t>
      </w:r>
      <w:r>
        <w:t>‐C</w:t>
      </w:r>
      <w:r>
        <w:rPr>
          <w:vertAlign w:val="subscript"/>
        </w:rPr>
        <w:t>3</w:t>
      </w:r>
      <w:r>
        <w:t>N</w:t>
      </w:r>
      <w:r>
        <w:rPr>
          <w:vertAlign w:val="subscript"/>
        </w:rPr>
        <w:t>4</w:t>
      </w:r>
      <w:r>
        <w:t>@CNT) for urea electrosynthesis through co‐reduction of CO</w:t>
      </w:r>
      <w:r>
        <w:rPr>
          <w:vertAlign w:val="subscript"/>
        </w:rPr>
        <w:t>2</w:t>
      </w:r>
      <w:r>
        <w:t>and NO</w:t>
      </w:r>
      <w:r>
        <w:rPr>
          <w:vertAlign w:val="subscript"/>
        </w:rPr>
        <w:t>2</w:t>
      </w:r>
      <w:r>
        <w:t>−</w:t>
      </w:r>
      <w:r>
        <w:t>. Experimental and theoretical results show that the electron transfer from CuO</w:t>
      </w:r>
      <w:r>
        <w:t xml:space="preserve"> </w:t>
      </w:r>
      <w:r>
        <w:t>x</w:t>
      </w:r>
      <w:r>
        <w:t xml:space="preserve"> </w:t>
      </w:r>
      <w:r>
        <w:t>clusters to single‐atomic Mn sites induces Mn 3d electron delocalization and further spin configuration transformation from low spin states to high spin states. The electronic states regulation improves electron‐donation ability of Mn sites to substrates and enables the enhanced CO</w:t>
      </w:r>
      <w:r>
        <w:rPr>
          <w:vertAlign w:val="subscript"/>
        </w:rPr>
        <w:t>2</w:t>
      </w:r>
      <w:r>
        <w:t>activation and C‐containing intermediates adsorption behavior, facilitating coupling with N‐intermediates. Consequently, the CuO</w:t>
      </w:r>
      <w:r>
        <w:t xml:space="preserve"> </w:t>
      </w:r>
      <w:r>
        <w:t>x</w:t>
      </w:r>
      <w:r>
        <w:t xml:space="preserve"> </w:t>
      </w:r>
      <w:r>
        <w:t>/Mn</w:t>
      </w:r>
      <w:r>
        <w:rPr>
          <w:vertAlign w:val="subscript"/>
        </w:rPr>
        <w:t>1</w:t>
      </w:r>
      <w:r>
        <w:t>‐C</w:t>
      </w:r>
      <w:r>
        <w:rPr>
          <w:vertAlign w:val="subscript"/>
        </w:rPr>
        <w:t>3</w:t>
      </w:r>
      <w:r>
        <w:t>N</w:t>
      </w:r>
      <w:r>
        <w:rPr>
          <w:vertAlign w:val="subscript"/>
        </w:rPr>
        <w:t>4</w:t>
      </w:r>
      <w:r>
        <w:t>@CNT catalyst achieves 60.2% urea Faradaic efficiency at −0.4 V (vs. RHE), 100% carbon selectivity over a record‐wide potential range of 300 mV, and exceptional 336 h cycling stability with 202.4 mg urea production. This work reveals a clear mechanism for performance enhancement through electronic interactions of dual sites and provides a dual‐substrate conversion catalyst design strategy.</w:t>
      </w:r>
    </w:p>
    <w:p>
      <w:pPr>
        <w:spacing w:before="120" w:after="120"/>
      </w:pPr>
      <w:r>
        <w:rPr>
          <w:sz w:val="18"/>
        </w:rPr>
        <w:t>——————————————————————————————————————————————————————————————————————</w:t>
      </w:r>
    </w:p>
    <w:p>
      <w:pPr>
        <w:spacing w:before="160" w:after="40" w:line="240" w:lineRule="auto"/>
      </w:pPr>
      <w:r>
        <w:rPr>
          <w:b/>
        </w:rPr>
        <w:t xml:space="preserve">[9] </w:t>
      </w:r>
      <w:hyperlink r:id="rId272">
        <w:r>
          <w:rPr>
            <w:color w:val="1155CC"/>
            <w:u w:val="single"/>
          </w:rPr>
          <w:t>电酶法 CO2 固定</w:t>
        </w:r>
      </w:hyperlink>
    </w:p>
    <w:p>
      <w:pPr>
        <w:spacing w:before="0" w:after="80"/>
      </w:pPr>
      <w:r>
        <w:rPr>
          <w:i/>
          <w:sz w:val="20"/>
        </w:rPr>
        <w:t>EN: Electroenzymatic CO2 Fixation</w:t>
      </w:r>
    </w:p>
    <w:p>
      <w:pPr>
        <w:spacing w:before="0" w:after="120"/>
      </w:pPr>
      <w:r>
        <w:rPr>
          <w:b/>
        </w:rPr>
        <w:t xml:space="preserve">Source: </w:t>
      </w:r>
      <w:r>
        <w:t>Wiley: Angewandte Chemie International Edition: Table of Contents</w:t>
      </w:r>
      <w:r>
        <w:t xml:space="preserve">    </w:t>
      </w:r>
      <w:r>
        <w:rPr>
          <w:b/>
        </w:rPr>
        <w:t xml:space="preserve">Pub date: </w:t>
      </w:r>
      <w:r>
        <w:t>2026-05-25 10:14:46+00:00</w:t>
      </w:r>
      <w:r>
        <w:t xml:space="preserve">    </w:t>
      </w:r>
      <w:r>
        <w:rPr>
          <w:b/>
        </w:rPr>
        <w:t xml:space="preserve">DOI: </w:t>
      </w:r>
      <w:hyperlink r:id="rId273">
        <w:r>
          <w:rPr>
            <w:color w:val="1155CC"/>
            <w:u w:val="single"/>
          </w:rPr>
          <w:t>10.1002/anie.202522125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用可再生替代品替代化石资源进行化学生产需要高度集成、节能和选择性的二氧化碳</w:t>
      </w:r>
      <w:r>
        <w:rPr>
          <w:vertAlign w:val="subscript"/>
        </w:rPr>
        <w:t>2</w:t>
      </w:r>
      <w:r>
        <w:t>利用过程。电酶CO</w:t>
      </w:r>
      <w:r>
        <w:rPr>
          <w:vertAlign w:val="subscript"/>
        </w:rPr>
        <w:t>2</w:t>
      </w:r>
      <w:r>
        <w:t>固定提供了一条有前途的途径，将高能效与无与伦比的产物选择性相结合，使其成为合成复杂分子的可行方法。本综述概述了生物电催化 CO 的基本原理</w:t>
      </w:r>
      <w:r>
        <w:rPr>
          <w:vertAlign w:val="subscript"/>
        </w:rPr>
        <w:t>2</w:t>
      </w:r>
      <w:r>
        <w:t>使用还原酶和羧化酶进行转化，概述可用的酶、其产品范围以及关键的热力学和动力学考虑因素。强调电化学 CO 的潜力和局限性</w:t>
      </w:r>
      <w:r>
        <w:rPr>
          <w:vertAlign w:val="subscript"/>
        </w:rPr>
        <w:t>2</w:t>
      </w:r>
      <w:r>
        <w:t>固定，这篇综述旨在为二氧化碳的发现、工程和应用的未来进展提供信息</w:t>
      </w:r>
      <w:r>
        <w:rPr>
          <w:vertAlign w:val="subscript"/>
        </w:rPr>
        <w:t>2</w:t>
      </w:r>
      <w:r>
        <w:t>‐转化酶，最终目标是充分发挥电酶CO的潜力</w:t>
      </w:r>
      <w:r>
        <w:rPr>
          <w:vertAlign w:val="subscript"/>
        </w:rPr>
        <w:t>2</w:t>
      </w:r>
      <w:r>
        <w:t>精细和特种化学品可持续合成的固定化。</w:t>
      </w:r>
    </w:p>
    <w:p>
      <w:pPr>
        <w:spacing w:before="0" w:after="200" w:lineRule="auto" w:line="276"/>
      </w:pPr>
      <w:r>
        <w:rPr>
          <w:b/>
        </w:rPr>
        <w:t xml:space="preserve">Abstract (EN): </w:t>
      </w:r>
      <w:r>
        <w:t>Replacing fossil resources with renewable alternatives for chemical production requires highly integrated, energy‐efficient, and selective CO</w:t>
      </w:r>
      <w:r>
        <w:rPr>
          <w:vertAlign w:val="subscript"/>
        </w:rPr>
        <w:t>2</w:t>
      </w:r>
      <w:r>
        <w:t>utilization processes. Electroenzymatic CO</w:t>
      </w:r>
      <w:r>
        <w:rPr>
          <w:vertAlign w:val="subscript"/>
        </w:rPr>
        <w:t>2</w:t>
      </w:r>
      <w:r>
        <w:t>fixation offers a promising pathway, combining high energy efficiency with unparalleled product selectivity, making it a viable approach for synthesizing complex molecules. This review outlines the fundamental principles of bioelectrocatalytic CO</w:t>
      </w:r>
      <w:r>
        <w:rPr>
          <w:vertAlign w:val="subscript"/>
        </w:rPr>
        <w:t>2</w:t>
      </w:r>
      <w:r>
        <w:t>conversion using reductases and carboxylases, providing an overview of the available enzymes, their product range, and key thermodynamic and kinetic considerations. By highlighting both the potential and limitations of electrochemical CO</w:t>
      </w:r>
      <w:r>
        <w:rPr>
          <w:vertAlign w:val="subscript"/>
        </w:rPr>
        <w:t>2</w:t>
      </w:r>
      <w:r>
        <w:t>fixation, this review aims to inform future progress in the discovery, engineering, and application of CO</w:t>
      </w:r>
      <w:r>
        <w:rPr>
          <w:vertAlign w:val="subscript"/>
        </w:rPr>
        <w:t>2</w:t>
      </w:r>
      <w:r>
        <w:t>‐converting enzymes, with the ultimate goal of realizing the full potential of electroenzymatic CO</w:t>
      </w:r>
      <w:r>
        <w:rPr>
          <w:vertAlign w:val="subscript"/>
        </w:rPr>
        <w:t>2</w:t>
      </w:r>
      <w:r>
        <w:t>fixation for the sustainable synthesis of fine and specialty chemicals.</w:t>
      </w:r>
    </w:p>
    <w:p>
      <w:pPr>
        <w:spacing w:before="120" w:after="120"/>
      </w:pPr>
      <w:r>
        <w:rPr>
          <w:sz w:val="18"/>
        </w:rPr>
        <w:t>——————————————————————————————————————————————————————————————————————</w:t>
      </w:r>
    </w:p>
    <w:p>
      <w:pPr>
        <w:spacing w:before="160" w:after="40" w:line="240" w:lineRule="auto"/>
      </w:pPr>
      <w:r>
        <w:rPr>
          <w:b/>
        </w:rPr>
        <w:t xml:space="preserve">[10] </w:t>
      </w:r>
      <w:hyperlink r:id="rId274">
        <w:r>
          <w:rPr>
            <w:color w:val="1155CC"/>
            <w:u w:val="single"/>
          </w:rPr>
          <w:t>逆转动力学匹配尿素电合成含氮中间体的氢化途径</w:t>
        </w:r>
      </w:hyperlink>
    </w:p>
    <w:p>
      <w:pPr>
        <w:spacing w:before="0" w:after="80"/>
      </w:pPr>
      <w:r>
        <w:rPr>
          <w:i/>
          <w:sz w:val="20"/>
        </w:rPr>
        <w:t>EN: Reversing the Hydrogenation Pathways of Nitrogen‐Containing Intermediates for the Kinetics‐Matched Urea Electrosynthesis</w:t>
      </w:r>
    </w:p>
    <w:p>
      <w:pPr>
        <w:spacing w:before="0" w:after="120"/>
      </w:pPr>
      <w:r>
        <w:rPr>
          <w:b/>
        </w:rPr>
        <w:t xml:space="preserve">Source: </w:t>
      </w:r>
      <w:r>
        <w:t>Wiley: Angewandte Chemie International Edition: Table of Contents</w:t>
      </w:r>
      <w:r>
        <w:t xml:space="preserve">    </w:t>
      </w:r>
      <w:r>
        <w:rPr>
          <w:b/>
        </w:rPr>
        <w:t xml:space="preserve">Pub date: </w:t>
      </w:r>
      <w:r>
        <w:t>2026-05-25 10:16:00+00:00</w:t>
      </w:r>
      <w:r>
        <w:t xml:space="preserve">    </w:t>
      </w:r>
      <w:r>
        <w:rPr>
          <w:b/>
        </w:rPr>
        <w:t xml:space="preserve">DOI: </w:t>
      </w:r>
      <w:hyperlink r:id="rId275">
        <w:r>
          <w:rPr>
            <w:color w:val="1155CC"/>
            <w:u w:val="single"/>
          </w:rPr>
          <w:t>10.1002/anie.7521348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二氧化碳电合成尿素（CO</w:t>
      </w:r>
      <w:r>
        <w:rPr>
          <w:vertAlign w:val="subscript"/>
        </w:rPr>
        <w:t>2</w:t>
      </w:r>
      <w:r>
        <w:t>）和硝酸盐（NO</w:t>
      </w:r>
      <w:r>
        <w:rPr>
          <w:vertAlign w:val="subscript"/>
        </w:rPr>
        <w:t>3</w:t>
      </w:r>
      <w:r>
        <w:t>-</w:t>
      </w:r>
      <w:r>
        <w:t>）是一条有前途的可持续路线。然而，关键中间体之间的动力学失配仍然是实现选择性 C-N 偶联的主要挑战。其中，掺铟二氧化钛（In-TiO</w:t>
      </w:r>
      <w:r>
        <w:rPr>
          <w:vertAlign w:val="subscript"/>
        </w:rPr>
        <w:t>2</w:t>
      </w:r>
      <w:r>
        <w:t>）纳米纤维被开发来调节氢化途径，以实现动力学匹配的尿素电合成。原位光谱分析和理论计算表明，In掺杂逆转了含氮中间体的氢化途径，从Eley-Rideal (E-R)机制转向Langmuir-Hinshelwood (L-H)机制。这种转变归因于受调节的界面水结构保证了充足的 *H 供应。这种反向氢化途径平衡了CO之间的*H利用率</w:t>
      </w:r>
      <w:r>
        <w:rPr>
          <w:vertAlign w:val="subscript"/>
        </w:rPr>
        <w:t>2</w:t>
      </w:r>
      <w:r>
        <w:t>和没有</w:t>
      </w:r>
      <w:r>
        <w:rPr>
          <w:vertAlign w:val="subscript"/>
        </w:rPr>
        <w:t>3</w:t>
      </w:r>
      <w:r>
        <w:t>-</w:t>
      </w:r>
      <w:r>
        <w:t>还原，使关键中间体的形成动力学良好匹配，从而实现有效的 C-N 偶联。由于上述优点，In-TiO</w:t>
      </w:r>
      <w:r>
        <w:rPr>
          <w:vertAlign w:val="subscript"/>
        </w:rPr>
        <w:t>2</w:t>
      </w:r>
      <w:r>
        <w:t>实现了 56.5 mmol h 的惊人平均尿素产率</w:t>
      </w:r>
      <w:r>
        <w:t xml:space="preserve"> </w:t>
      </w:r>
      <w:r>
        <w:t>−1</w:t>
      </w:r>
      <w:r>
        <w:t xml:space="preserve"> </w:t>
      </w:r>
      <w:r>
        <w:t>克</w:t>
      </w:r>
      <w:r>
        <w:t xml:space="preserve"> </w:t>
      </w:r>
      <w:r>
        <w:t>−1</w:t>
      </w:r>
      <w:r>
        <w:t xml:space="preserve"> </w:t>
      </w:r>
      <w:r>
        <w:t>法拉第效率为 32.8%。这项工作为有效尿素电合成的氢化途径调节提供了机制见解。</w:t>
      </w:r>
    </w:p>
    <w:p>
      <w:pPr>
        <w:spacing w:before="0" w:after="200" w:lineRule="auto" w:line="276"/>
      </w:pPr>
      <w:r>
        <w:rPr>
          <w:b/>
        </w:rPr>
        <w:t xml:space="preserve">Abstract (EN): </w:t>
      </w:r>
      <w:r>
        <w:t>Urea electrosynthesis from carbon dioxide (CO</w:t>
      </w:r>
      <w:r>
        <w:rPr>
          <w:vertAlign w:val="subscript"/>
        </w:rPr>
        <w:t>2</w:t>
      </w:r>
      <w:r>
        <w:t>) and nitrate (NO</w:t>
      </w:r>
      <w:r>
        <w:rPr>
          <w:vertAlign w:val="subscript"/>
        </w:rPr>
        <w:t>3</w:t>
      </w:r>
      <w:r>
        <w:t>−</w:t>
      </w:r>
      <w:r>
        <w:t>) is a promising sustainable route. However, the kinetic mismatch between key intermediates remains the major challenge for achieving selective C‒N coupling. Herein, indium‐doped titanium dioxide (In‐TiO</w:t>
      </w:r>
      <w:r>
        <w:rPr>
          <w:vertAlign w:val="subscript"/>
        </w:rPr>
        <w:t>2</w:t>
      </w:r>
      <w:r>
        <w:t>) nanofibers were developed to regulate the hydrogenation pathway for realizing kinetics‐matched urea electrosynthesis. In situ spectroscopic analysis and theoretical calculations reveal that In doping reverses the hydrogenation pathway of nitrogen‐containing intermediates from the Eley‐Rideal (E‐R) to the Langmuir–Hinshelwood (L–H) mechanism. This shift is attributed to the sufficient *H supply guaranteed by the regulated interfacial water structure. Such reversed hydrogenation pathway balances *H utilization between CO</w:t>
      </w:r>
      <w:r>
        <w:rPr>
          <w:vertAlign w:val="subscript"/>
        </w:rPr>
        <w:t>2</w:t>
      </w:r>
      <w:r>
        <w:t>and NO</w:t>
      </w:r>
      <w:r>
        <w:rPr>
          <w:vertAlign w:val="subscript"/>
        </w:rPr>
        <w:t>3</w:t>
      </w:r>
      <w:r>
        <w:t>−</w:t>
      </w:r>
      <w:r>
        <w:t>reduction, enabling well‐matched formation kinetics of key intermediates for efficient C‒N coupling. Owing to the above merits, In‐TiO</w:t>
      </w:r>
      <w:r>
        <w:rPr>
          <w:vertAlign w:val="subscript"/>
        </w:rPr>
        <w:t>2</w:t>
      </w:r>
      <w:r>
        <w:t>achieved the remarkable average urea yield rate of 56.5 mmol h</w:t>
      </w:r>
      <w:r>
        <w:t xml:space="preserve"> </w:t>
      </w:r>
      <w:r>
        <w:t>−1</w:t>
      </w:r>
      <w:r>
        <w:t xml:space="preserve"> </w:t>
      </w:r>
      <w:r>
        <w:t>g</w:t>
      </w:r>
      <w:r>
        <w:t xml:space="preserve"> </w:t>
      </w:r>
      <w:r>
        <w:t>−1</w:t>
      </w:r>
      <w:r>
        <w:t xml:space="preserve"> </w:t>
      </w:r>
      <w:r>
        <w:t>with a Faradaic efficiency of 32.8%. This work provides mechanistic insights into the hydrogenation pathways regulation for efficient urea electrosynthesis.</w:t>
      </w:r>
    </w:p>
    <w:p>
      <w:pPr>
        <w:spacing w:before="120" w:after="120"/>
      </w:pPr>
      <w:r>
        <w:rPr>
          <w:sz w:val="18"/>
        </w:rPr>
        <w:t>——————————————————————————————————————————————————————————————————————</w:t>
      </w:r>
    </w:p>
    <w:p>
      <w:pPr>
        <w:spacing w:before="160" w:after="40" w:line="240" w:lineRule="auto"/>
      </w:pPr>
      <w:r>
        <w:rPr>
          <w:b/>
        </w:rPr>
        <w:t xml:space="preserve">[11] </w:t>
      </w:r>
      <w:hyperlink r:id="rId276">
        <w:r>
          <w:rPr>
            <w:color w:val="1155CC"/>
            <w:u w:val="single"/>
          </w:rPr>
          <w:t>[ASAP] 配体对称驱动的金属簇旋转，用于访问金属有机框架中的压缩孔隙状态</w:t>
        </w:r>
      </w:hyperlink>
    </w:p>
    <w:p>
      <w:pPr>
        <w:spacing w:before="0" w:after="80"/>
      </w:pPr>
      <w:r>
        <w:rPr>
          <w:i/>
          <w:sz w:val="20"/>
        </w:rPr>
        <w:t>EN: [ASAP] Ligand-Symmetry-Driven Metal-Cluster Rotation for Accessing Compressed Pore Regimes in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2026-05-25 14:04:42+00:00</w:t>
      </w:r>
      <w:r>
        <w:t xml:space="preserve">    </w:t>
      </w:r>
      <w:r>
        <w:rPr>
          <w:b/>
        </w:rPr>
        <w:t xml:space="preserve">DOI: </w:t>
      </w:r>
      <w:hyperlink r:id="rId277">
        <w:r>
          <w:rPr>
            <w:color w:val="1155CC"/>
            <w:u w:val="single"/>
          </w:rPr>
          <w:t>10.1021/jacs.6c04783</w:t>
        </w:r>
      </w:hyperlink>
    </w:p>
    <w:p>
      <w:pPr>
        <w:spacing w:before="0" w:after="120"/>
      </w:pPr>
      <w:r>
        <w:rPr>
          <w:b/>
        </w:rPr>
        <w:t xml:space="preserve">Notes: </w:t>
      </w:r>
      <w:r>
        <w:t>abstract_source=pubmed</w:t>
      </w:r>
    </w:p>
    <w:p>
      <w:pPr>
        <w:spacing w:before="0" w:after="80" w:lineRule="auto" w:line="276"/>
      </w:pPr>
      <w:r>
        <w:rPr>
          <w:b/>
        </w:rPr>
        <w:t xml:space="preserve">摘要（ZH）: </w:t>
      </w:r>
      <w:r>
        <w:t>等网化学通常通过改变连接体长度或操纵取代基来调节孔尺寸。虽然广泛使用，但该策略受到分子构建单元的固有化学性质的限制，导致某些尺寸范围和孔隙几何形状难以实现。在这里，我们将配位对称性建立为孔分区 acs (pacs) 金属有机框架中晶胞压缩的独立且强大的设计变量。用 C3h 对称三(3-吡啶基) 位置异构体替换 D3h 对称三(4-吡啶基) 配体可诱导金属簇的受控旋转，而不改变配体大小或框架拓扑。曲率编码的二羧酸连接体定义了一个有限的金属簇旋转窗口，在该窗口内供体位置对称性选择不同的旋转状态，产生沿六边形 a/b 方向的系统收缩，并使晶胞体积减少高达~15%。在多种金属三聚体和配体组合中，这种对称控制的压缩增强了框架稳定性并显着提高了气体分离性能。重要的是，该策略能够同时提高 C2H2 吸收和 C2H2/CO2 或 C2H2/C2H4 选择性，克服了多孔材料设计中吸附容量和选择性之间常见的权衡问题。 Ni3-24fdc-3tpt 在 pacs 系列中实现了创纪录的 C2H2/CO2 和 C2H2/C2H4 选择性（分别为 42.35 和 25.14），以及高分离潜力和强大的突破性性能。这些结果表明配体对称驱动的元</w:t>
      </w:r>
    </w:p>
    <w:p>
      <w:pPr>
        <w:spacing w:before="0" w:after="200" w:lineRule="auto" w:line="276"/>
      </w:pPr>
      <w:r>
        <w:rPr>
          <w:b/>
        </w:rPr>
        <w:t xml:space="preserve">Abstract (EN): </w:t>
      </w:r>
      <w:r>
        <w:t>Isoreticular chemistry conventionally tunes pore dimensions by varying linker length or manipulating substituents. While widely used, this strategy is constrained by the intrinsic chemistry of molecular building units, rendering certain size regimes and pore geometries inaccessible. Here, we establish coordination symmetry as an independent and powerful design variable for unit-cell compression in pore-partitioned acs (pacs) metal-organic frameworks. Replacement of D3h-symmetric tris(4-pyridyl) ligands with their C3h-symmetric tris(3-pyridyl) positional isomers induces controlled rotation of metal clusters without altering ligand size or framework topology. Curvature-encoded dicarboxylate linkers define a finite metal-cluster rotation window, within which donor-position symmetry selects distinct rotational states, producing systematic contraction along the hexagonal a/b directions and up to ∼15% reduction in unit-cell volume. Across multiple metal trimers and ligand combinations, this symmetry-controlled compression enhances framework stability and dramatically improves gas-separation performance. Importantly, the strategy enables simultaneous increases in C2H2 uptake and C2H2/CO2 or C2H2/C2H4 selectivity, overcoming the commonly observed trade-off between adsorption capacity and selectivity in porous material design. Ni3-24fdc-3tpt achieves record C2H2/CO2 and C2H2/C2H4 selectivities within the pacs family (42.35 and 25.14, respectively), together with high separation potentials and robust breakthrough performance. These results demonstrate that ligand-symmetry-driven metal-cluster rotation provides a general and predictive route to access compressed pore regimes beyond conventional linker-length modulation and expands the conceptual framework of isoreticular chemistry.</w:t>
      </w:r>
    </w:p>
    <w:p>
      <w:pPr>
        <w:spacing w:before="120" w:after="120"/>
      </w:pPr>
      <w:r>
        <w:rPr>
          <w:sz w:val="18"/>
        </w:rPr>
        <w:t>——————————————————————————————————————————————————————————————————————</w:t>
      </w:r>
    </w:p>
    <w:p>
      <w:pPr>
        <w:spacing w:before="160" w:after="40" w:line="240" w:lineRule="auto"/>
      </w:pPr>
      <w:r>
        <w:rPr>
          <w:b/>
        </w:rPr>
        <w:t xml:space="preserve">[12] </w:t>
      </w:r>
      <w:hyperlink r:id="rId278">
        <w:r>
          <w:rPr>
            <w:color w:val="1155CC"/>
            <w:u w:val="single"/>
          </w:rPr>
          <w:t>二氧化碳清除生态系统评论 - 第 2 部分：通过蓝碳生态系统清除二氧化碳</w:t>
        </w:r>
      </w:hyperlink>
    </w:p>
    <w:p>
      <w:pPr>
        <w:spacing w:before="0" w:after="80"/>
      </w:pPr>
      <w:r>
        <w:rPr>
          <w:i/>
          <w:sz w:val="20"/>
        </w:rPr>
        <w:t>EN: An ecosystem of carbon dioxide removal reviews – part 2: CO2 removal via blue carbon ecosystems</w:t>
      </w:r>
    </w:p>
    <w:p>
      <w:pPr>
        <w:spacing w:before="0" w:after="120"/>
      </w:pPr>
      <w:r>
        <w:rPr>
          <w:b/>
        </w:rPr>
        <w:t xml:space="preserve">Source: </w:t>
      </w:r>
      <w:r>
        <w:t>RSC - Energy Environ. Sci. latest articles</w:t>
      </w:r>
      <w:r>
        <w:t xml:space="preserve">    </w:t>
      </w:r>
      <w:r>
        <w:rPr>
          <w:b/>
        </w:rPr>
        <w:t xml:space="preserve">Pub date: </w:t>
      </w:r>
      <w:r>
        <w:t>2026-05-25 23:00:00+00:00</w:t>
      </w:r>
    </w:p>
    <w:p>
      <w:pPr>
        <w:spacing w:before="0" w:after="120"/>
      </w:pPr>
      <w:r>
        <w:rPr>
          <w:b/>
        </w:rPr>
        <w:t xml:space="preserve">Notes: </w:t>
      </w:r>
      <w:r>
        <w:t>abstract_source=rsc_html</w:t>
      </w:r>
    </w:p>
    <w:p>
      <w:pPr>
        <w:spacing w:before="0" w:after="80" w:lineRule="auto" w:line="276"/>
      </w:pPr>
      <w:r>
        <w:rPr>
          <w:b/>
        </w:rPr>
        <w:t xml:space="preserve">摘要（ZH）: </w:t>
      </w:r>
      <w:r>
        <w:t>二氧化碳清除 (CDR) 对于实现全球气候目标至关重要，例如《巴黎协定》中概述的目标。本系统综述通过蓝碳生态系统 (BCE) 的管理途径调查了 CDR 的现状，并评估了它们在全球 CDR 组合中的作用。本文分析了截至 2025 年 11 月发布的 13,859 篇同行评审文章和灰色文献文章，这些文章是使用机器学习辅助评审流程确定的。该评审主要关注红树林、海草草甸、盐沼和大型藻类。这些生态系统总共将大约 270 MtC 1 年 (106-516) 封存到各种长期汇中，其中向深海环境和溶解无机碳 (DIC) 库输出的大型藻类贡献最大。到 2050 年，BCE 保护和恢复可能会减少 60-96 MtCyear-1 的二氧化碳排放量，清除 21-448 MtCyear−1 的二氧化碳，尽管这些估计仍然不确定，并且成本和可行性差异很大。该研究强调了将 BCE 纳入气候政策方面的重大差距，特别是在它们在国家清单、碳核算框架和成本评估中的代表性方面。它强调需要采取多效益战略，平衡碳固存与当地生计和生态系统的共同效益。将这些见解转化为实践需要气候政策框架通过将碳封存与财政奖励制度和额外激励措施相结合来明确纳入蓝碳途径，以实现共同利益</w:t>
      </w:r>
    </w:p>
    <w:p>
      <w:pPr>
        <w:spacing w:before="0" w:after="200" w:lineRule="auto" w:line="276"/>
      </w:pPr>
      <w:r>
        <w:rPr>
          <w:b/>
        </w:rPr>
        <w:t xml:space="preserve">Abstract (EN): </w:t>
      </w:r>
      <w:r>
        <w:t>Carbon dioxide removal (CDR) is essential for achieving global climate goals, such as those outlined in the Paris Agreement. This systematic review investigates the current state of CDR through management pathways for blue carbon ecosystems (BCEs) and assesses their role in the global CDR portfolio. This article analyzed 2622 peer-reviewed and gray literature articles out of 13 859 identified using a machine learning-assisted review process published through November 2025. The review focuses primarily on mangroves, seagrass meadows, salt marshes, and macroalgae. These ecosystems collectively sequester approximately 270 MtC year−1 (106–516) to various long-term sinks, with macroalgal export to deep ocean environments and dissolved inorganic carbon (DIC) pools contributing the most. BCE conservation and restoration offer potential CO2 emission reductions between 60–96 MtC year−1 and removals between 21–448 MtC year−1 by 2050, though these estimates remain uncertain and vary widely in cost and feasibility. The study highlights significant gaps in integrating BCEs into climate policy, particularly regarding their representation in national inventories, carbon accounting frameworks, and cost assessments. It emphasizes the need for multi-benefit strategies that balance carbon sequestration with local livelihoods and ecosystem co-benefits. Translating these insights into practice will require that climate policy frameworks explicitly incorporate blue carbon pathways through combining carbon sequestration with financial reward systems and additional incentives to realize co-benefits and interaction effects that would also increase social acceptance.</w:t>
      </w:r>
    </w:p>
    <w:p>
      <w:pPr>
        <w:spacing w:before="120" w:after="120"/>
      </w:pPr>
      <w:r>
        <w:rPr>
          <w:sz w:val="18"/>
        </w:rPr>
        <w:t>——————————————————————————————————————————————————————————————————————</w:t>
      </w:r>
    </w:p>
    <w:p>
      <w:pPr>
        <w:spacing w:before="160" w:after="40" w:line="240" w:lineRule="auto"/>
      </w:pPr>
      <w:r>
        <w:rPr>
          <w:b/>
        </w:rPr>
        <w:t xml:space="preserve">[13] </w:t>
      </w:r>
      <w:hyperlink r:id="rId206">
        <w:r>
          <w:rPr>
            <w:color w:val="1155CC"/>
            <w:u w:val="single"/>
          </w:rPr>
          <w:t>用于光催化应用的铟基胶体量子点：进展和前景</w:t>
        </w:r>
      </w:hyperlink>
    </w:p>
    <w:p>
      <w:pPr>
        <w:spacing w:before="0" w:after="80"/>
      </w:pPr>
      <w:r>
        <w:rPr>
          <w:i/>
          <w:sz w:val="20"/>
        </w:rPr>
        <w:t>EN: Indium-based colloidal quantum dots for photocatalytic applications: advances and perspectives</w:t>
      </w:r>
    </w:p>
    <w:p>
      <w:pPr>
        <w:spacing w:before="0" w:after="120"/>
      </w:pPr>
      <w:r>
        <w:rPr>
          <w:b/>
        </w:rPr>
        <w:t xml:space="preserve">Source: </w:t>
      </w:r>
      <w:r>
        <w:t>RSC - Chem. Soc. Rev. latest articles</w:t>
      </w:r>
      <w:r>
        <w:t xml:space="preserve">    </w:t>
      </w:r>
      <w:r>
        <w:rPr>
          <w:b/>
        </w:rPr>
        <w:t xml:space="preserve">Pub date: </w:t>
      </w:r>
      <w:r>
        <w:t>2026-05-25 23:00:00+00:00</w:t>
      </w:r>
    </w:p>
    <w:p>
      <w:pPr>
        <w:spacing w:before="0" w:after="120"/>
      </w:pPr>
      <w:r>
        <w:rPr>
          <w:b/>
        </w:rPr>
        <w:t xml:space="preserve">Notes: </w:t>
      </w:r>
      <w:r>
        <w:t>abstract_source=rsc_html</w:t>
      </w:r>
    </w:p>
    <w:p>
      <w:pPr>
        <w:spacing w:before="0" w:after="80" w:lineRule="auto" w:line="276"/>
      </w:pPr>
      <w:r>
        <w:rPr>
          <w:b/>
        </w:rPr>
        <w:t xml:space="preserve">摘要（ZH）: </w:t>
      </w:r>
      <w:r>
        <w:t>包括III-V族（例如InP和InAs）和I-III-VI族（例如CuInS2、CuInSe2和AgInS2）在内的铟基量子点（InQD）作为用于光催化能量转换和环境应用的传统镉基和铅基量子点的环保替代品而受到越来越多的关注。它们的尺寸和成分可调的电子结构、广泛的可见光吸收以及在大多数情况下出色的光化学稳定性使它们成为驱动各种光催化反应（包括析氢、二氧化碳还原和有机转化）的理想平台。本文系统地总结了 InQD 光催化应用的合理设计和性能优化的最新进展，特别关注增强电荷分离和抑制非辐射复合的结构调制、表面钝化和界面工程策略。我们进一步阐明了InQD的组成、壳层构型和缺陷态及其相应的催化活性和稳定性之间的基本关系。此外，还讨论了诸如助催化剂耦合、异质结构构建和混合集成等新兴策略，以增强光捕获和反应动力学。最后，概述了当前的挑战和未来的前景，包括可扩展的绿色合成、精确的界面控制和数据驱动的设计，这为加速开发用于可持续光合作用的高效、无重金属的InQD提供了见解。</w:t>
      </w:r>
    </w:p>
    <w:p>
      <w:pPr>
        <w:spacing w:before="0" w:after="200" w:lineRule="auto" w:line="276"/>
      </w:pPr>
      <w:r>
        <w:rPr>
          <w:b/>
        </w:rPr>
        <w:t xml:space="preserve">Abstract (EN): </w:t>
      </w:r>
      <w:r>
        <w:t>Indium-based quantum dots (InQDs), including both III–V (e.g., InP and InAs) and I–III–VI (e.g., CuInS2, CuInSe2, and AgInS2) families, have attracted growing attention as environmentally friendly alternatives to traditional Cd- and Pb-based QDs for photocatalytic energy conversion and environmental applications. Their size- and composition-tunable electronic structures, broad visible-light absorption, and excellent photochemical stability under most circumstances make them ideal platforms for driving various photocatalytic reactions, including hydrogen evolution, carbon dioxide reduction, and organic transformations. This review systematically summarizes recent advances in the rational design and performance optimization of InQDs for photocatalytic applications, with a particular focus on structural modulation, surface passivation, and interface engineering strategies that enhance charge separation and suppress nonradiative recombination. We further elucidate the fundamental relationships between the composition, shell configuration, and defect states of InQDs and their corresponding catalytic activities and stabilities. In addition, emerging strategies, such as co-catalyst coupling, heterostructure construction, and hybrid integration, are discussed to enhance light harvesting and reaction kinetics. Finally, the current challenges and future perspectives are outlined, including scalable green synthesis, precise interfacial control, and data-driven design, which provide insights to accelerate the development of high-efficiency, heavy-metal-free InQDs for sustainable photocatalytic hydrogen generation, CO2 conversion, and organic transformations.</w:t>
      </w:r>
    </w:p>
    <w:p>
      <w:pPr>
        <w:spacing w:before="120" w:after="120"/>
      </w:pPr>
      <w:r>
        <w:rPr>
          <w:sz w:val="18"/>
        </w:rPr>
        <w:t>——————————————————————————————————————————————————————————————————————</w:t>
      </w:r>
    </w:p>
    <w:p>
      <w:pPr>
        <w:spacing w:before="160" w:after="40" w:line="240" w:lineRule="auto"/>
      </w:pPr>
      <w:r>
        <w:rPr>
          <w:b/>
        </w:rPr>
        <w:t xml:space="preserve">[14] </w:t>
      </w:r>
      <w:hyperlink r:id="rId279">
        <w:r>
          <w:rPr>
            <w:color w:val="1155CC"/>
            <w:u w:val="single"/>
          </w:rPr>
          <w:t>氧化还原解耦可实现高效的电化学直接空气捕获</w:t>
        </w:r>
      </w:hyperlink>
    </w:p>
    <w:p>
      <w:pPr>
        <w:spacing w:before="0" w:after="80"/>
      </w:pPr>
      <w:r>
        <w:rPr>
          <w:i/>
          <w:sz w:val="20"/>
        </w:rPr>
        <w:t>EN: Redox decoupling enables efficient electrochemical direct air capture</w:t>
      </w:r>
    </w:p>
    <w:p>
      <w:pPr>
        <w:spacing w:before="0" w:after="120"/>
      </w:pPr>
      <w:r>
        <w:rPr>
          <w:b/>
        </w:rPr>
        <w:t xml:space="preserve">Source: </w:t>
      </w:r>
      <w:r>
        <w:t>Nature Chemical Engineering</w:t>
      </w:r>
      <w:r>
        <w:t xml:space="preserve">    </w:t>
      </w:r>
      <w:r>
        <w:rPr>
          <w:b/>
        </w:rPr>
        <w:t xml:space="preserve">Pub date: </w:t>
      </w:r>
      <w:r>
        <w:t>2026-05-26 00:00:00+00:00</w:t>
      </w:r>
      <w:r>
        <w:t xml:space="preserve">    </w:t>
      </w:r>
      <w:r>
        <w:rPr>
          <w:b/>
        </w:rPr>
        <w:t xml:space="preserve">DOI: </w:t>
      </w:r>
      <w:hyperlink r:id="rId280">
        <w:r>
          <w:rPr>
            <w:color w:val="1155CC"/>
            <w:u w:val="single"/>
          </w:rPr>
          <w:t>10.1038/s44286-026-00384-1</w:t>
        </w:r>
      </w:hyperlink>
    </w:p>
    <w:p>
      <w:pPr>
        <w:spacing w:before="0" w:after="120"/>
      </w:pPr>
      <w:r>
        <w:rPr>
          <w:b/>
        </w:rPr>
        <w:t xml:space="preserve">Notes: </w:t>
      </w:r>
      <w:r>
        <w:t>abstract_source=nature_html</w:t>
      </w:r>
    </w:p>
    <w:p>
      <w:pPr>
        <w:spacing w:before="0" w:after="80" w:lineRule="auto" w:line="276"/>
      </w:pPr>
      <w:r>
        <w:rPr>
          <w:b/>
        </w:rPr>
        <w:t xml:space="preserve">摘要（ZH）: </w:t>
      </w:r>
      <w:r>
        <w:t>电化学直接空气捕获可以提供现有热化学方法的替代方案，但前提是可以有效生成高碱性吸附剂溶液。现在，氧化还原解耦架构使这成为可能。</w:t>
      </w:r>
    </w:p>
    <w:p>
      <w:pPr>
        <w:spacing w:before="0" w:after="200" w:lineRule="auto" w:line="276"/>
      </w:pPr>
      <w:r>
        <w:rPr>
          <w:b/>
        </w:rPr>
        <w:t xml:space="preserve">Abstract (EN): </w:t>
      </w:r>
      <w:r>
        <w:t>Electrochemical direct air capture could offer an alternative to incumbent thermochemical approaches, but only if highly alkaline sorbent solutions can be generated efficiently. Now, a redox-decoupled architecture makes this possible.</w:t>
      </w:r>
    </w:p>
    <w:p>
      <w:pPr>
        <w:spacing w:before="120" w:after="120"/>
      </w:pPr>
      <w:r>
        <w:rPr>
          <w:sz w:val="18"/>
        </w:rPr>
        <w:t>——————————————————————————————————————————————————————————————————————</w:t>
      </w:r>
    </w:p>
    <w:p>
      <w:pPr>
        <w:spacing w:before="160" w:after="40" w:line="240" w:lineRule="auto"/>
      </w:pPr>
      <w:r>
        <w:rPr>
          <w:b/>
        </w:rPr>
        <w:t xml:space="preserve">[15] </w:t>
      </w:r>
      <w:hyperlink r:id="rId281">
        <w:r>
          <w:rPr>
            <w:color w:val="1155CC"/>
            <w:u w:val="single"/>
          </w:rPr>
          <w:t>用于直接空气捕获二氧化碳的氧化还原解耦电解</w:t>
        </w:r>
      </w:hyperlink>
    </w:p>
    <w:p>
      <w:pPr>
        <w:spacing w:before="0" w:after="80"/>
      </w:pPr>
      <w:r>
        <w:rPr>
          <w:i/>
          <w:sz w:val="20"/>
        </w:rPr>
        <w:t>EN: Redox-decoupled electrolysis for direct air capture of CO2</w:t>
      </w:r>
    </w:p>
    <w:p>
      <w:pPr>
        <w:spacing w:before="0" w:after="120"/>
      </w:pPr>
      <w:r>
        <w:rPr>
          <w:b/>
        </w:rPr>
        <w:t xml:space="preserve">Source: </w:t>
      </w:r>
      <w:r>
        <w:t>Nature Chemical Engineering</w:t>
      </w:r>
      <w:r>
        <w:t xml:space="preserve">    </w:t>
      </w:r>
      <w:r>
        <w:rPr>
          <w:b/>
        </w:rPr>
        <w:t xml:space="preserve">Pub date: </w:t>
      </w:r>
      <w:r>
        <w:t>2026-05-26 00:00:00+00:00</w:t>
      </w:r>
      <w:r>
        <w:t xml:space="preserve">    </w:t>
      </w:r>
      <w:r>
        <w:rPr>
          <w:b/>
        </w:rPr>
        <w:t xml:space="preserve">DOI: </w:t>
      </w:r>
      <w:hyperlink r:id="rId282">
        <w:r>
          <w:rPr>
            <w:color w:val="1155CC"/>
            <w:u w:val="single"/>
          </w:rPr>
          <w:t>10.1038/s44286-026-00391-2</w:t>
        </w:r>
      </w:hyperlink>
    </w:p>
    <w:p>
      <w:pPr>
        <w:spacing w:before="0" w:after="120"/>
      </w:pPr>
      <w:r>
        <w:rPr>
          <w:b/>
        </w:rPr>
        <w:t xml:space="preserve">Notes: </w:t>
      </w:r>
      <w:r>
        <w:t>abstract_source=nature_html</w:t>
      </w:r>
    </w:p>
    <w:p>
      <w:pPr>
        <w:spacing w:before="0" w:after="80" w:lineRule="auto" w:line="276"/>
      </w:pPr>
      <w:r>
        <w:rPr>
          <w:b/>
        </w:rPr>
        <w:t xml:space="preserve">摘要（ZH）: </w:t>
      </w:r>
      <w:r>
        <w:t>电化学直接空气捕获 (eDAC) 利用可再生电力去除大气中的二氧化碳 (CO2)，为碳密集型热法提供了替代方案。然而，现有的 eDAC 系统只有在产生与当前空气接触器不兼容的稀氢氧化物流（pH ≈ 13）时才能实现高能效。尝试产生更浓缩的捕获溶液遇到了质子和氢氧根复合的根本限制，降低了电流效率并增加了能量需求。在这里，我们提出了一种解耦策略，其中二氧化碳释放和吸附剂再生在空间上分离，通过氧化还原解耦电解实现高电流和能量效率。我们调整了氧化还原介体并合成了阳离子交换膜，以确保快速反应动力学、低工作电压和稳定性。组合的氧化还原解耦方法实现了 0.22 GJ m2 yr t−2 （在 50 mA cm−2 下）的捕获率归一化能量强度，比之前的工作提高了三倍。氧化还原解耦 eDAC 提供了一种高效节能的方法来生成大规模直接空气捕获所需的浓缩碱性捕获溶液。该图像的替代文本可能是使用 AI 生成的。</w:t>
      </w:r>
    </w:p>
    <w:p>
      <w:pPr>
        <w:spacing w:before="0" w:after="200" w:lineRule="auto" w:line="276"/>
      </w:pPr>
      <w:r>
        <w:rPr>
          <w:b/>
        </w:rPr>
        <w:t xml:space="preserve">Abstract (EN): </w:t>
      </w:r>
      <w:r>
        <w:t>Electrochemical direct air capture (eDAC) leverages renewable electricity to remove atmospheric carbon dioxide (CO2), offering an alternative to carbon-intensive thermal methods. However, existing eDAC systems achieve high energy efficiency only when producing a dilute hydroxide stream (pH ≈ 13) that is incompatible with current air contactors. Attempts to generate more concentrated capture solutions encounter the fundamental limitation of proton and hydroxide recombination, lowering the current efficiency and increasing energy requirements. Here we present a decoupled strategy whereby CO2 liberation and sorbent regeneration are spatially separated, achieving high current and energy efficiency via redox-decoupled electrolysis. We tuned the redox mediator and synthesized a cation exchange membrane to ensure fast reaction kinetics, a low operating voltage and stability. The combined redox-decoupled approach achieved a capture-rate-normalized energy intensity of 0.22 GJ m2 yr t−2 (at 50 mA cm−2), a threefold improvement over previous work. Redox-decoupled eDAC provides an energy-efficient means of generating the concentrated alkaline capture solutions needed for large-scale direct air capture.The alternative text for this image may have been generated using AI.</w:t>
      </w:r>
    </w:p>
    <w:p>
      <w:pPr>
        <w:spacing w:before="120" w:after="120"/>
      </w:pPr>
      <w:r>
        <w:rPr>
          <w:sz w:val="18"/>
        </w:rPr>
        <w:t>——————————————————————————————————————————————————————————————————————</w:t>
      </w:r>
    </w:p>
    <w:p>
      <w:pPr>
        <w:spacing w:before="160" w:after="40" w:line="240" w:lineRule="auto"/>
      </w:pPr>
      <w:r>
        <w:rPr>
          <w:b/>
        </w:rPr>
        <w:t xml:space="preserve">[16] </w:t>
      </w:r>
      <w:hyperlink r:id="rId283">
        <w:r>
          <w:rPr>
            <w:color w:val="1155CC"/>
            <w:u w:val="single"/>
          </w:rPr>
          <w:t>蛋白质促进可持续的未来</w:t>
        </w:r>
      </w:hyperlink>
    </w:p>
    <w:p>
      <w:pPr>
        <w:spacing w:before="0" w:after="80"/>
      </w:pPr>
      <w:r>
        <w:rPr>
          <w:i/>
          <w:sz w:val="20"/>
        </w:rPr>
        <w:t>EN: Proteins for a sustainable future</w:t>
      </w:r>
    </w:p>
    <w:p>
      <w:pPr>
        <w:spacing w:before="0" w:after="120"/>
      </w:pPr>
      <w:r>
        <w:rPr>
          <w:b/>
        </w:rPr>
        <w:t xml:space="preserve">Source: </w:t>
      </w:r>
      <w:r>
        <w:t>Nature Reviews Materials</w:t>
      </w:r>
      <w:r>
        <w:t xml:space="preserve">    </w:t>
      </w:r>
      <w:r>
        <w:rPr>
          <w:b/>
        </w:rPr>
        <w:t xml:space="preserve">Pub date: </w:t>
      </w:r>
      <w:r>
        <w:t>2026-05-26 00:00:00+00:00</w:t>
      </w:r>
      <w:r>
        <w:t xml:space="preserve">    </w:t>
      </w:r>
      <w:r>
        <w:rPr>
          <w:b/>
        </w:rPr>
        <w:t xml:space="preserve">DOI: </w:t>
      </w:r>
      <w:hyperlink r:id="rId284">
        <w:r>
          <w:rPr>
            <w:color w:val="1155CC"/>
            <w:u w:val="single"/>
          </w:rPr>
          <w:t>10.1038/s41578-026-00925-3</w:t>
        </w:r>
      </w:hyperlink>
    </w:p>
    <w:p>
      <w:pPr>
        <w:spacing w:before="0" w:after="120"/>
      </w:pPr>
      <w:r>
        <w:rPr>
          <w:b/>
        </w:rPr>
        <w:t xml:space="preserve">Notes: </w:t>
      </w:r>
      <w:r>
        <w:t>abstract_source=nature_html</w:t>
      </w:r>
    </w:p>
    <w:p>
      <w:pPr>
        <w:spacing w:before="0" w:after="80" w:lineRule="auto" w:line="276"/>
      </w:pPr>
      <w:r>
        <w:rPr>
          <w:b/>
        </w:rPr>
        <w:t xml:space="preserve">摘要（ZH）: </w:t>
      </w:r>
      <w:r>
        <w:t>现代工业在跨部门碳资源管理方面表现出系统性脱节，导致温室气体排放量过高。例如，食品部门丢弃了富含蛋白质的侧流和富含碳水化合物的废物，这些废物可以转化为可再生碳原料，而制造业则消耗不可再生的石油基碳原料来进行材料合成。本综述探讨了可以解决这种不平衡问题的增值途径，即将从食物侧流中提取的蛋白质或通过富含碳水化合物的食物垃圾的真菌生物转化产生的蛋白质转化为原料，从而能够生产用于包装、水净化、二氧化碳捕获和能源转换的可持续材料，以及涂料、生物传感器和乳化剂等表面工程应用。在其使用寿命结束时，这些材料（与使用传统线性方法回收的材料不同）可以通过解聚成氨基酸并重新组装成新的蛋白质来重复回收，以产生新的材料原料。将“安全和可持续设计”原则融入材料开发的早期阶段，进一步确保在材料的整个生命周期中融入环境和社会考虑因素。这些进步共同定义了一个受自然启发的循环经济材料回收框架，该框架以可扩展的创新、分子更新和升级回收为基础，将蛋白质定位为闭合碳循环的关键。</w:t>
      </w:r>
    </w:p>
    <w:p>
      <w:pPr>
        <w:spacing w:before="0" w:after="200" w:lineRule="auto" w:line="276"/>
      </w:pPr>
      <w:r>
        <w:rPr>
          <w:b/>
        </w:rPr>
        <w:t xml:space="preserve">Abstract (EN): </w:t>
      </w:r>
      <w:r>
        <w:t>Modern industries exhibit a systemic disconnect in the management of carbon resources across sectors that contributes to disproportionately high greenhouse gas emissions. The food sector, for example, discards protein-rich side streams and carbohydrate-rich waste that could be converted into renewable carbon feedstocks, whereas the manufacturing sector consumes non-renewable, petroleum-based carbon feedstocks for material synthesis. This Review examines valorization routes that could address this imbalance by transforming proteins extracted from food side streams or created by fungal bioconversion of carbohydrate-rich food waste into feedstocks that enable the production of sustainable materials for packaging, water purification, CO2 capture and energy conversion, as well as surface-engineered applications such as coatings, biosensors and emulsifiers. At the end of their useful or service life, these materials (unlike those recycled using conventional linear approaches) can be repeatedly recycled via depolymerization into amino acids and reassembly into new proteins to yield new material feedstocks. Embedding ‘safe and sustainable by design’ principles into the early stages of material development further ensures that environmental and societal considerations are integrated throughout the material’s life cycle. Together, these advances define a nature-inspired circular-economy material recycling framework grounded in scalable innovation, molecular renewal and upcycling that positions proteins as key to closing the carbon loop.</w:t>
      </w:r>
    </w:p>
    <w:p>
      <w:pPr>
        <w:spacing w:before="120" w:after="120"/>
      </w:pPr>
      <w:r>
        <w:rPr>
          <w:sz w:val="18"/>
        </w:rPr>
        <w:t>——————————————————————————————————————————————————————————————————————</w:t>
      </w:r>
    </w:p>
    <w:p>
      <w:pPr>
        <w:spacing w:before="160" w:after="40" w:line="240" w:lineRule="auto"/>
      </w:pPr>
      <w:r>
        <w:rPr>
          <w:b/>
        </w:rPr>
        <w:t xml:space="preserve">[17] </w:t>
      </w:r>
      <w:hyperlink r:id="rId285">
        <w:r>
          <w:rPr>
            <w:color w:val="1155CC"/>
            <w:u w:val="single"/>
          </w:rPr>
          <w:t>用于高选择性 CO2 电还原的共价疏水纳米碳负载 Ni 单原子催化剂</w:t>
        </w:r>
      </w:hyperlink>
    </w:p>
    <w:p>
      <w:pPr>
        <w:spacing w:before="0" w:after="80"/>
      </w:pPr>
      <w:r>
        <w:rPr>
          <w:i/>
          <w:sz w:val="20"/>
        </w:rPr>
        <w:t>EN: Covalently Hydrophobic Nanocarbon Supported Ni Single‐Atom Catalysts for Highly Selective CO2 Electroreduction</w:t>
      </w:r>
    </w:p>
    <w:p>
      <w:pPr>
        <w:spacing w:before="0" w:after="120"/>
      </w:pPr>
      <w:r>
        <w:rPr>
          <w:b/>
        </w:rPr>
        <w:t xml:space="preserve">Source: </w:t>
      </w:r>
      <w:r>
        <w:t>Wiley: Angewandte Chemie International Edition: Table of Contents</w:t>
      </w:r>
      <w:r>
        <w:t xml:space="preserve">    </w:t>
      </w:r>
      <w:r>
        <w:rPr>
          <w:b/>
        </w:rPr>
        <w:t xml:space="preserve">Pub date: </w:t>
      </w:r>
      <w:r>
        <w:t>2026-05-26 16:17:34+00:00</w:t>
      </w:r>
      <w:r>
        <w:t xml:space="preserve">    </w:t>
      </w:r>
      <w:r>
        <w:rPr>
          <w:b/>
        </w:rPr>
        <w:t xml:space="preserve">DOI: </w:t>
      </w:r>
      <w:hyperlink r:id="rId286">
        <w:r>
          <w:rPr>
            <w:color w:val="1155CC"/>
            <w:u w:val="single"/>
          </w:rPr>
          <w:t>10.1002/anie.6865093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精确定制催化活性位点周围的疏水微环境已成为提高电化学CO效率的关键策略</w:t>
      </w:r>
      <w:r>
        <w:rPr>
          <w:vertAlign w:val="subscript"/>
        </w:rPr>
        <w:t>2</w:t>
      </w:r>
      <w:r>
        <w:t>还原反应。然而，催化剂疏水性的共价调节很少有报道，并且疏水性驱动的界面催化的机械影响仍不清楚。在此，我们报告了一种将结构可调的疏水烷基链共价固定到纳米碳负载的单原子催化剂上的通用合成方法。共价疏水纳米碳负载的 Ni 单原子催化剂在流通池中在 -0.5 至 -1.2 V（相对于可逆氢电极）的宽电位范围内提供近乎一致的 CO 选择性。综合光谱、计算动力学和热力学分析表明，烷基链通过破坏界面水网络形成疏水屏障，导致析氢反应的能量势垒增加 0.37 eV。疏水性微环境进一步稳定了*COOH中间体在水性条件下的稳定性，降低了其形成吉布斯能（Δ</w:t>
      </w:r>
      <w:r>
        <w:t xml:space="preserve"> </w:t>
      </w:r>
      <w:r>
        <w:t>G</w:t>
      </w:r>
      <w:r>
        <w:t xml:space="preserve"> </w:t>
      </w:r>
      <w:r>
        <w:t>) 相对于未改性的催化剂增加了 0.17 eV。这项工作为碳基催化剂建立了一种通用的疏水改性策略，打破了水基电催化中传统的活性-选择性权衡，为优化气体消耗电化学反应开辟了新的机会。</w:t>
      </w:r>
    </w:p>
    <w:p>
      <w:pPr>
        <w:spacing w:before="0" w:after="200" w:lineRule="auto" w:line="276"/>
      </w:pPr>
      <w:r>
        <w:rPr>
          <w:b/>
        </w:rPr>
        <w:t xml:space="preserve">Abstract (EN): </w:t>
      </w:r>
      <w:r>
        <w:t>Precise tailoring of hydrophobic microenvironments surrounding catalytic active sites has emerged as a critical strategy for enhancing the efficiency of electrochemical CO</w:t>
      </w:r>
      <w:r>
        <w:rPr>
          <w:vertAlign w:val="subscript"/>
        </w:rPr>
        <w:t>2</w:t>
      </w:r>
      <w:r>
        <w:t>reduction reaction. However, covalent modulation of catalyst hydrophobicity is rarely reported, and the mechanistic influence of hydrophobicity‐driven interfacial catalysis remains unclear. Herein, we report a general synthetic methodology for the covalent immobilization of structurally tunable hydrophobic alkyl chains onto nanocarbon‐loaded single‐atom catalysts. The covalently hydrophobic nanocarbon supported Ni single‐atom catalysts deliver near‐unity CO selectivity over a broad potential range from −0.5 to −1.2 V (versus the reversible hydrogen electrode) in flow cells. Integrated spectroscopic, computational kinetic, and thermodynamic analyses reveal that the alkyl chains form hydrophobic barriers by disrupting interfacial water networks, resulting in a 0.37 eV increase in energy barrier of the hydrogen evolution reaction. The hydrophobic micro‐environment further stabilizes the *COOH intermediate under aqueous conditions, lowering its formation Gibbs energy (Δ</w:t>
      </w:r>
      <w:r>
        <w:t xml:space="preserve"> </w:t>
      </w:r>
      <w:r>
        <w:t>G</w:t>
      </w:r>
      <w:r>
        <w:t xml:space="preserve"> </w:t>
      </w:r>
      <w:r>
        <w:t>) by 0.17 eV relative to unmodified catalysts. This work establishes a universal hydrophobic modification strategy for carbon‐based catalysts that breaks the conventional activity‐selectivity trade‐off in aqueous electrocatalysis, opening new opportunities for optimizing gas‐consumption electrochemical reactions.</w:t>
      </w:r>
    </w:p>
    <w:p>
      <w:pPr>
        <w:spacing w:before="120" w:after="120"/>
      </w:pPr>
      <w:r>
        <w:rPr>
          <w:sz w:val="18"/>
        </w:rPr>
        <w:t>——————————————————————————————————————————————————————————————————————</w:t>
      </w:r>
    </w:p>
    <w:p>
      <w:pPr>
        <w:spacing w:before="160" w:after="40" w:line="240" w:lineRule="auto"/>
      </w:pPr>
      <w:r>
        <w:rPr>
          <w:b/>
        </w:rPr>
        <w:t xml:space="preserve">[18] </w:t>
      </w:r>
      <w:hyperlink r:id="rId287">
        <w:r>
          <w:rPr>
            <w:color w:val="1155CC"/>
            <w:u w:val="single"/>
          </w:rPr>
          <w:t>电子结构描述符引导的高熵钙钛矿设计用于高效二氧化碳电解</w:t>
        </w:r>
      </w:hyperlink>
    </w:p>
    <w:p>
      <w:pPr>
        <w:spacing w:before="0" w:after="80"/>
      </w:pPr>
      <w:r>
        <w:rPr>
          <w:i/>
          <w:sz w:val="20"/>
        </w:rPr>
        <w:t>EN: Electronic-structure descriptor-guided design of high-entropy perovskites for efficient CO2 electrolysis</w:t>
      </w:r>
    </w:p>
    <w:p>
      <w:pPr>
        <w:spacing w:before="0" w:after="120"/>
      </w:pPr>
      <w:r>
        <w:rPr>
          <w:b/>
        </w:rPr>
        <w:t xml:space="preserve">Source: </w:t>
      </w:r>
      <w:r>
        <w:t>RSC - Energy Environ. Sci. latest articles</w:t>
      </w:r>
      <w:r>
        <w:t xml:space="preserve">    </w:t>
      </w:r>
      <w:r>
        <w:rPr>
          <w:b/>
        </w:rPr>
        <w:t xml:space="preserve">Pub date: </w:t>
      </w:r>
      <w:r>
        <w:t>2026-05-26 23:00:00+00:00</w:t>
      </w:r>
    </w:p>
    <w:p>
      <w:pPr>
        <w:spacing w:before="0" w:after="120"/>
      </w:pPr>
      <w:r>
        <w:rPr>
          <w:b/>
        </w:rPr>
        <w:t xml:space="preserve">Notes: </w:t>
      </w:r>
      <w:r>
        <w:t>abstract_source=rsc_html</w:t>
      </w:r>
    </w:p>
    <w:p>
      <w:pPr>
        <w:spacing w:before="0" w:after="80" w:lineRule="auto" w:line="276"/>
      </w:pPr>
      <w:r>
        <w:rPr>
          <w:b/>
        </w:rPr>
        <w:t xml:space="preserve">摘要（ZH）: </w:t>
      </w:r>
      <w:r>
        <w:t>通过固体氧化物电解池（SOEC）将二氧化碳电化学转化为增值化学品，为可再生能源存储和碳中性燃料生产提供了一条有前途的途径，但由于缺乏高性能阴极的预测设计原理，其进展受到限制。传统的试错法材料发现既耗时又低效。在这里，我们结合密度泛函理论计算和实验观察，建议将氧 2p 能带中心 (εₚ) 作为钙钛矿阴极的活性相关描述符，并将这一见解与可解释的机器学习相结合，以建立成分-电子结构-性能关系。在 230 种钙钛矿上训练的回归模型揭示了电负性失配和构型熵是调节 εₚ 的主要因素。在这些物理可解释描述符的指导下，可解释的机器学习被用来探索 9703 A 位高熵钙钛矿的大化学空间，并识别具有优化 εₚ 位置的候选物。代表性成分 La1/6Sr1/6Li1/6Ba1/6Ca1/6Sm1/6FeO3-δ 阴极在 800 °C 和 1.5 V 下可提供 2.55 A cm-2 的电流密度，并且稳定运行超过 1000 小时。这些发现为在可持续能源系统中推进可扩展的二氧化碳电解技术提供了一种基于描述符的策略。</w:t>
      </w:r>
    </w:p>
    <w:p>
      <w:pPr>
        <w:spacing w:before="0" w:after="200" w:lineRule="auto" w:line="276"/>
      </w:pPr>
      <w:r>
        <w:rPr>
          <w:b/>
        </w:rPr>
        <w:t xml:space="preserve">Abstract (EN): </w:t>
      </w:r>
      <w:r>
        <w:t>The electrochemical conversion of CO2 into value-added chemicals via solid oxide electrolysis cells (SOECs) offers a promising pathway for renewable energy storage and carbon-neutral fuel production, yet its advancement is limited by the lack of predictive design principles for high-performance cathodes. Conventional trial-and-error materials discovery is time-consuming and inefficient. Here we combine density functional theory calculation and experimental observations to suggest the oxygen 2p-band center (εₚ) as an activity-relevant descriptor for perovskite cathodes, and integrate this insight with interpretable machine learning to establish composition-electronic structure-performance relationships. Regression models trained on 230 perovskites reveal electronegativity mismatch and configurational entropy as primary factors modulating εₚ. Guided by these physically interpretable descriptors, interpretable machine learning is employed to explore a large chemical space of 9703 A-site high-entropy perovskites and identify candidates with optimized εₚ positions. A representative composition, La1/6Sr1/6Li1/6Ba1/6Ca1/6Sm1/6FeO3-δ cathode delivers a current density of 2.55 A cm-2 at 800 °C and 1.5 V together with stable operation exceeding 1000 h. These findings provide a descriptor-informed strategy for advancing scalable CO2 electrolysis technologies in sustainable energy systems.</w:t>
      </w:r>
    </w:p>
    <w:p>
      <w:pPr>
        <w:spacing w:before="120" w:after="120"/>
      </w:pPr>
      <w:r>
        <w:rPr>
          <w:sz w:val="18"/>
        </w:rPr>
        <w:t>——————————————————————————————————————————————————————————————————————</w:t>
      </w:r>
    </w:p>
    <w:p>
      <w:pPr>
        <w:spacing w:before="160" w:after="40" w:line="240" w:lineRule="auto"/>
      </w:pPr>
      <w:r>
        <w:rPr>
          <w:b/>
        </w:rPr>
        <w:t xml:space="preserve">[19] </w:t>
      </w:r>
      <w:hyperlink r:id="rId288">
        <w:r>
          <w:rPr>
            <w:color w:val="1155CC"/>
            <w:u w:val="single"/>
          </w:rPr>
          <w:t>临时清除二氧化碳以抵消短暂的气候影响因素</w:t>
        </w:r>
      </w:hyperlink>
    </w:p>
    <w:p>
      <w:pPr>
        <w:spacing w:before="0" w:after="80"/>
      </w:pPr>
      <w:r>
        <w:rPr>
          <w:i/>
          <w:sz w:val="20"/>
        </w:rPr>
        <w:t>EN: Temporary carbon dioxide removal to offset short-lived climate forcers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289">
        <w:r>
          <w:rPr>
            <w:color w:val="1155CC"/>
            <w:u w:val="single"/>
          </w:rPr>
          <w:t>10.1038/s41586-026-10607-3</w:t>
        </w:r>
      </w:hyperlink>
    </w:p>
    <w:p>
      <w:pPr>
        <w:spacing w:before="0" w:after="120"/>
      </w:pPr>
      <w:r>
        <w:rPr>
          <w:b/>
        </w:rPr>
        <w:t xml:space="preserve">Notes: </w:t>
      </w:r>
      <w:r>
        <w:t>abstract_source=nature_html</w:t>
      </w:r>
    </w:p>
    <w:p>
      <w:pPr>
        <w:spacing w:before="0" w:after="80" w:lineRule="auto" w:line="276"/>
      </w:pPr>
      <w:r>
        <w:rPr>
          <w:b/>
        </w:rPr>
        <w:t xml:space="preserve">摘要（ZH）: </w:t>
      </w:r>
      <w:r>
        <w:t>二氧化碳去除（CDR）被认为是为了实现《巴黎协定》的长期温度目标和国家净零排放目标1、2、3、4、5。这些 CDR 方法的持久性差异很大，从几十年到理论上永久不等6。临时 CDR 在当前部署中占主导地位，而永久解决方案则面临进一步的可行性和成本挑战1。然而，将临时 CDR 纳入气候政策的努力依赖于临时和永久 CDR 之间的等效假设，这与物理气候科学相矛盾：临时 CDR 无法像永久 CDR 那样完全抵消二氧化碳排放6,7。在这里，我们表明，临时 CDR 可以作为非二氧化碳气候驱动因素的补偿，特别是对于短命物种，其补偿率对时间范围的选择相当不敏感。例如，抵消 1 千克甲烷需要 498 千克二氧化碳，临时储存 20 年（例如生物塑料），或 101 千克二氧化碳，储存 100 年（例如耐用木制品）。我们建议为临时 CDR 应用设置一个关键的生命周期阈值，将短命和长命物种分开，实施时需要对这些类别进行差异化报告。该框架可以为农业等部门的临时 CDR 活动提供物理基础，在这些部门中，非二氧化碳排放占主导地位，直接减排仍然具有挑战性。</w:t>
      </w:r>
    </w:p>
    <w:p>
      <w:pPr>
        <w:spacing w:before="0" w:after="200" w:lineRule="auto" w:line="276"/>
      </w:pPr>
      <w:r>
        <w:rPr>
          <w:b/>
        </w:rPr>
        <w:t xml:space="preserve">Abstract (EN): </w:t>
      </w:r>
      <w:r>
        <w:t>Carbon dioxide removal (CDR) is considered for achieving the long-term temperature objectives of the Paris Agreement and national net-zero emission targets1,2,3,4,5. The durability of these CDR methods varies widely, ranging from decades to theoretically permanent6. Temporary CDR dominates present deployment, whereas permanent solutions face further feasibility and cost challenges at scale1. However, efforts to integrate temporary CDR into climate policies have relied on equivalency assumptions between temporary and permanent CDR that contradict physical climate science: temporary CDR cannot fully offset CO2 emissions as permanent CDR can6,7. Here we show that temporary CDR can serve as compensation for non-CO2 climate forcers, particularly for short-lived species whose compensation ratios are fairly insensitive to the choice of time horizon. For instance, offsetting 1 kg CH4 requires 498 kg CO2 with 20-year temporary storage (such as bioplastics) or 101 kg CO2 with 100-year storage (such as durable wood products). We suggest a critical lifetime threshold separating short-lived and long-lived species for temporary CDR applications, with implementation requiring differentiated reporting of these categories. This framework can provide a physical basis for crediting temporary CDR activities in sectors such as agriculture, in which non-CO2 emissions dominate and direct emission reductions remain challenging.</w:t>
      </w:r>
    </w:p>
    <w:p>
      <w:pPr>
        <w:spacing w:before="120" w:after="120"/>
      </w:pPr>
      <w:r>
        <w:rPr>
          <w:sz w:val="18"/>
        </w:rPr>
        <w:t>——————————————————————————————————————————————————————————————————————</w:t>
      </w:r>
    </w:p>
    <w:p>
      <w:pPr>
        <w:spacing w:before="160" w:after="40" w:line="240" w:lineRule="auto"/>
      </w:pPr>
      <w:r>
        <w:rPr>
          <w:b/>
        </w:rPr>
        <w:t xml:space="preserve">[20] </w:t>
      </w:r>
      <w:hyperlink r:id="rId290">
        <w:r>
          <w:rPr>
            <w:color w:val="1155CC"/>
            <w:u w:val="single"/>
          </w:rPr>
          <w:t>膜分离电极可实现高速低能量电化学碳捕获</w:t>
        </w:r>
      </w:hyperlink>
    </w:p>
    <w:p>
      <w:pPr>
        <w:spacing w:before="0" w:after="80"/>
      </w:pPr>
      <w:r>
        <w:rPr>
          <w:i/>
          <w:sz w:val="20"/>
        </w:rPr>
        <w:t>EN: Membrane-separated electrodes enable high-rate low-energy electrochemical carbon capture</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291">
        <w:r>
          <w:rPr>
            <w:color w:val="1155CC"/>
            <w:u w:val="single"/>
          </w:rPr>
          <w:t>10.1126/sciadv.aec3918</w:t>
        </w:r>
      </w:hyperlink>
    </w:p>
    <w:p>
      <w:pPr>
        <w:spacing w:before="0" w:after="120"/>
      </w:pPr>
      <w:r>
        <w:rPr>
          <w:b/>
        </w:rPr>
        <w:t xml:space="preserve">Notes: </w:t>
      </w:r>
      <w:r>
        <w:t>abstract_source=crossref</w:t>
      </w:r>
    </w:p>
    <w:p>
      <w:pPr>
        <w:spacing w:before="0" w:after="80" w:lineRule="auto" w:line="276"/>
      </w:pPr>
      <w:r>
        <w:rPr>
          <w:b/>
        </w:rPr>
        <w:t xml:space="preserve">摘要（ZH）: </w:t>
      </w:r>
      <w:r>
        <w:t>电化学二氧化碳（CO</w:t>
      </w:r>
      <w:r>
        <w:rPr>
          <w:vertAlign w:val="subscript"/>
        </w:rPr>
        <w:t>2</w:t>
      </w:r>
      <w:r>
        <w:t>）使用超级电容系统捕获是一种有前途的绿色技术，但仍然受到低吸收率和高能量需求的限制。在这里，我们提出了一种膜集成超级电容器系统，该系统通过用阳离子交换膜解耦电极环境来解决这些挑战。这种配置在面向气体的负电极处维持高浓度的氢氧化物，这是通过双电层内的动态水离解产生的。由此产生的局部碱性界面增强了 CO</w:t>
      </w:r>
      <w:r>
        <w:rPr>
          <w:vertAlign w:val="subscript"/>
        </w:rPr>
        <w:t>2</w:t>
      </w:r>
      <w:r>
        <w:t>通过 pH 波动机制驱动其转化为碳酸氢盐物种来捕获。该系统实现了CO</w:t>
      </w:r>
      <w:r>
        <w:rPr>
          <w:vertAlign w:val="subscript"/>
        </w:rPr>
        <w:t>2</w:t>
      </w:r>
      <w:r>
        <w:t>在-1.4 V、20% CO 下，吸收量高达 893 mmol/kg，快速速率为 1281 mmol/kg/小时</w:t>
      </w:r>
      <w:r>
        <w:rPr>
          <w:vertAlign w:val="subscript"/>
        </w:rPr>
        <w:t>2</w:t>
      </w:r>
      <w:r>
        <w:t>。在 20% CO 条件下 -0.8 V 时能耗低至 32 kJ/mol</w:t>
      </w:r>
      <w:r>
        <w:rPr>
          <w:vertAlign w:val="subscript"/>
        </w:rPr>
        <w:t>2</w:t>
      </w:r>
      <w:r>
        <w:t>在−1.0 V、10% CO 条件下使用寿命长达 200 小时以上</w:t>
      </w:r>
      <w:r>
        <w:rPr>
          <w:vertAlign w:val="subscript"/>
        </w:rPr>
        <w:t>2</w:t>
      </w:r>
      <w:r>
        <w:t>。这些发现为电化学 CO 建立了一个强大的平台</w:t>
      </w:r>
      <w:r>
        <w:rPr>
          <w:vertAlign w:val="subscript"/>
        </w:rPr>
        <w:t>2</w:t>
      </w:r>
      <w:r>
        <w:t>捕捉并强调局部化学环境在超电容变压吸附中的重要性。</w:t>
      </w:r>
    </w:p>
    <w:p>
      <w:pPr>
        <w:spacing w:before="0" w:after="200" w:lineRule="auto" w:line="276"/>
      </w:pPr>
      <w:r>
        <w:rPr>
          <w:b/>
        </w:rPr>
        <w:t xml:space="preserve">Abstract (EN): </w:t>
      </w:r>
      <w:r>
        <w:t>Electrochemical carbon dioxide (CO</w:t>
      </w:r>
      <w:r>
        <w:rPr>
          <w:vertAlign w:val="subscript"/>
        </w:rPr>
        <w:t>2</w:t>
      </w:r>
      <w:r>
        <w:t>) capture using supercapacitive systems is a promising green technology but remains limited by low uptake rates and high energy requirement. Here, we present a membrane-integrated supercapacitor system that addresses these challenges by decoupling electrode environments with a cation exchange membrane. This configuration sustains high hydroxide concentration at the gas-facing negative electrode, generated through dynamic water dissociation within the electric double layer. The resulting localized alkaline interface enhances CO</w:t>
      </w:r>
      <w:r>
        <w:rPr>
          <w:vertAlign w:val="subscript"/>
        </w:rPr>
        <w:t>2</w:t>
      </w:r>
      <w:r>
        <w:t>capture by driving its conversion into (bi)carbonate species via a pH-swing mechanism. The system achieves a CO</w:t>
      </w:r>
      <w:r>
        <w:rPr>
          <w:vertAlign w:val="subscript"/>
        </w:rPr>
        <w:t>2</w:t>
      </w:r>
      <w:r>
        <w:t>uptake of up to 893 mmol/kg with a fast rate of 1281 mmol/kg/hour at −1.4 V under 20% CO</w:t>
      </w:r>
      <w:r>
        <w:rPr>
          <w:vertAlign w:val="subscript"/>
        </w:rPr>
        <w:t>2</w:t>
      </w:r>
      <w:r>
        <w:t>. Energy consumption as low as 32 kJ/mol is obtained at −0.8 V under 20% CO</w:t>
      </w:r>
      <w:r>
        <w:rPr>
          <w:vertAlign w:val="subscript"/>
        </w:rPr>
        <w:t>2</w:t>
      </w:r>
      <w:r>
        <w:t>together with a long lifetime over 200 hours at −1.0 V, 10% CO</w:t>
      </w:r>
      <w:r>
        <w:rPr>
          <w:vertAlign w:val="subscript"/>
        </w:rPr>
        <w:t>2</w:t>
      </w:r>
      <w:r>
        <w:t>. These findings establish a robust platform for electrochemical CO</w:t>
      </w:r>
      <w:r>
        <w:rPr>
          <w:vertAlign w:val="subscript"/>
        </w:rPr>
        <w:t>2</w:t>
      </w:r>
      <w:r>
        <w:t>capture and underscore the importance of localized chemical environments in supercapacitive swing adsorption.</w:t>
      </w:r>
    </w:p>
    <w:p>
      <w:pPr>
        <w:spacing w:before="120" w:after="120"/>
      </w:pPr>
      <w:r>
        <w:rPr>
          <w:sz w:val="18"/>
        </w:rPr>
        <w:t>——————————————————————————————————————————————————————————————————————</w:t>
      </w:r>
    </w:p>
    <w:p>
      <w:pPr>
        <w:spacing w:before="160" w:after="40" w:line="240" w:lineRule="auto"/>
      </w:pPr>
      <w:r>
        <w:rPr>
          <w:b/>
        </w:rPr>
        <w:t xml:space="preserve">[21] </w:t>
      </w:r>
      <w:hyperlink r:id="rId229">
        <w:r>
          <w:rPr>
            <w:color w:val="1155CC"/>
            <w:u w:val="single"/>
          </w:rPr>
          <w:t>二氧化碳自由基阴离子原位质子化激发生物质定量光重整为 CO</w:t>
        </w:r>
      </w:hyperlink>
    </w:p>
    <w:p>
      <w:pPr>
        <w:spacing w:before="0" w:after="80"/>
      </w:pPr>
      <w:r>
        <w:rPr>
          <w:i/>
          <w:sz w:val="20"/>
        </w:rPr>
        <w:t>EN: Quantitative Photo‐Reforming of Biomass to CO Spurred by In Situ Protonation of Carbon Dioxide Radical Anions</w:t>
      </w:r>
    </w:p>
    <w:p>
      <w:pPr>
        <w:spacing w:before="0" w:after="120"/>
      </w:pPr>
      <w:r>
        <w:rPr>
          <w:b/>
        </w:rPr>
        <w:t xml:space="preserve">Source: </w:t>
      </w:r>
      <w:r>
        <w:t>Wiley: Angewandte Chemie International Edition: Table of Contents</w:t>
      </w:r>
      <w:r>
        <w:t xml:space="preserve">    </w:t>
      </w:r>
      <w:r>
        <w:rPr>
          <w:b/>
        </w:rPr>
        <w:t xml:space="preserve">Pub date: </w:t>
      </w:r>
      <w:r>
        <w:t>2026-05-27 07:19:48+00:00</w:t>
      </w:r>
      <w:r>
        <w:t xml:space="preserve">    </w:t>
      </w:r>
      <w:r>
        <w:rPr>
          <w:b/>
        </w:rPr>
        <w:t xml:space="preserve">DOI: </w:t>
      </w:r>
      <w:hyperlink r:id="rId230">
        <w:r>
          <w:rPr>
            <w:color w:val="1155CC"/>
            <w:u w:val="single"/>
          </w:rPr>
          <w:t>10.1002/anie.9066578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多相光催化已成为将可再生生物质转化为生物燃料和化学品的绿色解决方案，但其碳利用效率通常不令人满意。在这里，我们提出了一种由富电子 Cd 位点实现的“二合一”光还原策略，这些位点既远离硫空位（Vs），又邻近硫空位（Vs）。该策略对于减少 O2 具有高度选择性</w:t>
      </w:r>
      <w:r>
        <w:rPr>
          <w:vertAlign w:val="subscript"/>
        </w:rPr>
        <w:t>2</w:t>
      </w:r>
      <w:r>
        <w:t>和二氧化碳自由基阴离子（•CO</w:t>
      </w:r>
      <w:r>
        <w:rPr>
          <w:vertAlign w:val="subscript"/>
        </w:rPr>
        <w:t>2</w:t>
      </w:r>
      <w:r>
        <w:t>-</w:t>
      </w:r>
      <w:r>
        <w:t>）在 Bi 上原位形成</w:t>
      </w:r>
      <w:r>
        <w:rPr>
          <w:vertAlign w:val="subscript"/>
        </w:rPr>
        <w:t>2</w:t>
      </w:r>
      <w:r>
        <w:t>S</w:t>
      </w:r>
      <w:r>
        <w:rPr>
          <w:vertAlign w:val="subscript"/>
        </w:rPr>
        <w:t>3</w:t>
      </w:r>
      <w:r>
        <w:t>分别通过水氧化和草酸（OA）氧化C-C裂解形成成分（空穴）。壳蛋黄 Z 型 Bi</w:t>
      </w:r>
      <w:r>
        <w:rPr>
          <w:vertAlign w:val="subscript"/>
        </w:rPr>
        <w:t>2</w:t>
      </w:r>
      <w:r>
        <w:t>S</w:t>
      </w:r>
      <w:r>
        <w:rPr>
          <w:vertAlign w:val="subscript"/>
        </w:rPr>
        <w:t>3</w:t>
      </w:r>
      <w:r>
        <w:t>/CdS-Vs 实现了 OA 完全光热催化升级为 CO，产量达到前所未有的水平（1671 µmol g</w:t>
      </w:r>
      <w:r>
        <w:t xml:space="preserve"> </w:t>
      </w:r>
      <w:r>
        <w:t>−1</w:t>
      </w:r>
      <w:r>
        <w:t xml:space="preserve"> </w:t>
      </w:r>
      <w:r>
        <w:t>小时</w:t>
      </w:r>
      <w:r>
        <w:t xml:space="preserve"> </w:t>
      </w:r>
      <w:r>
        <w:t>−1</w:t>
      </w:r>
      <w:r>
        <w:t xml:space="preserve"> </w:t>
      </w:r>
      <w:r>
        <w:t>）和选择性 &gt; 99%，优于最先进的 CO 光催化剂</w:t>
      </w:r>
      <w:r>
        <w:rPr>
          <w:vertAlign w:val="subscript"/>
        </w:rPr>
        <w:t>2</w:t>
      </w:r>
      <w:r>
        <w:t>减少二氧化碳排放。机理研究表明壳 Bi</w:t>
      </w:r>
      <w:r>
        <w:rPr>
          <w:vertAlign w:val="subscript"/>
        </w:rPr>
        <w:t>2</w:t>
      </w:r>
      <w:r>
        <w:t>S</w:t>
      </w:r>
      <w:r>
        <w:rPr>
          <w:vertAlign w:val="subscript"/>
        </w:rPr>
        <w:t>3</w:t>
      </w:r>
      <w:r>
        <w:t>可以与蛋黄 CdS-Vs 生成/转移的·OH 配合，介导·CO 的高效生产</w:t>
      </w:r>
      <w:r>
        <w:rPr>
          <w:vertAlign w:val="subscript"/>
        </w:rPr>
        <w:t>2</w:t>
      </w:r>
      <w:r>
        <w:t>－</w:t>
      </w:r>
      <w:r>
        <w:t xml:space="preserve"> </w:t>
      </w:r>
      <w:r>
        <w:t>。中空微环境</w:t>
      </w:r>
    </w:p>
    <w:p>
      <w:pPr>
        <w:spacing w:before="0" w:after="200" w:lineRule="auto" w:line="276"/>
      </w:pPr>
      <w:r>
        <w:rPr>
          <w:b/>
        </w:rPr>
        <w:t xml:space="preserve">Abstract (EN): </w:t>
      </w:r>
      <w:r>
        <w:t>Heterogeneous photocatalysis has emerged as a green solution for converting renewable biomass into biofuels and chemicals, though it typically suffers from unsatisfactory carbon utilization efficiency. Here, we present a “two‐in‐one” photoreduction strategy enabled by electron‐rich Cd sites, both remote from and adjacent to sulfur vacancies (Vs). This strategy is highly selective for the reduction of O</w:t>
      </w:r>
      <w:r>
        <w:rPr>
          <w:vertAlign w:val="subscript"/>
        </w:rPr>
        <w:t>2</w:t>
      </w:r>
      <w:r>
        <w:t>and carbon dioxide radical anions (•CO</w:t>
      </w:r>
      <w:r>
        <w:rPr>
          <w:vertAlign w:val="subscript"/>
        </w:rPr>
        <w:t>2</w:t>
      </w:r>
      <w:r>
        <w:t>−</w:t>
      </w:r>
      <w:r>
        <w:t>) in situ formed on the Bi</w:t>
      </w:r>
      <w:r>
        <w:rPr>
          <w:vertAlign w:val="subscript"/>
        </w:rPr>
        <w:t>2</w:t>
      </w:r>
      <w:r>
        <w:t>S</w:t>
      </w:r>
      <w:r>
        <w:rPr>
          <w:vertAlign w:val="subscript"/>
        </w:rPr>
        <w:t>3</w:t>
      </w:r>
      <w:r>
        <w:t>composition (hole) through water oxidation and oxalic acid (OA) oxidative C–C cleavage, respectively. The shell‐yolk Z‐scheme Bi</w:t>
      </w:r>
      <w:r>
        <w:rPr>
          <w:vertAlign w:val="subscript"/>
        </w:rPr>
        <w:t>2</w:t>
      </w:r>
      <w:r>
        <w:t>S</w:t>
      </w:r>
      <w:r>
        <w:rPr>
          <w:vertAlign w:val="subscript"/>
        </w:rPr>
        <w:t>3</w:t>
      </w:r>
      <w:r>
        <w:t>/CdS‐Vs achieves complete photothermal catalytic upgrading of OA to CO with an unprecedented yield (1671 µmol g</w:t>
      </w:r>
      <w:r>
        <w:t xml:space="preserve"> </w:t>
      </w:r>
      <w:r>
        <w:t>−1</w:t>
      </w:r>
      <w:r>
        <w:t xml:space="preserve"> </w:t>
      </w:r>
      <w:r>
        <w:t>h</w:t>
      </w:r>
      <w:r>
        <w:t xml:space="preserve"> </w:t>
      </w:r>
      <w:r>
        <w:t>−1</w:t>
      </w:r>
      <w:r>
        <w:t xml:space="preserve"> </w:t>
      </w:r>
      <w:r>
        <w:t>) and selectivity &amp;gt; 99%, outperforming state‐of‐the‐art photocatalysts for CO</w:t>
      </w:r>
      <w:r>
        <w:rPr>
          <w:vertAlign w:val="subscript"/>
        </w:rPr>
        <w:t>2</w:t>
      </w:r>
      <w:r>
        <w:t>‐to‐CO reduction. Mechanistic investigations reveal that shell Bi</w:t>
      </w:r>
      <w:r>
        <w:rPr>
          <w:vertAlign w:val="subscript"/>
        </w:rPr>
        <w:t>2</w:t>
      </w:r>
      <w:r>
        <w:t>S</w:t>
      </w:r>
      <w:r>
        <w:rPr>
          <w:vertAlign w:val="subscript"/>
        </w:rPr>
        <w:t>3</w:t>
      </w:r>
      <w:r>
        <w:t>can cooperate with •OH generated/transferred from the yolk CdS‐Vs to mediate the efficient production of •CO</w:t>
      </w:r>
      <w:r>
        <w:rPr>
          <w:vertAlign w:val="subscript"/>
        </w:rPr>
        <w:t>2</w:t>
      </w:r>
      <w:r>
        <w:t>‒</w:t>
      </w:r>
      <w:r>
        <w:t xml:space="preserve"> </w:t>
      </w:r>
      <w:r>
        <w:t>. Hollow microenvironment and electronic structure of the yolk CdS‐Vs can be manipulated by Vs to increase enrichment of •CO</w:t>
      </w:r>
      <w:r>
        <w:rPr>
          <w:vertAlign w:val="subscript"/>
        </w:rPr>
        <w:t>2</w:t>
      </w:r>
      <w:r>
        <w:t>−</w:t>
      </w:r>
      <w:r>
        <w:t>and favor its proton‐coupled electron transfer to produce CO. Bi</w:t>
      </w:r>
      <w:r>
        <w:rPr>
          <w:vertAlign w:val="subscript"/>
        </w:rPr>
        <w:t>2</w:t>
      </w:r>
      <w:r>
        <w:t>S</w:t>
      </w:r>
      <w:r>
        <w:rPr>
          <w:vertAlign w:val="subscript"/>
        </w:rPr>
        <w:t>3</w:t>
      </w:r>
      <w:r>
        <w:t>/CdS‐Vs exhibits good reusability and universality for converting various bio‐organic acids into CO with 94%‒100% selectivity. Tailor‐made versatile photocatalysts via vacancy engineering provide a viable avenue for the full‐carbon upcycling of biomass and waste sources to biofuels.</w:t>
      </w:r>
    </w:p>
    <w:p>
      <w:pPr>
        <w:spacing w:before="120" w:after="120"/>
      </w:pPr>
      <w:r>
        <w:rPr>
          <w:sz w:val="18"/>
        </w:rPr>
        <w:t>——————————————————————————————————————————————————————————————————————</w:t>
      </w:r>
    </w:p>
    <w:p>
      <w:pPr>
        <w:spacing w:before="160" w:after="40" w:line="240" w:lineRule="auto"/>
      </w:pPr>
      <w:r>
        <w:rPr>
          <w:b/>
        </w:rPr>
        <w:t xml:space="preserve">[22] </w:t>
      </w:r>
      <w:hyperlink r:id="rId292">
        <w:r>
          <w:rPr>
            <w:color w:val="1155CC"/>
            <w:u w:val="single"/>
          </w:rPr>
          <w:t>单核苷酸变异驱动厌氧二氧化碳转化微生物组中进化噬菌体-宿主军备竞赛</w:t>
        </w:r>
      </w:hyperlink>
    </w:p>
    <w:p>
      <w:pPr>
        <w:spacing w:before="0" w:after="80"/>
      </w:pPr>
      <w:r>
        <w:rPr>
          <w:i/>
          <w:sz w:val="20"/>
        </w:rPr>
        <w:t>EN: Single nucleotide variants drive evolutionary phage-host arms race in anaerobic carbon dioxide-converting microbiome</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微生物生物转化是由环境扰动和常驻微生物组的适应决定的。原核生物与噬菌体共存，但它们的共同进化轨迹仍未得到充分探索。在这里，我们研究了培养容器泄漏对进行二氧化碳还原的厌氧菌群的影响。使用时间序列鸟枪法宏基因组测序，我们重建微生物和病毒基因组以跟踪群落变化。我们进一步应用单核苷酸变异分析和 CRISPR 阵列分析来监测病毒微多样性和宿主防御机制。在生物强化恢复生物转化效率后，该联盟经历了明显的重组，新的优势类群从稀有生物圈中出现。我们确定了与噬菌体捕食一致的模式，选择性地去除某些物种，而其他物种则表现出对感染的抵抗力。这种转变与广泛的病毒爆发和细菌 CRISPR-Cas 防御基因中单核苷酸变异频率的短暂增加相一致。 CRISPR 间隔区的扩展进一步支持 CRISPR 介导的过程影响微生物的恢复能力。同时，感染弹性宿主的噬菌体表现出适应性进化，其特点是高度遗传异质性。选择压力在其基因组中各不相同，针对感染性基因和原型间隔子相邻基序。这些发现强调了由有益遗传变异的选择驱动的动态进化军备竞赛，为多组学研究提供了机制框架，并为生物技术研究提供了信息。</w:t>
      </w:r>
    </w:p>
    <w:p>
      <w:pPr>
        <w:spacing w:before="0" w:after="200" w:lineRule="auto" w:line="276"/>
      </w:pPr>
      <w:r>
        <w:rPr>
          <w:b/>
        </w:rPr>
        <w:t xml:space="preserve">Abstract (EN): </w:t>
      </w:r>
      <w:r>
        <w:t>Microbial bioconversions are shaped by environmental perturbations and the adaptation of resident microbiomes. Prokaryotes coexist with bacteriophages, yet their coevolutionary trajectories remain underexplored. Here, we investigate the effects of a cultivation vessel leak on an anaerobic consortium performing carbon dioxide reduction. Using time-series shotgun metagenomic sequencing, we reconstruct microbial and viral genomes to track community shifts. We further apply single-nucleotide variant profiling and CRISPR array analysis to monitor viral microdiversity and host defense mechanisms. After bioaugmentation restores bioconversion efficiency, the consortium undergoes pronounced restructuring, with new dominant taxa emerging from the rare biosphere. We identify patterns consistent with phage predation selectively removing certain species, while others exhibit resilience to infection. This shift aligns with a widespread viral outbreak and a transient increased frequency of single nucleotide variants in bacterial CRISPR–Cas defense genes. Expansion of CRISPR spacers further supports that CRISPR-mediated processes influence microbial resilience. Concurrently, phages infecting resilient hosts exhibited adaptive evolution, marked by high genetic heterogeneity. Selective pressure varies across their genomes, targeting infectivity genes and protospacer-adjacent motifs. These findings highlight a dynamic evolutionary arms race driven by the selection of beneficial genetic variants, providing a mechanistic framework for multi-omics investigations, and informing biotechnological applications, including phage-based microbiome manipulation.</w:t>
      </w:r>
    </w:p>
    <w:p>
      <w:pPr>
        <w:spacing w:before="120" w:after="120"/>
      </w:pPr>
      <w:r>
        <w:rPr>
          <w:sz w:val="18"/>
        </w:rPr>
        <w:t>——————————————————————————————————————————————————————————————————————</w:t>
      </w:r>
    </w:p>
    <w:p>
      <w:pPr>
        <w:spacing w:before="160" w:after="40" w:line="240" w:lineRule="auto"/>
      </w:pPr>
      <w:r>
        <w:rPr>
          <w:b/>
        </w:rPr>
        <w:t xml:space="preserve">[23] </w:t>
      </w:r>
      <w:hyperlink r:id="rId293">
        <w:r>
          <w:rPr>
            <w:color w:val="1155CC"/>
            <w:u w:val="single"/>
          </w:rPr>
          <w:t>CO2 在手性六方氮化硼纳米管中的定向增强扩散</w:t>
        </w:r>
      </w:hyperlink>
    </w:p>
    <w:p>
      <w:pPr>
        <w:spacing w:before="0" w:after="80"/>
      </w:pPr>
      <w:r>
        <w:rPr>
          <w:i/>
          <w:sz w:val="20"/>
        </w:rPr>
        <w:t>EN: Direction-specific enhanced diffusion of CO2 in chiral hexagonal boron nitride nanotubes</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为了满足性能要求，下一代气体分离膜将需要高气体渗透性和选择性，如果我们能够诱导吸附物最大限度地减少随机布朗运动并沿所需轴产生方向特异性扩散，就可以实现这一点。在这项原子建模研究中，我们详细介绍了如何通过非克努森扩散机制在手性六方氮化硼纳米管 (hBNNT) 中实现 CO2 的方向特异性扩散。我们的研究结果详细说明了这种扩散机制是如何通过与管壁的相互作用来驱动的，并使二氧化碳分子能够沿着纳米管的 z 轴扩散，同时最大限度地减少碰撞和方向变化。具有手性指数的 hBNNT 表现出比同等直径和更大直径的非手性管更快的 CO2 扩散速率。在研究的 hBNNT 中，(7,3) 管的尺寸似乎理想（半径为 3.7 Å），其 CO2 扩散速度比双原子 N2 快 3.4 倍。将这种扩散机制应用到用对齐的手性 (7,3) hBNNT 制备的假设片膜上，所得膜的计算 CO2/N2 选择性渗透率为 170，CO2 渗透性极限接近 1.35 ×107 Barrer，很容易超过 CO2/N2 分离的 Robeson 上限。</w:t>
      </w:r>
    </w:p>
    <w:p>
      <w:pPr>
        <w:spacing w:before="0" w:after="200" w:lineRule="auto" w:line="276"/>
      </w:pPr>
      <w:r>
        <w:rPr>
          <w:b/>
        </w:rPr>
        <w:t xml:space="preserve">Abstract (EN): </w:t>
      </w:r>
      <w:r>
        <w:t>To meet performance requirements, the next generation of gas separation membranes will need both high gas permeability and selectivity, attainable if we could coax adsorbates to minimize random Brownian motion and produce direction-specific diffusion along a desired axis. In this atomistic modeling study, we detail how direction-specific diffusion of CO2 can be achieved in chiral hexagonal boron nitride nanotubes (hBNNTs) by means of a non-Knudsen diffusion mechanism. Our findings detail how this mechanism of diffusion is driven by interactions with the tube walls and enables the CO2 molecules to diffuse along the nanotube’s z-axis with minimized collisions and directional changes. hBNNTs with chiral indices exhibit CO2 diffusion rates faster than non-chiral tubes of comparable and larger diameters. Of the hBNNTs studied, a (7,3) tube appears to be ideally sized (3.7 Å radius) exhibiting CO2 diffusion that is 3.4 times faster than diatomic N2. Applying this mechanism of diffusion to hypothetical sheet membranes prepared with aligned chiral (7,3) hBNNTs results in membranes with a calculated CO2/N2 permselectivity of 170 and a CO2 permeability limit of nearly 1.35 ×107 Barrer, readily surpassing the Robeson upper bound for CO2/N2 separations.</w:t>
      </w:r>
    </w:p>
    <w:p>
      <w:pPr>
        <w:spacing w:before="120" w:after="120"/>
      </w:pPr>
      <w:r>
        <w:rPr>
          <w:sz w:val="18"/>
        </w:rPr>
        <w:t>——————————————————————————————————————————————————————————————————————</w:t>
      </w:r>
    </w:p>
    <w:p>
      <w:pPr>
        <w:spacing w:before="160" w:after="40" w:line="240" w:lineRule="auto"/>
      </w:pPr>
      <w:r>
        <w:rPr>
          <w:b/>
        </w:rPr>
        <w:t xml:space="preserve">[24] </w:t>
      </w:r>
      <w:hyperlink r:id="rId294">
        <w:r>
          <w:rPr>
            <w:color w:val="1155CC"/>
            <w:u w:val="single"/>
          </w:rPr>
          <w:t>铁限制和与浮游植物的营养竞争降低了基于海藻的二氧化碳去除效果</w:t>
        </w:r>
      </w:hyperlink>
    </w:p>
    <w:p>
      <w:pPr>
        <w:spacing w:before="0" w:after="80"/>
      </w:pPr>
      <w:r>
        <w:rPr>
          <w:i/>
          <w:sz w:val="20"/>
        </w:rPr>
        <w:t>EN: Efficacy of seaweed-based carbon dioxide removal reduced by iron limitation and nutrient competition with phytoplankton</w:t>
      </w:r>
    </w:p>
    <w:p>
      <w:pPr>
        <w:spacing w:before="0" w:after="120"/>
      </w:pPr>
      <w:r>
        <w:rPr>
          <w:b/>
        </w:rPr>
        <w:t xml:space="preserve">Source: </w:t>
      </w:r>
      <w:r>
        <w:t>Earth and environmental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通过海藻种植去除二氧化碳（CDR）因其高造林潜力和有利的碳养分比而被认为是一种有前途的海洋 CDR 方法。然而，最近的研究表明，造林潜力受到铁限制的限制，效率取决于浮游植物的相对化学计量。全球 CDR 模型忽视了铁的限制，未能捕捉浮游植物的营养反馈如何减少海洋碳吸收。在这里，海洋生物地球化学模型用于评估养分需求、亲和力和限制如何影响海藻种植的造林潜力和 CDR 效率。考虑到氮和磷的限制后，铁的限制使造林潜力降低了三倍。营养亲和力和需求的变化导致 CDR 效率存在巨大差异，从 -43% 到 +78%。我们发现，如果海藻的营养效率低于浮游植物，则栽培会导致净 CDR 为负值。如果不考虑这些营养动态，可能会高估基于海藻的 CDR 功效。</w:t>
      </w:r>
    </w:p>
    <w:p>
      <w:pPr>
        <w:spacing w:before="0" w:after="200" w:lineRule="auto" w:line="276"/>
      </w:pPr>
      <w:r>
        <w:rPr>
          <w:b/>
        </w:rPr>
        <w:t xml:space="preserve">Abstract (EN): </w:t>
      </w:r>
      <w:r>
        <w:t>Carbon dioxide removal (CDR) through seaweed cultivation has been proposed as a promising marine CDR approach due to its high afforestation potential and favorable carbon-to-nutrient ratios. However, recent studies suggest that the afforestation potential is constrained by iron limitation, and efficiency depends on relative stoichiometry with phytoplankton. Global CDR models overlook iron limitation and fail to capture how nutrient feedbacks with phytoplankton will reduce ocean carbon uptake. Here, an ocean biogeochemical model is used to assess how nutrient demand, affinity, and limitation influence the afforestation potential and CDR efficiency of seaweed cultivation. Iron limitation reduces afforestation potential by threefold after accounting for N and P limitation. Variations in nutrient affinity and demand cause large differences in CDR efficiency, from −43% to +78%. We show that if seaweed is less nutrient-efficient than phytoplankton, cultivation results in negative net CDR. Failing to account for these nutrient dynamics risks overestimating seaweed-based CDR efficacy.</w:t>
      </w:r>
    </w:p>
    <w:p>
      <w:pPr>
        <w:spacing w:before="120" w:after="120"/>
      </w:pPr>
      <w:r>
        <w:rPr>
          <w:sz w:val="18"/>
        </w:rPr>
        <w:t>——————————————————————————————————————————————————————————————————————</w:t>
      </w:r>
    </w:p>
    <w:p>
      <w:pPr>
        <w:spacing w:before="160" w:after="40" w:line="240" w:lineRule="auto"/>
      </w:pPr>
      <w:r>
        <w:rPr>
          <w:b/>
        </w:rPr>
        <w:t xml:space="preserve">[25] </w:t>
      </w:r>
      <w:hyperlink r:id="rId295">
        <w:r>
          <w:rPr>
            <w:color w:val="1155CC"/>
            <w:u w:val="single"/>
          </w:rPr>
          <w:t>COF 中的维度异构现象通过螺二芴取代实现增强光催化 CO2 还原</w:t>
        </w:r>
      </w:hyperlink>
    </w:p>
    <w:p>
      <w:pPr>
        <w:spacing w:before="0" w:after="80"/>
      </w:pPr>
      <w:r>
        <w:rPr>
          <w:i/>
          <w:sz w:val="20"/>
        </w:rPr>
        <w:t>EN: Dimensional Isomerism in COFs Enabled by Spirobifluorene Substitution for Enhanced Photocatalytic CO2 Reduction</w:t>
      </w:r>
    </w:p>
    <w:p>
      <w:pPr>
        <w:spacing w:before="0" w:after="120"/>
      </w:pPr>
      <w:r>
        <w:rPr>
          <w:b/>
        </w:rPr>
        <w:t xml:space="preserve">Source: </w:t>
      </w:r>
      <w:r>
        <w:t>Wiley: Angewandte Chemie International Edition: Table of Contents</w:t>
      </w:r>
      <w:r>
        <w:t xml:space="preserve">    </w:t>
      </w:r>
      <w:r>
        <w:rPr>
          <w:b/>
        </w:rPr>
        <w:t xml:space="preserve">Pub date: </w:t>
      </w:r>
      <w:r>
        <w:t>2026-05-28 09:27:12+00:00</w:t>
      </w:r>
      <w:r>
        <w:t xml:space="preserve">    </w:t>
      </w:r>
      <w:r>
        <w:rPr>
          <w:b/>
        </w:rPr>
        <w:t xml:space="preserve">DOI: </w:t>
      </w:r>
      <w:hyperlink r:id="rId296">
        <w:r>
          <w:rPr>
            <w:color w:val="1155CC"/>
            <w:u w:val="single"/>
          </w:rPr>
          <w:t>10.1002/anie.1182476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维度异构的概念——由相同的分子前体构建但形成不同维度的结构的共价有机框架（COF）——在很大程度上仍未得到探索。在这里，我们报告了一对源自相同螺二芴核心的异构COF，其中C2/C7或C3/C6位置的取代分别导致平面二维（2D）或非平面三维（3D）框架的形成。这种取代控制策略能够精确调节 π 共轭和框架维度，而不改变结构单元的分子特性。比较光催化实验表明，2D C2/C7 取代的 COF 表现出明显优越的 CO</w:t>
      </w:r>
      <w:r>
        <w:rPr>
          <w:vertAlign w:val="subscript"/>
        </w:rPr>
        <w:t>2</w:t>
      </w:r>
      <w:r>
        <w:t>可见光下的还原活性归因于其延长的共轭和有效的电荷传输。这些发现强调了分子连接性在确定COF结构-功能关系中的关键作用，并提出了一种通过拓扑异构设计高性能光催化材料的通用方法。</w:t>
      </w:r>
    </w:p>
    <w:p>
      <w:pPr>
        <w:spacing w:before="0" w:after="200" w:lineRule="auto" w:line="276"/>
      </w:pPr>
      <w:r>
        <w:rPr>
          <w:b/>
        </w:rPr>
        <w:t xml:space="preserve">Abstract (EN): </w:t>
      </w:r>
      <w:r>
        <w:t>The concept of dimensional isomerism—covalent organic frameworks (COFs) constructed from identical molecular precursors but forming structures of different dimensions—remains largely unexplored. Here, we report a pair of isomeric COFs derived from the same spirobifluorene core, wherein substitution at either the C2/C7 or C3/C6 positions leads to the formation of a planar two‐dimensional (2D) or a nonplanar three‐dimensional (3D) framework, respectively. This substitution‐controlled strategy enables precise modulation of π‐conjugation and framework dimensionality without altering the molecular identity of the building block. Comparative photocatalytic experiments reveal that the 2D C2/C7‐substituted COF exhibits significantly superior CO</w:t>
      </w:r>
      <w:r>
        <w:rPr>
          <w:vertAlign w:val="subscript"/>
        </w:rPr>
        <w:t>2</w:t>
      </w:r>
      <w:r>
        <w:t>reduction activity under visible light, attributed to its extended conjugation and efficient charge transport. These findings underscore the critical role of molecular connectivity in determining the structure–function relationships of COFs and propose a generalizable approach for designing high‐performance photocatalytic materials through topological isomerism.</w:t>
      </w:r>
    </w:p>
    <w:p>
      <w:pPr>
        <w:spacing w:before="120" w:after="120"/>
      </w:pPr>
      <w:r>
        <w:rPr>
          <w:sz w:val="18"/>
        </w:rPr>
        <w:t>——————————————————————————————————————————————————————————————————————</w:t>
      </w:r>
    </w:p>
    <w:p>
      <w:pPr>
        <w:spacing w:before="160" w:after="40" w:line="240" w:lineRule="auto"/>
      </w:pPr>
      <w:r>
        <w:rPr>
          <w:b/>
        </w:rPr>
        <w:t xml:space="preserve">[26] </w:t>
      </w:r>
      <w:hyperlink r:id="rId297">
        <w:r>
          <w:rPr>
            <w:color w:val="1155CC"/>
            <w:u w:val="single"/>
          </w:rPr>
          <w:t>用于二氧化碳捕获和封闭还原的多孔有机笼</w:t>
        </w:r>
      </w:hyperlink>
    </w:p>
    <w:p>
      <w:pPr>
        <w:spacing w:before="0" w:after="80"/>
      </w:pPr>
      <w:r>
        <w:rPr>
          <w:i/>
          <w:sz w:val="20"/>
        </w:rPr>
        <w:t>EN: Porous Organic Cages for CO2 Capture and Confined Reduction</w:t>
      </w:r>
    </w:p>
    <w:p>
      <w:pPr>
        <w:spacing w:before="0" w:after="120"/>
      </w:pPr>
      <w:r>
        <w:rPr>
          <w:b/>
        </w:rPr>
        <w:t xml:space="preserve">Source: </w:t>
      </w:r>
      <w:r>
        <w:t>Wiley: Angewandte Chemie International Edition: Table of Contents</w:t>
      </w:r>
      <w:r>
        <w:t xml:space="preserve">    </w:t>
      </w:r>
      <w:r>
        <w:rPr>
          <w:b/>
        </w:rPr>
        <w:t xml:space="preserve">Pub date: </w:t>
      </w:r>
      <w:r>
        <w:t>2026-05-28 10:47:38+00:00</w:t>
      </w:r>
      <w:r>
        <w:t xml:space="preserve">    </w:t>
      </w:r>
      <w:r>
        <w:rPr>
          <w:b/>
        </w:rPr>
        <w:t xml:space="preserve">DOI: </w:t>
      </w:r>
      <w:hyperlink r:id="rId298">
        <w:r>
          <w:rPr>
            <w:color w:val="1155CC"/>
            <w:u w:val="single"/>
          </w:rPr>
          <w:t>10.1002/anie.5880155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多孔有机笼（POC）是离散分子材料，它将固有孔隙率与溶液可加工性以及明确的化学可调腔相结合。这些特性使它们对 CO 具有吸引力</w:t>
      </w:r>
      <w:r>
        <w:rPr>
          <w:vertAlign w:val="subscript"/>
        </w:rPr>
        <w:t>2</w:t>
      </w:r>
      <w:r>
        <w:t>捕获和选择性气体分离，以及最近用于限制下的化学转化。在非晶态和晶态固体以及膜和复合系统中，基于 POC 的材料可以实现选择性 CO2</w:t>
      </w:r>
      <w:r>
        <w:rPr>
          <w:vertAlign w:val="subscript"/>
        </w:rPr>
        <w:t>2</w:t>
      </w:r>
      <w:r>
        <w:t>吸收。然而，它们的性能取决于分子结构如何通过固态组织转化为可进入的孔隙环境。在催化方面，POCs可以促进局部CO</w:t>
      </w:r>
      <w:r>
        <w:rPr>
          <w:vertAlign w:val="subscript"/>
        </w:rPr>
        <w:t>2</w:t>
      </w:r>
      <w:r>
        <w:t>富集并促进与活性位点的相互作用，但它们的作用超出了简单的浓度效应。即使不直接参与反应，POC 的空腔也可以通过限制效应或主客体相互作用影响催化性能，如混合系统和包含客体物种的卟啉笼所示。该小型评论探讨了使用 POC 整合 CO 的最新进展</w:t>
      </w:r>
      <w:r>
        <w:rPr>
          <w:vertAlign w:val="subscript"/>
        </w:rPr>
        <w:t>2</w:t>
      </w:r>
      <w:r>
        <w:t>有限还原捕获。我们讨论笼结构、空腔尺寸、内部功能、固态填充和加工策略如何控制气体结合、传输和可及性，以及限制如何影响催化行为。这些研究强调了新兴的设计原则，但也强调了当前的设计原则</w:t>
      </w:r>
    </w:p>
    <w:p>
      <w:pPr>
        <w:spacing w:before="0" w:after="200" w:lineRule="auto" w:line="276"/>
      </w:pPr>
      <w:r>
        <w:rPr>
          <w:b/>
        </w:rPr>
        <w:t xml:space="preserve">Abstract (EN): </w:t>
      </w:r>
      <w:r>
        <w:t>Porous organic cages (POCs) are discrete molecular materials that combine intrinsic porosity with solution processability and well‐defined, chemically tunable cavities. These features make them attractive for CO</w:t>
      </w:r>
      <w:r>
        <w:rPr>
          <w:vertAlign w:val="subscript"/>
        </w:rPr>
        <w:t>2</w:t>
      </w:r>
      <w:r>
        <w:t>capture and selective gas separation, and more recently for chemical transformations under confinement. Across amorphous and crystalline solids, as well as membrane and composite systems, POC‐based materials enable selective CO</w:t>
      </w:r>
      <w:r>
        <w:rPr>
          <w:vertAlign w:val="subscript"/>
        </w:rPr>
        <w:t>2</w:t>
      </w:r>
      <w:r>
        <w:t>uptake. However, their performance is governed by how molecular structure translates into accessible pore environments through solid‐state organization. In catalysis, POCs can promote local CO</w:t>
      </w:r>
      <w:r>
        <w:rPr>
          <w:vertAlign w:val="subscript"/>
        </w:rPr>
        <w:t>2</w:t>
      </w:r>
      <w:r>
        <w:t>enrichment and facilitate interaction with active sites, but their role extends beyond simple concentration effects. Even when not directly involved in the reaction, the POC's cavity can influence catalytic performance through confinement effects or host–guest interactions, as illustrated by hybrid systems and porphyrinic cages incorporating guest species. This Minireview examines recent advances in the use of POCs to integrate CO</w:t>
      </w:r>
      <w:r>
        <w:rPr>
          <w:vertAlign w:val="subscript"/>
        </w:rPr>
        <w:t>2</w:t>
      </w:r>
      <w:r>
        <w:t>capture with confined reduction. We discuss how cage structure, cavity size, internal functionality, solid‐state packing, and processing strategies govern gas binding, transport, and accessibility, and how confinement influences catalytic behavior. These studies highlight emerging design principles but also current limitations, and point to clearer structure–function relationships to enable applications under realistic conditions.</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283">
        <w:r>
          <w:rPr>
            <w:color w:val="1155CC"/>
            <w:u w:val="single"/>
          </w:rPr>
          <w:t>蛋白质促进可持续的未来</w:t>
        </w:r>
      </w:hyperlink>
    </w:p>
    <w:p>
      <w:pPr>
        <w:spacing w:before="0" w:after="80"/>
      </w:pPr>
      <w:r>
        <w:rPr>
          <w:i/>
          <w:sz w:val="20"/>
        </w:rPr>
        <w:t>EN: Proteins for a sustainable future</w:t>
      </w:r>
    </w:p>
    <w:p>
      <w:pPr>
        <w:spacing w:before="0" w:after="120"/>
      </w:pPr>
      <w:r>
        <w:rPr>
          <w:b/>
        </w:rPr>
        <w:t xml:space="preserve">Source: </w:t>
      </w:r>
      <w:r>
        <w:t>Nature Reviews Materials</w:t>
      </w:r>
      <w:r>
        <w:t xml:space="preserve">    </w:t>
      </w:r>
      <w:r>
        <w:rPr>
          <w:b/>
        </w:rPr>
        <w:t xml:space="preserve">Pub date: </w:t>
      </w:r>
      <w:r>
        <w:t>2026-05-26 00:00:00+00:00</w:t>
      </w:r>
      <w:r>
        <w:t xml:space="preserve">    </w:t>
      </w:r>
      <w:r>
        <w:rPr>
          <w:b/>
        </w:rPr>
        <w:t xml:space="preserve">DOI: </w:t>
      </w:r>
      <w:hyperlink r:id="rId284">
        <w:r>
          <w:rPr>
            <w:color w:val="1155CC"/>
            <w:u w:val="single"/>
          </w:rPr>
          <w:t>10.1038/s41578-026-00925-3</w:t>
        </w:r>
      </w:hyperlink>
    </w:p>
    <w:p>
      <w:pPr>
        <w:spacing w:before="0" w:after="120"/>
      </w:pPr>
      <w:r>
        <w:rPr>
          <w:b/>
        </w:rPr>
        <w:t xml:space="preserve">Notes: </w:t>
      </w:r>
      <w:r>
        <w:t>abstract_source=nature_html</w:t>
      </w:r>
    </w:p>
    <w:p>
      <w:pPr>
        <w:spacing w:before="0" w:after="80" w:lineRule="auto" w:line="276"/>
      </w:pPr>
      <w:r>
        <w:rPr>
          <w:b/>
        </w:rPr>
        <w:t xml:space="preserve">摘要（ZH）: </w:t>
      </w:r>
      <w:r>
        <w:t>现代工业在跨部门碳资源管理方面表现出系统性脱节，导致温室气体排放量过高。例如，食品部门丢弃了富含蛋白质的侧流和富含碳水化合物的废物，这些废物可以转化为可再生碳原料，而制造业则消耗不可再生的石油基碳原料来进行材料合成。本综述探讨了可以解决这种不平衡问题的增值途径，即将从食物侧流中提取的蛋白质或通过富含碳水化合物的食物垃圾的真菌生物转化产生的蛋白质转化为原料，从而能够生产用于包装、水净化、二氧化碳捕获和能源转换的可持续材料，以及涂料、生物传感器和乳化剂等表面工程应用。在其使用寿命结束时，这些材料（与使用传统线性方法回收的材料不同）可以通过解聚成氨基酸并重新组装成新的蛋白质来重复回收，以产生新的材料原料。将“安全和可持续设计”原则融入材料开发的早期阶段，进一步确保在材料的整个生命周期中融入环境和社会考虑因素。这些进步共同定义了一个受自然启发的循环经济材料回收框架，该框架以可扩展的创新、分子更新和升级回收为基础，将蛋白质定位为闭合碳循环的关键。</w:t>
      </w:r>
    </w:p>
    <w:p>
      <w:pPr>
        <w:spacing w:before="0" w:after="200" w:lineRule="auto" w:line="276"/>
      </w:pPr>
      <w:r>
        <w:rPr>
          <w:b/>
        </w:rPr>
        <w:t xml:space="preserve">Abstract (EN): </w:t>
      </w:r>
      <w:r>
        <w:t>Modern industries exhibit a systemic disconnect in the management of carbon resources across sectors that contributes to disproportionately high greenhouse gas emissions. The food sector, for example, discards protein-rich side streams and carbohydrate-rich waste that could be converted into renewable carbon feedstocks, whereas the manufacturing sector consumes non-renewable, petroleum-based carbon feedstocks for material synthesis. This Review examines valorization routes that could address this imbalance by transforming proteins extracted from food side streams or created by fungal bioconversion of carbohydrate-rich food waste into feedstocks that enable the production of sustainable materials for packaging, water purification, CO2 capture and energy conversion, as well as surface-engineered applications such as coatings, biosensors and emulsifiers. At the end of their useful or service life, these materials (unlike those recycled using conventional linear approaches) can be repeatedly recycled via depolymerization into amino acids and reassembly into new proteins to yield new material feedstocks. Embedding ‘safe and sustainable by design’ principles into the early stages of material development further ensures that environmental and societal considerations are integrated throughout the material’s life cycle. Together, these advances define a nature-inspired circular-economy material recycling framework grounded in scalable innovation, molecular renewal and upcycling that positions proteins as key to closing the carbon loop.</w:t>
      </w:r>
    </w:p>
    <w:p>
      <w:pPr>
        <w:spacing w:before="120" w:after="120"/>
      </w:pPr>
      <w:r>
        <w:rPr>
          <w:sz w:val="18"/>
        </w:rPr>
        <w:t>——————————————————————————————————————————————————————————————————————</w:t>
      </w:r>
    </w:p>
    <w:p>
      <w:pPr>
        <w:spacing w:before="160" w:after="40" w:line="240" w:lineRule="auto"/>
      </w:pPr>
      <w:r>
        <w:rPr>
          <w:b/>
        </w:rPr>
        <w:t xml:space="preserve">[2] </w:t>
      </w:r>
      <w:hyperlink r:id="rId299">
        <w:r>
          <w:rPr>
            <w:color w:val="1155CC"/>
            <w:u w:val="single"/>
          </w:rPr>
          <w:t>协同超分子活化和动态碱度补充实现含酯塑料的可持续回收</w:t>
        </w:r>
      </w:hyperlink>
    </w:p>
    <w:p>
      <w:pPr>
        <w:spacing w:before="0" w:after="80"/>
      </w:pPr>
      <w:r>
        <w:rPr>
          <w:i/>
          <w:sz w:val="20"/>
        </w:rPr>
        <w:t>EN: Synergistic Supramolecular Activation and Dynamic Alkalinity Replenishing for Sustainable Recycling of Ester‐Containing Plastics</w:t>
      </w:r>
    </w:p>
    <w:p>
      <w:pPr>
        <w:spacing w:before="0" w:after="120"/>
      </w:pPr>
      <w:r>
        <w:rPr>
          <w:b/>
        </w:rPr>
        <w:t xml:space="preserve">Source: </w:t>
      </w:r>
      <w:r>
        <w:t>Wiley: Angewandte Chemie International Edition: Table of Contents</w:t>
      </w:r>
      <w:r>
        <w:t xml:space="preserve">    </w:t>
      </w:r>
      <w:r>
        <w:rPr>
          <w:b/>
        </w:rPr>
        <w:t xml:space="preserve">Pub date: </w:t>
      </w:r>
      <w:r>
        <w:t>2026-05-26 16:25:52+00:00</w:t>
      </w:r>
      <w:r>
        <w:t xml:space="preserve">    </w:t>
      </w:r>
      <w:r>
        <w:rPr>
          <w:b/>
        </w:rPr>
        <w:t xml:space="preserve">DOI: </w:t>
      </w:r>
      <w:hyperlink r:id="rId300">
        <w:r>
          <w:rPr>
            <w:color w:val="1155CC"/>
            <w:u w:val="single"/>
          </w:rPr>
          <w:t>10.1002/anie.9300642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碱性水解是回收聚酯塑料的一种有前途的策略，但其实际部署受到碱性悖论的阻碍：需要过量的碱性溶液来维持反应动力学，同时会导致严重的设备腐蚀和废水负担。在这里，我们展示了一种溶剂诱导的碱性自我补充策略，可以在非常温和的条件下有效回收各种含酯塑料，包括热固性塑料（例如，不饱和聚酯树脂、环氧树脂、乙烯基酯树脂）和热塑性塑料（例如，PET、PBAT）。通过利用 KOH 在 1,3-二甲基-2-咪唑啉酮 (DMI) 中的温度依赖性溶解度，我们建立了动态​​碱平衡：室温下的低溶解度将其很大程度上限制在固相中，而加热则促进溶解，补充消耗的碱并防止动力学停滞。表征证据表明 DMI 作为分子共激活剂，与 K 形成超分子复合物</w:t>
      </w:r>
      <w:r>
        <w:t xml:space="preserve"> </w:t>
      </w:r>
      <w:r>
        <w:t>+</w:t>
      </w:r>
      <w:r>
        <w:t xml:space="preserve"> </w:t>
      </w:r>
      <w:r>
        <w:t>增强OH</w:t>
      </w:r>
      <w:r>
        <w:t xml:space="preserve"> </w:t>
      </w:r>
      <w:r>
        <w:t>-</w:t>
      </w:r>
      <w:r>
        <w:t>同时具有亲核性和极化酯键。该系统可以通过冷却时的自动沉淀轻松回收 KOH，确保出色的可重复使用性。我们的工作为不同聚合物结构的可持续回收提供了一个通用且具有成本效益的动态方法框架。</w:t>
      </w:r>
    </w:p>
    <w:p>
      <w:pPr>
        <w:spacing w:before="0" w:after="200" w:lineRule="auto" w:line="276"/>
      </w:pPr>
      <w:r>
        <w:rPr>
          <w:b/>
        </w:rPr>
        <w:t xml:space="preserve">Abstract (EN): </w:t>
      </w:r>
      <w:r>
        <w:t>Although alkaline hydrolysis represents a promising strategy for recycling polyester plastics, its practical deployment is hampered by the alkaline paradox: the excessive alkaline solution is required to sustain reaction kinetics, while it leads to severe equipment corrosion and wastewater burdens. Here we demonstrate a solvent‐induced alkaline self‐replenishing strategy that enables efficient recycling of diverse ester‐containing plastics, including thermosets (e.g., unsaturated polyester resin, epoxy resin, vinyl ester resin) and thermoplastics (e.g., PET, PBAT) under remarkably mild conditions. By exploiting the temperature‐dependent solubility of KOH in 1,3‐dimethyl‐2‐imidazolidinone (DMI), we established a dynamic alkaline balance: low solubility at room temperature confines it largely to the solid phase, whereas heating promotes dissolution that replenishes consumed base and prevents kinetic stagnation. Characterization evidence reveals that DMI acts as a molecular co‐activator, forming supramolecular complexes with K</w:t>
      </w:r>
      <w:r>
        <w:t xml:space="preserve"> </w:t>
      </w:r>
      <w:r>
        <w:t>+</w:t>
      </w:r>
      <w:r>
        <w:t xml:space="preserve"> </w:t>
      </w:r>
      <w:r>
        <w:t>to enhance OH</w:t>
      </w:r>
      <w:r>
        <w:t xml:space="preserve"> </w:t>
      </w:r>
      <w:r>
        <w:t>−</w:t>
      </w:r>
      <w:r>
        <w:t>nucleophilicity and polarize ester bonds simultaneously. This system allows for the easy recovery of KOH via auto‐precipitation upon cooling, ensuring excellent reusability. Our work offers a universal and cost‐efficient dynamic methodological framework for the sustainable recycling of diverse polymer architectures.</w:t>
      </w:r>
    </w:p>
    <w:p>
      <w:pPr>
        <w:spacing w:before="120" w:after="120"/>
      </w:pPr>
      <w:r>
        <w:rPr>
          <w:sz w:val="18"/>
        </w:rPr>
        <w:t>——————————————————————————————————————————————————————————————————————</w:t>
      </w:r>
    </w:p>
    <w:p>
      <w:pPr>
        <w:spacing w:before="160" w:after="40" w:line="240" w:lineRule="auto"/>
      </w:pPr>
      <w:r>
        <w:rPr>
          <w:b/>
        </w:rPr>
        <w:t xml:space="preserve">[3] </w:t>
      </w:r>
      <w:hyperlink r:id="rId261">
        <w:r>
          <w:rPr>
            <w:color w:val="1155CC"/>
            <w:u w:val="single"/>
          </w:rPr>
          <w:t>通过串联加氢热解和气相加氢将塑料废物常压转化为喷气燃料环烷烃</w:t>
        </w:r>
      </w:hyperlink>
    </w:p>
    <w:p>
      <w:pPr>
        <w:spacing w:before="0" w:after="80"/>
      </w:pPr>
      <w:r>
        <w:rPr>
          <w:i/>
          <w:sz w:val="20"/>
        </w:rPr>
        <w:t>EN: Ambient-pressure conversion of plastic waste to jet fuel cycloalkanes by tandem hydropyrolysis and vapour-phase hydrogenation</w:t>
      </w:r>
    </w:p>
    <w:p>
      <w:pPr>
        <w:spacing w:before="0" w:after="120"/>
      </w:pPr>
      <w:r>
        <w:rPr>
          <w:b/>
        </w:rPr>
        <w:t xml:space="preserve">Source: </w:t>
      </w:r>
      <w:r>
        <w:t>Nature Energy</w:t>
      </w:r>
      <w:r>
        <w:t xml:space="preserve">    </w:t>
      </w:r>
      <w:r>
        <w:rPr>
          <w:b/>
        </w:rPr>
        <w:t xml:space="preserve">Pub date: </w:t>
      </w:r>
      <w:r>
        <w:t>2026-05-27 00:00:00+00:00</w:t>
      </w:r>
      <w:r>
        <w:t xml:space="preserve">    </w:t>
      </w:r>
      <w:r>
        <w:rPr>
          <w:b/>
        </w:rPr>
        <w:t xml:space="preserve">DOI: </w:t>
      </w:r>
      <w:hyperlink r:id="rId262">
        <w:r>
          <w:rPr>
            <w:color w:val="1155CC"/>
            <w:u w:val="single"/>
          </w:rPr>
          <w:t>10.1038/s41560-026-02078-7</w:t>
        </w:r>
      </w:hyperlink>
    </w:p>
    <w:p>
      <w:pPr>
        <w:spacing w:before="0" w:after="120"/>
      </w:pPr>
      <w:r>
        <w:rPr>
          <w:b/>
        </w:rPr>
        <w:t xml:space="preserve">Notes: </w:t>
      </w:r>
      <w:r>
        <w:t>abstract_source=nature_html</w:t>
      </w:r>
    </w:p>
    <w:p>
      <w:pPr>
        <w:spacing w:before="0" w:after="80" w:lineRule="auto" w:line="276"/>
      </w:pPr>
      <w:r>
        <w:rPr>
          <w:b/>
        </w:rPr>
        <w:t xml:space="preserve">摘要（ZH）: </w:t>
      </w:r>
      <w:r>
        <w:t>将塑料废物转化为航空燃料可以支持航空业的脱碳，但目前的升级改造路线依赖于高压（~3 MPa）和较长的反应时间（长达 144 小时）。在这里，我们报告了一种由 Co-Al 氧化物 (RuSA@CoAlOx) 上的单原子 Ru 催化剂实现的串联加氢热解和气相加氢策略。该催化剂在常压下苯加氢的周转频率达到144 s−1，超过商业Ru/C的100倍以上。在串联固定床反应器中，在 460 °C 下进行加氢热解，并在 160 °C 下进行下游气相加氢，聚苯乙烯在 0.15 MPa 下转化为 94.8 wt% 环烷烃，在大气压下转化为 59 wt% 环烷烃。该方法扩展到混合塑料，实现了喷气燃料范围内碳氢化合物的产率超过 82 wt%。该催化剂在连续气相加氢过程中保持稳定超过 110 小时。生命周期分析表明，相对于石油基喷气燃料，从井到泵的二氧化碳排放量减少了 73%，技术经济分析表明，具有竞争力的最低售价为每公斤 1.0-1.8 美元。</w:t>
      </w:r>
    </w:p>
    <w:p>
      <w:pPr>
        <w:spacing w:before="0" w:after="200" w:lineRule="auto" w:line="276"/>
      </w:pPr>
      <w:r>
        <w:rPr>
          <w:b/>
        </w:rPr>
        <w:t xml:space="preserve">Abstract (EN): </w:t>
      </w:r>
      <w:r>
        <w:t>Converting plastic waste into jet fuel could support the decarbonization of the aviation industry, yet current upcycling routes rely on high pressures (~3 MPa) and prolonged reaction times (up to 144 h). Here we report a tandem hydropyrolysis and vapour-phase hydrogenation strategy enabled by a single-atom Ru catalyst on Co-Al oxides (RuSA@CoAlOx). The catalyst achieves a turnover frequency of 144 s−1 for benzene hydrogenation at atmospheric pressure, exceeding that of commercial Ru/C by over 100-fold. In a tandem fixed-bed reactor with hydropyrolysis at 460 °C and downstream vapour-phase hydrogenation at 160 °C, polystyrene is converted to 94.8 wt% cycloalkanes at 0.15 MPa and to 59 wt% cycloalkanes at atmospheric pressure. The approach extends to mixed plastics, achieving jet-fuel-range hydrocarbon yields above 82 wt%. The catalyst remains stable for over 110 h during continuous vapour-phase hydrogenation. Life-cycle analysis indicates a 73% reduction in well-to-pump CO2 emissions relative to petroleum-based jet fuel, and techno-economic analysis suggests a competitive minimum selling price of US$1.0–1.8 per kg.</w:t>
      </w:r>
    </w:p>
    <w:p>
      <w:pPr>
        <w:spacing w:before="120" w:after="120"/>
      </w:pPr>
      <w:r>
        <w:rPr>
          <w:sz w:val="18"/>
        </w:rPr>
        <w:t>——————————————————————————————————————————————————————————————————————</w:t>
      </w:r>
    </w:p>
    <w:p>
      <w:pPr>
        <w:spacing w:before="160" w:after="40" w:line="240" w:lineRule="auto"/>
      </w:pPr>
      <w:r>
        <w:rPr>
          <w:b/>
        </w:rPr>
        <w:t xml:space="preserve">[4] </w:t>
      </w:r>
      <w:hyperlink r:id="rId301">
        <w:r>
          <w:rPr>
            <w:color w:val="1155CC"/>
            <w:u w:val="single"/>
          </w:rPr>
          <w:t>将塑料垃圾袋升级为用于传感平台的石墨烯@二氧化硅织物</w:t>
        </w:r>
      </w:hyperlink>
    </w:p>
    <w:p>
      <w:pPr>
        <w:spacing w:before="0" w:after="80"/>
      </w:pPr>
      <w:r>
        <w:rPr>
          <w:i/>
          <w:sz w:val="20"/>
        </w:rPr>
        <w:t>EN: Upcycling of plastic garbage bags to graphene@silica fabric for sensing platforms</w:t>
      </w:r>
    </w:p>
    <w:p>
      <w:pPr>
        <w:spacing w:before="0" w:after="120"/>
      </w:pPr>
      <w:r>
        <w:rPr>
          <w:b/>
        </w:rPr>
        <w:t xml:space="preserve">Source: </w:t>
      </w:r>
      <w:r>
        <w:t>Nature Sustainability</w:t>
      </w:r>
      <w:r>
        <w:t xml:space="preserve">    </w:t>
      </w:r>
      <w:r>
        <w:rPr>
          <w:b/>
        </w:rPr>
        <w:t xml:space="preserve">Pub date: </w:t>
      </w:r>
      <w:r>
        <w:t>2026-05-27 00:00:00+00:00</w:t>
      </w:r>
      <w:r>
        <w:t xml:space="preserve">    </w:t>
      </w:r>
      <w:r>
        <w:rPr>
          <w:b/>
        </w:rPr>
        <w:t xml:space="preserve">DOI: </w:t>
      </w:r>
      <w:hyperlink r:id="rId302">
        <w:r>
          <w:rPr>
            <w:color w:val="1155CC"/>
            <w:u w:val="single"/>
          </w:rPr>
          <w:t>10.1038/s41893-026-01837-4</w:t>
        </w:r>
      </w:hyperlink>
    </w:p>
    <w:p>
      <w:pPr>
        <w:spacing w:before="0" w:after="120"/>
      </w:pPr>
      <w:r>
        <w:rPr>
          <w:b/>
        </w:rPr>
        <w:t xml:space="preserve">Notes: </w:t>
      </w:r>
      <w:r>
        <w:t>abstract_source=nature_html</w:t>
      </w:r>
    </w:p>
    <w:p>
      <w:pPr>
        <w:spacing w:before="0" w:after="80" w:lineRule="auto" w:line="276"/>
      </w:pPr>
      <w:r>
        <w:rPr>
          <w:b/>
        </w:rPr>
        <w:t xml:space="preserve">摘要（ZH）: </w:t>
      </w:r>
      <w:r>
        <w:t>具有高耐用性和多功能性的柔性传感器对于极端条件下的下一代可穿戴技术和应用至关重要。然而，大多数现有传感器都采用基于聚合物的基板，其本质上耐热性差、结构和化学稳定性不足以及不可持续的大规模制造。在这里，我们开发了一种缠绕化学气相沉积方法，使用废塑料垃圾袋作为固体碳前体，在二氧化硅织物（G@SF）上实现石墨烯的均匀生长，同时实现高性能纺织品生产，以实现成本效益高的传感器制造和废塑料升级回收，以解决环境污染。通过利用编织结构和石墨烯层的激光响应特性的优势，可以通过可编程激光擦除从获得的 G@SF 中制造多功能传感器。这些传感器具有可靠的多模式传感功能，包括温度检测、压力和变形监测以及近场通信。 The G@SF sensors exhibit excellent thermal stability of up to 1,000 °C, mechanical flexibility and chemical robustness.集成 G@SF 传感器的概念验证智能手套进一步凸显了其多功能性和恶劣条件下的弹性。这项研究提出了一种利用塑料废物制造可持续且高性能柔性传感器织物的可行策略。</w:t>
      </w:r>
    </w:p>
    <w:p>
      <w:pPr>
        <w:spacing w:before="0" w:after="200" w:lineRule="auto" w:line="276"/>
      </w:pPr>
      <w:r>
        <w:rPr>
          <w:b/>
        </w:rPr>
        <w:t xml:space="preserve">Abstract (EN): </w:t>
      </w:r>
      <w:r>
        <w:t>Flexible sensors with high durability and multifunctionality are essential for next-generation wearable technologies and applications under extreme conditions. However, most existing sensors are subjected to polymer-based substrates, which intrinsically experience poor thermal resistance, insufficient structural and chemical robustness, and unsustainable large-scale fabrication. Here we develop a winding chemical vapour deposition method using waste plastic garbage bags as solid carbon precursors to achieve uniform graphene growth on silica fabric (G@SF), simultaneously enabling high-performance textile production for cost-efficient sensor fabrication and waste plastic upcycling to address environmental pollution. By leveraging the advantages of both the woven architecture and the laser-responsive nature of the graphene layer, multifunctional sensors can be fabricated from the obtained G@SF via programmable laser erasing. These sensors have reliable multimodal sensing capabilities, including temperature detection, pressure and deformation monitoring and near-field communication. The G@SF sensors exhibit excellent thermal stability of up to 1,000 °C, mechanical flexibility and chemical robustness. A proof-of-concept smart glove that integrates G@SF sensors further highlights their multifunctionality and resilience under harsh conditions. This study presents a viable strategy for fabricating sustainable and high-performance flexible sensor fabrics from plastic waste.</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303">
        <w:r>
          <w:rPr>
            <w:color w:val="1155CC"/>
            <w:u w:val="single"/>
          </w:rPr>
          <w:t>多级氢键可实现可拉伸、自修复和高迁移率的聚合物半导体</w:t>
        </w:r>
      </w:hyperlink>
    </w:p>
    <w:p>
      <w:pPr>
        <w:spacing w:before="0" w:after="80"/>
      </w:pPr>
      <w:r>
        <w:rPr>
          <w:i/>
          <w:sz w:val="20"/>
        </w:rPr>
        <w:t>EN: Hierarchical hydrogen bonds enable stretchable, self-healing, and high mobility polymer semiconductors</w:t>
      </w:r>
    </w:p>
    <w:p>
      <w:pPr>
        <w:spacing w:before="0" w:after="120"/>
      </w:pPr>
      <w:r>
        <w:rPr>
          <w:b/>
        </w:rPr>
        <w:t xml:space="preserve">Source: </w:t>
      </w:r>
      <w:r>
        <w:t>National Science Review Advance Access</w:t>
      </w:r>
      <w:r>
        <w:t xml:space="preserve">    </w:t>
      </w:r>
      <w:r>
        <w:rPr>
          <w:b/>
        </w:rPr>
        <w:t xml:space="preserve">Pub date: </w:t>
      </w:r>
      <w:r>
        <w:t>2026-05-23 00:00:00+00:00</w:t>
      </w:r>
      <w:r>
        <w:t xml:space="preserve">    </w:t>
      </w:r>
      <w:r>
        <w:rPr>
          <w:b/>
        </w:rPr>
        <w:t xml:space="preserve">DOI: </w:t>
      </w:r>
      <w:hyperlink r:id="rId304">
        <w:r>
          <w:rPr>
            <w:color w:val="1155CC"/>
            <w:u w:val="single"/>
          </w:rPr>
          <w:t>10.1093/nsr/nwag277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305">
        <w:r>
          <w:rPr>
            <w:color w:val="1155CC"/>
            <w:u w:val="single"/>
          </w:rPr>
          <w:t>AAV9介导的基因替代疗法治疗小鼠脊髓性肌萎缩症的长期比较分析</w:t>
        </w:r>
      </w:hyperlink>
    </w:p>
    <w:p>
      <w:pPr>
        <w:spacing w:before="0" w:after="80"/>
      </w:pPr>
      <w:r>
        <w:rPr>
          <w:i/>
          <w:sz w:val="20"/>
        </w:rPr>
        <w:t>EN: Long-term comparative analysis of AAV9-mediated gene replacement therapies for spinal muscular atrophy in mice</w:t>
      </w:r>
    </w:p>
    <w:p>
      <w:pPr>
        <w:spacing w:before="0" w:after="120"/>
      </w:pPr>
      <w:r>
        <w:rPr>
          <w:b/>
        </w:rPr>
        <w:t xml:space="preserve">Source: </w:t>
      </w:r>
      <w:r>
        <w:t>Nature Communications</w:t>
      </w:r>
      <w:r>
        <w:t xml:space="preserve">    </w:t>
      </w:r>
      <w:r>
        <w:rPr>
          <w:b/>
        </w:rPr>
        <w:t xml:space="preserve">Pub date: </w:t>
      </w:r>
      <w:r>
        <w:t>2026-05-23 00:00:00+00:00</w:t>
      </w:r>
      <w:r>
        <w:t xml:space="preserve">    </w:t>
      </w:r>
      <w:r>
        <w:rPr>
          <w:b/>
        </w:rPr>
        <w:t xml:space="preserve">DOI: </w:t>
      </w:r>
      <w:hyperlink r:id="rId306">
        <w:r>
          <w:rPr>
            <w:color w:val="1155CC"/>
            <w:u w:val="single"/>
          </w:rPr>
          <w:t>10.1038/s41467-026-73545-8</w:t>
        </w:r>
      </w:hyperlink>
    </w:p>
    <w:p>
      <w:pPr>
        <w:spacing w:before="0" w:after="120"/>
      </w:pPr>
      <w:r>
        <w:rPr>
          <w:b/>
        </w:rPr>
        <w:t xml:space="preserve">Notes: </w:t>
      </w:r>
      <w:r>
        <w:t>abstract_source=nature_html</w:t>
      </w:r>
    </w:p>
    <w:p>
      <w:pPr>
        <w:spacing w:before="0" w:after="80" w:lineRule="auto" w:line="276"/>
      </w:pPr>
      <w:r>
        <w:rPr>
          <w:b/>
        </w:rPr>
        <w:t xml:space="preserve">摘要（ZH）: </w:t>
      </w:r>
      <w:r>
        <w:t>脊髓性肌萎缩症 (SMA) 是由于运动神经元存活蛋白 (SMN) 缺乏所致。 Zolgensma 是一种基于腺相关病毒 (AAV) 的 SMN1 基因替代疗法，已被批准用于 SMA，但其长期疗效和安全性仍不确定。本研究将 Zolgensma 样基准载体与第二代载体进行了比较，第二代载体具有在内源 SMN1 启动子控制下的密码子优化的 SMN1 转基因。在 SMA 小鼠中，与基准相比，第二代载体的脑室内递送改善了存活率和表型结果。然而，注射第二代载体 20 个月后，在野生型小鼠中观察到运动障碍。值得注意的是，心脏血栓形成和肝细胞癌与基准向量相关，但与第二代向量无关。虽然 AAV 相关的肿瘤发生似乎对小鼠具有物种特异性，但这些发现强调需要对接受 Zolgensma 治疗的患者进行仔细的长期监测。</w:t>
      </w:r>
    </w:p>
    <w:p>
      <w:pPr>
        <w:spacing w:before="0" w:after="200" w:lineRule="auto" w:line="276"/>
      </w:pPr>
      <w:r>
        <w:rPr>
          <w:b/>
        </w:rPr>
        <w:t xml:space="preserve">Abstract (EN): </w:t>
      </w:r>
      <w:r>
        <w:t>Spinal muscular atrophy (SMA) results from a deficiency of the survival motor neuron (SMN) protein. Zolgensma, an adeno-associated virus (AAV)-based SMN1 gene-replacement therapy, is approved for SMA, though its long-term efficacy and safety remain uncertain. This study compares a Zolgensma-like benchmark vector with a 2nd-generation vector featuring a codon-optimized SMN1 transgene under the control of an endogenous SMN1 promoter. In SMA mice, intracerebroventricular delivery of the 2nd-generation vector improved survival and phenotypic outcomes compared with the benchmark. However, motor impairment was observed in wild-type mice 20 months post-injection with the 2nd-generation vector. Notably, cardiac thrombosis and hepatocellular carcinoma were associated with the benchmark vector, but not with the 2nd-generation vector. While AAV-related tumorigenesis appears to be species-specific to mice, these findings underscore the need for careful long‑term monitoring in patients treated with Zolgensma.</w:t>
      </w:r>
    </w:p>
    <w:p>
      <w:pPr>
        <w:spacing w:before="120" w:after="120"/>
      </w:pPr>
      <w:r>
        <w:rPr>
          <w:sz w:val="18"/>
        </w:rPr>
        <w:t>——————————————————————————————————————————————————————————————————————</w:t>
      </w:r>
    </w:p>
    <w:p>
      <w:pPr>
        <w:spacing w:before="160" w:after="40" w:line="240" w:lineRule="auto"/>
      </w:pPr>
      <w:r>
        <w:rPr>
          <w:b/>
        </w:rPr>
        <w:t xml:space="preserve">[3] </w:t>
      </w:r>
      <w:hyperlink r:id="rId307">
        <w:r>
          <w:rPr>
            <w:color w:val="1155CC"/>
            <w:u w:val="single"/>
          </w:rPr>
          <w:t>基于聚合物涂层纳米线海绵的接触电催化系统，可同时消毒和去除多种微污染物</w:t>
        </w:r>
      </w:hyperlink>
    </w:p>
    <w:p>
      <w:pPr>
        <w:spacing w:before="0" w:after="80"/>
      </w:pPr>
      <w:r>
        <w:rPr>
          <w:i/>
          <w:sz w:val="20"/>
        </w:rPr>
        <w:t>EN: A polymer-coated nanowire sponge–based contact electrocatalytic system for simultaneous disinfection and removal of multiple micropollutants</w:t>
      </w:r>
    </w:p>
    <w:p>
      <w:pPr>
        <w:spacing w:before="0" w:after="120"/>
      </w:pPr>
      <w:r>
        <w:rPr>
          <w:b/>
        </w:rPr>
        <w:t xml:space="preserve">Source: </w:t>
      </w:r>
      <w:r>
        <w:t>Nature Communications</w:t>
      </w:r>
      <w:r>
        <w:t xml:space="preserve">    </w:t>
      </w:r>
      <w:r>
        <w:rPr>
          <w:b/>
        </w:rPr>
        <w:t xml:space="preserve">Pub date: </w:t>
      </w:r>
      <w:r>
        <w:t>2026-05-23 00:00:00+00:00</w:t>
      </w:r>
      <w:r>
        <w:t xml:space="preserve">    </w:t>
      </w:r>
      <w:r>
        <w:rPr>
          <w:b/>
        </w:rPr>
        <w:t xml:space="preserve">DOI: </w:t>
      </w:r>
      <w:hyperlink r:id="rId308">
        <w:r>
          <w:rPr>
            <w:color w:val="1155CC"/>
            <w:u w:val="single"/>
          </w:rPr>
          <w:t>10.1038/s41467-026-73425-1</w:t>
        </w:r>
      </w:hyperlink>
    </w:p>
    <w:p>
      <w:pPr>
        <w:spacing w:before="0" w:after="120"/>
      </w:pPr>
      <w:r>
        <w:rPr>
          <w:b/>
        </w:rPr>
        <w:t xml:space="preserve">Notes: </w:t>
      </w:r>
      <w:r>
        <w:t>abstract_source=nature_html</w:t>
      </w:r>
    </w:p>
    <w:p>
      <w:pPr>
        <w:spacing w:before="0" w:after="80" w:lineRule="auto" w:line="276"/>
      </w:pPr>
      <w:r>
        <w:rPr>
          <w:b/>
        </w:rPr>
        <w:t xml:space="preserve">摘要（ZH）: </w:t>
      </w:r>
      <w:r>
        <w:t>由于处理效率低、催化剂成本高以及残留化学品的风险，去除废水中的各种污染物仍然是一个重大挑战。在这项工作中，我们介绍了一种基于聚合物涂层纳米线海绵（PNS）的接触电催化（CEC）系统，用于实现微生物的消毒和多种微污染物的降解。在超声波刺激下，PNS 促进界面电子转移并产生高速率的活性氧 (ROS)。其协同ROS产生和静电荷电穿孔可在3分钟内实现99%以上的消毒，同时在环境条件下降解染料、废轮胎浸出液并减少废水中的重金属离子。该系统还具有 20.2 ± 0.1 μmol h-1 的高过氧化氢 (H2O2) 生产率。此外，PNS 表现出出色的多功能性、易于回收和可重复使用性，凸显了其在使用点和大规模废水处理应用中的强大潜力。</w:t>
      </w:r>
    </w:p>
    <w:p>
      <w:pPr>
        <w:spacing w:before="0" w:after="200" w:lineRule="auto" w:line="276"/>
      </w:pPr>
      <w:r>
        <w:rPr>
          <w:b/>
        </w:rPr>
        <w:t xml:space="preserve">Abstract (EN): </w:t>
      </w:r>
      <w:r>
        <w:t>The removal of diverse contaminants in wastewater remains a major challenge due to low treatment efficiencies, high catalyst costs, and risks of residual chemicals. In this work, we introduce a polymer-coated nanowire sponge (PNS) based contact electro-catalysis (CEC) system for achieving the disinfection of microorganisms and the degradation of multiple micropollutants. Under ultrasonic stimulation, PNS facilitates interfacial electron transfer and generates a high rate of reactive oxygen species (ROS). Its synergistic ROS generation and static charge electroporation achieve over 99% disinfection within 3 minutes while degrading dyes, waste tire leachate, and reducing heavy metal ions in wastewater under ambient conditions. The system also exhibits a high hydrogen peroxide (H₂O₂) production rate of 20.2 ± 0.1 μmol h⁻¹. Furthermore, PNS demonstrates excellent versatility, ease of recovery, and reusability, highlighting its strong potential for both point-of-use and large-scale wastewater treatment applications.</w:t>
      </w:r>
    </w:p>
    <w:p>
      <w:pPr>
        <w:spacing w:before="120" w:after="120"/>
      </w:pPr>
      <w:r>
        <w:rPr>
          <w:sz w:val="18"/>
        </w:rPr>
        <w:t>——————————————————————————————————————————————————————————————————————</w:t>
      </w:r>
    </w:p>
    <w:p>
      <w:pPr>
        <w:spacing w:before="160" w:after="40" w:line="240" w:lineRule="auto"/>
      </w:pPr>
      <w:r>
        <w:rPr>
          <w:b/>
        </w:rPr>
        <w:t xml:space="preserve">[4] </w:t>
      </w:r>
      <w:hyperlink r:id="rId309">
        <w:r>
          <w:rPr>
            <w:color w:val="1155CC"/>
            <w:u w:val="single"/>
          </w:rPr>
          <w:t>腹外侧延髓中的星形胶质细胞激活调节呼吸和觉醒状态</w:t>
        </w:r>
      </w:hyperlink>
    </w:p>
    <w:p>
      <w:pPr>
        <w:spacing w:before="0" w:after="80"/>
      </w:pPr>
      <w:r>
        <w:rPr>
          <w:i/>
          <w:sz w:val="20"/>
        </w:rPr>
        <w:t>EN: Astrocyte activation in the ventrolateral medulla modulates breathing and arousal states</w:t>
      </w:r>
    </w:p>
    <w:p>
      <w:pPr>
        <w:spacing w:before="0" w:after="120"/>
      </w:pPr>
      <w:r>
        <w:rPr>
          <w:b/>
        </w:rPr>
        <w:t xml:space="preserve">Source: </w:t>
      </w:r>
      <w:r>
        <w:t>Nature Communications</w:t>
      </w:r>
      <w:r>
        <w:t xml:space="preserve">    </w:t>
      </w:r>
      <w:r>
        <w:rPr>
          <w:b/>
        </w:rPr>
        <w:t xml:space="preserve">Pub date: </w:t>
      </w:r>
      <w:r>
        <w:t>2026-05-23 00:00:00+00:00</w:t>
      </w:r>
      <w:r>
        <w:t xml:space="preserve">    </w:t>
      </w:r>
      <w:r>
        <w:rPr>
          <w:b/>
        </w:rPr>
        <w:t xml:space="preserve">DOI: </w:t>
      </w:r>
      <w:hyperlink r:id="rId310">
        <w:r>
          <w:rPr>
            <w:color w:val="1155CC"/>
            <w:u w:val="single"/>
          </w:rPr>
          <w:t>10.1038/s41467-026-73208-8</w:t>
        </w:r>
      </w:hyperlink>
    </w:p>
    <w:p>
      <w:pPr>
        <w:spacing w:before="0" w:after="120"/>
      </w:pPr>
      <w:r>
        <w:rPr>
          <w:b/>
        </w:rPr>
        <w:t xml:space="preserve">Notes: </w:t>
      </w:r>
      <w:r>
        <w:t>abstract_source=nature_html</w:t>
      </w:r>
    </w:p>
    <w:p>
      <w:pPr>
        <w:spacing w:before="0" w:after="80" w:lineRule="auto" w:line="276"/>
      </w:pPr>
      <w:r>
        <w:rPr>
          <w:b/>
        </w:rPr>
        <w:t xml:space="preserve">摘要（ZH）: </w:t>
      </w:r>
      <w:r>
        <w:t>星形胶质细胞在调节生物体的大脑状态中发挥着至关重要的作用。具体来说，它们调节呼吸行为和相关的大脑状态，包括通过感知氧气和二氧化碳水平的变化来促进呼吸阶段之间的转换、调节睡眠-觉醒周期以及影响觉醒和觉醒。在这里，我们测试了这样的假设：腹侧呼吸柱（VRC）中的星形胶质细胞对于警觉小鼠的唤醒和叹息产生很重要。我们的结果表明，VRC 中的一部分 Aldh1l1 细胞在叹息产生之前被激活，并因缺氧而被招募。 VRC 中 Aldh1l1 星形胶质细胞的化学遗传学或光遗传学激活增加了唤起叹息的可能性。我们还证明，激活 Aldh1l1 星形胶质细胞会在叹息唤醒之前增加 VRC 中儿茶酚胺能神经元的钙瞬变。我们得出的结论是，髓质星形胶质细胞可以调节叹息的产生和唤醒转变，并且对于缺氧的通气和唤醒反应很重要。</w:t>
      </w:r>
    </w:p>
    <w:p>
      <w:pPr>
        <w:spacing w:before="0" w:after="200" w:lineRule="auto" w:line="276"/>
      </w:pPr>
      <w:r>
        <w:rPr>
          <w:b/>
        </w:rPr>
        <w:t xml:space="preserve">Abstract (EN): </w:t>
      </w:r>
      <w:r>
        <w:t>Astrocytes play vital roles in regulating brain states across organisms. Specifically, they regulate breathing behaviors and associated brain states, including facilitating transitions between breathing phases by sensing changes in O₂ and CO₂ levels, regulating the sleep-wake cycle, and impacting arousal and wakefulness. Here, we test the hypothesis that astrocytes in the ventral respiratory column (VRC) are important for arousal and sigh generation in alert mice. Our results reveal that a subset of Aldh1l1 cells in the VRC are activated prior to sigh generation and are recruited by hypoxia. Chemogenetic or optogenetic activation of Aldh1l1 astrocytes in the VRC increased the probability of evoking arousals with sighs. We also demonstrated that activating Aldh1l1 astrocytes increased calcium transients in catecholaminergic neurons in the VRC immediately before arousal with sighs. We conclude that medullary astrocytes can modulate sigh generation and arousal transitions, and are important for the ventilatory and arousal response to hypoxia.</w:t>
      </w:r>
    </w:p>
    <w:p>
      <w:pPr>
        <w:spacing w:before="120" w:after="120"/>
      </w:pPr>
      <w:r>
        <w:rPr>
          <w:sz w:val="18"/>
        </w:rPr>
        <w:t>——————————————————————————————————————————————————————————————————————</w:t>
      </w:r>
    </w:p>
    <w:p>
      <w:pPr>
        <w:spacing w:before="160" w:after="40" w:line="240" w:lineRule="auto"/>
      </w:pPr>
      <w:r>
        <w:rPr>
          <w:b/>
        </w:rPr>
        <w:t xml:space="preserve">[5] </w:t>
      </w:r>
      <w:hyperlink r:id="rId311">
        <w:r>
          <w:rPr>
            <w:color w:val="1155CC"/>
            <w:u w:val="single"/>
          </w:rPr>
          <w:t>来自芳基醛或羧酸的苯丙氨酸衍生物的组合生物合成和位点特异性掺入</w:t>
        </w:r>
      </w:hyperlink>
    </w:p>
    <w:p>
      <w:pPr>
        <w:spacing w:before="0" w:after="80"/>
      </w:pPr>
      <w:r>
        <w:rPr>
          <w:i/>
          <w:sz w:val="20"/>
        </w:rPr>
        <w:t>EN: Combined biosynthesis and site-specific incorporation of phenylalanine derivatives from aryl aldehydes or carboxylic acids</w:t>
      </w:r>
    </w:p>
    <w:p>
      <w:pPr>
        <w:spacing w:before="0" w:after="120"/>
      </w:pPr>
      <w:r>
        <w:rPr>
          <w:b/>
        </w:rPr>
        <w:t xml:space="preserve">Source: </w:t>
      </w:r>
      <w:r>
        <w:t>Nature Communications</w:t>
      </w:r>
      <w:r>
        <w:t xml:space="preserve">    </w:t>
      </w:r>
      <w:r>
        <w:rPr>
          <w:b/>
        </w:rPr>
        <w:t xml:space="preserve">Pub date: </w:t>
      </w:r>
      <w:r>
        <w:t>2026-05-23 00:00:00+00:00</w:t>
      </w:r>
      <w:r>
        <w:t xml:space="preserve">    </w:t>
      </w:r>
      <w:r>
        <w:rPr>
          <w:b/>
        </w:rPr>
        <w:t xml:space="preserve">DOI: </w:t>
      </w:r>
      <w:hyperlink r:id="rId312">
        <w:r>
          <w:rPr>
            <w:color w:val="1155CC"/>
            <w:u w:val="single"/>
          </w:rPr>
          <w:t>10.1038/s41467-026-73618-8</w:t>
        </w:r>
      </w:hyperlink>
    </w:p>
    <w:p>
      <w:pPr>
        <w:spacing w:before="0" w:after="120"/>
      </w:pPr>
      <w:r>
        <w:rPr>
          <w:b/>
        </w:rPr>
        <w:t xml:space="preserve">Notes: </w:t>
      </w:r>
      <w:r>
        <w:t>abstract_source=nature_html</w:t>
      </w:r>
    </w:p>
    <w:p>
      <w:pPr>
        <w:spacing w:before="0" w:after="80" w:lineRule="auto" w:line="276"/>
      </w:pPr>
      <w:r>
        <w:rPr>
          <w:b/>
        </w:rPr>
        <w:t xml:space="preserve">摘要（ZH）: </w:t>
      </w:r>
      <w:r>
        <w:t>遗传密码扩展（GCE）在活细胞中的应用广泛且不断涌现，但由于依赖于细胞培养基中补充非标准氨基酸（nsAA）而受到限制。在这里，我们报告了单一工程细菌宿主的设计，该宿主执行苯丙氨酸衍生物半合成和目标蛋白中的位点特异性掺入的步骤。我们的平台途径对商业上普遍存在的芳基醛或羧酸的非手性结构单元表现出广泛的底物特异性，产生最常用于 GCE 的 nsAA 家族。我们展示了 12 种不同的 nsAA 的生物合成，并使用基于荧光报告基因测定的常见正交翻译系统 (OTS) 观察了这些化学物质的组合生物合成和掺入。我们还表明，nsAA 生物合成和 GCE 步骤的结合可以扩展合成营养缺陷型的内在生物遏制策略的化学范围，从依赖 nsAA 改为依赖低成本和非手性构建模块。我们的平台应该有助于工业规模生产含有 nsAA 的蛋白质，并为缺乏分离或传统合成专业知识的实验室提供昂贵或商业上无法获得的化学品的民主化。</w:t>
      </w:r>
    </w:p>
    <w:p>
      <w:pPr>
        <w:spacing w:before="0" w:after="200" w:lineRule="auto" w:line="276"/>
      </w:pPr>
      <w:r>
        <w:rPr>
          <w:b/>
        </w:rPr>
        <w:t xml:space="preserve">Abstract (EN): </w:t>
      </w:r>
      <w:r>
        <w:t>Applications of genetic code expansion (GCE) in live cells are widespread and continually emerging, yet they have been limited by their reliance on the supplementation of non-standard amino acids (nsAAs) to cell culturing media. Here, we report the design of a single engineered bacterial host that performs the steps of phenylalanine derivative semi-synthesis and site-specific incorporation within target proteins. Our platform pathway exhibits broad substrate specificity towards commercially ubiquitous, achiral building blocks of aryl aldehydes or carboxylic acids, producing the family of nsAAs that are most frequently used for GCE. We demonstrate biosynthesis of 12 distinct nsAAs, and we observe combined biosynthesis and incorporation for these chemistries using common orthogonal translation systems (OTSs) based on a fluorescent reporter assay. We additionally show that the combination of nsAA biosynthesis and GCE steps can extend the chemical reach of the intrinsic biological containment strategy of synthetic auxotrophy from reliance on nsAAs to instead reliance on low-cost and achiral building blocks. Our platform should aid industrial-scale manufacturing of proteins that contain nsAAs and democratize access to expensive or commercially unavailable chemistries for labs that lack separations or traditional synthesis expertise.</w:t>
      </w:r>
    </w:p>
    <w:p>
      <w:pPr>
        <w:spacing w:before="120" w:after="120"/>
      </w:pPr>
      <w:r>
        <w:rPr>
          <w:sz w:val="18"/>
        </w:rPr>
        <w:t>——————————————————————————————————————————————————————————————————————</w:t>
      </w:r>
    </w:p>
    <w:p>
      <w:pPr>
        <w:spacing w:before="160" w:after="40" w:line="240" w:lineRule="auto"/>
      </w:pPr>
      <w:r>
        <w:rPr>
          <w:b/>
        </w:rPr>
        <w:t xml:space="preserve">[6] </w:t>
      </w:r>
      <w:hyperlink r:id="rId313">
        <w:r>
          <w:rPr>
            <w:color w:val="1155CC"/>
            <w:u w:val="single"/>
          </w:rPr>
          <w:t>分散世界中的能源贫困趋同：来自非经合组织国家的多维证据</w:t>
        </w:r>
      </w:hyperlink>
    </w:p>
    <w:p>
      <w:pPr>
        <w:spacing w:before="0" w:after="80"/>
      </w:pPr>
      <w:r>
        <w:rPr>
          <w:i/>
          <w:sz w:val="20"/>
        </w:rPr>
        <w:t>EN: Energy poverty convergence in a fragmented world: Multidimensional evidence from non-OECD countries</w:t>
      </w:r>
    </w:p>
    <w:p>
      <w:pPr>
        <w:spacing w:before="0" w:after="120"/>
      </w:pPr>
      <w:r>
        <w:rPr>
          <w:b/>
        </w:rPr>
        <w:t xml:space="preserve">Source: </w:t>
      </w:r>
      <w:r>
        <w:t>ScienceDirect Publication: Energy Policy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314">
        <w:r>
          <w:rPr>
            <w:color w:val="1155CC"/>
            <w:u w:val="single"/>
          </w:rPr>
          <w:t>时间反转对称性破缺的手性光子晶体腔的实现</w:t>
        </w:r>
      </w:hyperlink>
    </w:p>
    <w:p>
      <w:pPr>
        <w:spacing w:before="0" w:after="80"/>
      </w:pPr>
      <w:r>
        <w:rPr>
          <w:i/>
          <w:sz w:val="20"/>
        </w:rPr>
        <w:t>EN: Realization of a chiral photonic-crystal cavity with broken time-reversal symmetry</w:t>
      </w:r>
    </w:p>
    <w:p>
      <w:pPr>
        <w:spacing w:before="0" w:after="120"/>
      </w:pPr>
      <w:r>
        <w:rPr>
          <w:b/>
        </w:rPr>
        <w:t xml:space="preserve">Source: </w:t>
      </w:r>
      <w:r>
        <w:t>Nature Communications</w:t>
      </w:r>
      <w:r>
        <w:t xml:space="preserve">    </w:t>
      </w:r>
      <w:r>
        <w:rPr>
          <w:b/>
        </w:rPr>
        <w:t xml:space="preserve">Pub date: </w:t>
      </w:r>
      <w:r>
        <w:t>2026-05-23 00:00:00+00:00</w:t>
      </w:r>
      <w:r>
        <w:t xml:space="preserve">    </w:t>
      </w:r>
      <w:r>
        <w:rPr>
          <w:b/>
        </w:rPr>
        <w:t xml:space="preserve">DOI: </w:t>
      </w:r>
      <w:hyperlink r:id="rId315">
        <w:r>
          <w:rPr>
            <w:color w:val="1155CC"/>
            <w:u w:val="single"/>
          </w:rPr>
          <w:t>10.1038/s41467-026-73446-w</w:t>
        </w:r>
      </w:hyperlink>
    </w:p>
    <w:p>
      <w:pPr>
        <w:spacing w:before="0" w:after="120"/>
      </w:pPr>
      <w:r>
        <w:rPr>
          <w:b/>
        </w:rPr>
        <w:t xml:space="preserve">Notes: </w:t>
      </w:r>
      <w:r>
        <w:t>abstract_source=nature_html</w:t>
      </w:r>
    </w:p>
    <w:p>
      <w:pPr>
        <w:spacing w:before="0" w:after="80" w:lineRule="auto" w:line="276"/>
      </w:pPr>
      <w:r>
        <w:rPr>
          <w:b/>
        </w:rPr>
        <w:t xml:space="preserve">摘要（ZH）: </w:t>
      </w:r>
      <w:r>
        <w:t>手性空腔提供了一种通过打破基本对称性来操纵材料特性的有趣方法。然而，只有少数手性腔实现被证明具有破缺的时间反转对称性，其中大多数依赖于强磁场、圆偏振 Floquet 驱动或腔模式与物质激发之间的超强耦合。在这里，我们提出了一个一维太赫兹光子晶体腔，它表现出破缺的时间反转对称性。腔体由夹在 InSb 晶圆之间的硅晶圆组成。通过利用磁等离子体的不可逆太赫兹响应和 InSb 中的低电子有效质量，在 0.3 T 的适度磁场下实现了 0.67 THz 的圆偏振腔模式，品质因数超过 50。与温度、磁场和偏振相关的测量和模拟证明了具有破缺时间反转对称性的手性腔，为探索太赫兹区域中的手性光-物质相互作用和真空包裹的量子凝聚态物质提供了一个强大的平台。</w:t>
      </w:r>
    </w:p>
    <w:p>
      <w:pPr>
        <w:spacing w:before="0" w:after="200" w:lineRule="auto" w:line="276"/>
      </w:pPr>
      <w:r>
        <w:rPr>
          <w:b/>
        </w:rPr>
        <w:t xml:space="preserve">Abstract (EN): </w:t>
      </w:r>
      <w:r>
        <w:t>Chiral cavities offer an intriguing way to manipulate material properties by breaking fundamental symmetries. However, only a few chiral cavity implementations exhibiting broken time-reversal symmetry have been demonstrated, with most relying on either strong magnetic fields, circularly polarized Floquet driving, or ultrastrong coupling between cavity modes and matter excitations. Here, we present a one-dimensional terahertz photonic-crystal cavity that exhibits broken time-reversal symmetry. The cavity consists of a silicon wafer sandwiched between InSb wafers. By exploiting the nonreciprocal terahertz response of a magnetoplasma and the low electron effective mass in InSb, a circularly polarized cavity mode at 0.67 THz under a modest magnetic field of 0.3 T, with a quality factor exceeding 50 is realized. Temperature-, magnetic field-, and polarization-dependent measurements and simulations demonstrate the chiral cavity with broken time-reversal symmetry, providing a robust platform for exploring chiral light–matter interactions and vacuum dressed quantum condensed matter in the terahertz regime.</w:t>
      </w:r>
    </w:p>
    <w:p>
      <w:pPr>
        <w:spacing w:before="120" w:after="120"/>
      </w:pPr>
      <w:r>
        <w:rPr>
          <w:sz w:val="18"/>
        </w:rPr>
        <w:t>——————————————————————————————————————————————————————————————————————</w:t>
      </w:r>
    </w:p>
    <w:p>
      <w:pPr>
        <w:spacing w:before="160" w:after="40" w:line="240" w:lineRule="auto"/>
      </w:pPr>
      <w:r>
        <w:rPr>
          <w:b/>
        </w:rPr>
        <w:t xml:space="preserve">[8] </w:t>
      </w:r>
      <w:hyperlink r:id="rId316">
        <w:r>
          <w:rPr>
            <w:color w:val="1155CC"/>
            <w:u w:val="single"/>
          </w:rPr>
          <w:t>由激励兼容的点对点能源市场驱动的配电系统弹性增强</w:t>
        </w:r>
      </w:hyperlink>
    </w:p>
    <w:p>
      <w:pPr>
        <w:spacing w:before="0" w:after="80"/>
      </w:pPr>
      <w:r>
        <w:rPr>
          <w:i/>
          <w:sz w:val="20"/>
        </w:rPr>
        <w:t>EN: Distribution system resilience enhancement driven by incentive-compatible Peer-to-Peer energy market</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317">
        <w:r>
          <w:rPr>
            <w:color w:val="1155CC"/>
            <w:u w:val="single"/>
          </w:rPr>
          <w:t>气候和安全挑战下能源系统的复原力作为所有灾害的系统属性</w:t>
        </w:r>
      </w:hyperlink>
    </w:p>
    <w:p>
      <w:pPr>
        <w:spacing w:before="0" w:after="80"/>
      </w:pPr>
      <w:r>
        <w:rPr>
          <w:i/>
          <w:sz w:val="20"/>
        </w:rPr>
        <w:t>EN: Energy system resilience as an all-hazards system-of-systems property under climate and security challenges</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318">
        <w:r>
          <w:rPr>
            <w:color w:val="1155CC"/>
            <w:u w:val="single"/>
          </w:rPr>
          <w:t>双层电网扩容规划的梯度法</w:t>
        </w:r>
      </w:hyperlink>
    </w:p>
    <w:p>
      <w:pPr>
        <w:spacing w:before="0" w:after="80"/>
      </w:pPr>
      <w:r>
        <w:rPr>
          <w:i/>
          <w:sz w:val="20"/>
        </w:rPr>
        <w:t>EN: Gradient methods for bilevel electricity grid expansion planning</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319">
        <w:r>
          <w:rPr>
            <w:color w:val="1155CC"/>
            <w:u w:val="single"/>
          </w:rPr>
          <w:t>CrossSTLLM：一种连续自适应时空大语言模型，用于不同分布的风力涡轮机的异常检测和故障定位</w:t>
        </w:r>
      </w:hyperlink>
    </w:p>
    <w:p>
      <w:pPr>
        <w:spacing w:before="0" w:after="80"/>
      </w:pPr>
      <w:r>
        <w:rPr>
          <w:i/>
          <w:sz w:val="20"/>
        </w:rPr>
        <w:t>EN: CrossSTLLM: A continually adaptive spatiotemporal large language model for anomaly detection and fault localization in wind turbines with diverse distribution</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320">
        <w:r>
          <w:rPr>
            <w:color w:val="1155CC"/>
            <w:u w:val="single"/>
          </w:rPr>
          <w:t>共享水域的激励分割：引入海上风电退役的多参与者技术经济评估框架</w:t>
        </w:r>
      </w:hyperlink>
    </w:p>
    <w:p>
      <w:pPr>
        <w:spacing w:before="0" w:after="80"/>
      </w:pPr>
      <w:r>
        <w:rPr>
          <w:i/>
          <w:sz w:val="20"/>
        </w:rPr>
        <w:t>EN: Split incentives in shared waters: Introducing a multi-actor techno-economic assessment framework for offshore wind decommissioning</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321">
        <w:r>
          <w:rPr>
            <w:color w:val="1155CC"/>
            <w:u w:val="single"/>
          </w:rPr>
          <w:t>超越眼前救助：精准扶贫对家庭用电的动态影响</w:t>
        </w:r>
      </w:hyperlink>
    </w:p>
    <w:p>
      <w:pPr>
        <w:spacing w:before="0" w:after="80"/>
      </w:pPr>
      <w:r>
        <w:rPr>
          <w:i/>
          <w:sz w:val="20"/>
        </w:rPr>
        <w:t>EN: Beyond immediate relief: the dynamic effects of targeted poverty alleviation on household electricity consumption</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22">
        <w:r>
          <w:rPr>
            <w:color w:val="1155CC"/>
            <w:u w:val="single"/>
          </w:rPr>
          <w:t>考虑投机行为的互联多能源系统的分布式鲁棒混合博弈机制</w:t>
        </w:r>
      </w:hyperlink>
    </w:p>
    <w:p>
      <w:pPr>
        <w:spacing w:before="0" w:after="80"/>
      </w:pPr>
      <w:r>
        <w:rPr>
          <w:i/>
          <w:sz w:val="20"/>
        </w:rPr>
        <w:t>EN: Distributed robust hybrid game mechanism for interconnected multi-energy systems considering speculative behavior</w:t>
      </w:r>
    </w:p>
    <w:p>
      <w:pPr>
        <w:spacing w:before="0" w:after="120"/>
      </w:pPr>
      <w:r>
        <w:rPr>
          <w:b/>
        </w:rPr>
        <w:t xml:space="preserve">Source: </w:t>
      </w:r>
      <w:r>
        <w:t>ScienceDirect Publication: Applied Energy</w:t>
      </w:r>
      <w:r>
        <w:t xml:space="preserve">    </w:t>
      </w:r>
      <w:r>
        <w:rPr>
          <w:b/>
        </w:rPr>
        <w:t xml:space="preserve">Pub date: </w:t>
      </w:r>
      <w:r>
        <w:t>2026-05-23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23">
        <w:r>
          <w:rPr>
            <w:color w:val="1155CC"/>
            <w:u w:val="single"/>
          </w:rPr>
          <w:t>具有强圆二色性和未衰减动态光谱位移的超分子共价杂化手性聚合物</w:t>
        </w:r>
      </w:hyperlink>
    </w:p>
    <w:p>
      <w:pPr>
        <w:spacing w:before="0" w:after="80"/>
      </w:pPr>
      <w:r>
        <w:rPr>
          <w:i/>
          <w:sz w:val="20"/>
        </w:rPr>
        <w:t>EN: Supramolecular‐Covalent Hybrid Chiral Polymers with Strong Circular Dichroism and Unattenuated Dynamic Spectral Shift</w:t>
      </w:r>
    </w:p>
    <w:p>
      <w:pPr>
        <w:spacing w:before="0" w:after="120"/>
      </w:pPr>
      <w:r>
        <w:rPr>
          <w:b/>
        </w:rPr>
        <w:t xml:space="preserve">Source: </w:t>
      </w:r>
      <w:r>
        <w:t>Wiley: Advanced Materials: Table of Contents</w:t>
      </w:r>
      <w:r>
        <w:t xml:space="preserve">    </w:t>
      </w:r>
      <w:r>
        <w:rPr>
          <w:b/>
        </w:rPr>
        <w:t xml:space="preserve">Pub date: </w:t>
      </w:r>
      <w:r>
        <w:t>2026-05-23 06:06:46+00:00</w:t>
      </w:r>
      <w:r>
        <w:t xml:space="preserve">    </w:t>
      </w:r>
      <w:r>
        <w:rPr>
          <w:b/>
        </w:rPr>
        <w:t xml:space="preserve">DOI: </w:t>
      </w:r>
      <w:hyperlink r:id="rId324">
        <w:r>
          <w:rPr>
            <w:color w:val="1155CC"/>
            <w:u w:val="single"/>
          </w:rPr>
          <w:t>10.1002/adma.73463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学活性手性聚合物一直在推动手性光学、光电子学和传感器领域的进步。然而，实现强圆二色性（CD）强度和高度可调的手性光学响应仍然是手性聚合物的一个关键但具有挑战性的目标。在这里，我们报道了一种超分子-共价杂化手性聚合物，它表现出动态可调的CD光谱，具有大的光谱位移，同时保持高强度。溶液中双链手性单体的超分子聚合产生由堆叠纳米带的扭曲原纤维组成的凝胶。单体链上的丁二炔基团以长程手性顺序排列并进行原位拓扑化学聚合，形成超分子共价杂化聚合物。该聚合物材料呈深蓝色，在 670 nm 处显示出超过 1° 的强 CD。值得注意的是，随着加热时蓝到红的色变，CD 峰移至 565 nm，但其幅度没有衰减。机理研究表明，具有热响应共轭主链的共价聚合物负责动态光谱偏移，而超分子聚合物则有助于持续的高强度。不寻常的CD响应使得聚合物能够在基于圆偏振的高安全性信息存储中使用。超分子和共价聚合的整合提供了创建用于先进光学应用及其他应用的功能性手性聚合物的策略。</w:t>
      </w:r>
    </w:p>
    <w:p>
      <w:pPr>
        <w:spacing w:before="0" w:after="200" w:lineRule="auto" w:line="276"/>
      </w:pPr>
      <w:r>
        <w:rPr>
          <w:b/>
        </w:rPr>
        <w:t xml:space="preserve">Abstract (EN): </w:t>
      </w:r>
      <w:r>
        <w:t>Optically active chiral polymers have been fuelling advances in chiroptics, optoelectronics and sensors. However, achieving strong circular dichroism (CD) intensity and highly tunable chiroptical responses remains a critical yet challenging goal for chiral polymers. Here we report a supramolecular–covalent hybrid chiral polymer that exhibits dynamically tunable CD spectra with large spectral shifts while retaining high intensity. Supramolecular polymerization of a two‐chain chiral monomer in solution yields gels composed of twisted fibrils of stacked nanoribbons. The diacetylene groups on the monomer chains align in long‐range chiral order and undergo in situ topochemical polymerization, resulting in a supramolecular‐covalent hybrid polymer. The polymer material appears dark blue and displays strong CD exceeding 1° at 670 nm. Remarkably, along with a blue‐to‐red chromatic transition upon heating, the CD peak shifts to 565 nm without attenuation of its magnitude. Mechanism study indicates the covalent polymer with a heat‐responsive conjugated backbone is responsible for the dynamic spectral shift, whereas the supramolecular polymer contributes to the persistent high intensity. The unusual CD responses enable the use of the polymer in high‐security information storage based on circular polarizations. The integration of supramolecular and covalent polymerizations provides strategies to create functional chiral polymers for advanced optical applications and beyond.</w:t>
      </w:r>
    </w:p>
    <w:p>
      <w:pPr>
        <w:spacing w:before="120" w:after="120"/>
      </w:pPr>
      <w:r>
        <w:rPr>
          <w:sz w:val="18"/>
        </w:rPr>
        <w:t>——————————————————————————————————————————————————————————————————————</w:t>
      </w:r>
    </w:p>
    <w:p>
      <w:pPr>
        <w:spacing w:before="160" w:after="40" w:line="240" w:lineRule="auto"/>
      </w:pPr>
      <w:r>
        <w:rPr>
          <w:b/>
        </w:rPr>
        <w:t xml:space="preserve">[16] </w:t>
      </w:r>
      <w:hyperlink r:id="rId325">
        <w:r>
          <w:rPr>
            <w:color w:val="1155CC"/>
            <w:u w:val="single"/>
          </w:rPr>
          <w:t>多孔支撑表面下的催化剂捉迷藏：通过共振能量转移精确定位活性位点分布</w:t>
        </w:r>
      </w:hyperlink>
    </w:p>
    <w:p>
      <w:pPr>
        <w:spacing w:before="0" w:after="80"/>
      </w:pPr>
      <w:r>
        <w:rPr>
          <w:i/>
          <w:sz w:val="20"/>
        </w:rPr>
        <w:t>EN: Catalyst Hide‐and‐Seek Beneath Porous Support Surfaces: Pinpointing Active Site Distribution Through Resonance Energy Transfer</w:t>
      </w:r>
    </w:p>
    <w:p>
      <w:pPr>
        <w:spacing w:before="0" w:after="120"/>
      </w:pPr>
      <w:r>
        <w:rPr>
          <w:b/>
        </w:rPr>
        <w:t xml:space="preserve">Source: </w:t>
      </w:r>
      <w:r>
        <w:t>Wiley: Angewandte Chemie International Edition: Table of Contents</w:t>
      </w:r>
      <w:r>
        <w:t xml:space="preserve">    </w:t>
      </w:r>
      <w:r>
        <w:rPr>
          <w:b/>
        </w:rPr>
        <w:t xml:space="preserve">Pub date: </w:t>
      </w:r>
      <w:r>
        <w:t>2026-05-23 11:30:18+00:00</w:t>
      </w:r>
      <w:r>
        <w:t xml:space="preserve">    </w:t>
      </w:r>
      <w:r>
        <w:rPr>
          <w:b/>
        </w:rPr>
        <w:t xml:space="preserve">DOI: </w:t>
      </w:r>
      <w:hyperlink r:id="rId326">
        <w:r>
          <w:rPr>
            <w:color w:val="1155CC"/>
            <w:u w:val="single"/>
          </w:rPr>
          <w:t>10.1002/anie.4042285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均相催化剂的高选择性和效率与多相系统的可回收性相结合代表了一个有吸引力的、行业驱动的概念，可以通过将现有分子催化剂纳入多孔固态基质中来实现“多相化”。本文提出的概念使用福斯特共振能量转移分析来建立基质拓扑、催化剂集成策略和多孔材料中活性位点定位之间的第一个直接相关性，而无需使用荧光模型系统。这种催化剂映射方法可应用于几类多孔材料，包括金属有机框架和介孔二氧化硅。它解决了在催化转化前后控制此类基质内分子催化剂空间表面（重新）分布的因素之间的现有挑战。在一系列六种不同的催化剂集成材料的例子中，活性位点分布的 Å 级映射与多孔主体的性质和催化剂集成机制相关，这决定了集成催化剂的负载和可及性。因此，这些研究为开发一个框架来指导可回收的多相催化剂的设计奠定了基础，该催化剂在催化转化之前和之后都具有明确的活性位点分布，这是多相催化的关键基本参数。</w:t>
      </w:r>
    </w:p>
    <w:p>
      <w:pPr>
        <w:spacing w:before="0" w:after="200" w:lineRule="auto" w:line="276"/>
      </w:pPr>
      <w:r>
        <w:rPr>
          <w:b/>
        </w:rPr>
        <w:t xml:space="preserve">Abstract (EN): </w:t>
      </w:r>
      <w:r>
        <w:t>Merging the high selectivity and efficiency of homogeneous catalysts with the recyclability of heterogeneous systems represents an attractive, industry‐driven concept that can be realized through the “heterogenization” of existing molecular catalysts by incorporating them into porous solid‐state matrices. The concept proposed herein uses Förster resonance energy transfer analysis to establish the first direct correlations among matrix topology, catalyst integration strategy, and active site positioning in porous materials without employing fluorescent model systems. This catalyst mapping method can be applied to several classes of porous materials, including metal‐organic frameworks and mesoporous silica. It addresses the existing challenges in relating the factors that control the spatial surface (re)distribution of molecular catalysts within such matrices before and after catalytic transformations. On the example of a series of six different catalyst‐integrated materials, Å‐level mapping of active site distribution was correlated with the nature of the porous host and the catalyst integration mechanism, which dictates the loading and accessibility of integrated catalysts. Thus, these studies provide a foundation for developing a framework to guide the design of recyclable heterogeneous catalysts with well‐defined active site distributions, both before and after catalytic transformations, which are key fundamental parameters for heterogeneous catalysis.</w:t>
      </w:r>
    </w:p>
    <w:p>
      <w:pPr>
        <w:spacing w:before="120" w:after="120"/>
      </w:pPr>
      <w:r>
        <w:rPr>
          <w:sz w:val="18"/>
        </w:rPr>
        <w:t>——————————————————————————————————————————————————————————————————————</w:t>
      </w:r>
    </w:p>
    <w:p>
      <w:pPr>
        <w:spacing w:before="160" w:after="40" w:line="240" w:lineRule="auto"/>
      </w:pPr>
      <w:r>
        <w:rPr>
          <w:b/>
        </w:rPr>
        <w:t xml:space="preserve">[17] </w:t>
      </w:r>
      <w:hyperlink r:id="rId327">
        <w:r>
          <w:rPr>
            <w:color w:val="1155CC"/>
            <w:u w:val="single"/>
          </w:rPr>
          <w:t>通过协同 Ta 单原子/Ga 路易斯酸催化剂将甲烷直接光催化转化为丙酮</w:t>
        </w:r>
      </w:hyperlink>
    </w:p>
    <w:p>
      <w:pPr>
        <w:spacing w:before="0" w:after="80"/>
      </w:pPr>
      <w:r>
        <w:rPr>
          <w:i/>
          <w:sz w:val="20"/>
        </w:rPr>
        <w:t>EN: Direct Photocatalytic Conversion of Methane to Acetone Through a Synergistic Ta Single‐Atom/Ga Lewis Acid Catalyst</w:t>
      </w:r>
    </w:p>
    <w:p>
      <w:pPr>
        <w:spacing w:before="0" w:after="120"/>
      </w:pPr>
      <w:r>
        <w:rPr>
          <w:b/>
        </w:rPr>
        <w:t xml:space="preserve">Source: </w:t>
      </w:r>
      <w:r>
        <w:t>Wiley: Angewandte Chemie International Edition: Table of Contents</w:t>
      </w:r>
      <w:r>
        <w:t xml:space="preserve">    </w:t>
      </w:r>
      <w:r>
        <w:rPr>
          <w:b/>
        </w:rPr>
        <w:t xml:space="preserve">Pub date: </w:t>
      </w:r>
      <w:r>
        <w:t>2026-05-23 11:33:34+00:00</w:t>
      </w:r>
      <w:r>
        <w:t xml:space="preserve">    </w:t>
      </w:r>
      <w:r>
        <w:rPr>
          <w:b/>
        </w:rPr>
        <w:t xml:space="preserve">DOI: </w:t>
      </w:r>
      <w:hyperlink r:id="rId328">
        <w:r>
          <w:rPr>
            <w:color w:val="1155CC"/>
            <w:u w:val="single"/>
          </w:rPr>
          <w:t>10.1002/anie.2764179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由于目前的碳封端吸附结构和中间体浓度不足，在环境条件下将甲烷直接光催化转化为 ≥ C3 含氧化合物仍然极具挑战性，并且很大程度上尚未得到探索。在此，我们展示了高效的 γ-Ga</w:t>
      </w:r>
      <w:r>
        <w:rPr>
          <w:vertAlign w:val="subscript"/>
        </w:rPr>
        <w:t>2</w:t>
      </w:r>
      <w:r>
        <w:t>氧</w:t>
      </w:r>
      <w:r>
        <w:rPr>
          <w:vertAlign w:val="subscript"/>
        </w:rPr>
        <w:t>3</w:t>
      </w:r>
      <w:r>
        <w:t>具有固定在 Ga 上的高密度 Ta 单原子的量子点催化剂</w:t>
      </w:r>
      <w:r>
        <w:t xml:space="preserve"> </w:t>
      </w:r>
      <w:r>
        <w:t>四号</w:t>
      </w:r>
      <w:r>
        <w:t xml:space="preserve"> </w:t>
      </w:r>
      <w:r>
        <w:t>职位空缺（Ta</w:t>
      </w:r>
      <w:r>
        <w:rPr>
          <w:vertAlign w:val="subscript"/>
        </w:rPr>
        <w:t>1</w:t>
      </w:r>
      <w:r>
        <w:t>‐Ga</w:t>
      </w:r>
      <w:r>
        <w:rPr>
          <w:vertAlign w:val="subscript"/>
        </w:rPr>
        <w:t>2</w:t>
      </w:r>
      <w:r>
        <w:t>氧</w:t>
      </w:r>
      <w:r>
        <w:rPr>
          <w:vertAlign w:val="subscript"/>
        </w:rPr>
        <w:t>3</w:t>
      </w:r>
      <w:r>
        <w:t>QD），具有协同 Ta 单原子/Ga 路易斯酸结构。不饱和d</w:t>
      </w:r>
      <w:r>
        <w:rPr>
          <w:vertAlign w:val="subscript"/>
        </w:rPr>
        <w:t>0</w:t>
      </w:r>
      <w:r>
        <w:t>‐TaO</w:t>
      </w:r>
      <w:r>
        <w:rPr>
          <w:vertAlign w:val="subscript"/>
        </w:rPr>
        <w:t>4</w:t>
      </w:r>
      <w:r>
        <w:t>位点稳定了独特的氧封端 η 中的关键乙酰基中间体</w:t>
      </w:r>
      <w:r>
        <w:rPr>
          <w:vertAlign w:val="subscript"/>
        </w:rPr>
        <w:t>1</w:t>
      </w:r>
      <w:r>
        <w:t>(O)-CH</w:t>
      </w:r>
      <w:r>
        <w:rPr>
          <w:vertAlign w:val="subscript"/>
        </w:rPr>
        <w:t>3</w:t>
      </w:r>
      <w:r>
        <w:t>CO构型，最大限度地减少空间位阻，同时增强羰基碳的亲电性，极大地促进了第二个C-C偶联步骤。同时，Ga位点富集-CH</w:t>
      </w:r>
      <w:r>
        <w:rPr>
          <w:vertAlign w:val="subscript"/>
        </w:rPr>
        <w:t>3</w:t>
      </w:r>
      <w:r>
        <w:t>用于连续 C-C 偶联转化的中间体。协同结构实现了CH的单步光催化转化</w:t>
      </w:r>
      <w:r>
        <w:rPr>
          <w:vertAlign w:val="subscript"/>
        </w:rPr>
        <w:t>4</w:t>
      </w:r>
      <w:r>
        <w:t>和H</w:t>
      </w:r>
      <w:r>
        <w:rPr>
          <w:vertAlign w:val="subscript"/>
        </w:rPr>
        <w:t>2</w:t>
      </w:r>
      <w:r>
        <w:t>O 转化为丙酮，产率为 86.7 µmol g</w:t>
      </w:r>
      <w:r>
        <w:t xml:space="preserve"> </w:t>
      </w:r>
      <w:r>
        <w:t>−1</w:t>
      </w:r>
      <w:r>
        <w:t xml:space="preserve"> </w:t>
      </w:r>
      <w:r>
        <w:t>小时</w:t>
      </w:r>
      <w:r>
        <w:t xml:space="preserve"> </w:t>
      </w:r>
      <w:r>
        <w:t>−1</w:t>
      </w:r>
    </w:p>
    <w:p>
      <w:pPr>
        <w:spacing w:before="0" w:after="200" w:lineRule="auto" w:line="276"/>
      </w:pPr>
      <w:r>
        <w:rPr>
          <w:b/>
        </w:rPr>
        <w:t xml:space="preserve">Abstract (EN): </w:t>
      </w:r>
      <w:r>
        <w:t>Direct photocatalytic conversion of methane to ≥ C3 oxygenates under ambient conditions remains highly challenging and largely unexplored due to the current carbon‐terminated adsorption configurations and insufficient concentration of intermediates. Herein, we demonstrated efficient γ‐Ga</w:t>
      </w:r>
      <w:r>
        <w:rPr>
          <w:vertAlign w:val="subscript"/>
        </w:rPr>
        <w:t>2</w:t>
      </w:r>
      <w:r>
        <w:t>O</w:t>
      </w:r>
      <w:r>
        <w:rPr>
          <w:vertAlign w:val="subscript"/>
        </w:rPr>
        <w:t>3</w:t>
      </w:r>
      <w:r>
        <w:t>quantum dot catalysts with high‐density Ta single atoms anchored at Ga</w:t>
      </w:r>
      <w:r>
        <w:t xml:space="preserve"> </w:t>
      </w:r>
      <w:r>
        <w:t>IV</w:t>
      </w:r>
      <w:r>
        <w:t xml:space="preserve"> </w:t>
      </w:r>
      <w:r>
        <w:t>vacancies (Ta</w:t>
      </w:r>
      <w:r>
        <w:rPr>
          <w:vertAlign w:val="subscript"/>
        </w:rPr>
        <w:t>1</w:t>
      </w:r>
      <w:r>
        <w:t>‐Ga</w:t>
      </w:r>
      <w:r>
        <w:rPr>
          <w:vertAlign w:val="subscript"/>
        </w:rPr>
        <w:t>2</w:t>
      </w:r>
      <w:r>
        <w:t>O</w:t>
      </w:r>
      <w:r>
        <w:rPr>
          <w:vertAlign w:val="subscript"/>
        </w:rPr>
        <w:t>3</w:t>
      </w:r>
      <w:r>
        <w:t>QDs), featuring a synergistic Ta single‐atom/Ga Lewis acid architecture. The unsaturated d</w:t>
      </w:r>
      <w:r>
        <w:rPr>
          <w:vertAlign w:val="subscript"/>
        </w:rPr>
        <w:t>0</w:t>
      </w:r>
      <w:r>
        <w:t>‐TaO</w:t>
      </w:r>
      <w:r>
        <w:rPr>
          <w:vertAlign w:val="subscript"/>
        </w:rPr>
        <w:t>4</w:t>
      </w:r>
      <w:r>
        <w:t>site stabilizes key acetyl intermediates in a distinctive oxygen‐terminated η</w:t>
      </w:r>
      <w:r>
        <w:rPr>
          <w:vertAlign w:val="subscript"/>
        </w:rPr>
        <w:t>1</w:t>
      </w:r>
      <w:r>
        <w:t>(O)‐CH</w:t>
      </w:r>
      <w:r>
        <w:rPr>
          <w:vertAlign w:val="subscript"/>
        </w:rPr>
        <w:t>3</w:t>
      </w:r>
      <w:r>
        <w:t>CO configuration, minimizing steric hindrance while enhancing carbonyl carbon electrophilicity, greatly facilitating the second C–C coupling step. Concurrently, Ga sites enrich –CH</w:t>
      </w:r>
      <w:r>
        <w:rPr>
          <w:vertAlign w:val="subscript"/>
        </w:rPr>
        <w:t>3</w:t>
      </w:r>
      <w:r>
        <w:t>intermediates for sequential C–C coupling conversion. The synergistic architecture achieved single‐step photocatalytic conversion of CH</w:t>
      </w:r>
      <w:r>
        <w:rPr>
          <w:vertAlign w:val="subscript"/>
        </w:rPr>
        <w:t>4</w:t>
      </w:r>
      <w:r>
        <w:t>and H</w:t>
      </w:r>
      <w:r>
        <w:rPr>
          <w:vertAlign w:val="subscript"/>
        </w:rPr>
        <w:t>2</w:t>
      </w:r>
      <w:r>
        <w:t>O to acetone with a yield of 86.7 µmol g</w:t>
      </w:r>
      <w:r>
        <w:t xml:space="preserve"> </w:t>
      </w:r>
      <w:r>
        <w:t>−1</w:t>
      </w:r>
      <w:r>
        <w:t xml:space="preserve"> </w:t>
      </w:r>
      <w:r>
        <w:t>h</w:t>
      </w:r>
      <w:r>
        <w:t xml:space="preserve"> </w:t>
      </w:r>
      <w:r>
        <w:t>−1</w:t>
      </w:r>
      <w:r>
        <w:t xml:space="preserve"> </w:t>
      </w:r>
      <w:r>
        <w:t>, with the carbon‐based selectivity of 56.2% or the liquid phase selectivity of 81.2%, and a 20.7% apparent quantum yield (AQY) at 254 nm, which has not been achieved by the current noble metal‐based photocatalysts. This work demonstrates the unique capability of unsaturated</w:t>
      </w:r>
      <w:r>
        <w:t xml:space="preserve"> </w:t>
      </w:r>
      <w:r>
        <w:t>d</w:t>
      </w:r>
      <w:r>
        <w:rPr>
          <w:vertAlign w:val="subscript"/>
        </w:rPr>
        <w:t>0</w:t>
      </w:r>
      <w:r>
        <w:t>single‐atom sites for modulation of intermediate configurations, unlocking a pathway for ≥ C3 oxygenate synthesis from methane.</w:t>
      </w:r>
    </w:p>
    <w:p>
      <w:pPr>
        <w:spacing w:before="120" w:after="120"/>
      </w:pPr>
      <w:r>
        <w:rPr>
          <w:sz w:val="18"/>
        </w:rPr>
        <w:t>——————————————————————————————————————————————————————————————————————</w:t>
      </w:r>
    </w:p>
    <w:p>
      <w:pPr>
        <w:spacing w:before="160" w:after="40" w:line="240" w:lineRule="auto"/>
      </w:pPr>
      <w:r>
        <w:rPr>
          <w:b/>
        </w:rPr>
        <w:t xml:space="preserve">[18] </w:t>
      </w:r>
      <w:hyperlink r:id="rId329">
        <w:r>
          <w:rPr>
            <w:color w:val="1155CC"/>
            <w:u w:val="single"/>
          </w:rPr>
          <w:t>双亮序碱 A 和布西戈宁 B 的对映选择性全合成</w:t>
        </w:r>
      </w:hyperlink>
    </w:p>
    <w:p>
      <w:pPr>
        <w:spacing w:before="0" w:after="80"/>
      </w:pPr>
      <w:r>
        <w:rPr>
          <w:i/>
          <w:sz w:val="20"/>
        </w:rPr>
        <w:t>EN: Enantioselective Total Syntheses of Bisleuconothine A and Bousigonine B</w:t>
      </w:r>
    </w:p>
    <w:p>
      <w:pPr>
        <w:spacing w:before="0" w:after="120"/>
      </w:pPr>
      <w:r>
        <w:rPr>
          <w:b/>
        </w:rPr>
        <w:t xml:space="preserve">Source: </w:t>
      </w:r>
      <w:r>
        <w:t>Wiley: Angewandte Chemie International Edition: Table of Contents</w:t>
      </w:r>
      <w:r>
        <w:t xml:space="preserve">    </w:t>
      </w:r>
      <w:r>
        <w:rPr>
          <w:b/>
        </w:rPr>
        <w:t xml:space="preserve">Pub date: </w:t>
      </w:r>
      <w:r>
        <w:t>2026-05-23 11:35:02+00:00</w:t>
      </w:r>
      <w:r>
        <w:t xml:space="preserve">    </w:t>
      </w:r>
      <w:r>
        <w:rPr>
          <w:b/>
        </w:rPr>
        <w:t xml:space="preserve">DOI: </w:t>
      </w:r>
      <w:hyperlink r:id="rId330">
        <w:r>
          <w:rPr>
            <w:color w:val="1155CC"/>
            <w:u w:val="single"/>
          </w:rPr>
          <w:t>10.1002/anie.6698305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杂低聚单萜吲哚生物碱（MIA）具有独特的三维结构和相对较高的分子量，由于其破坏蛋白质-蛋白质相互作用的潜力，是药物发现中令人感兴趣的目标。在此，我们描述了双亮尿碱 A（一种二聚体 MIA）和布西贡宁 B（一种三聚体 MIA）的首次对映选择性全合成。我们策略的核心要素是手性 3-乙基哌啶支架的简洁构建，这是 MIA 中的常见结构基序。该关键中间体是使用级联序列制备的，包括在手性仲胺催化剂的促进下，环状烯胺与丙烯醛进行有机催化对映选择性迈克尔加成，然后进行半缩醛胺环化和缩醛化。蜘蛛精和乙苯烷型片段的偶联均来自于这种常见的中间体，是通过仿生弗里德尔-克拉夫茨型反应完成的。本全合成还修改了布西贡宁 B 的绝对立体化学，并构成了三聚体 MIA 的首次全合成。</w:t>
      </w:r>
    </w:p>
    <w:p>
      <w:pPr>
        <w:spacing w:before="0" w:after="200" w:lineRule="auto" w:line="276"/>
      </w:pPr>
      <w:r>
        <w:rPr>
          <w:b/>
        </w:rPr>
        <w:t xml:space="preserve">Abstract (EN): </w:t>
      </w:r>
      <w:r>
        <w:t>Hetero‐oligomeric monoterpenoid indole alkaloids (MIAs), which possess unique three‐dimensional architectures and relatively high molecular weights, are intriguing targets in drug discovery owing to their potential to disrupt protein–protein interactions. Herein, we describe the first enantioselective total syntheses of bisleuconothine A, a dimeric MIA, and bousigonine B, a trimeric MIA. The central element of our strategy is the concise construction of a chiral 3‐ethylpiperidine scaffold, a common structural motif in MIAs. This key intermediate was prepared using a cascade sequence comprising an organocatalytic enantioselective Michael addition of a cyclic enamine to acrolein promoted by a chiral secondary amine catalyst, followed by hemiaminal cyclization and acetalization. Coupling of the aspidosperma‐ and eburnane‐type fragments, both derived from this common intermediate, was accomplished via a biomimetic Friedel–Crafts‐type reaction. The present total synthesis also revises the absolute stereochemistry of bousigonine B and constitutes the first total synthesis of a trimeric MIA.</w:t>
      </w:r>
    </w:p>
    <w:p>
      <w:pPr>
        <w:spacing w:before="120" w:after="120"/>
      </w:pPr>
      <w:r>
        <w:rPr>
          <w:sz w:val="18"/>
        </w:rPr>
        <w:t>——————————————————————————————————————————————————————————————————————</w:t>
      </w:r>
    </w:p>
    <w:p>
      <w:pPr>
        <w:spacing w:before="160" w:after="40" w:line="240" w:lineRule="auto"/>
      </w:pPr>
      <w:r>
        <w:rPr>
          <w:b/>
        </w:rPr>
        <w:t xml:space="preserve">[19] </w:t>
      </w:r>
      <w:hyperlink r:id="rId331">
        <w:r>
          <w:rPr>
            <w:color w:val="1155CC"/>
            <w:u w:val="single"/>
          </w:rPr>
          <w:t>NMP 稳定的 ICF2H 试剂实现镍硼基催化的模块化烷基二氟甲基化</w:t>
        </w:r>
      </w:hyperlink>
    </w:p>
    <w:p>
      <w:pPr>
        <w:spacing w:before="0" w:after="80"/>
      </w:pPr>
      <w:r>
        <w:rPr>
          <w:i/>
          <w:sz w:val="20"/>
        </w:rPr>
        <w:t>EN: Nickel–Boryl‐Catalyzed Modular Alkyl Difluoromethylation Enabled by an NMP‐Stabilized ICF2H Reagent</w:t>
      </w:r>
    </w:p>
    <w:p>
      <w:pPr>
        <w:spacing w:before="0" w:after="120"/>
      </w:pPr>
      <w:r>
        <w:rPr>
          <w:b/>
        </w:rPr>
        <w:t xml:space="preserve">Source: </w:t>
      </w:r>
      <w:r>
        <w:t>Wiley: Angewandte Chemie International Edition: Table of Contents</w:t>
      </w:r>
      <w:r>
        <w:t xml:space="preserve">    </w:t>
      </w:r>
      <w:r>
        <w:rPr>
          <w:b/>
        </w:rPr>
        <w:t xml:space="preserve">Pub date: </w:t>
      </w:r>
      <w:r>
        <w:t>2026-05-23 11:39:33+00:00</w:t>
      </w:r>
      <w:r>
        <w:t xml:space="preserve">    </w:t>
      </w:r>
      <w:r>
        <w:rPr>
          <w:b/>
        </w:rPr>
        <w:t xml:space="preserve">DOI: </w:t>
      </w:r>
      <w:hyperlink r:id="rId332">
        <w:r>
          <w:rPr>
            <w:color w:val="1155CC"/>
            <w:u w:val="single"/>
          </w:rPr>
          <w:t>10.1002/anie.9356220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二氟甲基 (CF</w:t>
      </w:r>
      <w:r>
        <w:rPr>
          <w:vertAlign w:val="subscript"/>
        </w:rPr>
        <w:t>2</w:t>
      </w:r>
      <w:r>
        <w:t>H) 部分是一种独特的药效基团，可为候选药物提供增强的代谢稳定性、亲脂性和生物等排特性。虽然芳基二氟甲基化方法已经很成熟，但构建 C(</w:t>
      </w:r>
      <w:r>
        <w:t xml:space="preserve"> </w:t>
      </w:r>
      <w:r>
        <w:t>sp</w:t>
      </w:r>
      <w:r>
        <w:rPr>
          <w:vertAlign w:val="subscript"/>
        </w:rPr>
        <w:t>3</w:t>
      </w:r>
      <w:r>
        <w:t xml:space="preserve"> </w:t>
      </w:r>
      <w:r>
        <w:t>)─CF</w:t>
      </w:r>
      <w:r>
        <w:rPr>
          <w:vertAlign w:val="subscript"/>
        </w:rPr>
        <w:t>2</w:t>
      </w:r>
      <w:r>
        <w:t>H 债券仍不发达。在此，我们介绍了一种镍/硼协同催化系统，利用二氟碘甲烷（CF</w:t>
      </w:r>
      <w:r>
        <w:rPr>
          <w:vertAlign w:val="subscript"/>
        </w:rPr>
        <w:t>2</w:t>
      </w:r>
      <w:r>
        <w:t>HI) 通过与 N-甲基吡咯烷酮 (NMP) 的氢键相互作用而稳定为液体试剂。这种稳定性可以实现高浓度处理并克服挥发性和溶解度问题。该温和方案表现出优异的官能团耐受性，可容纳复杂的杂环，并有利于生物活性化合物的后期修饰。机理研究揭示了由 Ni(I/II/III) 中间体介导的自由基途径。这个多功能平台扩展了对 CF 的访问</w:t>
      </w:r>
      <w:r>
        <w:rPr>
          <w:vertAlign w:val="subscript"/>
        </w:rPr>
        <w:t>2</w:t>
      </w:r>
      <w:r>
        <w:t>用于药物化学应用的含氢支架。</w:t>
      </w:r>
    </w:p>
    <w:p>
      <w:pPr>
        <w:spacing w:before="0" w:after="200" w:lineRule="auto" w:line="276"/>
      </w:pPr>
      <w:r>
        <w:rPr>
          <w:b/>
        </w:rPr>
        <w:t xml:space="preserve">Abstract (EN): </w:t>
      </w:r>
      <w:r>
        <w:t>The difluoromethyl (CF</w:t>
      </w:r>
      <w:r>
        <w:rPr>
          <w:vertAlign w:val="subscript"/>
        </w:rPr>
        <w:t>2</w:t>
      </w:r>
      <w:r>
        <w:t>H) moiety is a privileged pharmacophore that imparts enhanced metabolic stability, lipophilicity, and bioisosteric properties to drug candidates. While aryl difluoromethylation methods are well‐established, catalytic approaches for constructing C(</w:t>
      </w:r>
      <w:r>
        <w:t xml:space="preserve"> </w:t>
      </w:r>
      <w:r>
        <w:t>sp</w:t>
      </w:r>
      <w:r>
        <w:rPr>
          <w:vertAlign w:val="subscript"/>
        </w:rPr>
        <w:t>3</w:t>
      </w:r>
      <w:r>
        <w:t xml:space="preserve"> </w:t>
      </w:r>
      <w:r>
        <w:t>)─CF</w:t>
      </w:r>
      <w:r>
        <w:rPr>
          <w:vertAlign w:val="subscript"/>
        </w:rPr>
        <w:t>2</w:t>
      </w:r>
      <w:r>
        <w:t>H bonds remain underdeveloped. Herein, we introduce a nickel/boron‐cooperative catalytic system for the cross‐electrophile difluoromethylation of diverse alkyl halides, as well as hydrodifluoromethylation of unactivated alkenes, utilizing difluoroiodomethane (CF</w:t>
      </w:r>
      <w:r>
        <w:rPr>
          <w:vertAlign w:val="subscript"/>
        </w:rPr>
        <w:t>2</w:t>
      </w:r>
      <w:r>
        <w:t>HI) stabilized as a liquid reagent through hydrogen‐bonding interaction with N‐methylpyrrolidone (NMP). This stabilization enables high‐concentration handling and overcomes volatility and solubility issues. The mild protocol exhibits excellent functional group tolerance, accommodates complex heterocycles, and facilitates late‐stage modification of bioactive compounds. Mechanistic investigations reveal a radical pathway mediated by Ni(I/II/III) intermediates. This versatile platform expands access to CF</w:t>
      </w:r>
      <w:r>
        <w:rPr>
          <w:vertAlign w:val="subscript"/>
        </w:rPr>
        <w:t>2</w:t>
      </w:r>
      <w:r>
        <w:t>H‐containing scaffolds for medicinal chemistry applications.</w:t>
      </w:r>
    </w:p>
    <w:p>
      <w:pPr>
        <w:spacing w:before="120" w:after="120"/>
      </w:pPr>
      <w:r>
        <w:rPr>
          <w:sz w:val="18"/>
        </w:rPr>
        <w:t>——————————————————————————————————————————————————————————————————————</w:t>
      </w:r>
    </w:p>
    <w:p>
      <w:pPr>
        <w:spacing w:before="160" w:after="40" w:line="240" w:lineRule="auto"/>
      </w:pPr>
      <w:r>
        <w:rPr>
          <w:b/>
        </w:rPr>
        <w:t xml:space="preserve">[20] </w:t>
      </w:r>
      <w:hyperlink r:id="rId333">
        <w:r>
          <w:rPr>
            <w:color w:val="1155CC"/>
            <w:u w:val="single"/>
          </w:rPr>
          <w:t>中性镍催化高温溶液共聚直接合成极性聚烯烃弹性体</w:t>
        </w:r>
      </w:hyperlink>
    </w:p>
    <w:p>
      <w:pPr>
        <w:spacing w:before="0" w:after="80"/>
      </w:pPr>
      <w:r>
        <w:rPr>
          <w:i/>
          <w:sz w:val="20"/>
        </w:rPr>
        <w:t>EN: Direct Synthesis of Polar Polyolefin Elastomers Enabled by Neutral Nickel‐Catalyzed High Temperature Solution Copolymerization</w:t>
      </w:r>
    </w:p>
    <w:p>
      <w:pPr>
        <w:spacing w:before="0" w:after="120"/>
      </w:pPr>
      <w:r>
        <w:rPr>
          <w:b/>
        </w:rPr>
        <w:t xml:space="preserve">Source: </w:t>
      </w:r>
      <w:r>
        <w:t>Wiley: Angewandte Chemie International Edition: Table of Contents</w:t>
      </w:r>
      <w:r>
        <w:t xml:space="preserve">    </w:t>
      </w:r>
      <w:r>
        <w:rPr>
          <w:b/>
        </w:rPr>
        <w:t xml:space="preserve">Pub date: </w:t>
      </w:r>
      <w:r>
        <w:t>2026-05-23 11:42:06+00:00</w:t>
      </w:r>
      <w:r>
        <w:t xml:space="preserve">    </w:t>
      </w:r>
      <w:r>
        <w:rPr>
          <w:b/>
        </w:rPr>
        <w:t xml:space="preserve">DOI: </w:t>
      </w:r>
      <w:hyperlink r:id="rId334">
        <w:r>
          <w:rPr>
            <w:color w:val="1155CC"/>
            <w:u w:val="single"/>
          </w:rPr>
          <w:t>10.1002/anie.1265929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烯烃和极性单体共聚以生产所需的极性聚烯烃材料是一个长期存在的挑战，当在工业优选的高温下进行时，由于催化剂失活和快速链转移反应，共聚变得更加困难。在这里，我们首次报道了通过乙烯和生物质衍生的极性单体在130°C以上的高温溶液共聚直接合成高分子量极性聚烯烃弹性体（P-POE）。关键在于发现高度热稳定性的α-酮酰胺镍催化剂，它不仅是不需要过量烷基铝作为活化剂/清除剂/保护剂的中性催化剂，而且可以通过链步反应原位生成所需的支链（36.8-70.6/1000C），从而避免了α-烯烃的需要。在 130°C–170°C（这也是合成商业非极性聚烯烃弹性体 (POE) 的首选温度）下生产的酯掺入量为 0.6–8.7 mol% 的 P-POE 的分子量达到 59–276 kDa，比之前在高温下获得的分子量高 2–9 倍。高分子量和极性功能特性使 P-POE 成为有吸引力的材料，赋予它们所需的性能，包括拉伸强度、应变恢复、熔体流动性、亲水性、可染色性、粘合性和相容性。</w:t>
      </w:r>
    </w:p>
    <w:p>
      <w:pPr>
        <w:spacing w:before="0" w:after="200" w:lineRule="auto" w:line="276"/>
      </w:pPr>
      <w:r>
        <w:rPr>
          <w:b/>
        </w:rPr>
        <w:t xml:space="preserve">Abstract (EN): </w:t>
      </w:r>
      <w:r>
        <w:t>Copolymerization of olefin and polar monomer to produce the desired polar polyolefin materials is a longstanding challenge, which becomes much more difficult when carried out at industrially preferred high temperatures due to both catalyst deactivation and rapid chain transfer reactions. Here, we report for the first time the direct synthesis of high‐molecular‐weight polar polyolefin elastomers (P‐POEs) from high‐temperature solution copolymerization of ethylene and biomass‐derived polar monomer at above 130°C. The key lies in the discovery of highly thermostable α‐ketocarboxamide nickel catalysts, which are not only neutral catalysts that do not require excess alkyl aluminum as an activator/scavenge/protecting agent but also in situ generate desired branches (36.8–70.6/1000C) through chain walking reaction that circumvents the need of α‐olefins. Molecular weights of P‐POEs with ester incorporations of 0.6–8.7 mol% produced at 130°C–170°C, which is also the preferred temperature for the synthesis of commercially non‐polar polyolefin elastomer (POE), reach 59–276 kDa that are 2–9 times higher than those obtained previously at high temperatures. Both high‐molecular‐weights and polar functional characteristics enable P‐POE as attractive materials, endowing them with desired properties, including tensile strength, strain recovery, melt flowability, hydrophilicity, dyeability, adhesion, and compatibilization properties.</w:t>
      </w:r>
    </w:p>
    <w:p>
      <w:pPr>
        <w:spacing w:before="120" w:after="120"/>
      </w:pPr>
      <w:r>
        <w:rPr>
          <w:sz w:val="18"/>
        </w:rPr>
        <w:t>——————————————————————————————————————————————————————————————————————</w:t>
      </w:r>
    </w:p>
    <w:p>
      <w:pPr>
        <w:spacing w:before="160" w:after="40" w:line="240" w:lineRule="auto"/>
      </w:pPr>
      <w:r>
        <w:rPr>
          <w:b/>
        </w:rPr>
        <w:t xml:space="preserve">[21] </w:t>
      </w:r>
      <w:hyperlink r:id="rId335">
        <w:r>
          <w:rPr>
            <w:color w:val="1155CC"/>
            <w:u w:val="single"/>
          </w:rPr>
          <w:t>酰腙基分子的逐步构象限制用于合成大麻素 FUB-INACA 的高信噪比荧光识别</w:t>
        </w:r>
      </w:hyperlink>
    </w:p>
    <w:p>
      <w:pPr>
        <w:spacing w:before="0" w:after="80"/>
      </w:pPr>
      <w:r>
        <w:rPr>
          <w:i/>
          <w:sz w:val="20"/>
        </w:rPr>
        <w:t>EN: Stepwise Conformational Restriction of Acylhydrazone‐Based Molecules for High Signal‐to‐Noise Fluorescent Recognition of Synthetic Cannabinoid FUB‐INACA</w:t>
      </w:r>
    </w:p>
    <w:p>
      <w:pPr>
        <w:spacing w:before="0" w:after="120"/>
      </w:pPr>
      <w:r>
        <w:rPr>
          <w:b/>
        </w:rPr>
        <w:t xml:space="preserve">Source: </w:t>
      </w:r>
      <w:r>
        <w:t>Wiley: Angewandte Chemie International Edition: Table of Contents</w:t>
      </w:r>
      <w:r>
        <w:t xml:space="preserve">    </w:t>
      </w:r>
      <w:r>
        <w:rPr>
          <w:b/>
        </w:rPr>
        <w:t xml:space="preserve">Pub date: </w:t>
      </w:r>
      <w:r>
        <w:t>2026-05-23 11:45:46+00:00</w:t>
      </w:r>
      <w:r>
        <w:t xml:space="preserve">    </w:t>
      </w:r>
      <w:r>
        <w:rPr>
          <w:b/>
        </w:rPr>
        <w:t xml:space="preserve">DOI: </w:t>
      </w:r>
      <w:hyperlink r:id="rId336">
        <w:r>
          <w:rPr>
            <w:color w:val="1155CC"/>
            <w:u w:val="single"/>
          </w:rPr>
          <w:t>10.1002/anie.3262519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建立材料维度、发光特性和传感性能之间的明确关联对于合理设计具有优异检测性能的传感材料至关重要。这里，采用1</w:t>
      </w:r>
      <w:r>
        <w:t xml:space="preserve"> </w:t>
      </w:r>
      <w:r>
        <w:t>H</w:t>
      </w:r>
      <w:r>
        <w:t xml:space="preserve"> </w:t>
      </w:r>
      <w:r>
        <w:t>‐咪唑‐4, 5‐二碳酰肼（IDA）和三苯胺（TPA）衍生物作为基本构件，我们提出了一种逐步构象限制策略来构建基于酰腙的离散分子（0D）、线性聚合物（1D）和共价有机框架（COF，2D），并逐渐降低构象自由度。通过协同多重非共价相互作用和疏水效应与 FUB-INACA 相互作用后，光诱导电子转移（PET）或分子内电荷转移（ICT）过程被激活，导致明显的荧光调制并实现选择性识别。高维 TFPA-IDA COF 具有最受限制的构象环境和最低的基线发射，可提供快速（&lt;1 s）、灵敏（LOD，1.3 nM）和高信噪比的检测，结构类似物种的干扰可忽略不计。此外，通过制造便携式微流控传感芯片验证了 TFPA-IDA COF 的可靠性和适用性，从而证实了该 2D 框架在实际场景中检测残留 FUB-INACA 方面具有巨大的潜力。总的来说，这项工作建立了尺寸调节的构象限制</w:t>
      </w:r>
    </w:p>
    <w:p>
      <w:pPr>
        <w:spacing w:before="0" w:after="200" w:lineRule="auto" w:line="276"/>
      </w:pPr>
      <w:r>
        <w:rPr>
          <w:b/>
        </w:rPr>
        <w:t xml:space="preserve">Abstract (EN): </w:t>
      </w:r>
      <w:r>
        <w:t>Establishing explicit correlations among material dimensionality, luminescent properties, and sensing performance is of critical importance for the rational design of sensing materials with superior detection performance. Herein, employing 1</w:t>
      </w:r>
      <w:r>
        <w:t xml:space="preserve"> </w:t>
      </w:r>
      <w:r>
        <w:t>H</w:t>
      </w:r>
      <w:r>
        <w:t xml:space="preserve"> </w:t>
      </w:r>
      <w:r>
        <w:t>‐imidazole‐4, 5‐dicarbohydrazide (IDA) and triphenylamine (TPA) derivatives as the fundamental building blocks, we propose a stepwise conformational restriction strategy to construct acylhydrazone‐based discrete molecules (0D), linear polymers (1D), and covalent organic framework (COF, 2D) with progressively reduced conformational freedom. Upon interaction with FUB‐INACA through synergistic multiple non‐covalent interactions and hydrophobic effects, photoinduced electron transfer (PET) or intramolecular charge transfer (ICT) processes are activated, resulting in pronounced fluorescence modulation and enabling selective recognition. The higher‐dimensional TFPA‐IDA COF, featuring the most restricted conformational environment and the lowest baseline emission, delivers rapid (&amp;lt;1 s), sensitive (LOD, 1.3 nM), and high signal‐to‐noise detection with negligible interference from structurally analogous species. Furthermore, the reliability and applicability of TFPA‐IDA COF were validated through fabricating a portable microfluidic sensing chip, thereby confirming that the 2D framework holds considerable potential for the detection of residual FUB‐INACA in practical scenarios. Collectively, this work establishes dimension‐regulated conformational restriction as a generalizable model for background‐suppressed fluorescent recognition, offering a guiding principle for the rational design of next‐generation high‐fidelity sensing materials.</w:t>
      </w:r>
    </w:p>
    <w:p>
      <w:pPr>
        <w:spacing w:before="120" w:after="120"/>
      </w:pPr>
      <w:r>
        <w:rPr>
          <w:sz w:val="18"/>
        </w:rPr>
        <w:t>——————————————————————————————————————————————————————————————————————</w:t>
      </w:r>
    </w:p>
    <w:p>
      <w:pPr>
        <w:spacing w:before="160" w:after="40" w:line="240" w:lineRule="auto"/>
      </w:pPr>
      <w:r>
        <w:rPr>
          <w:b/>
        </w:rPr>
        <w:t xml:space="preserve">[22] </w:t>
      </w:r>
      <w:hyperlink r:id="rId337">
        <w:r>
          <w:rPr>
            <w:color w:val="1155CC"/>
            <w:u w:val="single"/>
          </w:rPr>
          <w:t>机械化学遇上催化：金属配合物实现绿色有机转化</w:t>
        </w:r>
      </w:hyperlink>
    </w:p>
    <w:p>
      <w:pPr>
        <w:spacing w:before="0" w:after="80"/>
      </w:pPr>
      <w:r>
        <w:rPr>
          <w:i/>
          <w:sz w:val="20"/>
        </w:rPr>
        <w:t>EN: Mechanochemistry Meets Catalysis: Metal Complexes for Greener Organic Transformations</w:t>
      </w:r>
    </w:p>
    <w:p>
      <w:pPr>
        <w:spacing w:before="0" w:after="120"/>
      </w:pPr>
      <w:r>
        <w:rPr>
          <w:b/>
        </w:rPr>
        <w:t xml:space="preserve">Source: </w:t>
      </w:r>
      <w:r>
        <w:t>Wiley: Angewandte Chemie International Edition: Table of Contents</w:t>
      </w:r>
      <w:r>
        <w:t xml:space="preserve">    </w:t>
      </w:r>
      <w:r>
        <w:rPr>
          <w:b/>
        </w:rPr>
        <w:t xml:space="preserve">Pub date: </w:t>
      </w:r>
      <w:r>
        <w:t>2026-05-23 11:45:53+00:00</w:t>
      </w:r>
      <w:r>
        <w:t xml:space="preserve">    </w:t>
      </w:r>
      <w:r>
        <w:rPr>
          <w:b/>
        </w:rPr>
        <w:t xml:space="preserve">DOI: </w:t>
      </w:r>
      <w:hyperlink r:id="rId338">
        <w:r>
          <w:rPr>
            <w:color w:val="1155CC"/>
            <w:u w:val="single"/>
          </w:rPr>
          <w:t>10.1002/anie.202600005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机械化学和过渡金属催化正在融合成一个平台，其中机械能重塑催化剂配方、形态和操作状态，而不是简单地取代溶剂。通过强烈混合、不断更新界面、液体辅助研磨 (LAG) 和流变控制，研磨可以以难以在溶液中重现的方式指导金属络合物组装、活化、反应性和选择性。这些属性简化了催化剂的制备，减少了对严格惰性气氛协议的依赖，并开放了低效、仅在研磨下具有选择性或传统方法无法实现的转化。本综述研究了过渡金属配合物的机械化学合成及其在催化有机转化中的直接部署，从地球上丰富的第一行金属到选定的贵金属系统。定量基准，包括高达 99% ee 的对映选择性、高于 100 小时的周转频率</w:t>
      </w:r>
      <w:r>
        <w:t xml:space="preserve"> </w:t>
      </w:r>
      <w:r>
        <w:t>−1</w:t>
      </w:r>
      <w:r>
        <w:t xml:space="preserve"> </w:t>
      </w:r>
      <w:r>
        <w:t>，以及在几分钟内完成的交叉亲电子偶联，证明机械催化不仅可以提供已知反应的更环保的变体，还可以提供不同的反应机制。对双螺杆挤出 (TSE) 和共振声混合 (RAM) 等机械不确定性、再现性和可扩展技术进行了评估，将机械催化作为下一代绿色催化的可行方法和概念基础。</w:t>
      </w:r>
    </w:p>
    <w:p>
      <w:pPr>
        <w:spacing w:before="0" w:after="200" w:lineRule="auto" w:line="276"/>
      </w:pPr>
      <w:r>
        <w:rPr>
          <w:b/>
        </w:rPr>
        <w:t xml:space="preserve">Abstract (EN): </w:t>
      </w:r>
      <w:r>
        <w:t>Mechanochemistry and transition‐metal catalysis are converging into a platform in which mechanical energy reshapes catalyst formulation, speciation, and operative state, rather than simply replacing solvent. Through intense mixing, continuously renewed interfaces, liquid‐assisted grinding (LAG), and rheological control, milling can direct metal‐complex assembly, activation, reactivity, and selectivity in ways difficult to reproduce in solution. These attributes streamline catalyst preparation, lessen dependence on stringent inert‐atmosphere protocols, and open access to transformations that are inefficient, selective only under milling, or inaccessible by conventional methods. This Review examines the mechanochemical synthesis of transition‐metal complexes and their direct deployment in catalytic organic transformations, from earth‐abundant first‐row metals to selected noble‐metal systems. Quantitative benchmarks, including enantioselectivities up to 99% ee, turnover frequencies above 100 h</w:t>
      </w:r>
      <w:r>
        <w:t xml:space="preserve"> </w:t>
      </w:r>
      <w:r>
        <w:t>−1</w:t>
      </w:r>
      <w:r>
        <w:t xml:space="preserve"> </w:t>
      </w:r>
      <w:r>
        <w:t>, and cross‐electrophile couplings completed within minutes, demonstrate that mechanocatalysis can deliver not only greener variants of known reactions but also distinct reactivity regimes. Mechanistic uncertainty, reproducibility, and scalable technologies such as twin‐screw extrusion (TSE) and resonant acoustic mixing (RAM) are assessed, framing mechanocatalysis as both an enabling methodology and a conceptual basis for next‐generation green catalysis.</w:t>
      </w:r>
    </w:p>
    <w:p>
      <w:pPr>
        <w:spacing w:before="120" w:after="120"/>
      </w:pPr>
      <w:r>
        <w:rPr>
          <w:sz w:val="18"/>
        </w:rPr>
        <w:t>——————————————————————————————————————————————————————————————————————</w:t>
      </w:r>
    </w:p>
    <w:p>
      <w:pPr>
        <w:spacing w:before="160" w:after="40" w:line="240" w:lineRule="auto"/>
      </w:pPr>
      <w:r>
        <w:rPr>
          <w:b/>
        </w:rPr>
        <w:t xml:space="preserve">[23] </w:t>
      </w:r>
      <w:hyperlink r:id="rId339">
        <w:r>
          <w:rPr>
            <w:color w:val="1155CC"/>
            <w:u w:val="single"/>
          </w:rPr>
          <w:t>高应变全 BODIPY 纳米环</w:t>
        </w:r>
      </w:hyperlink>
    </w:p>
    <w:p>
      <w:pPr>
        <w:spacing w:before="0" w:after="80"/>
      </w:pPr>
      <w:r>
        <w:rPr>
          <w:i/>
          <w:sz w:val="20"/>
        </w:rPr>
        <w:t>EN: A Highly Strained All‐BODIPY‐Based Nanohoop</w:t>
      </w:r>
    </w:p>
    <w:p>
      <w:pPr>
        <w:spacing w:before="0" w:after="120"/>
      </w:pPr>
      <w:r>
        <w:rPr>
          <w:b/>
        </w:rPr>
        <w:t xml:space="preserve">Source: </w:t>
      </w:r>
      <w:r>
        <w:t>Wiley: Angewandte Chemie International Edition: Table of Contents</w:t>
      </w:r>
      <w:r>
        <w:t xml:space="preserve">    </w:t>
      </w:r>
      <w:r>
        <w:rPr>
          <w:b/>
        </w:rPr>
        <w:t xml:space="preserve">Pub date: </w:t>
      </w:r>
      <w:r>
        <w:t>2026-05-23 11:46:52+00:00</w:t>
      </w:r>
      <w:r>
        <w:t xml:space="preserve">    </w:t>
      </w:r>
      <w:r>
        <w:rPr>
          <w:b/>
        </w:rPr>
        <w:t xml:space="preserve">DOI: </w:t>
      </w:r>
      <w:hyperlink r:id="rId340">
        <w:r>
          <w:rPr>
            <w:color w:val="1155CC"/>
            <w:u w:val="single"/>
          </w:rPr>
          <w:t>10.1002/anie.8945722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高应变的 π 共轭纳米环提出了重大的合成挑战，但为探索独特的物理性质提供了有趣的平台。在这里，我们报告了合成</w:t>
      </w:r>
      <w:r>
        <w:t xml:space="preserve"> </w:t>
      </w:r>
      <w:r>
        <w:t>β-β</w:t>
      </w:r>
      <w:r>
        <w:t xml:space="preserve"> </w:t>
      </w:r>
      <w:r>
        <w:t>直接连接的应变环状硼二吡咯亚甲基（BODIPY）四聚体——</w:t>
      </w:r>
      <w:r>
        <w:t xml:space="preserve"> </w:t>
      </w:r>
      <w:r>
        <w:t>[4]CBDP</w:t>
      </w:r>
      <w:r>
        <w:t xml:space="preserve"> </w:t>
      </w:r>
      <w:r>
        <w:t>，其结构已通过单晶 X 射线衍射明确证实。重要的是，径向共轭结构缩小了 HOMO-LUMO 间隙，产生跨越可见光谱的全色吸收，其边缘延伸到 NIR-I 窗口，并导致较大的斯托克斯位移 (77 nm)。计算结果表明</w:t>
      </w:r>
      <w:r>
        <w:t xml:space="preserve"> </w:t>
      </w:r>
      <w:r>
        <w:t>[4]CBDP</w:t>
      </w:r>
      <w:r>
        <w:t xml:space="preserve"> </w:t>
      </w:r>
      <w:r>
        <w:t>表现出 155 kcal/mol 的高应变能；但在环境条件（空气/光）下，它在溶液和固态下都保持稳定。</w:t>
      </w:r>
    </w:p>
    <w:p>
      <w:pPr>
        <w:spacing w:before="0" w:after="200" w:lineRule="auto" w:line="276"/>
      </w:pPr>
      <w:r>
        <w:rPr>
          <w:b/>
        </w:rPr>
        <w:t xml:space="preserve">Abstract (EN): </w:t>
      </w:r>
      <w:r>
        <w:t>Highly strained π‐conjugated nanohoops present significant synthetic challenges but offer interesting platforms for exploring unique physical properties. Here, we report the synthesis of</w:t>
      </w:r>
      <w:r>
        <w:t xml:space="preserve"> </w:t>
      </w:r>
      <w:r>
        <w:t>β‐β</w:t>
      </w:r>
      <w:r>
        <w:t xml:space="preserve"> </w:t>
      </w:r>
      <w:r>
        <w:t>directly connected strained cyclic boron‐dipyrromethene (BODIPY) tetramer—</w:t>
      </w:r>
      <w:r>
        <w:t xml:space="preserve"> </w:t>
      </w:r>
      <w:r>
        <w:t>[4]CBDP</w:t>
      </w:r>
      <w:r>
        <w:t xml:space="preserve"> </w:t>
      </w:r>
      <w:r>
        <w:t>, with its structure unambiguously confirmed by single‐crystal X‐ray diffraction. Importantly, the radially conjugated architecture narrows the HOMO‐LUMO gap, yielding panchromatic absorption spanning the visible spectrum with an edge extending into the NIR‐I window, and resulting in a large Stokes shift (77 nm). Computational results indicate that</w:t>
      </w:r>
      <w:r>
        <w:t xml:space="preserve"> </w:t>
      </w:r>
      <w:r>
        <w:t>[4]CBDP</w:t>
      </w:r>
      <w:r>
        <w:t xml:space="preserve"> </w:t>
      </w:r>
      <w:r>
        <w:t>exhibits a high strain energy of 155 kcal/mol; yet it remains stable under ambient conditions (air/light) in both solution and the solid state.</w:t>
      </w:r>
    </w:p>
    <w:p>
      <w:pPr>
        <w:spacing w:before="120" w:after="120"/>
      </w:pPr>
      <w:r>
        <w:rPr>
          <w:sz w:val="18"/>
        </w:rPr>
        <w:t>——————————————————————————————————————————————————————————————————————</w:t>
      </w:r>
    </w:p>
    <w:p>
      <w:pPr>
        <w:spacing w:before="160" w:after="40" w:line="240" w:lineRule="auto"/>
      </w:pPr>
      <w:r>
        <w:rPr>
          <w:b/>
        </w:rPr>
        <w:t xml:space="preserve">[24] </w:t>
      </w:r>
      <w:hyperlink r:id="rId341">
        <w:r>
          <w:rPr>
            <w:color w:val="1155CC"/>
            <w:u w:val="single"/>
          </w:rPr>
          <w:t>用于细菌靶向的 Zr-MOF 特定表面功能化的 DNA 模拟</w:t>
        </w:r>
      </w:hyperlink>
    </w:p>
    <w:p>
      <w:pPr>
        <w:spacing w:before="0" w:after="80"/>
      </w:pPr>
      <w:r>
        <w:rPr>
          <w:i/>
          <w:sz w:val="20"/>
        </w:rPr>
        <w:t>EN: DNA‐mimic for Specific Surface Functionalization of Zr‐MOFs for Bacterial Targeting</w:t>
      </w:r>
    </w:p>
    <w:p>
      <w:pPr>
        <w:spacing w:before="0" w:after="120"/>
      </w:pPr>
      <w:r>
        <w:rPr>
          <w:b/>
        </w:rPr>
        <w:t xml:space="preserve">Source: </w:t>
      </w:r>
      <w:r>
        <w:t>Wiley: Angewandte Chemie International Edition: Table of Contents</w:t>
      </w:r>
      <w:r>
        <w:t xml:space="preserve">    </w:t>
      </w:r>
      <w:r>
        <w:rPr>
          <w:b/>
        </w:rPr>
        <w:t xml:space="preserve">Pub date: </w:t>
      </w:r>
      <w:r>
        <w:t>2026-05-23 11:47:02+00:00</w:t>
      </w:r>
      <w:r>
        <w:t xml:space="preserve">    </w:t>
      </w:r>
      <w:r>
        <w:rPr>
          <w:b/>
        </w:rPr>
        <w:t xml:space="preserve">DOI: </w:t>
      </w:r>
      <w:hyperlink r:id="rId342">
        <w:r>
          <w:rPr>
            <w:color w:val="1155CC"/>
            <w:u w:val="single"/>
          </w:rPr>
          <w:t>10.1002/anie.202525762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金属有机框架（MOF）因其高负载能力、大表面积和可调功能而成为生物医学应用中使用的多功能平台。如果没有表面修饰，这些纳米粒子缺乏细胞特异性，并且容易在生物环境中聚集和降解，从而降低其有效性。 DNA 通过磷酸基团配位到锆基 MOF 的表面附着提高了稳定性，但由于其主链中存在丰富的磷酸基团，DNA 结合仍然是非位点特异性的，限制了 DNA 进一步功能化的可寻址性。为了解决这个问题，我们提出了一种新颖的、明显更快的单步方法，使用不带电荷的 DNA 合成模拟物、肽核酸 (PNA) 对 PCN-222 纳米粒子的外表面进行合成后修饰。通过使用磷酸盐修饰的 PNA，我们通过与 Zr 配位实现了表面功能化</w:t>
      </w:r>
      <w:r>
        <w:rPr>
          <w:vertAlign w:val="subscript"/>
        </w:rPr>
        <w:t>6</w:t>
      </w:r>
      <w:r>
        <w:t>MOF 表面上的团簇。与未修饰的纳米颗粒相比，修饰产生了单分散的纳米颗粒，并导致药物释放动力学减慢。与 DNA 涂层相比，PNA 增强了附着效率和杂交特异性，从而允许随后缀合蛋白质靶向部分并实现载药 MOF 的细菌靶向。这项工作介绍了磷酸酪氨酸修饰的 PNA 作为 PCN-222 的优质单步表面涂层，允许用单链进行受控的后功能化</w:t>
      </w:r>
    </w:p>
    <w:p>
      <w:pPr>
        <w:spacing w:before="0" w:after="200" w:lineRule="auto" w:line="276"/>
      </w:pPr>
      <w:r>
        <w:rPr>
          <w:b/>
        </w:rPr>
        <w:t xml:space="preserve">Abstract (EN): </w:t>
      </w:r>
      <w:r>
        <w:t>Nanosized metal–organic frameworks (MOFs) are versatile platforms used in biomedical applications due to their high loading capacity, large surface area, and tunable functionality. Without surface modifications, these nanoparticles lack cell specificity and are prone to aggregation and degradation in biological environments, reducing their effectiveness. Surface attachment of DNA via phosphate group coordination to zirconium‐based MOFs improves stability, but DNA binding remains non‐site‐specific due to the abundance of phosphate groups in its backbone, limiting DNA's addressability for further functionalization. To address this issue, we present a novel, significantly faster single‐step approach for the post‐synthesis modification of the external surface of PCN‐222 nanoparticles using an uncharged synthetic mimic of DNA, peptide nucleic acids (PNA). By using phosphate‐modified PNA, we achieve surface functionalization through coordination with the Zr</w:t>
      </w:r>
      <w:r>
        <w:rPr>
          <w:vertAlign w:val="subscript"/>
        </w:rPr>
        <w:t>6</w:t>
      </w:r>
      <w:r>
        <w:t>clusters on the MOF surface. The modification produced monodispersed nanoparticles and resulted in slowed drug‐release kinetics compared to unmodified nanoparticles. PNAs enhanced attachment efficiency and hybridization specificity compared to DNA coatings, allowing subsequent conjugation of protein targeting moieties and enabling bacterial targeting of drug‐loaded MOFs. This work introduces phosphotyrosine‐modified PNA as a superior, single‐step surface coating for PCN‐222, allowing controlled post‐functionalization with single‐stranded DNA (ssDNA) and expanding applications in biomedical and materials science.</w:t>
      </w:r>
    </w:p>
    <w:p>
      <w:pPr>
        <w:spacing w:before="120" w:after="120"/>
      </w:pPr>
      <w:r>
        <w:rPr>
          <w:sz w:val="18"/>
        </w:rPr>
        <w:t>——————————————————————————————————————————————————————————————————————</w:t>
      </w:r>
    </w:p>
    <w:p>
      <w:pPr>
        <w:spacing w:before="160" w:after="40" w:line="240" w:lineRule="auto"/>
      </w:pPr>
      <w:r>
        <w:rPr>
          <w:b/>
        </w:rPr>
        <w:t xml:space="preserve">[25] </w:t>
      </w:r>
      <w:hyperlink r:id="rId343">
        <w:r>
          <w:rPr>
            <w:color w:val="1155CC"/>
            <w:u w:val="single"/>
          </w:rPr>
          <w:t>使用 X 射线激活有机纳米粒子的长效动态疗法进行余辉成像引导的深部肿瘤治疗</w:t>
        </w:r>
      </w:hyperlink>
    </w:p>
    <w:p>
      <w:pPr>
        <w:spacing w:before="0" w:after="80"/>
      </w:pPr>
      <w:r>
        <w:rPr>
          <w:i/>
          <w:sz w:val="20"/>
        </w:rPr>
        <w:t>EN: Long‐Acting Dynamic Therapy Using X‐Ray Activated Organic Nanoparticles for Afterglow Imaging Guided Deep Tumor Treatment</w:t>
      </w:r>
    </w:p>
    <w:p>
      <w:pPr>
        <w:spacing w:before="0" w:after="120"/>
      </w:pPr>
      <w:r>
        <w:rPr>
          <w:b/>
        </w:rPr>
        <w:t xml:space="preserve">Source: </w:t>
      </w:r>
      <w:r>
        <w:t>Wiley: Angewandte Chemie International Edition: Table of Contents</w:t>
      </w:r>
      <w:r>
        <w:t xml:space="preserve">    </w:t>
      </w:r>
      <w:r>
        <w:rPr>
          <w:b/>
        </w:rPr>
        <w:t xml:space="preserve">Pub date: </w:t>
      </w:r>
      <w:r>
        <w:t>2026-05-23 11:48:03+00:00</w:t>
      </w:r>
      <w:r>
        <w:t xml:space="preserve">    </w:t>
      </w:r>
      <w:r>
        <w:rPr>
          <w:b/>
        </w:rPr>
        <w:t xml:space="preserve">DOI: </w:t>
      </w:r>
      <w:hyperlink r:id="rId344">
        <w:r>
          <w:rPr>
            <w:color w:val="1155CC"/>
            <w:u w:val="single"/>
          </w:rPr>
          <w:t>10.1002/anie.3922737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传统的动力疗法，包括光动力疗法、声动力疗法和化学动力疗法，都受到浅穿透和缺乏持续效果的限制。 X 射线诱导的动态疗法克服了穿透障碍，但目前的无机材料引起了生物安全问题，而有机材料通常表现出较低的活性氧 (ROS) 产量。为了解决这些局限性，我们提出了 X 射线诱导的长效动态疗法，这是一种用于深部组织肿瘤治疗的微创策略。我们提出了 X 射线诱导熔融三蒽纳米粒子（FTA NP）中持久的 ROS 产生和发光机制，它产生电子和 FTA</w:t>
      </w:r>
      <w:r>
        <w:t xml:space="preserve"> </w:t>
      </w:r>
      <w:r>
        <w:t>•+</w:t>
      </w:r>
      <w:r>
        <w:t xml:space="preserve"> </w:t>
      </w:r>
      <w:r>
        <w:t>在X射线照射下产生单线态氧（</w:t>
      </w:r>
      <w:r>
        <w:rPr>
          <w:vertAlign w:val="subscript"/>
        </w:rPr>
        <w:t>1</w:t>
      </w:r>
      <w:r>
        <w:t>氧</w:t>
      </w:r>
      <w:r>
        <w:rPr>
          <w:vertAlign w:val="subscript"/>
        </w:rPr>
        <w:t>2</w:t>
      </w:r>
      <w:r>
        <w:t>）和羟基自由基（OH），而内过氧化物（EPO）则维持ROS和余辉发光超过15分钟，余辉比传统的有机余辉材料（例如MEHPPV NP）相对更强。此外，FTA NP 在 X 射线下可实现 6 厘米的组织穿透，克服了光线限制并提高了治疗效果。此外，我们引入分段照射，将高剂量分成多个低剂量疗程，这增强了ROS的产生，降低了辐射风险，并且比连续照射更有效地治疗皮下和原位胰腺肿瘤。强烈的余辉发光可实现实时成像和治疗监测，同时满足</w:t>
      </w:r>
    </w:p>
    <w:p>
      <w:pPr>
        <w:spacing w:before="0" w:after="200" w:lineRule="auto" w:line="276"/>
      </w:pPr>
      <w:r>
        <w:rPr>
          <w:b/>
        </w:rPr>
        <w:t xml:space="preserve">Abstract (EN): </w:t>
      </w:r>
      <w:r>
        <w:t>Traditional dynamic therapies, including photodynamic, sonodynamic and chemodynamic therapies, are limited by shallow penetration and lack of sustained effects. X‐ray induced dynamic therapy overcomes penetration barriers, yet current inorganic materials raise biosafety concerns, while organic counterparts often show low reactive oxygen species (ROS) yield. To address these limitations, we propose X‐ray induced long‐acting dynamic therapy, a minimally invasive strategy for deep‐tissue tumor treatment. We propose X‐ray induced persistent ROS generation and luminescence mechanisms in fused‐triple‐anthracene nanoparticles (FTA NPs), which generate electrons and FTA</w:t>
      </w:r>
      <w:r>
        <w:t xml:space="preserve"> </w:t>
      </w:r>
      <w:r>
        <w:t>•+</w:t>
      </w:r>
      <w:r>
        <w:t xml:space="preserve"> </w:t>
      </w:r>
      <w:r>
        <w:t>under X‐ray irradiation to producing singlet oxygen (</w:t>
      </w:r>
      <w:r>
        <w:rPr>
          <w:vertAlign w:val="subscript"/>
        </w:rPr>
        <w:t>1</w:t>
      </w:r>
      <w:r>
        <w:t>O</w:t>
      </w:r>
      <w:r>
        <w:rPr>
          <w:vertAlign w:val="subscript"/>
        </w:rPr>
        <w:t>2</w:t>
      </w:r>
      <w:r>
        <w:t>) and hydroxyl radicals (OH), while endoperoxides (EPOs) sustain ROS and afterglow luminescence for over 15 min, with relatively stronger afterglow than conventional organic afterglow materials, such as MEHPPV NPs. In addition, FTA NPs achieve 6 cm tissue penetration under X‐ray, overcoming light limitations and boosting therapeutic efficacy. Furthermore, we introduce fractionated irradiation, splitting high doses into multiple low‐dose sessions, which enhances ROS generation, reduces radiation risk and more effectively treats subcutaneous and orthotopic pancreatic tumors than continuous irradiation. Strong afterglow luminescence allows real‐time imaging and treatment monitoring, while metal‐free FTA NPs ensure high biocompatibility and safety. Thus, long‐acting dynamic therapy offers a safe and efficient strategy for deep‐seated tumors.</w:t>
      </w:r>
    </w:p>
    <w:p>
      <w:pPr>
        <w:spacing w:before="120" w:after="120"/>
      </w:pPr>
      <w:r>
        <w:rPr>
          <w:sz w:val="18"/>
        </w:rPr>
        <w:t>——————————————————————————————————————————————————————————————————————</w:t>
      </w:r>
    </w:p>
    <w:p>
      <w:pPr>
        <w:spacing w:before="160" w:after="40" w:line="240" w:lineRule="auto"/>
      </w:pPr>
      <w:r>
        <w:rPr>
          <w:b/>
        </w:rPr>
        <w:t xml:space="preserve">[26] </w:t>
      </w:r>
      <w:hyperlink r:id="rId345">
        <w:r>
          <w:rPr>
            <w:color w:val="1155CC"/>
            <w:u w:val="single"/>
          </w:rPr>
          <w:t>具有增强扩散性和定制功能的分级多孔多元 COF 气凝胶，可实现高效固溴</w:t>
        </w:r>
      </w:hyperlink>
    </w:p>
    <w:p>
      <w:pPr>
        <w:spacing w:before="0" w:after="80"/>
      </w:pPr>
      <w:r>
        <w:rPr>
          <w:i/>
          <w:sz w:val="20"/>
        </w:rPr>
        <w:t>EN: Hierarchically Porous Multivariate COF Aerogel With Enhanced Diffusibility and Tailored Functionality for Highly Efficient Bromine Sequestration</w:t>
      </w:r>
    </w:p>
    <w:p>
      <w:pPr>
        <w:spacing w:before="0" w:after="120"/>
      </w:pPr>
      <w:r>
        <w:rPr>
          <w:b/>
        </w:rPr>
        <w:t xml:space="preserve">Source: </w:t>
      </w:r>
      <w:r>
        <w:t>Wiley: Angewandte Chemie International Edition: Table of Contents</w:t>
      </w:r>
      <w:r>
        <w:t xml:space="preserve">    </w:t>
      </w:r>
      <w:r>
        <w:rPr>
          <w:b/>
        </w:rPr>
        <w:t xml:space="preserve">Pub date: </w:t>
      </w:r>
      <w:r>
        <w:t>2026-05-23 11:50:59+00:00</w:t>
      </w:r>
      <w:r>
        <w:t xml:space="preserve">    </w:t>
      </w:r>
      <w:r>
        <w:rPr>
          <w:b/>
        </w:rPr>
        <w:t xml:space="preserve">DOI: </w:t>
      </w:r>
      <w:hyperlink r:id="rId346">
        <w:r>
          <w:rPr>
            <w:color w:val="1155CC"/>
            <w:u w:val="single"/>
          </w:rPr>
          <w:t>10.1002/anie.3007492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质溴由于其固有的毒性、腐蚀性和挥发性，对环境和公众健康构成巨大威胁。在这方面，虽然结晶共价有机框架（COF）提供有序的孔隙率和可调的功能，但它们的粉末形式通常会导致聚集、有限的扩散性和较差的加工性能。将 COF 转变为超轻、机械坚固且易于加工的气凝胶，通过引入分层孔隙率、降低密度和快速传质途径克服了这些挑战。在此，我们战略性地制造了一系列气凝胶形式的多元共价有机框架，具有高表面积、分级孔隙率和多个结合位点，可在气相和溶液相中有效封存溴。多元气凝胶表现出高 Br</w:t>
      </w:r>
      <w:r>
        <w:rPr>
          <w:vertAlign w:val="subscript"/>
        </w:rPr>
        <w:t>2</w:t>
      </w:r>
      <w:r>
        <w:t>吸收能力、超快吸附动力学、对 Br 的优异选择性</w:t>
      </w:r>
      <w:r>
        <w:rPr>
          <w:vertAlign w:val="subscript"/>
        </w:rPr>
        <w:t>2</w:t>
      </w:r>
      <w:r>
        <w:t>，并在动态流通条件下表现出色，验证了其实际适用性。此外，气凝胶可以隔离水溶液中的溴，将浓度降低到世界卫生组织设定的允许限值以下（&lt; 10 ppm）。这项研究展示了多元 COF 气凝胶的潜力，并建立了通​​过合理的构建块调制设计特定任务系统的基本策略，为目标环境研究提供了一条通用途径</w:t>
      </w:r>
    </w:p>
    <w:p>
      <w:pPr>
        <w:spacing w:before="0" w:after="200" w:lineRule="auto" w:line="276"/>
      </w:pPr>
      <w:r>
        <w:rPr>
          <w:b/>
        </w:rPr>
        <w:t xml:space="preserve">Abstract (EN): </w:t>
      </w:r>
      <w:r>
        <w:t>Elemental bromine, owing to its inherently toxic, corrosive, and volatile nature, poses a great threat to the environment and public health. In this regard, although crystalline covalent organic frameworks (COFs) offer ordered porosity and tunable functionality, their powdered form often leads to aggregation, limited diffusibility, and poor processability. Transforming COFs into ultralight, mechanically robust, and easily processable aerogels overcomes these challenges by introducing hierarchical porosity, reduced density, and rapid mass transport pathways. Herein, we have strategically fabricated a series of multivariate covalent organic frameworks in the form of aerogels with high surface area, hierarchical porosity, and multiple binding sites for efficient sequestration of bromine in both vapor and solution phases. The multivariate aerogel shows a high Br</w:t>
      </w:r>
      <w:r>
        <w:rPr>
          <w:vertAlign w:val="subscript"/>
        </w:rPr>
        <w:t>2</w:t>
      </w:r>
      <w:r>
        <w:t>uptake capacity, ultrafast adsorption kinetics, excellent selectivity toward Br</w:t>
      </w:r>
      <w:r>
        <w:rPr>
          <w:vertAlign w:val="subscript"/>
        </w:rPr>
        <w:t>2</w:t>
      </w:r>
      <w:r>
        <w:t>, and outstanding performance under dynamic flow‐through conditions, validating its practical applicability. Additionally, the aerogel can sequestrate bromine from aqueous solutions, reducing the concentration to below the permissible limit set by the WHO (&amp;lt; 10 ppm). This study demonstrates the potential of multivariate COF aerogels and establishes a fundamental strategy for designing task‐specific systems through rational building‐block modulation, offering a versatile pathway toward targeted environmental remediation and separation applications.</w:t>
      </w:r>
    </w:p>
    <w:p>
      <w:pPr>
        <w:spacing w:before="120" w:after="120"/>
      </w:pPr>
      <w:r>
        <w:rPr>
          <w:sz w:val="18"/>
        </w:rPr>
        <w:t>——————————————————————————————————————————————————————————————————————</w:t>
      </w:r>
    </w:p>
    <w:p>
      <w:pPr>
        <w:spacing w:before="160" w:after="40" w:line="240" w:lineRule="auto"/>
      </w:pPr>
      <w:r>
        <w:rPr>
          <w:b/>
        </w:rPr>
        <w:t xml:space="preserve">[27] </w:t>
      </w:r>
      <w:hyperlink r:id="rId347">
        <w:r>
          <w:rPr>
            <w:color w:val="1155CC"/>
            <w:u w:val="single"/>
          </w:rPr>
          <w:t>关于“通过多层密封 O2 隧道强化 FeS 簇将厌氧 CO 脱氢酶重塑为空气存活酶”的通讯</w:t>
        </w:r>
      </w:hyperlink>
    </w:p>
    <w:p>
      <w:pPr>
        <w:spacing w:before="0" w:after="80"/>
      </w:pPr>
      <w:r>
        <w:rPr>
          <w:i/>
          <w:sz w:val="20"/>
        </w:rPr>
        <w:t>EN: Correspondence on “Fortification of FeS Clusters Reshapes Anaerobic CO Dehydrogenase Into an Air‐Viable Enzyme Through Multilayered Sealing of O2 Tunnels”</w:t>
      </w:r>
    </w:p>
    <w:p>
      <w:pPr>
        <w:spacing w:before="0" w:after="120"/>
      </w:pPr>
      <w:r>
        <w:rPr>
          <w:b/>
        </w:rPr>
        <w:t xml:space="preserve">Source: </w:t>
      </w:r>
      <w:r>
        <w:t>Wiley: Angewandte Chemie International Edition: Table of Contents</w:t>
      </w:r>
      <w:r>
        <w:t xml:space="preserve">    </w:t>
      </w:r>
      <w:r>
        <w:rPr>
          <w:b/>
        </w:rPr>
        <w:t xml:space="preserve">Pub date: </w:t>
      </w:r>
      <w:r>
        <w:t>2026-05-23 11:51:02+00:00</w:t>
      </w:r>
      <w:r>
        <w:t xml:space="preserve">    </w:t>
      </w:r>
      <w:r>
        <w:rPr>
          <w:b/>
        </w:rPr>
        <w:t xml:space="preserve">DOI: </w:t>
      </w:r>
      <w:hyperlink r:id="rId348">
        <w:r>
          <w:rPr>
            <w:color w:val="1155CC"/>
            <w:u w:val="single"/>
          </w:rPr>
          <w:t>10.1002/anie.1942100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在他们最近的交流中</w:t>
      </w:r>
      <w:r>
        <w:t xml:space="preserve"> </w:t>
      </w:r>
      <w:r>
        <w:t>应用化学</w:t>
      </w:r>
      <w:r>
        <w:t xml:space="preserve"> </w:t>
      </w:r>
      <w:r>
        <w:t>（</w:t>
      </w:r>
      <w:r>
        <w:t xml:space="preserve"> </w:t>
      </w:r>
      <w:r>
        <w:t>10.1002/安妮.202508565</w:t>
      </w:r>
      <w:r>
        <w:t xml:space="preserve"> </w:t>
      </w:r>
      <w:r>
        <w:t>），Suk Min Kim 及其同事描述了修改 CO 脱氢酶 II 的气体通道的效果</w:t>
      </w:r>
      <w:r>
        <w:t xml:space="preserve"> </w:t>
      </w:r>
      <w:r>
        <w:t>氢化羧热菌</w:t>
      </w:r>
      <w:r>
        <w:t xml:space="preserve"> </w:t>
      </w:r>
      <w:r>
        <w:t>，一种将 CO 可逆氧化成 CO 的酶</w:t>
      </w:r>
      <w:r>
        <w:rPr>
          <w:vertAlign w:val="subscript"/>
        </w:rPr>
        <w:t>2</w:t>
      </w:r>
      <w:r>
        <w:t>。他们的目标是利用诱变来减缓 O 的到来</w:t>
      </w:r>
      <w:r>
        <w:rPr>
          <w:vertAlign w:val="subscript"/>
        </w:rPr>
        <w:t>2</w:t>
      </w:r>
      <w:r>
        <w:t>在活性位点。他们报告称，随着 IC 的增加，对氧气的抵抗力大幅增加，这是这种极快且高效的酶在生物技术设备中应用的主要障碍之一。</w:t>
      </w:r>
      <w:r>
        <w:rPr>
          <w:vertAlign w:val="subscript"/>
        </w:rPr>
        <w:t>50</w:t>
      </w:r>
      <w:r>
        <w:t>对于某些变体，影响超过两个数量级，对酶对 CO 的亲和力影响很小。我们生产了相同的变体，并使用蛋白质膜电化学对其进行了深入表征。我们使用的方法已被证明对于学习和理解 CO 脱氢酶（以及其他氧化还原酶，如氢化酶）与 O 的反应性非常有用。</w:t>
      </w:r>
      <w:r>
        <w:rPr>
          <w:vertAlign w:val="subscript"/>
        </w:rPr>
        <w:t>2</w:t>
      </w:r>
      <w:r>
        <w:t>。我们发现，与 Kim 及其同事的说法相反，A559W 和 A559W/V610H 突变体对氧的抵抗力并不比野生型更强。</w:t>
      </w:r>
    </w:p>
    <w:p>
      <w:pPr>
        <w:spacing w:before="0" w:after="200" w:lineRule="auto" w:line="276"/>
      </w:pPr>
      <w:r>
        <w:rPr>
          <w:b/>
        </w:rPr>
        <w:t xml:space="preserve">Abstract (EN): </w:t>
      </w:r>
      <w:r>
        <w:t>In their recent communication in</w:t>
      </w:r>
      <w:r>
        <w:t xml:space="preserve"> </w:t>
      </w:r>
      <w:r>
        <w:t>Angewandte Chemie</w:t>
      </w:r>
      <w:r>
        <w:t xml:space="preserve"> </w:t>
      </w:r>
      <w:r>
        <w:t>(</w:t>
      </w:r>
      <w:r>
        <w:t xml:space="preserve"> </w:t>
      </w:r>
      <w:r>
        <w:t>10.1002/anie.202508565</w:t>
      </w:r>
      <w:r>
        <w:t xml:space="preserve"> </w:t>
      </w:r>
      <w:r>
        <w:t>), Suk Min Kim and coworkers have described the effect of modifying the gas channels of the CO dehydrogenase II from</w:t>
      </w:r>
      <w:r>
        <w:t xml:space="preserve"> </w:t>
      </w:r>
      <w:r>
        <w:t>Carboxydothermus hydrogenoformans</w:t>
      </w:r>
      <w:r>
        <w:t xml:space="preserve"> </w:t>
      </w:r>
      <w:r>
        <w:t>, an enzyme that oxidizes reversibly CO into CO</w:t>
      </w:r>
      <w:r>
        <w:rPr>
          <w:vertAlign w:val="subscript"/>
        </w:rPr>
        <w:t>2</w:t>
      </w:r>
      <w:r>
        <w:t>. Their goal was to use mutagenesis to slow down the arrival of O</w:t>
      </w:r>
      <w:r>
        <w:rPr>
          <w:vertAlign w:val="subscript"/>
        </w:rPr>
        <w:t>2</w:t>
      </w:r>
      <w:r>
        <w:t>at the active site. They reported a large increase in the resistance against oxygen, one of the major barriers to the application of this extremely fast and efficient enzyme in biotechnological devices, with an increase in the IC</w:t>
      </w:r>
      <w:r>
        <w:rPr>
          <w:vertAlign w:val="subscript"/>
        </w:rPr>
        <w:t>50</w:t>
      </w:r>
      <w:r>
        <w:t>of more than two orders of magnitudes for some variants, with only a minor impact on the affinity of the enzyme for CO. We have produced the same variants, and characterized them in depth using Protein Film Electrochemistry. We used an approach that has proven very useful to learn and understand about the reactivity of CO dehydrogenases (and other redox enzymes like hydrogenases) with O</w:t>
      </w:r>
      <w:r>
        <w:rPr>
          <w:vertAlign w:val="subscript"/>
        </w:rPr>
        <w:t>2</w:t>
      </w:r>
      <w:r>
        <w:t>. We found that, contrary to the claims by Kim and coworkers, the A559W and the A559W/V610H mutants are not more resistant than the wild type against oxygen.</w:t>
      </w:r>
    </w:p>
    <w:p>
      <w:pPr>
        <w:spacing w:before="120" w:after="120"/>
      </w:pPr>
      <w:r>
        <w:rPr>
          <w:sz w:val="18"/>
        </w:rPr>
        <w:t>——————————————————————————————————————————————————————————————————————</w:t>
      </w:r>
    </w:p>
    <w:p>
      <w:pPr>
        <w:spacing w:before="160" w:after="40" w:line="240" w:lineRule="auto"/>
      </w:pPr>
      <w:r>
        <w:rPr>
          <w:b/>
        </w:rPr>
        <w:t xml:space="preserve">[28] </w:t>
      </w:r>
      <w:hyperlink r:id="rId349">
        <w:r>
          <w:rPr>
            <w:color w:val="1155CC"/>
            <w:u w:val="single"/>
          </w:rPr>
          <w:t>水介导的磷酰丝稳定病理性 Tau 原纤维</w:t>
        </w:r>
      </w:hyperlink>
    </w:p>
    <w:p>
      <w:pPr>
        <w:spacing w:before="0" w:after="80"/>
      </w:pPr>
      <w:r>
        <w:rPr>
          <w:i/>
          <w:sz w:val="20"/>
        </w:rPr>
        <w:t>EN: Water‐Mediated Phosphoryl Wires Stabilize Pathological Tau Fibrils</w:t>
      </w:r>
    </w:p>
    <w:p>
      <w:pPr>
        <w:spacing w:before="0" w:after="120"/>
      </w:pPr>
      <w:r>
        <w:rPr>
          <w:b/>
        </w:rPr>
        <w:t xml:space="preserve">Source: </w:t>
      </w:r>
      <w:r>
        <w:t>Wiley: Angewandte Chemie International Edition: Table of Contents</w:t>
      </w:r>
      <w:r>
        <w:t xml:space="preserve">    </w:t>
      </w:r>
      <w:r>
        <w:rPr>
          <w:b/>
        </w:rPr>
        <w:t xml:space="preserve">Pub date: </w:t>
      </w:r>
      <w:r>
        <w:t>2026-05-23 11:53:13+00:00</w:t>
      </w:r>
      <w:r>
        <w:t xml:space="preserve">    </w:t>
      </w:r>
      <w:r>
        <w:rPr>
          <w:b/>
        </w:rPr>
        <w:t xml:space="preserve">DOI: </w:t>
      </w:r>
      <w:hyperlink r:id="rId350">
        <w:r>
          <w:rPr>
            <w:color w:val="1155CC"/>
            <w:u w:val="single"/>
          </w:rPr>
          <w:t>10.1002/anie.202521499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tau 蛋白过度磷酸化是 tau 蛋白病的一个标志，病理原纤维中特定的磷酸化位点升高。然而，这种翻译后修饰 (PTM) 在驱动 tau 聚集中的分子作用仍不清楚。对准原纤维组装将磷酰基以〜4.8埃的间距放置在相邻单体上，需要能量上有利的排列。传统的直觉认为，紧密堆积的磷酰基在静电方面应该是不利的。我们测试了相反的假设：原纤维核心内的磷酰基结合成稳定淀粉样原纤维的延伸“线”。我们检查了与神经变性相关的两个磷酸化位点，丝氨酸 305 (S305</w:t>
      </w:r>
      <w:r>
        <w:t xml:space="preserve"> </w:t>
      </w:r>
      <w:r>
        <w:t>p</w:t>
      </w:r>
      <w:r>
        <w:t xml:space="preserve"> </w:t>
      </w:r>
      <w:r>
        <w:t>) 和酪氨酸 310 (Y310</w:t>
      </w:r>
      <w:r>
        <w:t xml:space="preserve"> </w:t>
      </w:r>
      <w:r>
        <w:t>p</w:t>
      </w:r>
      <w:r>
        <w:t xml:space="preserve"> </w:t>
      </w:r>
      <w:r>
        <w:t>），使用具有播种能力的 tau 肽 jR2R3-P301L 纤维。多量子自旋计数（MQ-SC）</w:t>
      </w:r>
      <w:r>
        <w:rPr>
          <w:vertAlign w:val="subscript"/>
        </w:rPr>
        <w:t>3</w:t>
      </w:r>
      <w:r>
        <w:rPr>
          <w:vertAlign w:val="subscript"/>
        </w:rPr>
        <w:t>1</w:t>
      </w:r>
      <w:r>
        <w:t>具有动态核极化 (DNP) 的 P 固态核磁共振显示，原纤维内至少有六个线性排列的磷自旋，与 MQ 相干阶数 4 一致。分子动力学模拟确定了水介导的磷酰丝几何形状和二维</w:t>
      </w:r>
      <w:r>
        <w:rPr>
          <w:vertAlign w:val="subscript"/>
        </w:rPr>
        <w:t>1</w:t>
      </w:r>
      <w:r>
        <w:t>H——</w:t>
      </w:r>
      <w:r>
        <w:rPr>
          <w:vertAlign w:val="subscript"/>
        </w:rPr>
        <w:t>3</w:t>
      </w:r>
      <w:r>
        <w:rPr>
          <w:vertAlign w:val="subscript"/>
        </w:rPr>
        <w:t>1</w:t>
      </w:r>
      <w:r>
        <w:t>P异核相关核磁共振证实了水桥磷酰基-磷酰基接触。变性实验表明S305磷酸化增加</w:t>
      </w:r>
    </w:p>
    <w:p>
      <w:pPr>
        <w:spacing w:before="0" w:after="200" w:lineRule="auto" w:line="276"/>
      </w:pPr>
      <w:r>
        <w:rPr>
          <w:b/>
        </w:rPr>
        <w:t xml:space="preserve">Abstract (EN): </w:t>
      </w:r>
      <w:r>
        <w:t>Hyperphosphorylation of tau is a hallmark of tauopathies, with specific phosphorylation sites elevated in pathological fibrils. However, the molecular role of this post‐translational modification (PTM) in driving tau aggregation remains unclear. In‐register fibril assembly places phosphoryl groups on adjacent monomers at ∼4.8 Å spacing, requiring an energetically favorable arrangement. Conventional intuition holds that closely packed phosphoryl groups should be electrostatically unfavorable. We test the opposing hypothesis: that phosphoryl groups within the fibril core associate into an extended “wire” that stabilizes the amyloid fibril. We examined two phosphorylation sites linked to neurodegeneration, serine 305 (S305</w:t>
      </w:r>
      <w:r>
        <w:t xml:space="preserve"> </w:t>
      </w:r>
      <w:r>
        <w:t>p</w:t>
      </w:r>
      <w:r>
        <w:t xml:space="preserve"> </w:t>
      </w:r>
      <w:r>
        <w:t>) and tyrosine 310 (Y310</w:t>
      </w:r>
      <w:r>
        <w:t xml:space="preserve"> </w:t>
      </w:r>
      <w:r>
        <w:t>p</w:t>
      </w:r>
      <w:r>
        <w:t xml:space="preserve"> </w:t>
      </w:r>
      <w:r>
        <w:t>), using seeding‐competent fibrils of the tau peptide jR2R3‐P301L. Multiple‐quantum spin counting (MQ‐SC) by</w:t>
      </w:r>
      <w:r>
        <w:rPr>
          <w:vertAlign w:val="subscript"/>
        </w:rPr>
        <w:t>3</w:t>
      </w:r>
      <w:r>
        <w:rPr>
          <w:vertAlign w:val="subscript"/>
        </w:rPr>
        <w:t>1</w:t>
      </w:r>
      <w:r>
        <w:t>P solid‐state NMR with dynamic nuclear polarization (DNP) revealed at least six phosphorus spins linearly arranged within a protofibril, consistent with a MQ coherence order of four. Molecular dynamics simulations identified water‐mediated phosphoryl wire geometries, and 2D</w:t>
      </w:r>
      <w:r>
        <w:rPr>
          <w:vertAlign w:val="subscript"/>
        </w:rPr>
        <w:t>1</w:t>
      </w:r>
      <w:r>
        <w:t>H–</w:t>
      </w:r>
      <w:r>
        <w:rPr>
          <w:vertAlign w:val="subscript"/>
        </w:rPr>
        <w:t>3</w:t>
      </w:r>
      <w:r>
        <w:rPr>
          <w:vertAlign w:val="subscript"/>
        </w:rPr>
        <w:t>1</w:t>
      </w:r>
      <w:r>
        <w:t>P heteronuclear correlation NMR confirmed water‐bridged phosphoryl‐phosphoryl contacts. Denaturation experiments showed that S305 phosphorylation increased fibril stability relative to the unmodified peptide. These findings show that phosphorylation within the tau fibril core promotes fibril registry and stability through water‐mediated, hydrogen‐bonded phosphoryl wires, which may be a structural signature for next‐generation pathological tau binders.</w:t>
      </w:r>
    </w:p>
    <w:p>
      <w:pPr>
        <w:spacing w:before="120" w:after="120"/>
      </w:pPr>
      <w:r>
        <w:rPr>
          <w:sz w:val="18"/>
        </w:rPr>
        <w:t>——————————————————————————————————————————————————————————————————————</w:t>
      </w:r>
    </w:p>
    <w:p>
      <w:pPr>
        <w:spacing w:before="160" w:after="40" w:line="240" w:lineRule="auto"/>
      </w:pPr>
      <w:r>
        <w:rPr>
          <w:b/>
        </w:rPr>
        <w:t xml:space="preserve">[29] </w:t>
      </w:r>
      <w:hyperlink r:id="rId351">
        <w:r>
          <w:rPr>
            <w:color w:val="1155CC"/>
            <w:u w:val="single"/>
          </w:rPr>
          <w:t>通过熵驱动界面自组装介孔N,S双掺杂碳纳米反应器实现高效H2O2电合成</w:t>
        </w:r>
      </w:hyperlink>
    </w:p>
    <w:p>
      <w:pPr>
        <w:spacing w:before="0" w:after="80"/>
      </w:pPr>
      <w:r>
        <w:rPr>
          <w:i/>
          <w:sz w:val="20"/>
        </w:rPr>
        <w:t>EN: Mesoporous N,S‐Dual‐Doped Carbon Nanoreactors via Entropy‐Driven Interface Self‐Assembly for Efficient H2O2 Electrosynthesis</w:t>
      </w:r>
    </w:p>
    <w:p>
      <w:pPr>
        <w:spacing w:before="0" w:after="120"/>
      </w:pPr>
      <w:r>
        <w:rPr>
          <w:b/>
        </w:rPr>
        <w:t xml:space="preserve">Source: </w:t>
      </w:r>
      <w:r>
        <w:t>Wiley: Angewandte Chemie International Edition: Table of Contents</w:t>
      </w:r>
      <w:r>
        <w:t xml:space="preserve">    </w:t>
      </w:r>
      <w:r>
        <w:rPr>
          <w:b/>
        </w:rPr>
        <w:t xml:space="preserve">Pub date: </w:t>
      </w:r>
      <w:r>
        <w:t>2026-05-23 11:54:51+00:00</w:t>
      </w:r>
      <w:r>
        <w:t xml:space="preserve">    </w:t>
      </w:r>
      <w:r>
        <w:rPr>
          <w:b/>
        </w:rPr>
        <w:t xml:space="preserve">DOI: </w:t>
      </w:r>
      <w:hyperlink r:id="rId352">
        <w:r>
          <w:rPr>
            <w:color w:val="1155CC"/>
            <w:u w:val="single"/>
          </w:rPr>
          <w:t>10.1002/anie.7636911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电化学双电子氧还原反应（2e</w:t>
      </w:r>
      <w:r>
        <w:t xml:space="preserve"> </w:t>
      </w:r>
      <w:r>
        <w:t>-</w:t>
      </w:r>
      <w:r>
        <w:t>ORR）为 H 提供了一条可持续的途径</w:t>
      </w:r>
      <w:r>
        <w:rPr>
          <w:vertAlign w:val="subscript"/>
        </w:rPr>
        <w:t>2</w:t>
      </w:r>
      <w:r>
        <w:t>氧</w:t>
      </w:r>
      <w:r>
        <w:rPr>
          <w:vertAlign w:val="subscript"/>
        </w:rPr>
        <w:t>2</w:t>
      </w:r>
      <w:r>
        <w:t>生产。合理的催化剂设计对于实现高效氢气至关重要</w:t>
      </w:r>
      <w:r>
        <w:rPr>
          <w:vertAlign w:val="subscript"/>
        </w:rPr>
        <w:t>2</w:t>
      </w:r>
      <w:r>
        <w:t>氧</w:t>
      </w:r>
      <w:r>
        <w:rPr>
          <w:vertAlign w:val="subscript"/>
        </w:rPr>
        <w:t>2</w:t>
      </w:r>
      <w:r>
        <w:t>电合成，其中多孔杂原子掺杂碳基材料具有巨大的潜力。然而，同时实现均匀的杂原子掺杂和碳骨架中精确设计的多孔结构仍然是一个重大挑战。在此，我们提出了一种熵驱动的界面自组装策略来制造具有可调几何形状的介孔N，S双掺杂碳基纳米反应器。最佳样品在流通池中表现出卓越的性能，实现了 H</w:t>
      </w:r>
      <w:r>
        <w:rPr>
          <w:vertAlign w:val="subscript"/>
        </w:rPr>
        <w:t>2</w:t>
      </w:r>
      <w:r>
        <w:t>氧</w:t>
      </w:r>
      <w:r>
        <w:rPr>
          <w:vertAlign w:val="subscript"/>
        </w:rPr>
        <w:t>2</w:t>
      </w:r>
      <w:r>
        <w:t>产率为 17.38 摩尔</w:t>
      </w:r>
      <w:r>
        <w:t xml:space="preserve"> </w:t>
      </w:r>
      <w:r>
        <w:t>格猫</w:t>
      </w:r>
      <w:r>
        <w:t xml:space="preserve"> </w:t>
      </w:r>
      <w:r>
        <w:t>−1</w:t>
      </w:r>
      <w:r>
        <w:t xml:space="preserve"> </w:t>
      </w:r>
      <w:r>
        <w:t>小时</w:t>
      </w:r>
      <w:r>
        <w:t xml:space="preserve"> </w:t>
      </w:r>
      <w:r>
        <w:t>−1</w:t>
      </w:r>
      <w:r>
        <w:t xml:space="preserve"> </w:t>
      </w:r>
      <w:r>
        <w:t>-0.2 V 时相对于可逆氢电极 (RHE) 的选择性 &gt; 90%。 DFT计算和有限元分析模拟表明，N,S双掺杂配置优化了*OOH吸附能，而明确的介孔结构加速了传质并促进了表面O的富集</w:t>
      </w:r>
      <w:r>
        <w:rPr>
          <w:vertAlign w:val="subscript"/>
        </w:rPr>
        <w:t>2</w:t>
      </w:r>
      <w:r>
        <w:t>浓度。这项工作提供了一般</w:t>
      </w:r>
    </w:p>
    <w:p>
      <w:pPr>
        <w:spacing w:before="0" w:after="200" w:lineRule="auto" w:line="276"/>
      </w:pPr>
      <w:r>
        <w:rPr>
          <w:b/>
        </w:rPr>
        <w:t xml:space="preserve">Abstract (EN): </w:t>
      </w:r>
      <w:r>
        <w:t>The electrochemical two‐electron oxygen reduction reaction (2e</w:t>
      </w:r>
      <w:r>
        <w:t xml:space="preserve"> </w:t>
      </w:r>
      <w:r>
        <w:t>−</w:t>
      </w:r>
      <w:r>
        <w:t>ORR) offers a sustainable route for H</w:t>
      </w:r>
      <w:r>
        <w:rPr>
          <w:vertAlign w:val="subscript"/>
        </w:rPr>
        <w:t>2</w:t>
      </w:r>
      <w:r>
        <w:t>O</w:t>
      </w:r>
      <w:r>
        <w:rPr>
          <w:vertAlign w:val="subscript"/>
        </w:rPr>
        <w:t>2</w:t>
      </w:r>
      <w:r>
        <w:t>production. Rational catalyst design is essential for achieving efficient H</w:t>
      </w:r>
      <w:r>
        <w:rPr>
          <w:vertAlign w:val="subscript"/>
        </w:rPr>
        <w:t>2</w:t>
      </w:r>
      <w:r>
        <w:t>O</w:t>
      </w:r>
      <w:r>
        <w:rPr>
          <w:vertAlign w:val="subscript"/>
        </w:rPr>
        <w:t>2</w:t>
      </w:r>
      <w:r>
        <w:t>electrosynthesis, in which porous heteroatom‐doped carbon‐based materials hold tremendous potential. Nevertheless, the simultaneous realization of homogenized heteroatom doping and a precisely engineered porous structure in the carbon skeleton remains a significant challenge. Herein, we propose an entropy‐driven interface self‐assembly strategy to fabricate mesoporous N,S‐dual‐doped carbon‐based nanoreactors with tunable geometries. The optimal sample shows exceptional performance in a flow cell, achieving H</w:t>
      </w:r>
      <w:r>
        <w:rPr>
          <w:vertAlign w:val="subscript"/>
        </w:rPr>
        <w:t>2</w:t>
      </w:r>
      <w:r>
        <w:t>O</w:t>
      </w:r>
      <w:r>
        <w:rPr>
          <w:vertAlign w:val="subscript"/>
        </w:rPr>
        <w:t>2</w:t>
      </w:r>
      <w:r>
        <w:t>production rate of 17.38 mol</w:t>
      </w:r>
      <w:r>
        <w:t xml:space="preserve"> </w:t>
      </w:r>
      <w:r>
        <w:t>gcat</w:t>
      </w:r>
      <w:r>
        <w:t xml:space="preserve"> </w:t>
      </w:r>
      <w:r>
        <w:t>−1</w:t>
      </w:r>
      <w:r>
        <w:t xml:space="preserve"> </w:t>
      </w:r>
      <w:r>
        <w:t>h</w:t>
      </w:r>
      <w:r>
        <w:t xml:space="preserve"> </w:t>
      </w:r>
      <w:r>
        <w:t>−1</w:t>
      </w:r>
      <w:r>
        <w:t xml:space="preserve"> </w:t>
      </w:r>
      <w:r>
        <w:t>at −0.2 V versus reversible hydrogen electrode (RHE) with &amp;gt; 90% selectivity. DFT calculations and finite element analysis simulations reveal that the N,S‐dual‐doping configuration optimizes the *OOH adsorption energy, while the well‑defined mesoporous structure accelerates mass transport and promotes the enrichment of surface O</w:t>
      </w:r>
      <w:r>
        <w:rPr>
          <w:vertAlign w:val="subscript"/>
        </w:rPr>
        <w:t>2</w:t>
      </w:r>
      <w:r>
        <w:t>concentration. This work provides a general principle for synergizing heteroatom doping and nanostructural engineering toward high‐performance electrocatalysts for sustainable synthesis.</w:t>
      </w:r>
    </w:p>
    <w:p>
      <w:pPr>
        <w:spacing w:before="120" w:after="120"/>
      </w:pPr>
      <w:r>
        <w:rPr>
          <w:sz w:val="18"/>
        </w:rPr>
        <w:t>——————————————————————————————————————————————————————————————————————</w:t>
      </w:r>
    </w:p>
    <w:p>
      <w:pPr>
        <w:spacing w:before="160" w:after="40" w:line="240" w:lineRule="auto"/>
      </w:pPr>
      <w:r>
        <w:rPr>
          <w:b/>
        </w:rPr>
        <w:t xml:space="preserve">[30] </w:t>
      </w:r>
      <w:hyperlink r:id="rId353">
        <w:r>
          <w:rPr>
            <w:color w:val="1155CC"/>
            <w:u w:val="single"/>
          </w:rPr>
          <w:t>荧光偶联测定揭示粘蛋白活性碳水化合物硫酸酯酶的催化特性、抑制常数和细胞位置</w:t>
        </w:r>
      </w:hyperlink>
    </w:p>
    <w:p>
      <w:pPr>
        <w:spacing w:before="0" w:after="80"/>
      </w:pPr>
      <w:r>
        <w:rPr>
          <w:i/>
          <w:sz w:val="20"/>
        </w:rPr>
        <w:t>EN: Fluorogenic Coupled Assays Reveal Catalytic Properties, Inhibition Constants and Cellular Location of Mucin‐Active Carbohydrate Sulfatases</w:t>
      </w:r>
    </w:p>
    <w:p>
      <w:pPr>
        <w:spacing w:before="0" w:after="120"/>
      </w:pPr>
      <w:r>
        <w:rPr>
          <w:b/>
        </w:rPr>
        <w:t xml:space="preserve">Source: </w:t>
      </w:r>
      <w:r>
        <w:t>Wiley: Angewandte Chemie International Edition: Table of Contents</w:t>
      </w:r>
      <w:r>
        <w:t xml:space="preserve">    </w:t>
      </w:r>
      <w:r>
        <w:rPr>
          <w:b/>
        </w:rPr>
        <w:t xml:space="preserve">Pub date: </w:t>
      </w:r>
      <w:r>
        <w:t>2026-05-23 11:57:27+00:00</w:t>
      </w:r>
      <w:r>
        <w:t xml:space="preserve">    </w:t>
      </w:r>
      <w:r>
        <w:rPr>
          <w:b/>
        </w:rPr>
        <w:t xml:space="preserve">DOI: </w:t>
      </w:r>
      <w:hyperlink r:id="rId354">
        <w:r>
          <w:rPr>
            <w:color w:val="1155CC"/>
            <w:u w:val="single"/>
          </w:rPr>
          <w:t>10.1002/anie.2991471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酸化聚糖在人类健康中发挥着核心作用，影响细胞信号传导、癌症进展、病原体入侵和宿主微生物组相互作用。这些聚糖的代谢需要一类特殊的酶，称为碳水化合物硫酸酯酶。这些酶在人体肠道中特别重要，硫酸化结肠粘蛋白在人体肠道中产生并随后被结肠细菌降解。尽管碳水化合物硫酸酯酶具有重要的生物学意义，但目前仍缺乏化学工具来研究其活性、底物选择性、抑制作用以及新型酶的发现。为了解决这个问题，我们合成了新的化学工具，可以在基于板的偶联测定中快速定量地确定碳水化合物硫酸酯酶的活性和选择性。我们合成了 3-</w:t>
      </w:r>
      <w:r>
        <w:t>氧</w:t>
      </w:r>
      <w:r>
        <w:t xml:space="preserve"> </w:t>
      </w:r>
      <w:r>
        <w:t>‐sulfated fluorogenic glycosides using efficient synthetic routes and combined these fluorogenic substrates with a glycosidase that selectively cleaves unsulfated glycosides, allowing sensitive detection of sulfatase activity on both purified protein and cell lysate from the S1_20 subfamily sulfatases.此外，我们表明该测定能够区分和定量底物特异性、鉴定硫酸酯酶抑制剂以及确定两种 S1_20 亚家族硫酸酯酶的硫酸酯酶（亚）细胞位置。总的来说，我们预计这些工具将进一步了解碳水化合物硫酸酯酶、硫酸化聚糖与人类健康之间的相互作用</w:t>
      </w:r>
    </w:p>
    <w:p>
      <w:pPr>
        <w:spacing w:before="0" w:after="200" w:lineRule="auto" w:line="276"/>
      </w:pPr>
      <w:r>
        <w:rPr>
          <w:b/>
        </w:rPr>
        <w:t xml:space="preserve">Abstract (EN): </w:t>
      </w:r>
      <w:r>
        <w:t>Sulfated glycans play a central role in human health and influence cell signaling, cancer progression, pathogen invasion, and host‐microbiome interactions. Metabolism of these glycans requires a specialized class of enzymes termed carbohydrate sulfatases. These enzymes are particularly important in the human gut where sulfated colonic mucin is produced and subsequently degraded by colonic bacteria. Despite the biological importance of carbohydrate sulfatases, there is currently a lack of chemical tools to study their activity, substrate selectivity, inhibition, and the discovery of novel enzymes. To address this, we have synthesized new chemical tools to rapidly and quantitatively determine the activity and selectivity of carbohydrate sulfatases in plate‐based coupled assays. We have synthesized 3‐</w:t>
      </w:r>
      <w:r>
        <w:t xml:space="preserve"> </w:t>
      </w:r>
      <w:r>
        <w:t>O</w:t>
      </w:r>
      <w:r>
        <w:t xml:space="preserve"> </w:t>
      </w:r>
      <w:r>
        <w:t>‐sulfated fluorogenic glycosides using efficient synthetic routes and combined these fluorogenic substrates with a glycosidase that selectively cleaves unsulfated glycosides, allowing sensitive detection of sulfatase activity on both purified protein and cell lysate from the S1_20 subfamily sulfatases. Furthermore, we show that the assay enables differentiation and quantification of substrate specificity, identification of sulfatase inhibitors, and determination of sulfatase (sub‐)cellular location for two S1_20 subfamily sulfatases. Collectively, we anticipate that these tools will further our understanding of the interplay between carbohydrate sulfatases, sulfated glycans, and human health.</w:t>
      </w:r>
    </w:p>
    <w:p>
      <w:pPr>
        <w:spacing w:before="120" w:after="120"/>
      </w:pPr>
      <w:r>
        <w:rPr>
          <w:sz w:val="18"/>
        </w:rPr>
        <w:t>——————————————————————————————————————————————————————————————————————</w:t>
      </w:r>
    </w:p>
    <w:p>
      <w:pPr>
        <w:spacing w:before="160" w:after="40" w:line="240" w:lineRule="auto"/>
      </w:pPr>
      <w:r>
        <w:rPr>
          <w:b/>
        </w:rPr>
        <w:t xml:space="preserve">[31] </w:t>
      </w:r>
      <w:hyperlink r:id="rId355">
        <w:r>
          <w:rPr>
            <w:color w:val="1155CC"/>
            <w:u w:val="single"/>
          </w:rPr>
          <w:t>白光或双光子激活光反应分子盐的多晶型依赖性光显着效应的机理洞察</w:t>
        </w:r>
      </w:hyperlink>
    </w:p>
    <w:p>
      <w:pPr>
        <w:spacing w:before="0" w:after="80"/>
      </w:pPr>
      <w:r>
        <w:rPr>
          <w:i/>
          <w:sz w:val="20"/>
        </w:rPr>
        <w:t>EN: Mechanistic Insight Into the Polymorph‐Dependent Photosalient Effect of a White Light or Two‐Photon Activated Photoreactive Molecular Salt</w:t>
      </w:r>
    </w:p>
    <w:p>
      <w:pPr>
        <w:spacing w:before="0" w:after="120"/>
      </w:pPr>
      <w:r>
        <w:rPr>
          <w:b/>
        </w:rPr>
        <w:t xml:space="preserve">Source: </w:t>
      </w:r>
      <w:r>
        <w:t>Wiley: Angewandte Chemie International Edition: Table of Contents</w:t>
      </w:r>
      <w:r>
        <w:t xml:space="preserve">    </w:t>
      </w:r>
      <w:r>
        <w:rPr>
          <w:b/>
        </w:rPr>
        <w:t xml:space="preserve">Pub date: </w:t>
      </w:r>
      <w:r>
        <w:t>2026-05-23 11:57:29+00:00</w:t>
      </w:r>
      <w:r>
        <w:t xml:space="preserve">    </w:t>
      </w:r>
      <w:r>
        <w:rPr>
          <w:b/>
        </w:rPr>
        <w:t xml:space="preserve">DOI: </w:t>
      </w:r>
      <w:hyperlink r:id="rId356">
        <w:r>
          <w:rPr>
            <w:color w:val="1155CC"/>
            <w:u w:val="single"/>
          </w:rPr>
          <w:t>10.1002/anie.5518257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光致突效应 (PE) 提供了光能直接转换为宏观机械功的视觉震撼演示。然而，对底层晶体堆积如何控制宏观应力的积累和释放建立预测性的原子级理解仍然是一个挑战。在这里，我们报道了二苯乙烯型分子盐的两种光反应多晶型物（OHT-T</w:t>
      </w:r>
      <w:r>
        <w:t xml:space="preserve"> </w:t>
      </w:r>
      <w:r>
        <w:t>我</w:t>
      </w:r>
      <w:r>
        <w:t xml:space="preserve"> </w:t>
      </w:r>
      <w:r>
        <w:t>和 OHT-T</w:t>
      </w:r>
      <w:r>
        <w:t xml:space="preserve"> </w:t>
      </w:r>
      <w:r>
        <w:t>二</w:t>
      </w:r>
      <w:r>
        <w:t xml:space="preserve"> </w:t>
      </w:r>
      <w:r>
        <w:t>）经历相同的拓扑化学 [2 + 2] 光环加成，但表现出不同的机械行为：而 OHT-T</w:t>
      </w:r>
      <w:r>
        <w:t xml:space="preserve"> </w:t>
      </w:r>
      <w:r>
        <w:t>二</w:t>
      </w:r>
      <w:r>
        <w:t xml:space="preserve"> </w:t>
      </w:r>
      <w:r>
        <w:t>静态反应，OHT-T</w:t>
      </w:r>
      <w:r>
        <w:t xml:space="preserve"> </w:t>
      </w:r>
      <w:r>
        <w:t>我</w:t>
      </w:r>
      <w:r>
        <w:t xml:space="preserve"> </w:t>
      </w:r>
      <w:r>
        <w:t>表现出强烈的、爆炸性的光异常驱动。通过将单晶 X 射线衍射与先进的周期密度泛函理论 (DFT) 计算相结合，我们揭示了这种相位依赖性选择性的机制起源。我们证明了 OHT-T 的特定壳状包装</w:t>
      </w:r>
      <w:r>
        <w:t xml:space="preserve"> </w:t>
      </w:r>
      <w:r>
        <w:t>我</w:t>
      </w:r>
      <w:r>
        <w:t xml:space="preserve"> </w:t>
      </w:r>
      <w:r>
        <w:t>完全抑制新形成的环丁烷二聚体的结构松弛，导致弹性应变的积累。相反，OHT-T 中的不间断堆叠</w:t>
      </w:r>
      <w:r>
        <w:t xml:space="preserve"> </w:t>
      </w:r>
      <w:r>
        <w:t>二</w:t>
      </w:r>
      <w:r>
        <w:t xml:space="preserve"> </w:t>
      </w:r>
      <w:r>
        <w:t>允许这种应变不受阻碍地消散。此外，发色团明显的推拉特性有效地克服了传统上对紫外线的依赖，使得这种驱动能够通过以下方式干净地触发：</w:t>
      </w:r>
    </w:p>
    <w:p>
      <w:pPr>
        <w:spacing w:before="0" w:after="200" w:lineRule="auto" w:line="276"/>
      </w:pPr>
      <w:r>
        <w:rPr>
          <w:b/>
        </w:rPr>
        <w:t xml:space="preserve">Abstract (EN): </w:t>
      </w:r>
      <w:r>
        <w:t>The photosalient effect (PE) provides a visually striking demonstration of the direct transduction of light energy into macroscopic mechanical work. However, establishing a predictive, atomic‐level understanding of how the underlying crystal packing governs the accumulation and release of macroscopic stress remains a challenge. Here, we report two photoreactive polymorphs of a stilbene‐type molecular salt (OHT‐T</w:t>
      </w:r>
      <w:r>
        <w:t xml:space="preserve"> </w:t>
      </w:r>
      <w:r>
        <w:t>I</w:t>
      </w:r>
      <w:r>
        <w:t xml:space="preserve"> </w:t>
      </w:r>
      <w:r>
        <w:t>and OHT‐T</w:t>
      </w:r>
      <w:r>
        <w:t xml:space="preserve"> </w:t>
      </w:r>
      <w:r>
        <w:t>II</w:t>
      </w:r>
      <w:r>
        <w:t xml:space="preserve"> </w:t>
      </w:r>
      <w:r>
        <w:t>) that undergo the identical topochemical [2 + 2] photocycloaddition but exhibit divergently different mechanical behaviors: while OHT‐T</w:t>
      </w:r>
      <w:r>
        <w:t xml:space="preserve"> </w:t>
      </w:r>
      <w:r>
        <w:t>II</w:t>
      </w:r>
      <w:r>
        <w:t xml:space="preserve"> </w:t>
      </w:r>
      <w:r>
        <w:t>reacts statically, OHT‐T</w:t>
      </w:r>
      <w:r>
        <w:t xml:space="preserve"> </w:t>
      </w:r>
      <w:r>
        <w:t>I</w:t>
      </w:r>
      <w:r>
        <w:t xml:space="preserve"> </w:t>
      </w:r>
      <w:r>
        <w:t>displays a violent, explosive photosalient actuation. By combining single‐crystal x‐ray diffraction with advanced periodic density functional theory (DFT) calculations, we reveal the mechanistic origin of this phase‐dependent selectivity. We demonstrate that the specific shell‐like packing of OHT‐T</w:t>
      </w:r>
      <w:r>
        <w:t xml:space="preserve"> </w:t>
      </w:r>
      <w:r>
        <w:t>I</w:t>
      </w:r>
      <w:r>
        <w:t xml:space="preserve"> </w:t>
      </w:r>
      <w:r>
        <w:t>completely frustrates the structural relaxation of the newly formed cyclobutane dimer, leading to accumulation of elastic strain. Conversely, the uninterrupted stacking in OHT‐T</w:t>
      </w:r>
      <w:r>
        <w:t xml:space="preserve"> </w:t>
      </w:r>
      <w:r>
        <w:t>II</w:t>
      </w:r>
      <w:r>
        <w:t xml:space="preserve"> </w:t>
      </w:r>
      <w:r>
        <w:t>allows for the unhindered dissipation of this strain. Furthermore, the pronounced push–pull character of the chromophore effectively overcomes the traditional reliance on UV light, enabling this actuation to be cleanly triggered by low‐energy visible light and, unprecedentedly, via near‐infrared two‐photon absorption. Supported by complete thermal reversibility, this study provides a predictive structural and computational blueprint for the rational design of next‐generation dynamic materials.</w:t>
      </w:r>
    </w:p>
    <w:p>
      <w:pPr>
        <w:spacing w:before="120" w:after="120"/>
      </w:pPr>
      <w:r>
        <w:rPr>
          <w:sz w:val="18"/>
        </w:rPr>
        <w:t>——————————————————————————————————————————————————————————————————————</w:t>
      </w:r>
    </w:p>
    <w:p>
      <w:pPr>
        <w:spacing w:before="160" w:after="40" w:line="240" w:lineRule="auto"/>
      </w:pPr>
      <w:r>
        <w:rPr>
          <w:b/>
        </w:rPr>
        <w:t xml:space="preserve">[32] </w:t>
      </w:r>
      <w:hyperlink r:id="rId357">
        <w:r>
          <w:rPr>
            <w:color w:val="1155CC"/>
            <w:u w:val="single"/>
          </w:rPr>
          <w:t>具有双受阻吲哚啉供体的混合局部和电荷转移发射器，用于快速高效的红色塑料闪烁体</w:t>
        </w:r>
      </w:hyperlink>
    </w:p>
    <w:p>
      <w:pPr>
        <w:spacing w:before="0" w:after="80"/>
      </w:pPr>
      <w:r>
        <w:rPr>
          <w:i/>
          <w:sz w:val="20"/>
        </w:rPr>
        <w:t>EN: Hybridized Local and Charge‐Transfer Emitter With a Dual‐Hindered Indoline Donor for Fast and Efficient Red Plastic Scintillators</w:t>
      </w:r>
    </w:p>
    <w:p>
      <w:pPr>
        <w:spacing w:before="0" w:after="120"/>
      </w:pPr>
      <w:r>
        <w:rPr>
          <w:b/>
        </w:rPr>
        <w:t xml:space="preserve">Source: </w:t>
      </w:r>
      <w:r>
        <w:t>Wiley: Angewandte Chemie International Edition: Table of Contents</w:t>
      </w:r>
      <w:r>
        <w:t xml:space="preserve">    </w:t>
      </w:r>
      <w:r>
        <w:rPr>
          <w:b/>
        </w:rPr>
        <w:t xml:space="preserve">Pub date: </w:t>
      </w:r>
      <w:r>
        <w:t>2026-05-23 12:00:25+00:00</w:t>
      </w:r>
      <w:r>
        <w:t xml:space="preserve">    </w:t>
      </w:r>
      <w:r>
        <w:rPr>
          <w:b/>
        </w:rPr>
        <w:t xml:space="preserve">DOI: </w:t>
      </w:r>
      <w:hyperlink r:id="rId358">
        <w:r>
          <w:rPr>
            <w:color w:val="1155CC"/>
            <w:u w:val="single"/>
          </w:rPr>
          <w:t>10.1002/anie.8826625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可将电离辐射转换为长波长光子的柔性有机红色/近红外闪烁体与硅光电倍增管 (SiPM) 本质上兼容，为医学成像和无损检测提供了强大的潜力。然而，它们的实际发展受到辐射吸收不足、激子利用效率低和放射发光响应缓慢的限制。在此，我们报告了一种基于混合局部和电荷转移（HLCT）发射器的快速高效的红色有机闪烁体，具有超强双位阻二氢吲哚供体。椅形二氢吲哚供体结合了非共轭位阻环，有效地使放射发光发生红移以匹配 SiPM 灵敏度，同时提供大的斯托克斯位移和聚集诱导的发射特性。引入额外的笨重</w:t>
      </w:r>
      <w:r>
        <w:t xml:space="preserve"> </w:t>
      </w:r>
      <w:r>
        <w:t>叔</w:t>
      </w:r>
      <w:r>
        <w:t xml:space="preserve"> </w:t>
      </w:r>
      <w:r>
        <w:t>‐丁基进一步抑制非辐射衰变，并且出乎意料地加速了高位激发态的反向系间跨越，从而实现了强辐射发光，超快衰变寿命为 3.94 ns——这是报道的红色闪烁体中最快的衰变寿命之一。由此产生的闪烁体，</w:t>
      </w:r>
      <w:r>
        <w:t xml:space="preserve"> </w:t>
      </w:r>
      <w:r>
        <w:t>c</w:t>
      </w:r>
      <w:r>
        <w:t xml:space="preserve"> </w:t>
      </w:r>
      <w:r>
        <w:t>ID-Bt，实现高效的三线态激子收集，并提供 24231 光子 MeV 的高光产量</w:t>
      </w:r>
      <w:r>
        <w:t xml:space="preserve"> </w:t>
      </w:r>
      <w:r>
        <w:t>-</w:t>
      </w:r>
      <w:r>
        <w:rPr>
          <w:vertAlign w:val="subscript"/>
        </w:rPr>
        <w:t>1</w:t>
      </w:r>
      <w:r>
        <w:t>(1.8 times the commercial benchmark BC‐430), an ultralow detection limit of 168 nGy s</w:t>
      </w:r>
      <w:r>
        <w:t xml:space="preserve"> </w:t>
      </w:r>
      <w:r>
        <w:t>-</w:t>
      </w:r>
    </w:p>
    <w:p>
      <w:pPr>
        <w:spacing w:before="0" w:after="200" w:lineRule="auto" w:line="276"/>
      </w:pPr>
      <w:r>
        <w:rPr>
          <w:b/>
        </w:rPr>
        <w:t xml:space="preserve">Abstract (EN): </w:t>
      </w:r>
      <w:r>
        <w:t>Flexible organic red/NIR scintillators that convert ionizing radiation into long‐wavelength photons are intrinsically compatible with silicon photomultiplier (SiPM), offering strong potential for medical imaging and non‐destructive testing. However, their practical development is limited by inadequate radiation absorption, inefficient exciton utilization, and sluggish radioluminescence response. Herein, we report a fast and efficient red organic scintillator based on a hybridized local and charge‐transfer (HLCT) emitter featuring an ultra‐strong dual‐hindered indoline donor. The chair‐shaped indoline donor, incorporating a nonconjugated sterically hindered ring, effectively red‐shifts the radioluminescence to match SiPM sensitivity while affording a large Stokes shift and aggregation‐induced emission characteristics. The introduction of an additional bulky</w:t>
      </w:r>
      <w:r>
        <w:t xml:space="preserve"> </w:t>
      </w:r>
      <w:r>
        <w:t>tert</w:t>
      </w:r>
      <w:r>
        <w:t xml:space="preserve"> </w:t>
      </w:r>
      <w:r>
        <w:t>‐butyl group further suppresses nonradiative decay and, unexpectedly, accelerates reverse intersystem crossing from high‐lying excited states, enabling intense radioluminescence with an ultrafast decay lifetime of 3.94 ns—among the fastest reported for red scintillators. The resulting scintillator,</w:t>
      </w:r>
      <w:r>
        <w:t xml:space="preserve"> </w:t>
      </w:r>
      <w:r>
        <w:t>c</w:t>
      </w:r>
      <w:r>
        <w:t xml:space="preserve"> </w:t>
      </w:r>
      <w:r>
        <w:t>ID‐Bt, achieves efficient triplet exciton harvesting and delivers a high light yield of 24231 photons MeV</w:t>
      </w:r>
      <w:r>
        <w:t xml:space="preserve"> </w:t>
      </w:r>
      <w:r>
        <w:t>−</w:t>
      </w:r>
      <w:r>
        <w:rPr>
          <w:vertAlign w:val="subscript"/>
        </w:rPr>
        <w:t>1</w:t>
      </w:r>
      <w:r>
        <w:t>(1.8 times the commercial benchmark BC‐430), an ultralow detection limit of 168 nGy s</w:t>
      </w:r>
      <w:r>
        <w:t xml:space="preserve"> </w:t>
      </w:r>
      <w:r>
        <w:t>−</w:t>
      </w:r>
      <w:r>
        <w:rPr>
          <w:vertAlign w:val="subscript"/>
        </w:rPr>
        <w:t>1</w:t>
      </w:r>
      <w:r>
        <w:t>and a resolution of 16.8 lp mm</w:t>
      </w:r>
      <w:r>
        <w:t xml:space="preserve"> </w:t>
      </w:r>
      <w:r>
        <w:t>−</w:t>
      </w:r>
      <w:r>
        <w:rPr>
          <w:vertAlign w:val="subscript"/>
        </w:rPr>
        <w:t>1</w:t>
      </w:r>
      <w:r>
        <w:t>. Furthermore,</w:t>
      </w:r>
      <w:r>
        <w:t xml:space="preserve"> </w:t>
      </w:r>
      <w:r>
        <w:t>c</w:t>
      </w:r>
      <w:r>
        <w:t xml:space="preserve"> </w:t>
      </w:r>
      <w:r>
        <w:t>ID‐Bt–encapsulated plastic scintillators and scintillating fibers demonstrate potential for radiation detection and x‐ray imaging, establishing a viable strategy for next‐generation organic red/NIR scintillators.</w:t>
      </w:r>
    </w:p>
    <w:p>
      <w:pPr>
        <w:spacing w:before="120" w:after="120"/>
      </w:pPr>
      <w:r>
        <w:rPr>
          <w:sz w:val="18"/>
        </w:rPr>
        <w:t>——————————————————————————————————————————————————————————————————————</w:t>
      </w:r>
    </w:p>
    <w:p>
      <w:pPr>
        <w:spacing w:before="160" w:after="40" w:line="240" w:lineRule="auto"/>
      </w:pPr>
      <w:r>
        <w:rPr>
          <w:b/>
        </w:rPr>
        <w:t xml:space="preserve">[33] </w:t>
      </w:r>
      <w:hyperlink r:id="rId359">
        <w:r>
          <w:rPr>
            <w:color w:val="1155CC"/>
            <w:u w:val="single"/>
          </w:rPr>
          <w:t>W1/TiO2−x 实现甘油光电化学串联升级为核苷前体</w:t>
        </w:r>
      </w:hyperlink>
    </w:p>
    <w:p>
      <w:pPr>
        <w:spacing w:before="0" w:after="80"/>
      </w:pPr>
      <w:r>
        <w:rPr>
          <w:i/>
          <w:sz w:val="20"/>
        </w:rPr>
        <w:t>EN: W1/TiO2−x Enabled Photoelectrochemical Tandem Upgrading of Glycerol to Nucleoside Precursors</w:t>
      </w:r>
    </w:p>
    <w:p>
      <w:pPr>
        <w:spacing w:before="0" w:after="120"/>
      </w:pPr>
      <w:r>
        <w:rPr>
          <w:b/>
        </w:rPr>
        <w:t xml:space="preserve">Source: </w:t>
      </w:r>
      <w:r>
        <w:t>Wiley: Angewandte Chemie International Edition: Table of Contents</w:t>
      </w:r>
      <w:r>
        <w:t xml:space="preserve">    </w:t>
      </w:r>
      <w:r>
        <w:rPr>
          <w:b/>
        </w:rPr>
        <w:t xml:space="preserve">Pub date: </w:t>
      </w:r>
      <w:r>
        <w:t>2026-05-23 12:01:41+00:00</w:t>
      </w:r>
      <w:r>
        <w:t xml:space="preserve">    </w:t>
      </w:r>
      <w:r>
        <w:rPr>
          <w:b/>
        </w:rPr>
        <w:t xml:space="preserve">DOI: </w:t>
      </w:r>
      <w:hyperlink r:id="rId360">
        <w:r>
          <w:rPr>
            <w:color w:val="1155CC"/>
            <w:u w:val="single"/>
          </w:rPr>
          <w:t>10.1002/anie.6004948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戊糖氨基恶唑啉（PAO）是核苷和碳水化合物药物合成的关键前体。然而，传统的PAO合成方法存在反应速率慢、收率低以及原料甘油醛(GLD)不稳定等问题。在此，我们报告了一种高效的光电化学串联合成途径，克服了基本限制。 Using biomass‐derived glycerol as the feedstock, we achieve highly selective in situ photoelectrosynthesis of GLD on a defective TiO</w:t>
      </w:r>
      <w:r>
        <w:rPr>
          <w:vertAlign w:val="subscript"/>
        </w:rPr>
        <w:t>2</w:t>
      </w:r>
      <w:r>
        <w:t>用W单原子修饰的光阳极（W</w:t>
      </w:r>
      <w:r>
        <w:rPr>
          <w:vertAlign w:val="subscript"/>
        </w:rPr>
        <w:t>1</w:t>
      </w:r>
      <w:r>
        <w:t>/二氧化钛</w:t>
      </w:r>
      <w:r>
        <w:t xml:space="preserve"> </w:t>
      </w:r>
      <w:r>
        <w:t>2−x</w:t>
      </w:r>
      <w:r>
        <w:t xml:space="preserve"> </w:t>
      </w:r>
      <w:r>
        <w:t>）。重要的是，该光阳极增强了原位生成的GLD的稳定性，有利于其与2-氨基恶唑（2-AO）的串联加成反应用于PAO合成。在优化条件下，系统的 PAO 产量为 3.72 µmol h</w:t>
      </w:r>
      <w:r>
        <w:t xml:space="preserve"> </w:t>
      </w:r>
      <w:r>
        <w:t>−1</w:t>
      </w:r>
      <w:r>
        <w:t xml:space="preserve"> </w:t>
      </w:r>
      <w:r>
        <w:t>厘米</w:t>
      </w:r>
      <w:r>
        <w:t xml:space="preserve"> </w:t>
      </w:r>
      <w:r>
        <w:t>−2</w:t>
      </w:r>
      <w:r>
        <w:t xml:space="preserve"> </w:t>
      </w:r>
      <w:r>
        <w:t>，比传统方法增强了 54 倍。我们证明了氧空位和W单原子之间的协同相互作用不仅保留了C-C键以确保GLD的高选择性，而且还显着增强了GLD中羰基碳的亲电性。这极大地提高了 2-AO 和原位生成的 GLD 之间的加成反应，从而提高了 PAO 的产率。这项工作为 PAO 合成提供了一种绿色、高效、可扩展的策略，从根本上解决了饲料合成中长期存在的挑战。</w:t>
      </w:r>
    </w:p>
    <w:p>
      <w:pPr>
        <w:spacing w:before="0" w:after="200" w:lineRule="auto" w:line="276"/>
      </w:pPr>
      <w:r>
        <w:rPr>
          <w:b/>
        </w:rPr>
        <w:t xml:space="preserve">Abstract (EN): </w:t>
      </w:r>
      <w:r>
        <w:t>Pentose aminooxazoline (PAO) is a key precursor in the synthesis of nucleoside and carbohydrate drugs. However, conventional PAO synthesis methods are hindered by slow reaction rates, low yield, and instability of raw material glyceraldehyde (GLD). Herein, we report a highly efficient photoelectrochemical tandem synthetic pathway that overcomes the fundamental limitations. Using biomass‐derived glycerol as the feedstock, we achieve highly selective in situ photoelectrosynthesis of GLD on a defective TiO</w:t>
      </w:r>
      <w:r>
        <w:rPr>
          <w:vertAlign w:val="subscript"/>
        </w:rPr>
        <w:t>2</w:t>
      </w:r>
      <w:r>
        <w:t>photoanode decorated with W single‐atom (W</w:t>
      </w:r>
      <w:r>
        <w:rPr>
          <w:vertAlign w:val="subscript"/>
        </w:rPr>
        <w:t>1</w:t>
      </w:r>
      <w:r>
        <w:t>/TiO</w:t>
      </w:r>
      <w:r>
        <w:t xml:space="preserve"> </w:t>
      </w:r>
      <w:r>
        <w:t>2−x</w:t>
      </w:r>
      <w:r>
        <w:t xml:space="preserve"> </w:t>
      </w:r>
      <w:r>
        <w:t>). Importantly, this photoanode enhances the stability of in situ generated GLD, beneficial to its tandem addition reaction with 2‐aminooxazole (2‐AO) for PAO synthesis. Under optimized conditions, the system delivers a PAO yield of 3.72 µmol h</w:t>
      </w:r>
      <w:r>
        <w:t xml:space="preserve"> </w:t>
      </w:r>
      <w:r>
        <w:t>−1</w:t>
      </w:r>
      <w:r>
        <w:t xml:space="preserve"> </w:t>
      </w:r>
      <w:r>
        <w:t>cm</w:t>
      </w:r>
      <w:r>
        <w:t xml:space="preserve"> </w:t>
      </w:r>
      <w:r>
        <w:t>−2</w:t>
      </w:r>
      <w:r>
        <w:t xml:space="preserve"> </w:t>
      </w:r>
      <w:r>
        <w:t>, 54‐fold enhancement over the conventional method. We demonstrate the synergistic interaction between oxygen vacancies and W single‐atom not only preserves the C‐C bond to ensure the high selectivity of GLD but also significantly enhances the electrophilicity of carbonyl carbon in GLD. This greatly improves the addition reaction between 2‐AO and in situ generated GLD toward PAO yield. This work provides a green, efficient, and scalable strategy for PAO synthesis, fundamentally addressing the long‐standing challenges of feedstock instability and low yield associated with traditional methods.</w:t>
      </w:r>
    </w:p>
    <w:p>
      <w:pPr>
        <w:spacing w:before="120" w:after="120"/>
      </w:pPr>
      <w:r>
        <w:rPr>
          <w:sz w:val="18"/>
        </w:rPr>
        <w:t>——————————————————————————————————————————————————————————————————————</w:t>
      </w:r>
    </w:p>
    <w:p>
      <w:pPr>
        <w:spacing w:before="160" w:after="40" w:line="240" w:lineRule="auto"/>
      </w:pPr>
      <w:r>
        <w:rPr>
          <w:b/>
        </w:rPr>
        <w:t xml:space="preserve">[34] </w:t>
      </w:r>
      <w:hyperlink r:id="rId361">
        <w:r>
          <w:rPr>
            <w:color w:val="1155CC"/>
            <w:u w:val="single"/>
          </w:rPr>
          <w:t>几何不均匀性使金团簇中的价轨道局域化：[Au23(SC6H11)16]– 的案例研究</w:t>
        </w:r>
      </w:hyperlink>
    </w:p>
    <w:p>
      <w:pPr>
        <w:spacing w:before="0" w:after="80"/>
      </w:pPr>
      <w:r>
        <w:rPr>
          <w:i/>
          <w:sz w:val="20"/>
        </w:rPr>
        <w:t>EN: Geometric Nonuniformity Localizes Valence Orbitals in Gold Clusters: Case Study on [Au23(SC6H11)16]–</w:t>
      </w:r>
    </w:p>
    <w:p>
      <w:pPr>
        <w:spacing w:before="0" w:after="120"/>
      </w:pPr>
      <w:r>
        <w:rPr>
          <w:b/>
        </w:rPr>
        <w:t xml:space="preserve">Source: </w:t>
      </w:r>
      <w:r>
        <w:t>Wiley: Angewandte Chemie International Edition: Table of Contents</w:t>
      </w:r>
      <w:r>
        <w:t xml:space="preserve">    </w:t>
      </w:r>
      <w:r>
        <w:rPr>
          <w:b/>
        </w:rPr>
        <w:t xml:space="preserve">Pub date: </w:t>
      </w:r>
      <w:r>
        <w:t>2026-05-23 12:02:59+00:00</w:t>
      </w:r>
      <w:r>
        <w:t xml:space="preserve">    </w:t>
      </w:r>
      <w:r>
        <w:rPr>
          <w:b/>
        </w:rPr>
        <w:t xml:space="preserve">DOI: </w:t>
      </w:r>
      <w:hyperlink r:id="rId362">
        <w:r>
          <w:rPr>
            <w:color w:val="1155CC"/>
            <w:u w:val="single"/>
          </w:rPr>
          <w:t>10.1002/anie.3924815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为了阐明几何不均匀性对单层保护金簇电子结构的影响，[Au</w:t>
      </w:r>
      <w:r>
        <w:rPr>
          <w:vertAlign w:val="subscript"/>
        </w:rPr>
        <w:t>23</w:t>
      </w:r>
      <w:r>
        <w:t>（SC</w:t>
      </w:r>
      <w:r>
        <w:rPr>
          <w:vertAlign w:val="subscript"/>
        </w:rPr>
        <w:t>6</w:t>
      </w:r>
      <w:r>
        <w:t>H</w:t>
      </w:r>
      <w:r>
        <w:rPr>
          <w:vertAlign w:val="subscript"/>
        </w:rPr>
        <w:t>11</w:t>
      </w:r>
      <w:r>
        <w:t>）</w:t>
      </w:r>
      <w:r>
        <w:rPr>
          <w:vertAlign w:val="subscript"/>
        </w:rPr>
        <w:t>16</w:t>
      </w:r>
      <w:r>
        <w:t>]</w:t>
      </w:r>
      <w:r>
        <w:t xml:space="preserve"> </w:t>
      </w:r>
      <w:r>
        <w:t>–</w:t>
      </w:r>
      <w:r>
        <w:t xml:space="preserve"> </w:t>
      </w:r>
      <w:r>
        <w:t>（</w:t>
      </w:r>
      <w:r>
        <w:t xml:space="preserve"> </w:t>
      </w:r>
      <w:r>
        <w:t>金</w:t>
      </w:r>
      <w:r>
        <w:rPr>
          <w:vertAlign w:val="subscript"/>
        </w:rPr>
        <w:t>23</w:t>
      </w:r>
      <w:r>
        <w:t>-</w:t>
      </w:r>
      <w:r>
        <w:t xml:space="preserve"> </w:t>
      </w:r>
      <w:r>
        <w:t>），其特点是具有不均匀的 Au</w:t>
      </w:r>
      <w:r>
        <w:rPr>
          <w:vertAlign w:val="subscript"/>
        </w:rPr>
        <w:t>13</w:t>
      </w:r>
      <w:r>
        <w:t>通过使用阴离子光电子能谱和密度泛函理论计算对核心进行了研究。价轨道的能级</w:t>
      </w:r>
      <w:r>
        <w:t xml:space="preserve"> </w:t>
      </w:r>
      <w:r>
        <w:t>金</w:t>
      </w:r>
      <w:r>
        <w:rPr>
          <w:vertAlign w:val="subscript"/>
        </w:rPr>
        <w:t>23</w:t>
      </w:r>
      <w:r>
        <w:t>-</w:t>
      </w:r>
      <w:r>
        <w:t xml:space="preserve"> </w:t>
      </w:r>
      <w:r>
        <w:t>由位于 Au 上的 1S 轨道组成的模型更合适地描述</w:t>
      </w:r>
      <w:r>
        <w:rPr>
          <w:vertAlign w:val="subscript"/>
        </w:rPr>
        <w:t>3</w:t>
      </w:r>
      <w:r>
        <w:t>或金</w:t>
      </w:r>
      <w:r>
        <w:rPr>
          <w:vertAlign w:val="subscript"/>
        </w:rPr>
        <w:t>4</w:t>
      </w:r>
      <w:r>
        <w:t>Au 内的单位</w:t>
      </w:r>
      <w:r>
        <w:rPr>
          <w:vertAlign w:val="subscript"/>
        </w:rPr>
        <w:t>13</w:t>
      </w:r>
      <w:r>
        <w:t>核心，而不是变形的果冻模型。同时，计算出一个假设的[Au</w:t>
      </w:r>
      <w:r>
        <w:rPr>
          <w:vertAlign w:val="subscript"/>
        </w:rPr>
        <w:t>23</w:t>
      </w:r>
      <w:r>
        <w:t>（SC</w:t>
      </w:r>
      <w:r>
        <w:rPr>
          <w:vertAlign w:val="subscript"/>
        </w:rPr>
        <w:t>6</w:t>
      </w:r>
      <w:r>
        <w:t>H</w:t>
      </w:r>
      <w:r>
        <w:rPr>
          <w:vertAlign w:val="subscript"/>
        </w:rPr>
        <w:t>11</w:t>
      </w:r>
      <w:r>
        <w:t>）</w:t>
      </w:r>
      <w:r>
        <w:rPr>
          <w:vertAlign w:val="subscript"/>
        </w:rPr>
        <w:t>16</w:t>
      </w:r>
      <w:r>
        <w:t>]</w:t>
      </w:r>
      <w:r>
        <w:t xml:space="preserve"> </w:t>
      </w:r>
      <w:r>
        <w:t>–</w:t>
      </w:r>
      <w:r>
        <w:t xml:space="preserve"> </w:t>
      </w:r>
      <w:r>
        <w:t>具有均匀 Au 的团簇</w:t>
      </w:r>
      <w:r>
        <w:rPr>
          <w:vertAlign w:val="subscript"/>
        </w:rPr>
        <w:t>13</w:t>
      </w:r>
      <w:r>
        <w:t>果冻更好地描述了核心</w:t>
      </w:r>
    </w:p>
    <w:p>
      <w:pPr>
        <w:spacing w:before="0" w:after="200" w:lineRule="auto" w:line="276"/>
      </w:pPr>
      <w:r>
        <w:rPr>
          <w:b/>
        </w:rPr>
        <w:t xml:space="preserve">Abstract (EN): </w:t>
      </w:r>
      <w:r>
        <w:t>To elucidate the effect of geometric nonuniformity on electronic structures of monolayer‐protected gold clusters, the valence orbitals of [Au</w:t>
      </w:r>
      <w:r>
        <w:rPr>
          <w:vertAlign w:val="subscript"/>
        </w:rPr>
        <w:t>23</w:t>
      </w:r>
      <w:r>
        <w:t>(SC</w:t>
      </w:r>
      <w:r>
        <w:rPr>
          <w:vertAlign w:val="subscript"/>
        </w:rPr>
        <w:t>6</w:t>
      </w:r>
      <w:r>
        <w:t>H</w:t>
      </w:r>
      <w:r>
        <w:rPr>
          <w:vertAlign w:val="subscript"/>
        </w:rPr>
        <w:t>11</w:t>
      </w:r>
      <w:r>
        <w:t>)</w:t>
      </w:r>
      <w:r>
        <w:rPr>
          <w:vertAlign w:val="subscript"/>
        </w:rPr>
        <w:t>16</w:t>
      </w:r>
      <w:r>
        <w:t>]</w:t>
      </w:r>
      <w:r>
        <w:t xml:space="preserve"> </w:t>
      </w:r>
      <w:r>
        <w:t>–</w:t>
      </w:r>
      <w:r>
        <w:t xml:space="preserve"> </w:t>
      </w:r>
      <w:r>
        <w:t>(</w:t>
      </w:r>
      <w:r>
        <w:t xml:space="preserve"> </w:t>
      </w:r>
      <w:r>
        <w:t>Au</w:t>
      </w:r>
      <w:r>
        <w:rPr>
          <w:vertAlign w:val="subscript"/>
        </w:rPr>
        <w:t>23</w:t>
      </w:r>
      <w:r>
        <w:t>−</w:t>
      </w:r>
      <w:r>
        <w:t xml:space="preserve"> </w:t>
      </w:r>
      <w:r>
        <w:t>), which features a nonuniform Au</w:t>
      </w:r>
      <w:r>
        <w:rPr>
          <w:vertAlign w:val="subscript"/>
        </w:rPr>
        <w:t>13</w:t>
      </w:r>
      <w:r>
        <w:t>core, were investigated by using anion photoelectron spectroscopy and density functional theory calculations. The energy levels of the valence orbitals of</w:t>
      </w:r>
      <w:r>
        <w:t xml:space="preserve"> </w:t>
      </w:r>
      <w:r>
        <w:t>Au</w:t>
      </w:r>
      <w:r>
        <w:rPr>
          <w:vertAlign w:val="subscript"/>
        </w:rPr>
        <w:t>23</w:t>
      </w:r>
      <w:r>
        <w:t>−</w:t>
      </w:r>
      <w:r>
        <w:t xml:space="preserve"> </w:t>
      </w:r>
      <w:r>
        <w:t>were more appropriately described by a model comprising 1S orbitals localized on Au</w:t>
      </w:r>
      <w:r>
        <w:rPr>
          <w:vertAlign w:val="subscript"/>
        </w:rPr>
        <w:t>3</w:t>
      </w:r>
      <w:r>
        <w:t>or Au</w:t>
      </w:r>
      <w:r>
        <w:rPr>
          <w:vertAlign w:val="subscript"/>
        </w:rPr>
        <w:t>4</w:t>
      </w:r>
      <w:r>
        <w:t>units within the Au</w:t>
      </w:r>
      <w:r>
        <w:rPr>
          <w:vertAlign w:val="subscript"/>
        </w:rPr>
        <w:t>13</w:t>
      </w:r>
      <w:r>
        <w:t>core, rather than by the deformed jellium model. Meanwhile, the calculated valence orbitals of a hypothetical [Au</w:t>
      </w:r>
      <w:r>
        <w:rPr>
          <w:vertAlign w:val="subscript"/>
        </w:rPr>
        <w:t>23</w:t>
      </w:r>
      <w:r>
        <w:t>(SC</w:t>
      </w:r>
      <w:r>
        <w:rPr>
          <w:vertAlign w:val="subscript"/>
        </w:rPr>
        <w:t>6</w:t>
      </w:r>
      <w:r>
        <w:t>H</w:t>
      </w:r>
      <w:r>
        <w:rPr>
          <w:vertAlign w:val="subscript"/>
        </w:rPr>
        <w:t>11</w:t>
      </w:r>
      <w:r>
        <w:t>)</w:t>
      </w:r>
      <w:r>
        <w:rPr>
          <w:vertAlign w:val="subscript"/>
        </w:rPr>
        <w:t>16</w:t>
      </w:r>
      <w:r>
        <w:t>]</w:t>
      </w:r>
      <w:r>
        <w:t xml:space="preserve"> </w:t>
      </w:r>
      <w:r>
        <w:t>–</w:t>
      </w:r>
      <w:r>
        <w:t xml:space="preserve"> </w:t>
      </w:r>
      <w:r>
        <w:t>cluster with a uniform Au</w:t>
      </w:r>
      <w:r>
        <w:rPr>
          <w:vertAlign w:val="subscript"/>
        </w:rPr>
        <w:t>13</w:t>
      </w:r>
      <w:r>
        <w:t>core were better described by the jellium model, suggesting that the geometric nonuniformity of the Au</w:t>
      </w:r>
      <w:r>
        <w:rPr>
          <w:vertAlign w:val="subscript"/>
        </w:rPr>
        <w:t>13</w:t>
      </w:r>
      <w:r>
        <w:t>core is the direct cause of electronic localization in</w:t>
      </w:r>
      <w:r>
        <w:t xml:space="preserve"> </w:t>
      </w:r>
      <w:r>
        <w:t>Au</w:t>
      </w:r>
      <w:r>
        <w:rPr>
          <w:vertAlign w:val="subscript"/>
        </w:rPr>
        <w:t>23</w:t>
      </w:r>
      <w:r>
        <w:t>−</w:t>
      </w:r>
      <w:r>
        <w:t xml:space="preserve"> </w:t>
      </w:r>
      <w:r>
        <w:t>. The localized nature of the molecular orbitals involved in photoabsorption accounts for the significantly larger molar absorption coefficient of</w:t>
      </w:r>
      <w:r>
        <w:t xml:space="preserve"> </w:t>
      </w:r>
      <w:r>
        <w:t>Au</w:t>
      </w:r>
      <w:r>
        <w:rPr>
          <w:vertAlign w:val="subscript"/>
        </w:rPr>
        <w:t>23</w:t>
      </w:r>
      <w:r>
        <w:t>−</w:t>
      </w:r>
      <w:r>
        <w:t xml:space="preserve"> </w:t>
      </w:r>
      <w:r>
        <w:t>compared to those of typical Au</w:t>
      </w:r>
      <w:r>
        <w:rPr>
          <w:vertAlign w:val="subscript"/>
        </w:rPr>
        <w:t>13</w:t>
      </w:r>
      <w:r>
        <w:t>superatoms with uniform structures.</w:t>
      </w:r>
    </w:p>
    <w:p>
      <w:pPr>
        <w:spacing w:before="120" w:after="120"/>
      </w:pPr>
      <w:r>
        <w:rPr>
          <w:sz w:val="18"/>
        </w:rPr>
        <w:t>——————————————————————————————————————————————————————————————————————</w:t>
      </w:r>
    </w:p>
    <w:p>
      <w:pPr>
        <w:spacing w:before="160" w:after="40" w:line="240" w:lineRule="auto"/>
      </w:pPr>
      <w:r>
        <w:rPr>
          <w:b/>
        </w:rPr>
        <w:t xml:space="preserve">[35] </w:t>
      </w:r>
      <w:hyperlink r:id="rId363">
        <w:r>
          <w:rPr>
            <w:color w:val="1155CC"/>
            <w:u w:val="single"/>
          </w:rPr>
          <w:t>用于快速充电电池的高熵聚合物电极</w:t>
        </w:r>
      </w:hyperlink>
    </w:p>
    <w:p>
      <w:pPr>
        <w:spacing w:before="0" w:after="80"/>
      </w:pPr>
      <w:r>
        <w:rPr>
          <w:i/>
          <w:sz w:val="20"/>
        </w:rPr>
        <w:t>EN: High‐Entropy Polymer Electrode for Fast Rechargeable Batteries</w:t>
      </w:r>
    </w:p>
    <w:p>
      <w:pPr>
        <w:spacing w:before="0" w:after="120"/>
      </w:pPr>
      <w:r>
        <w:rPr>
          <w:b/>
        </w:rPr>
        <w:t xml:space="preserve">Source: </w:t>
      </w:r>
      <w:r>
        <w:t>Wiley: Angewandte Chemie International Edition: Table of Contents</w:t>
      </w:r>
      <w:r>
        <w:t xml:space="preserve">    </w:t>
      </w:r>
      <w:r>
        <w:rPr>
          <w:b/>
        </w:rPr>
        <w:t xml:space="preserve">Pub date: </w:t>
      </w:r>
      <w:r>
        <w:t>2026-05-23 12:14:31+00:00</w:t>
      </w:r>
      <w:r>
        <w:t xml:space="preserve">    </w:t>
      </w:r>
      <w:r>
        <w:rPr>
          <w:b/>
        </w:rPr>
        <w:t xml:space="preserve">DOI: </w:t>
      </w:r>
      <w:hyperlink r:id="rId364">
        <w:r>
          <w:rPr>
            <w:color w:val="1155CC"/>
            <w:u w:val="single"/>
          </w:rPr>
          <w:t>10.1002/anie.6867886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电极材料具有可持续性、资源丰富、结构可调等优点，但倍率性能和循环稳定性较差。在此，我们提出了用于高熵聚合物（HEP）开发的分子结构熵的概念，其中分子结构熵对所得聚合物的物理化学和电化学性能具有显着的调节作用。对于钠基电池，Na||HEP 电池可提供 167.7 mAh g 的高可逆容量</w:t>
      </w:r>
      <w:r>
        <w:t xml:space="preserve"> </w:t>
      </w:r>
      <w:r>
        <w:t>−1</w:t>
      </w:r>
      <w:r>
        <w:t xml:space="preserve"> </w:t>
      </w:r>
      <w:r>
        <w:t>电流密度为 1 A g</w:t>
      </w:r>
      <w:r>
        <w:t xml:space="preserve"> </w:t>
      </w:r>
      <w:r>
        <w:t>−1</w:t>
      </w:r>
      <w:r>
        <w:t xml:space="preserve"> </w:t>
      </w:r>
      <w:r>
        <w:t>，5000次循环的长循环稳定性和111.9 mAh g的高倍率容量</w:t>
      </w:r>
      <w:r>
        <w:t xml:space="preserve"> </w:t>
      </w:r>
      <w:r>
        <w:t>−1</w:t>
      </w:r>
      <w:r>
        <w:t xml:space="preserve"> </w:t>
      </w:r>
      <w:r>
        <w:t>at a current density of 10 A g</w:t>
      </w:r>
      <w:r>
        <w:t xml:space="preserve"> </w:t>
      </w:r>
      <w:r>
        <w:t>−1</w:t>
      </w:r>
      <w:r>
        <w:t xml:space="preserve"> </w:t>
      </w:r>
      <w:r>
        <w:t>，优于低熵聚合物。此外，全有机电池表现出15000次循环的长稳定性，相当于连续运行时间超过200天。这项工作开创了HEP电极的先例，并为其进一步研究奠定了基础。</w:t>
      </w:r>
    </w:p>
    <w:p>
      <w:pPr>
        <w:spacing w:before="0" w:after="200" w:lineRule="auto" w:line="276"/>
      </w:pPr>
      <w:r>
        <w:rPr>
          <w:b/>
        </w:rPr>
        <w:t xml:space="preserve">Abstract (EN): </w:t>
      </w:r>
      <w:r>
        <w:t>Polymer electrode materials possess the advantages of sustainability, abundant resources, and structural adjustability, yet suffer from poor rate capability and cycling stability. Herein, we propose a concept of molecular structure entropy for the development of a high‐entropy polymer (HEP), wherein molecular structure entropy exerts a significant regulatory effect on the physicochemical and electrochemical performance of the resulting polymer. For sodium‐based batteries, the Na||HEP cell delivers a high reversible capacity of 167.7 mAh g</w:t>
      </w:r>
      <w:r>
        <w:t xml:space="preserve"> </w:t>
      </w:r>
      <w:r>
        <w:t>−1</w:t>
      </w:r>
      <w:r>
        <w:t xml:space="preserve"> </w:t>
      </w:r>
      <w:r>
        <w:t>at a current density of 1 A g</w:t>
      </w:r>
      <w:r>
        <w:t xml:space="preserve"> </w:t>
      </w:r>
      <w:r>
        <w:t>−1</w:t>
      </w:r>
      <w:r>
        <w:t xml:space="preserve"> </w:t>
      </w:r>
      <w:r>
        <w:t>, a long cycling stability of 5000 cycles, and a high‐rate capability of 111.9 mAh g</w:t>
      </w:r>
      <w:r>
        <w:t xml:space="preserve"> </w:t>
      </w:r>
      <w:r>
        <w:t>−1</w:t>
      </w:r>
      <w:r>
        <w:t xml:space="preserve"> </w:t>
      </w:r>
      <w:r>
        <w:t>at a current density of 10 A g</w:t>
      </w:r>
      <w:r>
        <w:t xml:space="preserve"> </w:t>
      </w:r>
      <w:r>
        <w:t>−1</w:t>
      </w:r>
      <w:r>
        <w:t xml:space="preserve"> </w:t>
      </w:r>
      <w:r>
        <w:t>, outperforming the low‐entropy polymer. Moreover, the all‐organic battery shows a long stability of 15 000 cycles, corresponding to a continuous running time exceeding 200 days. This work sets a precedent for HEP electrodes and establishes a foundation for their further research.</w:t>
      </w:r>
    </w:p>
    <w:p>
      <w:pPr>
        <w:spacing w:before="120" w:after="120"/>
      </w:pPr>
      <w:r>
        <w:rPr>
          <w:sz w:val="18"/>
        </w:rPr>
        <w:t>——————————————————————————————————————————————————————————————————————</w:t>
      </w:r>
    </w:p>
    <w:p>
      <w:pPr>
        <w:spacing w:before="160" w:after="40" w:line="240" w:lineRule="auto"/>
      </w:pPr>
      <w:r>
        <w:rPr>
          <w:b/>
        </w:rPr>
        <w:t xml:space="preserve">[36] </w:t>
      </w:r>
      <w:hyperlink r:id="rId365">
        <w:r>
          <w:rPr>
            <w:color w:val="1155CC"/>
            <w:u w:val="single"/>
          </w:rPr>
          <w:t>[ASAP] 用于从头合成吡咯的 O-乙烯基羟胺</w:t>
        </w:r>
      </w:hyperlink>
    </w:p>
    <w:p>
      <w:pPr>
        <w:spacing w:before="0" w:after="80"/>
      </w:pPr>
      <w:r>
        <w:rPr>
          <w:i/>
          <w:sz w:val="20"/>
        </w:rPr>
        <w:t>EN: [ASAP] O-Vinylhydroxylamines for De Novo Pyrrole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2026-05-23 13:24:11+00:00</w:t>
      </w:r>
      <w:r>
        <w:t xml:space="preserve">    </w:t>
      </w:r>
      <w:r>
        <w:rPr>
          <w:b/>
        </w:rPr>
        <w:t xml:space="preserve">DOI: </w:t>
      </w:r>
      <w:hyperlink r:id="rId366">
        <w:r>
          <w:rPr>
            <w:color w:val="1155CC"/>
            <w:u w:val="single"/>
          </w:rPr>
          <w:t>10.1021/jacs.6c06697</w:t>
        </w:r>
      </w:hyperlink>
    </w:p>
    <w:p>
      <w:pPr>
        <w:spacing w:before="0" w:after="120"/>
      </w:pPr>
      <w:r>
        <w:rPr>
          <w:b/>
        </w:rPr>
        <w:t xml:space="preserve">Notes: </w:t>
      </w:r>
      <w:r>
        <w:t>abstract_source=openalex</w:t>
      </w:r>
    </w:p>
    <w:p>
      <w:pPr>
        <w:spacing w:before="0" w:after="80" w:lineRule="auto" w:line="276"/>
      </w:pPr>
      <w:r>
        <w:rPr>
          <w:b/>
        </w:rPr>
        <w:t xml:space="preserve">摘要（ZH）: </w:t>
      </w:r>
      <w:r>
        <w:t>从简单的结构单元区域选择性地获得缺电子和高度取代的吡咯仍然具有挑战性。在这里，我们表明，O-乙烯基羟胺能够通过与活化炔烃的aza-Michael/oxaza-Cope [3,3]-σ重排/芳构化级联从头构建吡咯。这种一锅转化使用催化量的温和有机碱在室温下快速进行，并提供可直接转化为吡咯或选择性官能化的二氢吡咯半缩醛胺中间体。该方法适用于各种 O-乙烯基羟胺和活化的炔烃伴侣，并且能够获得以前需要恶劣条件或危险的基于乙炔的方法的取代模式。这些结果确立了 O-乙烯基羟胺作为合成高功能化吡咯的通用结构单元。</w:t>
      </w:r>
    </w:p>
    <w:p>
      <w:pPr>
        <w:spacing w:before="0" w:after="200" w:lineRule="auto" w:line="276"/>
      </w:pPr>
      <w:r>
        <w:rPr>
          <w:b/>
        </w:rPr>
        <w:t xml:space="preserve">Abstract (EN): </w:t>
      </w:r>
      <w:r>
        <w:t>Regioselective access to electron-deficient and highly substituted pyrroles from simple building blocks remains challenging. Here we show that O-vinylhydroxylamines enable the de novo construction of pyrroles through an aza-Michael/oxaza-Cope [3,3]-sigmatropic rearrangement/aromatization cascade with activated alkynes. This one-pot transformation proceeds rapidly at room temperature using catalytic amounts of a mild organic base and furnishes dihydropyrrole hemiaminal intermediates that can be directly converted to pyrroles or selectively functionalized. The method accommodates a broad range of O-vinylhydroxylamines and activated alkyne partners and enables access to substitution patterns that previously required harsh conditions or hazardous acetylene-based methods. These results establish O-vinylhydroxylamines as versatile building blocks for the synthesis of highly functionalized pyrroles.</w:t>
      </w:r>
    </w:p>
    <w:p>
      <w:pPr>
        <w:spacing w:before="120" w:after="120"/>
      </w:pPr>
      <w:r>
        <w:rPr>
          <w:sz w:val="18"/>
        </w:rPr>
        <w:t>——————————————————————————————————————————————————————————————————————</w:t>
      </w:r>
    </w:p>
    <w:p>
      <w:pPr>
        <w:spacing w:before="160" w:after="40" w:line="240" w:lineRule="auto"/>
      </w:pPr>
      <w:r>
        <w:rPr>
          <w:b/>
        </w:rPr>
        <w:t xml:space="preserve">[37] </w:t>
      </w:r>
      <w:hyperlink r:id="rId367">
        <w:r>
          <w:rPr>
            <w:color w:val="1155CC"/>
            <w:u w:val="single"/>
          </w:rPr>
          <w:t>[尽快] Fe(II)/2-氧戊二酸加氧酶如何选择氯化而不是羟基化：电场驱动的配体交换控制 C–Cl 的形成</w:t>
        </w:r>
      </w:hyperlink>
    </w:p>
    <w:p>
      <w:pPr>
        <w:spacing w:before="0" w:after="80"/>
      </w:pPr>
      <w:r>
        <w:rPr>
          <w:i/>
          <w:sz w:val="20"/>
        </w:rPr>
        <w:t>EN: [ASAP] How Fe(II)/2-Oxoglutarate Oxygenase Chooses Chlorination over Hydroxylation: Electric Field-Driven Ligand Exchange Governs C–Cl Formation</w:t>
      </w:r>
    </w:p>
    <w:p>
      <w:pPr>
        <w:spacing w:before="0" w:after="120"/>
      </w:pPr>
      <w:r>
        <w:rPr>
          <w:b/>
        </w:rPr>
        <w:t xml:space="preserve">Source: </w:t>
      </w:r>
      <w:r>
        <w:t>Journal of the American Chemical Society: Latest Articles (ACS Publications)</w:t>
      </w:r>
      <w:r>
        <w:t xml:space="preserve">    </w:t>
      </w:r>
      <w:r>
        <w:rPr>
          <w:b/>
        </w:rPr>
        <w:t xml:space="preserve">Pub date: </w:t>
      </w:r>
      <w:r>
        <w:t>2026-05-23 14:03:51+00:00</w:t>
      </w:r>
      <w:r>
        <w:t xml:space="preserve">    </w:t>
      </w:r>
      <w:r>
        <w:rPr>
          <w:b/>
        </w:rPr>
        <w:t xml:space="preserve">DOI: </w:t>
      </w:r>
      <w:hyperlink r:id="rId368">
        <w:r>
          <w:rPr>
            <w:color w:val="1155CC"/>
            <w:u w:val="single"/>
          </w:rPr>
          <w:t>10.1021/jacs.5c22369</w:t>
        </w:r>
      </w:hyperlink>
    </w:p>
    <w:p>
      <w:pPr>
        <w:spacing w:before="0" w:after="120"/>
      </w:pPr>
      <w:r>
        <w:rPr>
          <w:b/>
        </w:rPr>
        <w:t xml:space="preserve">Notes: </w:t>
      </w:r>
      <w:r>
        <w:t>abstract_source=openalex</w:t>
      </w:r>
    </w:p>
    <w:p>
      <w:pPr>
        <w:spacing w:before="0" w:after="80" w:lineRule="auto" w:line="276"/>
      </w:pPr>
      <w:r>
        <w:rPr>
          <w:b/>
        </w:rPr>
        <w:t xml:space="preserve">摘要（ZH）: </w:t>
      </w:r>
      <w:r>
        <w:t>非血红素 Fe(II)/2-酮戊二酸 (2OG) 依赖性卤化酶催化高度选择性的 C-H 卤化。 BesD 是一种非血红素 Fe(II)/2OG 卤化酶，可对 L-赖氨酸 (L-Lys) 底物进行区域选择性和立体选择性氯化。了解卤化作用优于经典羟基化的机制对于指导旨在将羟化酶转化为卤化酶的酶工程工作至关重要。在这里，我们结合分子动力学 (MD) 和混合量子力学/分子力学 (QM/MM) 计算来阐明 BesD 和同源羟化酶衍生的变体中氯化选择性的起源。我们的结果表明，虽然最初的内联 Cl-Fe(III)-OH 中间体本质上倾向于羟基化，但它会经历两步异构化，其中 -Cl 和 -OH 配体交换配位位置。这种重排将氯配体反式定位到 H207，其中蛋白质的固有电场 (IEF) 增强了 Fe-Cl 键极化并促进 C-Cl 键形成，最终实现了 L-Lys 的选择性氯化。同源羟化酶和两个具有卤化能力的变体（Hydrox-3R 和 Chimera14）的比较分析揭示了取代的第二配位球、具有活性位点的长程残基（特别是配位的琥珀酸）和底物之间的卤化酶特异性相关运动。值得注意的是，这些集体运动反映了在天然卤化酶 BesD 中观察到的集体运动。此外，Hydrox-3R 和 Chimera14 变体采用两步异构化</w:t>
      </w:r>
    </w:p>
    <w:p>
      <w:pPr>
        <w:spacing w:before="0" w:after="200" w:lineRule="auto" w:line="276"/>
      </w:pPr>
      <w:r>
        <w:rPr>
          <w:b/>
        </w:rPr>
        <w:t xml:space="preserve">Abstract (EN): </w:t>
      </w:r>
      <w:r>
        <w:t>Non-heme Fe(II)/2-oxoglutarate (2OG)-dependent halogenases catalyze highly selective C–H halogenation. BesD is a non-heme Fe(II)/2OG halogenase that performs regio- and stereoselective chlorination of the l-lysine (l-Lys) substrate. Understanding the mechanism by which halogenation is favored over canonical hydroxylation is essential for guiding enzyme engineering efforts aimed at converting hydroxylases into halogenases. Here, we combine molecular dynamics (MD) and hybrid quantum mechanics/molecular mechanics (QM/MM) calculations to elucidate the origin of chlorination selectivity in BesD and variants derived from a homologous hydroxylase. Our results indicate that, although the initial inline Cl–Fe(III)–OH intermediate is inherently predisposed toward hydroxylation, it undergoes a two-step isomerization in which the −Cl and −OH ligands exchange coordination positions. This rearrangement positions the chloride ligand trans to H207, where the protein’s intrinsic electric field (IEF) enhances Fe–Cl bond polarization and promotes C–Cl bond formation, ultimately enabling the selective chlorination of l-Lys. Comparative analysis of the homologous hydroxylase and two halogenation-competent variants (Hydrox-3R and Chimera14) reveals halogenase-specific correlated motions between substituted second coordination sphere, long-range residues with the active-site, particularly the coordinated succinate, and the substrate. Notably, these collective motions mirror those observed in the native halogenase BesD. Furthermore, the Hydrox-3R and Chimera14 variants employ a two-step isomerization strategy analogous to that of BesD, enabling efficient chlorination through IEF alignment along the Fe–Cl bond. These results highlight the critical roles of collective correlated motions, the second coordination sphere, and long-range interactions, as well as enzyme-generated electric fields, in determining halogenation selectivity in non-heme Fe(II)/2OG-dependent oxygenases. Ultimately, halogenation is achieved not due to a new catalytic mechanism, but rather due to subtle electronic, geometric, and dynamic perturbations of a hydroxylase scaffold. These insights provide a mechanistic framework for engineering hydroxylases into halogenases with enhanced activity.</w:t>
      </w:r>
    </w:p>
    <w:p>
      <w:pPr>
        <w:spacing w:before="120" w:after="120"/>
      </w:pPr>
      <w:r>
        <w:rPr>
          <w:sz w:val="18"/>
        </w:rPr>
        <w:t>——————————————————————————————————————————————————————————————————————</w:t>
      </w:r>
    </w:p>
    <w:p>
      <w:pPr>
        <w:spacing w:before="160" w:after="40" w:line="240" w:lineRule="auto"/>
      </w:pPr>
      <w:r>
        <w:rPr>
          <w:b/>
        </w:rPr>
        <w:t xml:space="preserve">[38] </w:t>
      </w:r>
      <w:hyperlink r:id="rId369">
        <w:r>
          <w:rPr>
            <w:color w:val="1155CC"/>
            <w:u w:val="single"/>
          </w:rPr>
          <w:t>氧空位设计的 CaCu3Ti4O12 纳米催化剂用于压电驱动级联细胞凋亡/铜垂亡/铁死亡治疗</w:t>
        </w:r>
      </w:hyperlink>
    </w:p>
    <w:p>
      <w:pPr>
        <w:spacing w:before="0" w:after="80"/>
      </w:pPr>
      <w:r>
        <w:rPr>
          <w:i/>
          <w:sz w:val="20"/>
        </w:rPr>
        <w:t>EN: Oxygen Vacancy‐Engineered CaCu3Ti4O12 Nanocatalyst for Piezoelectrically Driven Cascade Apoptosis/Cuproptosis/Ferroptosis Therapy</w:t>
      </w:r>
    </w:p>
    <w:p>
      <w:pPr>
        <w:spacing w:before="0" w:after="120"/>
      </w:pPr>
      <w:r>
        <w:rPr>
          <w:b/>
        </w:rPr>
        <w:t xml:space="preserve">Source: </w:t>
      </w:r>
      <w:r>
        <w:t>Wiley: Advanced Materials: Table of Contents</w:t>
      </w:r>
      <w:r>
        <w:t xml:space="preserve">    </w:t>
      </w:r>
      <w:r>
        <w:rPr>
          <w:b/>
        </w:rPr>
        <w:t xml:space="preserve">Pub date: </w:t>
      </w:r>
      <w:r>
        <w:t>2026-05-23 15:01:20+00:00</w:t>
      </w:r>
      <w:r>
        <w:t xml:space="preserve">    </w:t>
      </w:r>
      <w:r>
        <w:rPr>
          <w:b/>
        </w:rPr>
        <w:t xml:space="preserve">DOI: </w:t>
      </w:r>
      <w:hyperlink r:id="rId370">
        <w:r>
          <w:rPr>
            <w:color w:val="1155CC"/>
            <w:u w:val="single"/>
          </w:rPr>
          <w:t>10.1002/adma.73482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超声波（美国）诱导压电催化疗法是一种新兴的癌症治疗方法。然而，压电催化剂的开发和优化仍然是主要挑战。在这里，我们将经典介电材料CaCu转换为</w:t>
      </w:r>
      <w:r>
        <w:rPr>
          <w:vertAlign w:val="subscript"/>
        </w:rPr>
        <w:t>3</w:t>
      </w:r>
      <w:r>
        <w:t>钛</w:t>
      </w:r>
      <w:r>
        <w:rPr>
          <w:vertAlign w:val="subscript"/>
        </w:rPr>
        <w:t>4</w:t>
      </w:r>
      <w:r>
        <w:t>氧</w:t>
      </w:r>
      <w:r>
        <w:rPr>
          <w:vertAlign w:val="subscript"/>
        </w:rPr>
        <w:t>12</w:t>
      </w:r>
      <w:r>
        <w:t>(CCTO)通过氧空位(V</w:t>
      </w:r>
      <w:r>
        <w:t xml:space="preserve"> </w:t>
      </w:r>
      <w:r>
        <w:t>氧</w:t>
      </w:r>
      <w:r>
        <w:t xml:space="preserve"> </w:t>
      </w:r>
      <w:r>
        <w:t>）工程，实现压电催化驱动的级联肿瘤治疗。 V的介绍</w:t>
      </w:r>
      <w:r>
        <w:t xml:space="preserve"> </w:t>
      </w:r>
      <w:r>
        <w:t>氧</w:t>
      </w:r>
      <w:r>
        <w:t xml:space="preserve"> </w:t>
      </w:r>
      <w:r>
        <w:t>产生强烈的极化和强大的压电系数。密度泛函理论 (DFT) 计算表明 V</w:t>
      </w:r>
      <w:r>
        <w:t xml:space="preserve"> </w:t>
      </w:r>
      <w:r>
        <w:t>氧</w:t>
      </w:r>
      <w:r>
        <w:t xml:space="preserve"> </w:t>
      </w:r>
      <w:r>
        <w:t>作为电子陷阱抑制电子和空穴的复合，提高催化效率。压电效应可以“打开”细胞膜，促进物质流入并引发活性氧（ROS）风暴。同时，US的空化效应和肿瘤细胞过表达的谷胱甘肽（GSH）加速了Cu和Ca的释放，导致细胞内离子过载。 ROS 和 Ca 离子损伤线粒体，引发细胞凋亡，从而关闭 Cu</w:t>
      </w:r>
      <w:r>
        <w:t xml:space="preserve"> </w:t>
      </w:r>
      <w:r>
        <w:t>+</w:t>
      </w:r>
      <w:r>
        <w:t xml:space="preserve"> </w:t>
      </w:r>
      <w:r>
        <w:t>流出途径并加速铜凋亡。此外，ROS 和 GSH 耗尽会引发铁死亡。这个过程建立了一个正反馈循环机制。转录组测序证实</w:t>
      </w:r>
    </w:p>
    <w:p>
      <w:pPr>
        <w:spacing w:before="0" w:after="200" w:lineRule="auto" w:line="276"/>
      </w:pPr>
      <w:r>
        <w:rPr>
          <w:b/>
        </w:rPr>
        <w:t xml:space="preserve">Abstract (EN): </w:t>
      </w:r>
      <w:r>
        <w:t>Ultrasound (US) induced piezoelectric catalytic therapy is an emerging cancer treatment method. However, the development and optimization of piezoelectric catalyst remain the major challenge. Herein, we have converted the classical dielectric material CaCu</w:t>
      </w:r>
      <w:r>
        <w:rPr>
          <w:vertAlign w:val="subscript"/>
        </w:rPr>
        <w:t>3</w:t>
      </w:r>
      <w:r>
        <w:t>Ti</w:t>
      </w:r>
      <w:r>
        <w:rPr>
          <w:vertAlign w:val="subscript"/>
        </w:rPr>
        <w:t>4</w:t>
      </w:r>
      <w:r>
        <w:t>O</w:t>
      </w:r>
      <w:r>
        <w:rPr>
          <w:vertAlign w:val="subscript"/>
        </w:rPr>
        <w:t>12</w:t>
      </w:r>
      <w:r>
        <w:t>(CCTO) into an efficient piezoelectric material through oxygen vacancy (V</w:t>
      </w:r>
      <w:r>
        <w:t xml:space="preserve"> </w:t>
      </w:r>
      <w:r>
        <w:t>O</w:t>
      </w:r>
      <w:r>
        <w:t xml:space="preserve"> </w:t>
      </w:r>
      <w:r>
        <w:t>) engineering, enabling piezoelectric catalytic‐driven cascade tumor therapy. The introduction of V</w:t>
      </w:r>
      <w:r>
        <w:t xml:space="preserve"> </w:t>
      </w:r>
      <w:r>
        <w:t>O</w:t>
      </w:r>
      <w:r>
        <w:t xml:space="preserve"> </w:t>
      </w:r>
      <w:r>
        <w:t>results in strong polarization and a robust piezoelectric coefficient. Density functional theory (DFT) calculations reveal that V</w:t>
      </w:r>
      <w:r>
        <w:t xml:space="preserve"> </w:t>
      </w:r>
      <w:r>
        <w:t>O</w:t>
      </w:r>
      <w:r>
        <w:t xml:space="preserve"> </w:t>
      </w:r>
      <w:r>
        <w:t>acts as an electron trap to suppress the recombination of electron and hole, enhancing the catalytic efficiency. The piezoelectric effect can “open” the cell membrane, facilitating the materials influx and triggering reactive oxygen species (ROS) storm. Meanwhile, the cavitation effect of US and tumor cell over‐expressed glutathione (GSH) accelerate Cu and Ca release, causing intracellular ions overload. ROS and Ca ions damage mitochondria to evoke apoptosis, which accordingly shuts down the Cu</w:t>
      </w:r>
      <w:r>
        <w:t xml:space="preserve"> </w:t>
      </w:r>
      <w:r>
        <w:t>+</w:t>
      </w:r>
      <w:r>
        <w:t xml:space="preserve"> </w:t>
      </w:r>
      <w:r>
        <w:t>outflow pathway and expedites cuproptosis. Moreover, ROS and GSH depletion triggers ferroptosis. This process establishes a positive feedback loop mechanism. Transcriptome sequencing confirms the activation of cell death‐related pathways. This study represents the first paradigm to create piezoelectricity through V</w:t>
      </w:r>
      <w:r>
        <w:t xml:space="preserve"> </w:t>
      </w:r>
      <w:r>
        <w:t>O</w:t>
      </w:r>
      <w:r>
        <w:t xml:space="preserve"> </w:t>
      </w:r>
      <w:r>
        <w:t>in CCTO for tumor therapy, advancing the applications of quadruple perovskites in tumor treatment.</w:t>
      </w:r>
    </w:p>
    <w:p>
      <w:pPr>
        <w:spacing w:before="120" w:after="120"/>
      </w:pPr>
      <w:r>
        <w:rPr>
          <w:sz w:val="18"/>
        </w:rPr>
        <w:t>——————————————————————————————————————————————————————————————————————</w:t>
      </w:r>
    </w:p>
    <w:p>
      <w:pPr>
        <w:spacing w:before="160" w:after="40" w:line="240" w:lineRule="auto"/>
      </w:pPr>
      <w:r>
        <w:rPr>
          <w:b/>
        </w:rPr>
        <w:t xml:space="preserve">[39] </w:t>
      </w:r>
      <w:hyperlink r:id="rId371">
        <w:r>
          <w:rPr>
            <w:color w:val="1155CC"/>
            <w:u w:val="single"/>
          </w:rPr>
          <w:t>有序聚合物纳米结构的增材制造</w:t>
        </w:r>
      </w:hyperlink>
    </w:p>
    <w:p>
      <w:pPr>
        <w:spacing w:before="0" w:after="80"/>
      </w:pPr>
      <w:r>
        <w:rPr>
          <w:i/>
          <w:sz w:val="20"/>
        </w:rPr>
        <w:t>EN: Additive Manufacturing of Ordered Polymer Nanostructures</w:t>
      </w:r>
    </w:p>
    <w:p>
      <w:pPr>
        <w:spacing w:before="0" w:after="120"/>
      </w:pPr>
      <w:r>
        <w:rPr>
          <w:b/>
        </w:rPr>
        <w:t xml:space="preserve">Source: </w:t>
      </w:r>
      <w:r>
        <w:t>Wiley: Advanced Materials: Table of Contents</w:t>
      </w:r>
      <w:r>
        <w:t xml:space="preserve">    </w:t>
      </w:r>
      <w:r>
        <w:rPr>
          <w:b/>
        </w:rPr>
        <w:t xml:space="preserve">Pub date: </w:t>
      </w:r>
      <w:r>
        <w:t>2026-05-23 15:03:17+00:00</w:t>
      </w:r>
      <w:r>
        <w:t xml:space="preserve">    </w:t>
      </w:r>
      <w:r>
        <w:rPr>
          <w:b/>
        </w:rPr>
        <w:t xml:space="preserve">DOI: </w:t>
      </w:r>
      <w:hyperlink r:id="rId372">
        <w:r>
          <w:rPr>
            <w:color w:val="1155CC"/>
            <w:u w:val="single"/>
          </w:rPr>
          <w:t>10.1002/adma.73395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增材制造（3D 打印）允许制造复杂的 3D 几何形状，但在打印材料中集成长程有序纳米结构仍然是一个基本挑战。在还原光聚合中，快速交联动力学通常会阻止嵌段共聚物处于动力学捕获的无序形态中。在这里，我们介绍了具有有序可调性的聚合诱导纳米结构排列（PIANO），这是一种通过将纳米级有序与网络形成解耦来克服这种动力学失配的策略。 PIANO 利用流动性介体乙二醇来增强聚合物链的流动性，实现快速原位排序，同时保持能够承受 3D 打印应力的氢键网络。这种方法产生可调谐的层状和六边形堆积的圆柱形形态，域间距为 20-60 nm。此外，乙二醇在打印后退火过程中充当潜在交联剂，锁定有序纳米结构，同时增强宏观机械强度。通过协调分子自组装和增材制造的不同时间尺度，该策略为功能系统的分层设计提供了一个强大的平台。</w:t>
      </w:r>
    </w:p>
    <w:p>
      <w:pPr>
        <w:spacing w:before="0" w:after="200" w:lineRule="auto" w:line="276"/>
      </w:pPr>
      <w:r>
        <w:rPr>
          <w:b/>
        </w:rPr>
        <w:t xml:space="preserve">Abstract (EN): </w:t>
      </w:r>
      <w:r>
        <w:t>Additive manufacturing (3D printing) allows the fabrication of complex 3D geometries, yet the integration of long‐range ordered nanostructures within printed materials remains a fundamental challenge. In vat photopolymerization, rapid crosslinking kinetics typically arrest block copolymers in kinetically trapped, disordered morphologies. Here, we introduce Polymerization‐Induced Arrangement of Nanostructures with Order‐tunability (PIANO), a strategy that overcomes this kinetic mismatch by decoupling nanoscale ordering from network formation. PIANO utilizes a mobility mediator, ethylene glycol, to enhance polymer chain mobility, enabling rapid in situ ordering, while maintaining a hydrogen‐bonding network capable of sustaining 3D printing stresses. This approach yields tunable lamellar and hexagonally packed cylindrical morphologies with domain spacings of 20–60 nm. Furthermore, ethylene glycol acts as a latent crosslinker during post‐printing annealing, locking the ordered nanostructure while enhancing macroscopic mechanical strength. By reconciling the divergent timescales of molecular self‐assembly and additive manufacturing, this strategy provides a robust platform for the hierarchical design of functional systems.</w:t>
      </w:r>
    </w:p>
    <w:p>
      <w:pPr>
        <w:spacing w:before="120" w:after="120"/>
      </w:pPr>
      <w:r>
        <w:rPr>
          <w:sz w:val="18"/>
        </w:rPr>
        <w:t>——————————————————————————————————————————————————————————————————————</w:t>
      </w:r>
    </w:p>
    <w:p>
      <w:pPr>
        <w:spacing w:before="160" w:after="40" w:line="240" w:lineRule="auto"/>
      </w:pPr>
      <w:r>
        <w:rPr>
          <w:b/>
        </w:rPr>
        <w:t xml:space="preserve">[40] </w:t>
      </w:r>
      <w:hyperlink r:id="rId373">
        <w:r>
          <w:rPr>
            <w:color w:val="1155CC"/>
            <w:u w:val="single"/>
          </w:rPr>
          <w:t>Perilipin-2-锚定脂滴靶向光治疗学</w:t>
        </w:r>
      </w:hyperlink>
    </w:p>
    <w:p>
      <w:pPr>
        <w:spacing w:before="0" w:after="80"/>
      </w:pPr>
      <w:r>
        <w:rPr>
          <w:i/>
          <w:sz w:val="20"/>
        </w:rPr>
        <w:t>EN: Perilipin‐2‐Anchored Lipid Droplet‐Targeting Phototheranostics</w:t>
      </w:r>
    </w:p>
    <w:p>
      <w:pPr>
        <w:spacing w:before="0" w:after="120"/>
      </w:pPr>
      <w:r>
        <w:rPr>
          <w:b/>
        </w:rPr>
        <w:t xml:space="preserve">Source: </w:t>
      </w:r>
      <w:r>
        <w:t>Wiley: Angewandte Chemie International Edition: Table of Contents</w:t>
      </w:r>
      <w:r>
        <w:t xml:space="preserve">    </w:t>
      </w:r>
      <w:r>
        <w:rPr>
          <w:b/>
        </w:rPr>
        <w:t xml:space="preserve">Pub date: </w:t>
      </w:r>
      <w:r>
        <w:t>2026-05-23 16:30:40+00:00</w:t>
      </w:r>
      <w:r>
        <w:t xml:space="preserve">    </w:t>
      </w:r>
      <w:r>
        <w:rPr>
          <w:b/>
        </w:rPr>
        <w:t xml:space="preserve">DOI: </w:t>
      </w:r>
      <w:hyperlink r:id="rId374">
        <w:r>
          <w:rPr>
            <w:color w:val="1155CC"/>
            <w:u w:val="single"/>
          </w:rPr>
          <w:t>10.1002/anie.6864772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传统的光热剂很容易被正常细胞吸收，这可能会导致脱靶损伤。脂滴 (LD) 靶向可以使光热剂在富含 LD 的肿瘤细胞中积聚，LD 是脂质储存的中心枢纽。我们在此报告了一种 LD 靶向治疗诊断剂</w:t>
      </w:r>
      <w:r>
        <w:t xml:space="preserve"> </w:t>
      </w:r>
      <w:r>
        <w:t>, C-BDP-OMe,</w:t>
      </w:r>
      <w:r>
        <w:t xml:space="preserve"> </w:t>
      </w:r>
      <w:r>
        <w:t>通过双锚定策略，将“相似相溶”原理与 PLIN2 蛋白的特异性对接相结合。从结构上来说，</w:t>
      </w:r>
      <w:r>
        <w:t xml:space="preserve"> </w:t>
      </w:r>
      <w:r>
        <w:t>C-BDP-OMe</w:t>
      </w:r>
      <w:r>
        <w:t xml:space="preserve"> </w:t>
      </w:r>
      <w:r>
        <w:t>具有扩展的共轭系统和不对称香豆素融合的 BODIPY 支架，具有近红外区域的光学特性、大斯托克斯位移和高光稳定性。该探针表现出极性敏感行为，在免洗条件下具有开启荧光和高信噪比。此外，</w:t>
      </w:r>
      <w:r>
        <w:t xml:space="preserve"> </w:t>
      </w:r>
      <w:r>
        <w:t>C-BDP-OMe</w:t>
      </w:r>
      <w:r>
        <w:t xml:space="preserve"> </w:t>
      </w:r>
      <w:r>
        <w:t>表现出强大的光热性能，光热转换效率为62.6%，能够实现局部光热消融，有效抑制肿瘤，同时避免全身副作用。该治疗机制经过系统研究，结果表明涉及两种不同细胞死亡途径的同时激活——细胞凋亡和铁死亡。这项工作强调了亚细胞细胞器水平精准干预的治疗价值，并强调了在设计下一代抗癌治疗诊断剂时利用微妙的微环境特征的重要性。</w:t>
      </w:r>
    </w:p>
    <w:p>
      <w:pPr>
        <w:spacing w:before="0" w:after="200" w:lineRule="auto" w:line="276"/>
      </w:pPr>
      <w:r>
        <w:rPr>
          <w:b/>
        </w:rPr>
        <w:t xml:space="preserve">Abstract (EN): </w:t>
      </w:r>
      <w:r>
        <w:t>Conventional photothermal agents are readily taken up by normal cells, which may cause off‐target damage. Lipid droplet (LD) targeting can enable photothermal agents to accumulate in tumor cells enriched in LDs, a central hub for lipid storage. We herein report an LD‐targeted theranostic agent</w:t>
      </w:r>
      <w:r>
        <w:t xml:space="preserve"> </w:t>
      </w:r>
      <w:r>
        <w:t>, C‐BDP‐OMe,</w:t>
      </w:r>
      <w:r>
        <w:t xml:space="preserve"> </w:t>
      </w:r>
      <w:r>
        <w:t>through a dual‐anchoring strategy that combines the principle of “like dissolves like” with specific docking to the PLIN2 protein. Structurally,</w:t>
      </w:r>
      <w:r>
        <w:t xml:space="preserve"> </w:t>
      </w:r>
      <w:r>
        <w:t>C‐BDP‐OMe</w:t>
      </w:r>
      <w:r>
        <w:t xml:space="preserve"> </w:t>
      </w:r>
      <w:r>
        <w:t>features an extended conjugated system and an asymmetric coumarin‐fused BODIPY scaffold, enabling NIR‐region optical properties, a large Stokes shift, and high photostability. The probe exhibits polarity‐sensitive behavior, with turn‐on fluorescence and a high signal‐to‐noise ratio under no‐wash conditions. Furthermore,</w:t>
      </w:r>
      <w:r>
        <w:t xml:space="preserve"> </w:t>
      </w:r>
      <w:r>
        <w:t>C‐BDP‐OMe</w:t>
      </w:r>
      <w:r>
        <w:t xml:space="preserve"> </w:t>
      </w:r>
      <w:r>
        <w:t>demonstrates robust photothermal performance, with a photothermal conversion efficiency of 62.6%, enabling localized photothermal ablation and resulting in effective tumor suppression while avoiding systemic side effects. The therapeutic mechanism was systematically investigated and shown to involve the concurrent activation of two distinct cell death pathways—apoptosis and ferroptosis. This work highlights the therapeutic value of subcellular organelle‐level precision interventions and underscores the importance of exploiting subtle microenvironmental features in the design of next‐generation anticancer theranostic agents.</w:t>
      </w:r>
    </w:p>
    <w:p>
      <w:pPr>
        <w:spacing w:before="120" w:after="120"/>
      </w:pPr>
      <w:r>
        <w:rPr>
          <w:sz w:val="18"/>
        </w:rPr>
        <w:t>——————————————————————————————————————————————————————————————————————</w:t>
      </w:r>
    </w:p>
    <w:p>
      <w:pPr>
        <w:spacing w:before="160" w:after="40" w:line="240" w:lineRule="auto"/>
      </w:pPr>
      <w:r>
        <w:rPr>
          <w:b/>
        </w:rPr>
        <w:t xml:space="preserve">[41] </w:t>
      </w:r>
      <w:hyperlink r:id="rId375">
        <w:r>
          <w:rPr>
            <w:color w:val="1155CC"/>
            <w:u w:val="single"/>
          </w:rPr>
          <w:t>[ASAP] 强偶极-偶极相互作用促进对称有机电催化剂的电催化乙炔半加氢</w:t>
        </w:r>
      </w:hyperlink>
    </w:p>
    <w:p>
      <w:pPr>
        <w:spacing w:before="0" w:after="80"/>
      </w:pPr>
      <w:r>
        <w:rPr>
          <w:i/>
          <w:sz w:val="20"/>
        </w:rPr>
        <w:t>EN: [ASAP] Strong Dipole–Dipole Interaction Promotes Electrocatalytic Acetylene Semihydrogenation over Symmetric Organo-Electrocatalysts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2026-05-23 16:52:58+00:00</w:t>
      </w:r>
      <w:r>
        <w:t xml:space="preserve">    </w:t>
      </w:r>
      <w:r>
        <w:rPr>
          <w:b/>
        </w:rPr>
        <w:t xml:space="preserve">DOI: </w:t>
      </w:r>
      <w:hyperlink r:id="rId376">
        <w:r>
          <w:rPr>
            <w:color w:val="1155CC"/>
            <w:u w:val="single"/>
          </w:rPr>
          <w:t>10.1021/jacs.6c03900</w:t>
        </w:r>
      </w:hyperlink>
    </w:p>
    <w:p>
      <w:pPr>
        <w:spacing w:before="0" w:after="120"/>
      </w:pPr>
      <w:r>
        <w:rPr>
          <w:b/>
        </w:rPr>
        <w:t xml:space="preserve">Notes: </w:t>
      </w:r>
      <w:r>
        <w:t>abstract_source=openalex</w:t>
      </w:r>
    </w:p>
    <w:p>
      <w:pPr>
        <w:spacing w:before="0" w:after="80" w:lineRule="auto" w:line="276"/>
      </w:pPr>
      <w:r>
        <w:rPr>
          <w:b/>
        </w:rPr>
        <w:t xml:space="preserve">摘要（ZH）: </w:t>
      </w:r>
      <w:r>
        <w:t>揭示有机电催化剂与反应物之间的内在相互作用对于理解催化机理和设计高活性催化剂至关重要，但它面临着艰巨的挑战。在此，我们报道了氟苯甲酸和乙炔之间强烈的偶极-偶极相互作用。原位光谱研究、电化学分析和理论模拟共同证明，氟苯甲酸的高度对称性增加了偶极子大小，并进一步增强了与乙炔的总偶极矩。诱导的强偶极-偶极相互作用线性降低了乙炔在氟苯甲酸上吸附的能垒，并通过极化C≡C键和重新分布羧酸根阴离子中O-位的电子密度来有效地活化乙炔。因此，高度对称的 2,4,6-三氟苯甲酸在纯乙炔气氛下提供了 242 mA/cm2 的大乙烯分电流密度和在 –0.9 V 下与可逆氢电极 (RHE) 相比的 94.5% 的乙烯法拉第效率，大大超过了不对称氟苯甲酸类似物。这项工作不仅提供了对反应物与催化剂之间相互作用的深刻理解，而且指导了高性能有机电催化剂的合理设计。</w:t>
      </w:r>
    </w:p>
    <w:p>
      <w:pPr>
        <w:spacing w:before="0" w:after="200" w:lineRule="auto" w:line="276"/>
      </w:pPr>
      <w:r>
        <w:rPr>
          <w:b/>
        </w:rPr>
        <w:t xml:space="preserve">Abstract (EN): </w:t>
      </w:r>
      <w:r>
        <w:t>Unveiling the intrinsic interaction between organo-electrocatalysts and reactants is crucial for understanding the catalytic mechanism and designing high-activity catalysts, but it faces daunting challenges. Herein, we report the strong dipole–dipole interaction between fluorobenzoic acids and acetylene. The operando spectroscopic studies, electrochemical analyses and theoretical simulations together prove that high symmetry of fluorobenzoic acid increases dipole magnitude and further strengthens total dipole moment with acetylene. The induced strong dipole–dipole interaction linearly reduces the energy barrier of acetylene adsorption on fluorobenzoic acid and effectively activates acetylene by polarizing the C≡C bond and redistributing the electron density of O– sites in carboxylate anion. As a result, the highly symmetric 2,4,6-trifluorobenzoic acid affords a large ethylene partial current density of 242 mA/cm2 and an ethylene Faradaic efficiency of 94.5% at –0.9 V versus the reversible hydrogen electrode (RHE) under pure acetylene atmosphere, considerably surpassing the asymmetric fluorobenzoic acid analogues. This work not only provides profound understanding on the interaction between reactants and catalysts but also guides the rational design of high-performance organo-electrocatalysts.</w:t>
      </w:r>
    </w:p>
    <w:p>
      <w:pPr>
        <w:spacing w:before="120" w:after="120"/>
      </w:pPr>
      <w:r>
        <w:rPr>
          <w:sz w:val="18"/>
        </w:rPr>
        <w:t>——————————————————————————————————————————————————————————————————————</w:t>
      </w:r>
    </w:p>
    <w:p>
      <w:pPr>
        <w:spacing w:before="160" w:after="40" w:line="240" w:lineRule="auto"/>
      </w:pPr>
      <w:r>
        <w:rPr>
          <w:b/>
        </w:rPr>
        <w:t xml:space="preserve">[42] </w:t>
      </w:r>
      <w:hyperlink r:id="rId377">
        <w:r>
          <w:rPr>
            <w:color w:val="1155CC"/>
            <w:u w:val="single"/>
          </w:rPr>
          <w:t>用于高效钙钛矿太阳能电池的氢键介导的分子-阳离子钝化对</w:t>
        </w:r>
      </w:hyperlink>
    </w:p>
    <w:p>
      <w:pPr>
        <w:spacing w:before="0" w:after="80"/>
      </w:pPr>
      <w:r>
        <w:rPr>
          <w:i/>
          <w:sz w:val="20"/>
        </w:rPr>
        <w:t>EN: Hydrogen Bond‐Mediated Molecule‐Cation Passivation Pair for Efficient Perovskite Solar Cells</w:t>
      </w:r>
    </w:p>
    <w:p>
      <w:pPr>
        <w:spacing w:before="0" w:after="120"/>
      </w:pPr>
      <w:r>
        <w:rPr>
          <w:b/>
        </w:rPr>
        <w:t xml:space="preserve">Source: </w:t>
      </w:r>
      <w:r>
        <w:t>Wiley: Advanced Energy Materials: Table of Contents</w:t>
      </w:r>
      <w:r>
        <w:t xml:space="preserve">    </w:t>
      </w:r>
      <w:r>
        <w:rPr>
          <w:b/>
        </w:rPr>
        <w:t xml:space="preserve">Pub date: </w:t>
      </w:r>
      <w:r>
        <w:t>2026-05-23 17:04:53+00:00</w:t>
      </w:r>
      <w:r>
        <w:t xml:space="preserve">    </w:t>
      </w:r>
      <w:r>
        <w:rPr>
          <w:b/>
        </w:rPr>
        <w:t xml:space="preserve">DOI: </w:t>
      </w:r>
      <w:hyperlink r:id="rId378">
        <w:r>
          <w:rPr>
            <w:color w:val="1155CC"/>
            <w:u w:val="single"/>
          </w:rPr>
          <w:t>10.1002/aenm.71112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均匀且高效的表面钝化对于实现钙钛矿太阳能电池（PSC）的高光伏性能至关重要。在这项工作中，我们通过为广泛使用的铵阳离子（苯乙基铵（PEA）构建氢键介导的分子-阳离子钝化对，设计了通用钝化策略</w:t>
      </w:r>
      <w:r>
        <w:t xml:space="preserve"> </w:t>
      </w:r>
      <w:r>
        <w:t>+</w:t>
      </w:r>
      <w:r>
        <w:t xml:space="preserve"> </w:t>
      </w:r>
      <w:r>
        <w:t>), 丙烷-1,3-二铵 (PDA</w:t>
      </w:r>
      <w:r>
        <w:t xml:space="preserve"> </w:t>
      </w:r>
      <w:r>
        <w:t>2+</w:t>
      </w:r>
      <w:r>
        <w:t xml:space="preserve"> </w:t>
      </w:r>
      <w:r>
        <w:t>), (2-(环己-1-烯-1-基)乙烷-1-胺(CHEA</w:t>
      </w:r>
      <w:r>
        <w:t xml:space="preserve"> </w:t>
      </w:r>
      <w:r>
        <w:t>+</w:t>
      </w:r>
      <w:r>
        <w:t xml:space="preserve"> </w:t>
      </w:r>
      <w:r>
        <w:t>））。该策略通过利用4-氨基-3,5-二氟苯甲腈（AFBN）和铵阳离子之间氢键介导的相互作用来分散铵钝化剂，减轻它们在钙钛矿表面上的无序积累并实现横向均匀钝化。此外，AFBN 的氰基部分与配位不足的 Pb 相互作用</w:t>
      </w:r>
      <w:r>
        <w:t xml:space="preserve"> </w:t>
      </w:r>
      <w:r>
        <w:t>2+</w:t>
      </w:r>
      <w:r>
        <w:t xml:space="preserve"> </w:t>
      </w:r>
      <w:r>
        <w:t>，由氨基补充，与 I 形成氢键</w:t>
      </w:r>
      <w:r>
        <w:t xml:space="preserve"> </w:t>
      </w:r>
      <w:r>
        <w:t>-</w:t>
      </w:r>
      <w:r>
        <w:t>通过结合传统的铵盐，对多种缺陷进行有效钝化。因此，用 AFBN/PEACl 和 AFBN/PDAI 处理的 p-i-n 器件</w:t>
      </w:r>
      <w:r>
        <w:rPr>
          <w:vertAlign w:val="subscript"/>
        </w:rPr>
        <w:t>2</w:t>
      </w:r>
      <w:r>
        <w:t>分别实现了 25.89% 和 26.77% 的卓越功率转换效率 (PCE)。此外，AFBN/CHEAI 对在 n-i-p PSC 中实现了 25.88% 的高效率。此外，未封装的 HMPP-PSC 还表现出增强的器件稳定性，保持</w:t>
      </w:r>
    </w:p>
    <w:p>
      <w:pPr>
        <w:spacing w:before="0" w:after="200" w:lineRule="auto" w:line="276"/>
      </w:pPr>
      <w:r>
        <w:rPr>
          <w:b/>
        </w:rPr>
        <w:t xml:space="preserve">Abstract (EN): </w:t>
      </w:r>
      <w:r>
        <w:t>Homogeneous and efficient surface passivation is crucial for achieving the high photovoltaic performance in perovskite solar cells (PSCs). In this work, we engineered a universal passivation strategy by constructing a hydrogen bond‐mediated molecule‐cation passivation pair for widely used ammonium cations (phenethylammonium (PEA</w:t>
      </w:r>
      <w:r>
        <w:t xml:space="preserve"> </w:t>
      </w:r>
      <w:r>
        <w:t>+</w:t>
      </w:r>
      <w:r>
        <w:t xml:space="preserve"> </w:t>
      </w:r>
      <w:r>
        <w:t>), propane‐1,3‐diammonium (PDA</w:t>
      </w:r>
      <w:r>
        <w:t xml:space="preserve"> </w:t>
      </w:r>
      <w:r>
        <w:t>2+</w:t>
      </w:r>
      <w:r>
        <w:t xml:space="preserve"> </w:t>
      </w:r>
      <w:r>
        <w:t>), (2‐(cyclohex‐1‐en‐1‐yl) ethan‐1‐aminium (CHEA</w:t>
      </w:r>
      <w:r>
        <w:t xml:space="preserve"> </w:t>
      </w:r>
      <w:r>
        <w:t>+</w:t>
      </w:r>
      <w:r>
        <w:t xml:space="preserve"> </w:t>
      </w:r>
      <w:r>
        <w:t>)). This strategy disperses the ammonium passivators by leveraging the hydrogen bond‐mediated interactions between 4‐amino‐3,5‐difluorobenzonitrile (AFBN) and ammonium cations, mitigating their disordered accumulation on the perovskite surface and enabling a laterally homogeneous passivation. Besides, the cyano moieties of AFBN interact with undercoordinated Pb</w:t>
      </w:r>
      <w:r>
        <w:t xml:space="preserve"> </w:t>
      </w:r>
      <w:r>
        <w:t>2+</w:t>
      </w:r>
      <w:r>
        <w:t xml:space="preserve"> </w:t>
      </w:r>
      <w:r>
        <w:t>, complemented by the amino groups, which engage in hydrogen bonding with I</w:t>
      </w:r>
      <w:r>
        <w:t xml:space="preserve"> </w:t>
      </w:r>
      <w:r>
        <w:t>−</w:t>
      </w:r>
      <w:r>
        <w:t>sites, delivering effective passivation of multiple defects through combining the traditional ammonium salt. Consequently, the p‐i‐n devices treated with AFBN/PEACl and AFBN/PDAI</w:t>
      </w:r>
      <w:r>
        <w:rPr>
          <w:vertAlign w:val="subscript"/>
        </w:rPr>
        <w:t>2</w:t>
      </w:r>
      <w:r>
        <w:t>achieved remarkable power conversion efficiencies (PCEs) of 25.89% and 26.77%, respectively. Furthermore, the AFBN/CHEAI pair enabled a high efficiency of 25.88% in n‐i‐p PSC. Moreover, the unencapsulated HMPP‐PSCs also exhibit an enhanced device stability, maintaining 91.5% and 87.5% of their initial efficiencies after nearly 2500 h of aging in ambient air and heat soaking at 65°C for 800 h.</w:t>
      </w:r>
    </w:p>
    <w:p>
      <w:pPr>
        <w:spacing w:before="120" w:after="120"/>
      </w:pPr>
      <w:r>
        <w:rPr>
          <w:sz w:val="18"/>
        </w:rPr>
        <w:t>——————————————————————————————————————————————————————————————————————</w:t>
      </w:r>
    </w:p>
    <w:p>
      <w:pPr>
        <w:spacing w:before="160" w:after="40" w:line="240" w:lineRule="auto"/>
      </w:pPr>
      <w:r>
        <w:rPr>
          <w:b/>
        </w:rPr>
        <w:t xml:space="preserve">[43] </w:t>
      </w:r>
      <w:hyperlink r:id="rId379">
        <w:r>
          <w:rPr>
            <w:color w:val="1155CC"/>
            <w:u w:val="single"/>
          </w:rPr>
          <w:t>超级可折叠玻璃类塑料</w:t>
        </w:r>
      </w:hyperlink>
    </w:p>
    <w:p>
      <w:pPr>
        <w:spacing w:before="0" w:after="80"/>
      </w:pPr>
      <w:r>
        <w:rPr>
          <w:i/>
          <w:sz w:val="20"/>
        </w:rPr>
        <w:t>EN: Super–Foldable Glass–Like Plastic</w:t>
      </w:r>
    </w:p>
    <w:p>
      <w:pPr>
        <w:spacing w:before="0" w:after="120"/>
      </w:pPr>
      <w:r>
        <w:rPr>
          <w:b/>
        </w:rPr>
        <w:t xml:space="preserve">Source: </w:t>
      </w:r>
      <w:r>
        <w:t>Wiley: Advanced Materials: Table of Contents</w:t>
      </w:r>
      <w:r>
        <w:t xml:space="preserve">    </w:t>
      </w:r>
      <w:r>
        <w:rPr>
          <w:b/>
        </w:rPr>
        <w:t xml:space="preserve">Pub date: </w:t>
      </w:r>
      <w:r>
        <w:t>2026-05-23 18:52:54+00:00</w:t>
      </w:r>
      <w:r>
        <w:t xml:space="preserve">    </w:t>
      </w:r>
      <w:r>
        <w:rPr>
          <w:b/>
        </w:rPr>
        <w:t xml:space="preserve">DOI: </w:t>
      </w:r>
      <w:hyperlink r:id="rId380">
        <w:r>
          <w:rPr>
            <w:color w:val="1155CC"/>
            <w:u w:val="single"/>
          </w:rPr>
          <w:t>10.1002/adma.73424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下一代柔性电子产品需要无疲劳折叠性。对于重要的保护膜，超薄玻璃容易脆裂，而塑料膜硬度不足，在动态负载条件下容易起皱。我们报告了一种具有纳米混合互穿网络的类玻璃塑料，该网络由有机-无机硅倍半氧烷@纳米二氧化硅复合材料互穿的塑料纳米纤维支架组成，可有效抑制疲劳松弛。这种混合材料具有玻璃般的透明度和硬度，同时具有塑料般的伸长率和抗冲击性以及橡胶般的弹性。当制造为薄膜（5–30 µm）时，它们可以承受极端的折叠循环（曲率半径为 0.5 mm 的 500,000 次循环），而不会出现宏观折痕/裂纹或微观结构/形态变化。这些类玻璃塑料卓越的动态可折叠性使其在未来的设备应用中具有广阔的前景。</w:t>
      </w:r>
    </w:p>
    <w:p>
      <w:pPr>
        <w:spacing w:before="0" w:after="200" w:lineRule="auto" w:line="276"/>
      </w:pPr>
      <w:r>
        <w:rPr>
          <w:b/>
        </w:rPr>
        <w:t xml:space="preserve">Abstract (EN): </w:t>
      </w:r>
      <w:r>
        <w:t>Fatigue–free foldability is required for next–generation flexible electronics. For the essential protective films, ultrathin glass is susceptible to brittle fractures, whereas plastic films have inadequate hardness and tend to crease under dynamic loading conditions. We report a glass–like plastic featuring a nano–hybrid interpenetrating network comprising a plastic nanofibrous scaffold interpenetrated by an organic–inorganic silsesquioxane@nanosilica composite, which effectively inhibits fatigue relaxation. This hybrid material possesses glass–like transparency and hardness yet exhibits plastic–like elongation and impact resistance, and rubber–like resilience. When manufactured as thin films (5–30 µm), they can withstand extreme folding cycles (500,000 cycles at a radius of curvature of 0.5 mm) without macroscopic creasing/cracking or microscopic structure/morphology changes. The superior dynamic foldability of these glass–like plastics makes them promising for future device applications.</w:t>
      </w:r>
    </w:p>
    <w:p>
      <w:pPr>
        <w:spacing w:before="120" w:after="120"/>
      </w:pPr>
      <w:r>
        <w:rPr>
          <w:sz w:val="18"/>
        </w:rPr>
        <w:t>——————————————————————————————————————————————————————————————————————</w:t>
      </w:r>
    </w:p>
    <w:p>
      <w:pPr>
        <w:spacing w:before="160" w:after="40" w:line="240" w:lineRule="auto"/>
      </w:pPr>
      <w:r>
        <w:rPr>
          <w:b/>
        </w:rPr>
        <w:t xml:space="preserve">[44] </w:t>
      </w:r>
      <w:hyperlink r:id="rId381">
        <w:r>
          <w:rPr>
            <w:color w:val="1155CC"/>
            <w:u w:val="single"/>
          </w:rPr>
          <w:t>受挫量子材料中的突现自旋超固体</w:t>
        </w:r>
      </w:hyperlink>
    </w:p>
    <w:p>
      <w:pPr>
        <w:spacing w:before="0" w:after="80"/>
      </w:pPr>
      <w:r>
        <w:rPr>
          <w:i/>
          <w:sz w:val="20"/>
        </w:rPr>
        <w:t>EN: Emergent Spin Supersolids in Frustrated Quantum Materials</w:t>
      </w:r>
    </w:p>
    <w:p>
      <w:pPr>
        <w:spacing w:before="0" w:after="120"/>
      </w:pPr>
      <w:r>
        <w:rPr>
          <w:b/>
        </w:rPr>
        <w:t xml:space="preserve">Source: </w:t>
      </w:r>
      <w:r>
        <w:t>Wiley: Advanced Materials: Table of Contents</w:t>
      </w:r>
      <w:r>
        <w:t xml:space="preserve">    </w:t>
      </w:r>
      <w:r>
        <w:rPr>
          <w:b/>
        </w:rPr>
        <w:t xml:space="preserve">Pub date: </w:t>
      </w:r>
      <w:r>
        <w:t>2026-05-23 18:53:55+00:00</w:t>
      </w:r>
      <w:r>
        <w:t xml:space="preserve">    </w:t>
      </w:r>
      <w:r>
        <w:rPr>
          <w:b/>
        </w:rPr>
        <w:t xml:space="preserve">DOI: </w:t>
      </w:r>
      <w:hyperlink r:id="rId382">
        <w:r>
          <w:rPr>
            <w:color w:val="1155CC"/>
            <w:u w:val="single"/>
          </w:rPr>
          <w:t>10.1002/adma.202600005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近年来，自旋超固体在受挫量子磁体中出现，建立了一个基于材料的超固体平台，超越了固体氦的原始背景。自旋超固体的特征是同时存在破坏晶格平移对称性的纵向自旋序和与自旋 U(1) 对称性自发破缺相关的横向自旋序。广泛的实验研究以及先进的数值研究现在已经揭示了这些相的连贯且内部一致的图像，大大加深了我们对量子磁性材料中超固体的理解。除了作为奇异量子态的基本兴趣之外，在候选材料中观察到的巨磁热效应也支持了高效退磁冷却的潜在应用。此外，可能的无耗散自旋超流可以为自旋输运和自旋电子学应用开辟有希望的前景。这篇综述总结了受挫三角晶格量子反铁磁体中涌现自旋超固体的最新进展，调查了热力学和光谱测量的实验证据，并将这些结果与解决全局相图、基态性质和集体激发的最小模型的理论研究进行了比较。此外，这篇综述讨论了特征自旋输运现象，并概述了探索自旋超固体作为功能量子材料的未来方向。</w:t>
      </w:r>
    </w:p>
    <w:p>
      <w:pPr>
        <w:spacing w:before="0" w:after="200" w:lineRule="auto" w:line="276"/>
      </w:pPr>
      <w:r>
        <w:rPr>
          <w:b/>
        </w:rPr>
        <w:t xml:space="preserve">Abstract (EN): </w:t>
      </w:r>
      <w:r>
        <w:t>Recent years have witnessed the emergence of spin supersolids in frustrated quantum magnets, establishing a material‐based platform for supersolidity beyond its original context in solid helium. A spin supersolid is characterized by the coexistence of longitudinal spin order that breaks lattice translational symmetry and transverse spin order associated with the spontaneous breaking of the spin U(1) symmetry. Extensive experimental investigations, together with advanced numerical studies, have now revealed a coherent and internally consistent picture of these phases, substantially deepening our understanding of supersolidity in quantum magnetic materials. Beyond their fundamental interest as exotic quantum states, potential applications in highly efficient demagnetization cooling have been supported by a giant magnetocaloric effect observed in candidate materials. Moreover, the possible dissipationless spin supercurrents could open promising perspectives for spin transport and spintronic applications. This review summarizes recent progress on emergent spin supersolids in frustrated triangular‐lattice quantum antiferromagnets, surveys experimental evidence from thermodynamic and spectroscopic measurements, and compares these results with theoretical studies of minimal models addressing global phase diagrams, ground state properties, and collective excitations. In addition, this review discusses characteristic spin‐transport phenomena and outlines future directions for exploring spin supersolids as functional quantum materials.</w:t>
      </w:r>
    </w:p>
    <w:p>
      <w:pPr>
        <w:spacing w:before="120" w:after="120"/>
      </w:pPr>
      <w:r>
        <w:rPr>
          <w:sz w:val="18"/>
        </w:rPr>
        <w:t>——————————————————————————————————————————————————————————————————————</w:t>
      </w:r>
    </w:p>
    <w:p>
      <w:pPr>
        <w:spacing w:before="160" w:after="40" w:line="240" w:lineRule="auto"/>
      </w:pPr>
      <w:r>
        <w:rPr>
          <w:b/>
        </w:rPr>
        <w:t xml:space="preserve">[45] </w:t>
      </w:r>
      <w:hyperlink r:id="rId383">
        <w:r>
          <w:rPr>
            <w:color w:val="1155CC"/>
            <w:u w:val="single"/>
          </w:rPr>
          <w:t>形态驱动的抗原级联传递以实现有效的 T 细胞免疫</w:t>
        </w:r>
      </w:hyperlink>
    </w:p>
    <w:p>
      <w:pPr>
        <w:spacing w:before="0" w:after="80"/>
      </w:pPr>
      <w:r>
        <w:rPr>
          <w:i/>
          <w:sz w:val="20"/>
        </w:rPr>
        <w:t>EN: A Morphology‐Driven Cascade Delivery of Antigens for Potent T Cell Immunity</w:t>
      </w:r>
    </w:p>
    <w:p>
      <w:pPr>
        <w:spacing w:before="0" w:after="120"/>
      </w:pPr>
      <w:r>
        <w:rPr>
          <w:b/>
        </w:rPr>
        <w:t xml:space="preserve">Source: </w:t>
      </w:r>
      <w:r>
        <w:t>Wiley: Advanced Materials: Table of Contents</w:t>
      </w:r>
      <w:r>
        <w:t xml:space="preserve">    </w:t>
      </w:r>
      <w:r>
        <w:rPr>
          <w:b/>
        </w:rPr>
        <w:t xml:space="preserve">Pub date: </w:t>
      </w:r>
      <w:r>
        <w:t>2026-05-23 18:55:58+00:00</w:t>
      </w:r>
      <w:r>
        <w:t xml:space="preserve">    </w:t>
      </w:r>
      <w:r>
        <w:rPr>
          <w:b/>
        </w:rPr>
        <w:t xml:space="preserve">DOI: </w:t>
      </w:r>
      <w:hyperlink r:id="rId384">
        <w:r>
          <w:rPr>
            <w:color w:val="1155CC"/>
            <w:u w:val="single"/>
          </w:rPr>
          <w:t>10.1002/adma.73396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亚单位疫苗因其无法引发强大的细胞免疫和交叉保护而受到阻碍。疫苗成分在体内的时空命运是克服这一障碍的关键。在这里，我们报告了通过设计纳米粒子的表面形貌而实现的级联“淋巴结-抗原呈递细胞-内质网（LAE）”递送策略。我们设计了具有光滑、短尖峰和长尖峰（SNL）形态的介孔二氧化硅纳米粒子。其中，SNL表现出优异的抗原肽递送和APC激活能力。从机制上讲，SNL 通过机械刺激增强 Piezo1 介导的钙内流，促进树突状细胞活化并增加抗原向内质网 (ER) 的运输，内质网是交叉呈递的关键位点。利用这种 ER 靶向能力，我们将 STING 激动剂 2'3'-cGAMP 与抗原肽共同加载到 SNL 中，产生协同免疫激活。这种组合诱导了有效的 CD8</w:t>
      </w:r>
      <w:r>
        <w:t xml:space="preserve"> </w:t>
      </w:r>
      <w:r>
        <w:t>+</w:t>
      </w:r>
      <w:r>
        <w:t xml:space="preserve"> </w:t>
      </w:r>
      <w:r>
        <w:t>T 细胞反应，延迟淋巴瘤和宫颈癌模型中的肿瘤进展，并在 SARS-CoV-2 疫苗接种模型中赋予交叉保护性免疫力。我们的研究将纳米颗粒形态确定为协调疫苗成分精确细胞内递送的重要设计参数，为下一代疫苗提供了通用平台。</w:t>
      </w:r>
    </w:p>
    <w:p>
      <w:pPr>
        <w:spacing w:before="0" w:after="200" w:lineRule="auto" w:line="276"/>
      </w:pPr>
      <w:r>
        <w:rPr>
          <w:b/>
        </w:rPr>
        <w:t xml:space="preserve">Abstract (EN): </w:t>
      </w:r>
      <w:r>
        <w:t>Subunit vaccines are hampered by their inability to elicit robust cellular immunity and cross‐protection. The spatiotemporal fate of vaccine components within the body is key to overcoming this hurdle. Here, we report a cascade “Lymph nodes–Antigen presenting cells–Endoplasmic reticulum (LAE)” delivery strategy enabled by engineering the surface topography of nanoparticles. We designed mesoporous silica nanoparticles with smooth, short‐spiked, and long‐spiked (SNL) morphologies. Among them, SNL showed superior antigen peptide delivery and APC activation. Mechanistically, SNL enhanced Piezo1‐mediated calcium influx through mechanical stimulation, promoting dendritic cell activation and increasing antigen trafficking to the endoplasmic reticulum (ER), a key site for cross‐presentation. Capitalizing on this ER‐targeting capability, we co‐loaded the STING agonist 2′3′‐cGAMP with antigen peptides into SNL, yielding synergistic immune activation. This combination induced potent CD8</w:t>
      </w:r>
      <w:r>
        <w:t xml:space="preserve"> </w:t>
      </w:r>
      <w:r>
        <w:t>+</w:t>
      </w:r>
      <w:r>
        <w:t xml:space="preserve"> </w:t>
      </w:r>
      <w:r>
        <w:t>T cell responses, delayed tumor progression in lymphoma and cervical cancer models, and conferred cross‐protective immunity in a SARS‐CoV‐2 vaccination model. Our study establishes nanoparticle morphology as an important design parameter for orchestrating the precise intracellular delivery of vaccine components, offering a generalizable platform for next‐generation vaccines.</w:t>
      </w:r>
    </w:p>
    <w:p>
      <w:pPr>
        <w:spacing w:before="120" w:after="120"/>
      </w:pPr>
      <w:r>
        <w:rPr>
          <w:sz w:val="18"/>
        </w:rPr>
        <w:t>——————————————————————————————————————————————————————————————————————</w:t>
      </w:r>
    </w:p>
    <w:p>
      <w:pPr>
        <w:spacing w:before="160" w:after="40" w:line="240" w:lineRule="auto"/>
      </w:pPr>
      <w:r>
        <w:rPr>
          <w:b/>
        </w:rPr>
        <w:t xml:space="preserve">[46] </w:t>
      </w:r>
      <w:hyperlink r:id="rId385">
        <w:r>
          <w:rPr>
            <w:color w:val="1155CC"/>
            <w:u w:val="single"/>
          </w:rPr>
          <w:t>苝二酰亚胺基二维共价有机骨架单晶</w:t>
        </w:r>
      </w:hyperlink>
    </w:p>
    <w:p>
      <w:pPr>
        <w:spacing w:before="0" w:after="80"/>
      </w:pPr>
      <w:r>
        <w:rPr>
          <w:i/>
          <w:sz w:val="20"/>
        </w:rPr>
        <w:t>EN: Single Crystals of Perylene Diimide‐Based Two‐Dimensional Covalent Organic Frameworks</w:t>
      </w:r>
    </w:p>
    <w:p>
      <w:pPr>
        <w:spacing w:before="0" w:after="120"/>
      </w:pPr>
      <w:r>
        <w:rPr>
          <w:b/>
        </w:rPr>
        <w:t xml:space="preserve">Source: </w:t>
      </w:r>
      <w:r>
        <w:t>Wiley: Advanced Materials: Table of Contents</w:t>
      </w:r>
      <w:r>
        <w:t xml:space="preserve">    </w:t>
      </w:r>
      <w:r>
        <w:rPr>
          <w:b/>
        </w:rPr>
        <w:t xml:space="preserve">Pub date: </w:t>
      </w:r>
      <w:r>
        <w:t>2026-05-23 18:57:35+00:00</w:t>
      </w:r>
      <w:r>
        <w:t xml:space="preserve">    </w:t>
      </w:r>
      <w:r>
        <w:rPr>
          <w:b/>
        </w:rPr>
        <w:t xml:space="preserve">DOI: </w:t>
      </w:r>
      <w:hyperlink r:id="rId386">
        <w:r>
          <w:rPr>
            <w:color w:val="1155CC"/>
            <w:u w:val="single"/>
          </w:rPr>
          <w:t>10.1002/adma.202523646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二维共价有机骨架（2D COF）是具有高度可调的结构和电子特性的结晶多孔聚合物。尽管这些材料的单晶对于基础研究和潜在应用来说是非常理想的，但迄今为止它们的合成仅限于几个例子。我们开发了一种高温双调制剂合成策略，可以从完全溶解的前体中生长单晶。我们应用这种方法生成了一系列基于苝二酰亚胺 (PDI) 的二维 COF。这些材料结晶为片状，联苯连接的 PDI(Me) 的横向尺寸高达 50 µm</w:t>
      </w:r>
      <w:r>
        <w:rPr>
          <w:vertAlign w:val="subscript"/>
        </w:rPr>
        <w:t>8</w:t>
      </w:r>
      <w:r>
        <w:t>‐2P COF，为通过显微光谱研究电子过程提供了合适的平台。光致发光（PL）测量揭示了超快的类单体发射以及较慢的准分子相关成分。 COF 单晶的出现进一步实现了偏振相关的测量，这表明由于框架中 PDI 发色团的平行方向，快速 PL 成分是线性偏振的。这些发现凸显了 COF 单晶对于阐明这些有趣材料的结构-光物理性质关系的重要性。</w:t>
      </w:r>
    </w:p>
    <w:p>
      <w:pPr>
        <w:spacing w:before="0" w:after="200" w:lineRule="auto" w:line="276"/>
      </w:pPr>
      <w:r>
        <w:rPr>
          <w:b/>
        </w:rPr>
        <w:t xml:space="preserve">Abstract (EN): </w:t>
      </w:r>
      <w:r>
        <w:t>Two‐dimensional covalent organic frameworks (2D COFs) are crystalline porous polymers with highly tunable structural and electronic properties. Although single crystals of these materials are highly desirable for fundamental research and potential applications, their synthesis has so far been limited to only a few examples. We have developed a high‐temperature double‐modulator synthetic strategy that enables the growth of single crystals from fully dissolved precursors. We applied this approach to generate a series of perylene diimide (PDI)‐based 2D COFs. These materials crystallize as platelets with lateral dimensions reaching up to 50 µm for the biphenyl‐linked PDI(Me)</w:t>
      </w:r>
      <w:r>
        <w:rPr>
          <w:vertAlign w:val="subscript"/>
        </w:rPr>
        <w:t>8</w:t>
      </w:r>
      <w:r>
        <w:t>‐2P COF, providing a suitable platform for studying electronic processes via micro‐spectroscopy. Photoluminescence (PL) measurements revealed ultrafast monomer‐like emission together with a slower excimer‐related component. The availability of COF single crystals further enabled polarization‐dependent measurements, which revealed that the fast PL component is linearly polarized due to the parallel orientation of the PDI chromophores in the frameworks. These findings highlight the importance of COF single crystals for elucidating structure—photophysical property relationships of these intriguing materials.</w:t>
      </w:r>
    </w:p>
    <w:p>
      <w:pPr>
        <w:spacing w:before="120" w:after="120"/>
      </w:pPr>
      <w:r>
        <w:rPr>
          <w:sz w:val="18"/>
        </w:rPr>
        <w:t>——————————————————————————————————————————————————————————————————————</w:t>
      </w:r>
    </w:p>
    <w:p>
      <w:pPr>
        <w:spacing w:before="160" w:after="40" w:line="240" w:lineRule="auto"/>
      </w:pPr>
      <w:r>
        <w:rPr>
          <w:b/>
        </w:rPr>
        <w:t xml:space="preserve">[47] </w:t>
      </w:r>
      <w:hyperlink r:id="rId387">
        <w:r>
          <w:rPr>
            <w:color w:val="1155CC"/>
            <w:u w:val="single"/>
          </w:rPr>
          <w:t>极端天气条件下时间能源调度的两阶段不确定性建模</w:t>
        </w:r>
      </w:hyperlink>
    </w:p>
    <w:p>
      <w:pPr>
        <w:spacing w:before="0" w:after="80"/>
      </w:pPr>
      <w:r>
        <w:rPr>
          <w:i/>
          <w:sz w:val="20"/>
        </w:rPr>
        <w:t>EN: Two-stage uncertainty modeling for temporal energy scheduling during extreme weather conditions</w:t>
      </w:r>
    </w:p>
    <w:p>
      <w:pPr>
        <w:spacing w:before="0" w:after="120"/>
      </w:pPr>
      <w:r>
        <w:rPr>
          <w:b/>
        </w:rPr>
        <w:t xml:space="preserve">Source: </w:t>
      </w:r>
      <w:r>
        <w:t>ScienceDirect Publication: Applied Energy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388">
        <w:r>
          <w:rPr>
            <w:color w:val="1155CC"/>
            <w:u w:val="single"/>
          </w:rPr>
          <w:t>通过可持续车到户混合可再生能源系统的退化感知技术经济和环境优化，实现澳大利亚偏远社区的电气化</w:t>
        </w:r>
      </w:hyperlink>
    </w:p>
    <w:p>
      <w:pPr>
        <w:spacing w:before="0" w:after="80"/>
      </w:pPr>
      <w:r>
        <w:rPr>
          <w:i/>
          <w:sz w:val="20"/>
        </w:rPr>
        <w:t>EN: Electrification of Australian remote communities through degradation-aware techno-economic and environmental optimization of sustainable vehicle-to-home enabled hybrid renewable energy systems</w:t>
      </w:r>
    </w:p>
    <w:p>
      <w:pPr>
        <w:spacing w:before="0" w:after="120"/>
      </w:pPr>
      <w:r>
        <w:rPr>
          <w:b/>
        </w:rPr>
        <w:t xml:space="preserve">Source: </w:t>
      </w:r>
      <w:r>
        <w:t>ScienceDirect Publication: Applied Energy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389">
        <w:r>
          <w:rPr>
            <w:color w:val="1155CC"/>
            <w:u w:val="single"/>
          </w:rPr>
          <w:t>动态需求响应的跨周期优化策略：通过提前和延迟调度缓解双向偏差</w:t>
        </w:r>
      </w:hyperlink>
    </w:p>
    <w:p>
      <w:pPr>
        <w:spacing w:before="0" w:after="80"/>
      </w:pPr>
      <w:r>
        <w:rPr>
          <w:i/>
          <w:sz w:val="20"/>
        </w:rPr>
        <w:t>EN: A cross-period optimization strategy for dynamic demand response: mitigating bidirectional deviations via advanced and delayed dispatching</w:t>
      </w:r>
    </w:p>
    <w:p>
      <w:pPr>
        <w:spacing w:before="0" w:after="120"/>
      </w:pPr>
      <w:r>
        <w:rPr>
          <w:b/>
        </w:rPr>
        <w:t xml:space="preserve">Source: </w:t>
      </w:r>
      <w:r>
        <w:t>ScienceDirect Publication: Applied Energy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 </w:t>
      </w:r>
      <w:hyperlink r:id="rId390">
        <w:r>
          <w:rPr>
            <w:color w:val="1155CC"/>
            <w:u w:val="single"/>
          </w:rPr>
          <w:t>中美贸易战是否会加剧能源贫困？来自中国家庭的证据</w:t>
        </w:r>
      </w:hyperlink>
    </w:p>
    <w:p>
      <w:pPr>
        <w:spacing w:before="0" w:after="80"/>
      </w:pPr>
      <w:r>
        <w:rPr>
          <w:i/>
          <w:sz w:val="20"/>
        </w:rPr>
        <w:t>EN: Does U.S.-China trade war exacerbate energy poverty? Evidence from Chinese households</w:t>
      </w:r>
    </w:p>
    <w:p>
      <w:pPr>
        <w:spacing w:before="0" w:after="120"/>
      </w:pPr>
      <w:r>
        <w:rPr>
          <w:b/>
        </w:rPr>
        <w:t xml:space="preserve">Source: </w:t>
      </w:r>
      <w:r>
        <w:t>ScienceDirect Publication: Energy Policy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 </w:t>
      </w:r>
      <w:hyperlink r:id="rId391">
        <w:r>
          <w:rPr>
            <w:color w:val="1155CC"/>
            <w:u w:val="single"/>
          </w:rPr>
          <w:t>货币社会互惠对中国农村家庭能源贫困减少的积极作用</w:t>
        </w:r>
      </w:hyperlink>
    </w:p>
    <w:p>
      <w:pPr>
        <w:spacing w:before="0" w:after="80"/>
      </w:pPr>
      <w:r>
        <w:rPr>
          <w:i/>
          <w:sz w:val="20"/>
        </w:rPr>
        <w:t>EN: The positive effect of monetary social reciprocity on energy poverty reduction in rural Chinese households</w:t>
      </w:r>
    </w:p>
    <w:p>
      <w:pPr>
        <w:spacing w:before="0" w:after="120"/>
      </w:pPr>
      <w:r>
        <w:rPr>
          <w:b/>
        </w:rPr>
        <w:t xml:space="preserve">Source: </w:t>
      </w:r>
      <w:r>
        <w:t>ScienceDirect Publication: Energy Policy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392">
        <w:r>
          <w:rPr>
            <w:color w:val="1155CC"/>
            <w:u w:val="single"/>
          </w:rPr>
          <w:t>绿色幻想，持久贫困：地缘政治分裂如何助长绿色清洗并破坏南半球公正的能源转型</w:t>
        </w:r>
      </w:hyperlink>
    </w:p>
    <w:p>
      <w:pPr>
        <w:spacing w:before="0" w:after="80"/>
      </w:pPr>
      <w:r>
        <w:rPr>
          <w:i/>
          <w:sz w:val="20"/>
        </w:rPr>
        <w:t>EN: Green illusions, enduring poverty: How geopolitical fragmentation fuels greenwashing and derails the just energy transition in the global South</w:t>
      </w:r>
    </w:p>
    <w:p>
      <w:pPr>
        <w:spacing w:before="0" w:after="120"/>
      </w:pPr>
      <w:r>
        <w:rPr>
          <w:b/>
        </w:rPr>
        <w:t xml:space="preserve">Source: </w:t>
      </w:r>
      <w:r>
        <w:t>ScienceDirect Publication: Energy Policy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393">
        <w:r>
          <w:rPr>
            <w:color w:val="1155CC"/>
            <w:u w:val="single"/>
          </w:rPr>
          <w:t>将通信可靠性集成到多社区分层能源存储共享中，以提高运营效率和可行性</w:t>
        </w:r>
      </w:hyperlink>
    </w:p>
    <w:p>
      <w:pPr>
        <w:spacing w:before="0" w:after="80"/>
      </w:pPr>
      <w:r>
        <w:rPr>
          <w:i/>
          <w:sz w:val="20"/>
        </w:rPr>
        <w:t>EN: Integrating communication reliability into multi-community hierarchical energy storage sharing for enhanced operational efficiency and viability</w:t>
      </w:r>
    </w:p>
    <w:p>
      <w:pPr>
        <w:spacing w:before="0" w:after="120"/>
      </w:pPr>
      <w:r>
        <w:rPr>
          <w:b/>
        </w:rPr>
        <w:t xml:space="preserve">Source: </w:t>
      </w:r>
      <w:r>
        <w:t>ScienceDirect Publication: Applied Energy</w:t>
      </w:r>
      <w:r>
        <w:t xml:space="preserve">    </w:t>
      </w:r>
      <w:r>
        <w:rPr>
          <w:b/>
        </w:rPr>
        <w:t xml:space="preserve">Pub date: </w:t>
      </w:r>
      <w:r>
        <w:t>2026-05-24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394">
        <w:r>
          <w:rPr>
            <w:color w:val="1155CC"/>
            <w:u w:val="single"/>
          </w:rPr>
          <w:t>[尽快] 润湿作为水的新兴特性：在分子基础上重新表述杨氏方程</w:t>
        </w:r>
      </w:hyperlink>
    </w:p>
    <w:p>
      <w:pPr>
        <w:spacing w:before="0" w:after="80"/>
      </w:pPr>
      <w:r>
        <w:rPr>
          <w:i/>
          <w:sz w:val="20"/>
        </w:rPr>
        <w:t>EN: [ASAP] Wetting as an Emergent Property of Water: Reformulating Young’s Equation on Molecular Grounds</w:t>
      </w:r>
    </w:p>
    <w:p>
      <w:pPr>
        <w:spacing w:before="0" w:after="120"/>
      </w:pPr>
      <w:r>
        <w:rPr>
          <w:b/>
        </w:rPr>
        <w:t xml:space="preserve">Source: </w:t>
      </w:r>
      <w:r>
        <w:t>Journal of the American Chemical Society: Latest Articles (ACS Publications)</w:t>
      </w:r>
      <w:r>
        <w:t xml:space="preserve">    </w:t>
      </w:r>
      <w:r>
        <w:rPr>
          <w:b/>
        </w:rPr>
        <w:t xml:space="preserve">Pub date: </w:t>
      </w:r>
      <w:r>
        <w:t>2026-05-24 12:58:09+00:00</w:t>
      </w:r>
      <w:r>
        <w:t xml:space="preserve">    </w:t>
      </w:r>
      <w:r>
        <w:rPr>
          <w:b/>
        </w:rPr>
        <w:t xml:space="preserve">DOI: </w:t>
      </w:r>
      <w:hyperlink r:id="rId395">
        <w:r>
          <w:rPr>
            <w:color w:val="1155CC"/>
            <w:u w:val="single"/>
          </w:rPr>
          <w:t>10.1021/jacs.6c01106</w:t>
        </w:r>
      </w:hyperlink>
    </w:p>
    <w:p>
      <w:pPr>
        <w:spacing w:before="0" w:after="120"/>
      </w:pPr>
      <w:r>
        <w:rPr>
          <w:b/>
        </w:rPr>
        <w:t xml:space="preserve">Notes: </w:t>
      </w:r>
      <w:r>
        <w:t>abstract_source=openalex</w:t>
      </w:r>
    </w:p>
    <w:p>
      <w:pPr>
        <w:spacing w:before="0" w:after="80" w:lineRule="auto" w:line="276"/>
      </w:pPr>
      <w:r>
        <w:rPr>
          <w:b/>
        </w:rPr>
        <w:t xml:space="preserve">摘要（ZH）: </w:t>
      </w:r>
      <w:r>
        <w:t>杨氏方程非常成功地对润湿进行了宏观描述，但其分子起源（尤其是水）在两个多世纪以来一直难以捉摸。在这里，我们通过建立连接界面自由能、密度涨落和氢键能量学的热力学桥梁来明确这一分子基础。这产生了分子润湿系数 ωm，它量化了界面如何补偿相对于大量水的氢键缺陷的固有能量成本。具体来说，ωm 测量表面的水稳定能力（界面上水合水所经历的相互作用能），并将这种相互作用与水的固有能量尺度（缺陷相互作用阈值，DIT）进行比较，从而定义润湿是否有利。在广泛且连续的亲水性谱中，跨越化学上不同的实验和模型表面，我们表明，当通过 ωm 表示时，宏观接触角会塌陷到一条通用主曲线上，反映了共同的潜在自由能平衡。我们进一步表明，这种塌缩反映了一个统一的热力学框架，将界面自由能、密度涨落和跨尺度的分子能量学联系起来。因此，润湿是由表面化学和水之间的相互作用产生的：虽然表面决定了界面分子所经历的相互作用能，但液体通过施加从内在能量产生的阈值来设定区分润湿和非润湿行为的标准。</w:t>
      </w:r>
    </w:p>
    <w:p>
      <w:pPr>
        <w:spacing w:before="0" w:after="200" w:lineRule="auto" w:line="276"/>
      </w:pPr>
      <w:r>
        <w:rPr>
          <w:b/>
        </w:rPr>
        <w:t xml:space="preserve">Abstract (EN): </w:t>
      </w:r>
      <w:r>
        <w:t>Young’s equation provides a remarkably successful macroscopic description of wetting, yet its molecular origin─particularly for water─has remained elusive for over two centuries. Here, we make this molecular basis explicit by establishing a thermodynamic bridge that connects interfacial free energies, density fluctuations, and hydrogen-bond energetics. This leads to a molecular wetting coefficient, ωm, that quantifies how an interface compensates the intrinsic energetic cost of hydrogen-bond defects relative to bulk water. Specifically, ωm measures the water-stabilization ability of the surface─the interaction energy experienced by hydration water at the interface─and compares this interaction with water’s intrinsic energetic scale (the defect interaction threshold, DIT), thus defining when wetting is favorable or not. Across a broad and continuous spectrum of hydrophilicities, spanning chemically diverse experimental and model surfaces, we show that macroscopic contact angles collapse onto a single universal master curve when expressed through ωm, reflecting a common underlying free-energy balance. We further show that this collapse reflects a unified thermodynamic framework connecting interfacial free energies, density fluctuations, and molecular energetics across scales. Thus, wetting arises from the interplay between surface chemistry and water: while the surface determines the interaction energy experienced by interfacial molecules, the liquid sets the criterion separating wetting from nonwetting behavior by imposing a threshold that emerges from the intrinsic energetic scales of its hydrogen-bond network. Furthermore, this molecular reformulation closes Young’s and Young–Dupré relations on energetic grounds, establishing a unified and predictive physical link between wetting, adhesion, cavitation, and nanoconfined filling. By anchoring interfacial behavior to water’s intrinsic hydrogen-bond energetic scales, this work provides a transferable molecular framework that recalibrates energetic intuition and guides the rational design of aqueous interfaces.</w:t>
      </w:r>
    </w:p>
    <w:p>
      <w:pPr>
        <w:spacing w:before="120" w:after="120"/>
      </w:pPr>
      <w:r>
        <w:rPr>
          <w:sz w:val="18"/>
        </w:rPr>
        <w:t>——————————————————————————————————————————————————————————————————————</w:t>
      </w:r>
    </w:p>
    <w:p>
      <w:pPr>
        <w:spacing w:before="160" w:after="40" w:line="240" w:lineRule="auto"/>
      </w:pPr>
      <w:r>
        <w:rPr>
          <w:b/>
        </w:rPr>
        <w:t xml:space="preserve">[55] </w:t>
      </w:r>
      <w:hyperlink r:id="rId396">
        <w:r>
          <w:rPr>
            <w:color w:val="1155CC"/>
            <w:u w:val="single"/>
          </w:rPr>
          <w:t>[ASAP] 酮的动态动力学不对称烯丙基化：E-或Z-取代的α,β-立体叔醇的立体发散合成</w:t>
        </w:r>
      </w:hyperlink>
    </w:p>
    <w:p>
      <w:pPr>
        <w:spacing w:before="0" w:after="80"/>
      </w:pPr>
      <w:r>
        <w:rPr>
          <w:i/>
          <w:sz w:val="20"/>
        </w:rPr>
        <w:t>EN: [ASAP] Dynamic Kinetic Asymmetric Allylation of Ketones: Stereodivergent Synthesis of E- or Z-Substituted α,β-Stereogenic Tertiary Alcohols</w:t>
      </w:r>
    </w:p>
    <w:p>
      <w:pPr>
        <w:spacing w:before="0" w:after="120"/>
      </w:pPr>
      <w:r>
        <w:rPr>
          <w:b/>
        </w:rPr>
        <w:t xml:space="preserve">Source: </w:t>
      </w:r>
      <w:r>
        <w:t>Journal of the American Chemical Society: Latest Articles (ACS Publications)</w:t>
      </w:r>
      <w:r>
        <w:t xml:space="preserve">    </w:t>
      </w:r>
      <w:r>
        <w:rPr>
          <w:b/>
        </w:rPr>
        <w:t xml:space="preserve">Pub date: </w:t>
      </w:r>
      <w:r>
        <w:t>2026-05-24 18:12:34+00:00</w:t>
      </w:r>
      <w:r>
        <w:t xml:space="preserve">    </w:t>
      </w:r>
      <w:r>
        <w:rPr>
          <w:b/>
        </w:rPr>
        <w:t xml:space="preserve">DOI: </w:t>
      </w:r>
      <w:hyperlink r:id="rId397">
        <w:r>
          <w:rPr>
            <w:color w:val="1155CC"/>
            <w:u w:val="single"/>
          </w:rPr>
          <w:t>10.1021/jacs.6c05918</w:t>
        </w:r>
      </w:hyperlink>
    </w:p>
    <w:p>
      <w:pPr>
        <w:spacing w:before="0" w:after="120"/>
      </w:pPr>
      <w:r>
        <w:rPr>
          <w:b/>
        </w:rPr>
        <w:t xml:space="preserve">Notes: </w:t>
      </w:r>
      <w:r>
        <w:t>abstract_source=pubmed</w:t>
      </w:r>
    </w:p>
    <w:p>
      <w:pPr>
        <w:spacing w:before="0" w:after="80" w:lineRule="auto" w:line="276"/>
      </w:pPr>
      <w:r>
        <w:rPr>
          <w:b/>
        </w:rPr>
        <w:t xml:space="preserve">摘要（ZH）: </w:t>
      </w:r>
      <w:r>
        <w:t>尽管对映体富集的叔醇在生物活性分子和药物中广泛存在，但制备光学纯的α,β-立体叔醇的有效方法仍然很少。在这里，我们报道了容易获得的外消旋酮与 2-氮杂-1,4-二烯的动态动力学不对称烯丙基化。值得注意的是，通过明智地选择铜催化剂的手性配体，可以高效且立体控制地获得 E 型和 Z 型异构体。密度泛函理论 (DFT) 计算表明，配体控制的面选择性攻击通过不同的烯丙基铜中间体决定了立体发散的 E/Z 选择性。该反应实现了优异的非对映和对映选择性，适应广泛的杂环底物，并表现出广泛的官能团耐受性。我们通过修改 Profen 型药物和快速合成复杂的药物分子来证明该方案的实用性。这项研究为多种手性叔醇提供了一种通用且有效的途径，为药物组装提供了强大的工具。</w:t>
      </w:r>
    </w:p>
    <w:p>
      <w:pPr>
        <w:spacing w:before="0" w:after="200" w:lineRule="auto" w:line="276"/>
      </w:pPr>
      <w:r>
        <w:rPr>
          <w:b/>
        </w:rPr>
        <w:t xml:space="preserve">Abstract (EN): </w:t>
      </w:r>
      <w:r>
        <w:t>Despite the widespread occurrence of enantiomerically enriched tertiary alcohols in bioactive molecules and pharmaceuticals, efficient methods for preparing optically pure α,β-stereogenic tertiary alcohols remain scarce. Here, we report a dynamic kinetic asymmetric allylation of readily available racemic ketones with 2-aza-1,4-dienes. Notably, through the judicious selection of chiral ligands for copper catalysts, both E- and Z-isomers can be accessed with high efficiency and stereocontrol. Density functional theory (DFT) calculations reveal that ligand-controlled face-selective attacks via distinct allylcopper intermediates dictate the stereodivergent E/Z selectivity. This reaction achieves excellent diastereo- and enantioselectivity, accommodates a broad range of heterocyclic substrates, and exhibits extensive functional group tolerance. We demonstrate the utility of this protocol by modifying Profen-type drugs and rapidly synthesizing complex drug molecules. This study provides a versatile and efficient route to diverse chiral tertiary alcohols, offering a powerful tool for pharmaceutical assembly.</w:t>
      </w:r>
    </w:p>
    <w:p>
      <w:pPr>
        <w:spacing w:before="120" w:after="120"/>
      </w:pPr>
      <w:r>
        <w:rPr>
          <w:sz w:val="18"/>
        </w:rPr>
        <w:t>——————————————————————————————————————————————————————————————————————</w:t>
      </w:r>
    </w:p>
    <w:p>
      <w:pPr>
        <w:spacing w:before="160" w:after="40" w:line="240" w:lineRule="auto"/>
      </w:pPr>
      <w:r>
        <w:rPr>
          <w:b/>
        </w:rPr>
        <w:t xml:space="preserve">[56] </w:t>
      </w:r>
      <w:hyperlink r:id="rId398">
        <w:r>
          <w:rPr>
            <w:color w:val="1155CC"/>
            <w:u w:val="single"/>
          </w:rPr>
          <w:t>[ASAP] 银封装金纳米团簇中发光和催化稳定性的单原子协同作用</w:t>
        </w:r>
      </w:hyperlink>
    </w:p>
    <w:p>
      <w:pPr>
        <w:spacing w:before="0" w:after="80"/>
      </w:pPr>
      <w:r>
        <w:rPr>
          <w:i/>
          <w:sz w:val="20"/>
        </w:rPr>
        <w:t>EN: [ASAP] Single-Atom Synergy of Luminescence and Catalytic Stability in Silver-Encapsulated Gold Nanoclusters</w:t>
      </w:r>
    </w:p>
    <w:p>
      <w:pPr>
        <w:spacing w:before="0" w:after="120"/>
      </w:pPr>
      <w:r>
        <w:rPr>
          <w:b/>
        </w:rPr>
        <w:t xml:space="preserve">Source: </w:t>
      </w:r>
      <w:r>
        <w:t>Journal of the American Chemical Society: Latest Articles (ACS Publications)</w:t>
      </w:r>
      <w:r>
        <w:t xml:space="preserve">    </w:t>
      </w:r>
      <w:r>
        <w:rPr>
          <w:b/>
        </w:rPr>
        <w:t xml:space="preserve">Pub date: </w:t>
      </w:r>
      <w:r>
        <w:t>2026-05-24 18:49:48+00:00</w:t>
      </w:r>
      <w:r>
        <w:t xml:space="preserve">    </w:t>
      </w:r>
      <w:r>
        <w:rPr>
          <w:b/>
        </w:rPr>
        <w:t xml:space="preserve">DOI: </w:t>
      </w:r>
      <w:hyperlink r:id="rId399">
        <w:r>
          <w:rPr>
            <w:color w:val="1155CC"/>
            <w:u w:val="single"/>
          </w:rPr>
          <w:t>10.1021/jacs.6c03767</w:t>
        </w:r>
      </w:hyperlink>
    </w:p>
    <w:p>
      <w:pPr>
        <w:spacing w:before="0" w:after="120"/>
      </w:pPr>
      <w:r>
        <w:rPr>
          <w:b/>
        </w:rPr>
        <w:t xml:space="preserve">Notes: </w:t>
      </w:r>
      <w:r>
        <w:t>abstract_source=pubmed</w:t>
      </w:r>
    </w:p>
    <w:p>
      <w:pPr>
        <w:spacing w:before="0" w:after="80" w:lineRule="auto" w:line="276"/>
      </w:pPr>
      <w:r>
        <w:rPr>
          <w:b/>
        </w:rPr>
        <w:t xml:space="preserve">摘要（ZH）: </w:t>
      </w:r>
      <w:r>
        <w:t>金（I）催化中的经典“银效应”长期以来仅限于其作为卤化物吸收剂或催化中间体的瞬态稳定剂的作用。在这里，我们从根本上重新定义了这个概念，证明从 Ph3PAuCl 的卤化物提取中痕量残留的 Ag(I) 离子充当动态模板，驱动有机金 (I) 前体分层组装成高核双金属纳米团簇 [Au11Ag1]。或者，独立合成的中空[Au11]纳米笼可以选择性地、强烈地封装单个银(I)离子(Ka ∼ 105 M-1)以复制[Au11Ag1]，展示了仅由亲金属相互作用驱动的异金属识别的罕见例子。这种单原子封装通过参与三重激发态，显着提高了 [Au11Ag1] 的磷光量子产率，超过 [Au11] 的 13 倍（高达 40.8%）。此外，这种单原子协同作用还通过 9 倍 Au(I)-Ag(I) 相互作用提供了关键的结构增强，以防止 [Au11Ag1] 在催化条件下的结构崩溃，这与不稳定的空心 [Au11] 类似物形成鲜明对比。因此，掺入银（I）的簇能够实现硫化物的有效光催化有氧氧化。</w:t>
      </w:r>
    </w:p>
    <w:p>
      <w:pPr>
        <w:spacing w:before="0" w:after="200" w:lineRule="auto" w:line="276"/>
      </w:pPr>
      <w:r>
        <w:rPr>
          <w:b/>
        </w:rPr>
        <w:t xml:space="preserve">Abstract (EN): </w:t>
      </w:r>
      <w:r>
        <w:t>The classic "silver effect" in gold(I) catalysis has long been confined to its role as a halide abstractor or transient stabilizer of catalytic intermediates. Here, we fundamentally redefine this concept by demonstrating that trace residual Ag(I) ions from halide abstraction of Ph3PAuCl act as a dynamic template to drive the hierarchical assembly of organogold(I) precursors into a high-nuclearity bimetallic nanocluster [Au11Ag1]. Alternatively, an independently synthesized hollow [Au11] nanocage can selectively and strongly encapsulate a single silver(I) ion (Ka ∼ 105 M-1) to reproduce [Au11Ag1], showcasing a rare example of heterometal recognition driven solely by metallophilic interactions. This single-atom encapsulation dramatically enhances the phosphorescence quantum yield of [Au11Ag1] over 13-fold (up to 40.8%) of [Au11] by participating in the triplet excited state. In addition, such single-atom synergy further provides critical structural reinforcement via 9-fold Au(I)-Ag(I) interactions to prevent the structural collapse of [Au11Ag1] under catalytic conditions, in sharp contrast to the instable hollow [Au11] analogue. Consequently, the silver(I)-incorporated cluster enables efficient photocatalytic aerobic oxidation of sulfides.</w:t>
      </w:r>
    </w:p>
    <w:p>
      <w:pPr>
        <w:spacing w:before="120" w:after="120"/>
      </w:pPr>
      <w:r>
        <w:rPr>
          <w:sz w:val="18"/>
        </w:rPr>
        <w:t>——————————————————————————————————————————————————————————————————————</w:t>
      </w:r>
    </w:p>
    <w:p>
      <w:pPr>
        <w:spacing w:before="160" w:after="40" w:line="240" w:lineRule="auto"/>
      </w:pPr>
      <w:r>
        <w:rPr>
          <w:b/>
        </w:rPr>
        <w:t xml:space="preserve">[57] </w:t>
      </w:r>
      <w:hyperlink r:id="rId400">
        <w:r>
          <w:rPr>
            <w:color w:val="1155CC"/>
            <w:u w:val="single"/>
          </w:rPr>
          <w:t>ANME-1 古菌的多样化与高度可变的基因组热点的存在有关</w:t>
        </w:r>
      </w:hyperlink>
    </w:p>
    <w:p>
      <w:pPr>
        <w:spacing w:before="0" w:after="80"/>
      </w:pPr>
      <w:r>
        <w:rPr>
          <w:i/>
          <w:sz w:val="20"/>
        </w:rPr>
        <w:t>EN: Diversification in ANME-1 archaea is associated with the presence of highly variable genomic hotspots</w:t>
      </w:r>
    </w:p>
    <w:p>
      <w:pPr>
        <w:spacing w:before="0" w:after="120"/>
      </w:pPr>
      <w:r>
        <w:rPr>
          <w:b/>
        </w:rPr>
        <w:t xml:space="preserve">Source: </w:t>
      </w:r>
      <w:r>
        <w:t>Biological sciences : Nature Communications subject feeds</w:t>
      </w:r>
      <w:r>
        <w:t xml:space="preserve">    </w:t>
      </w:r>
      <w:r>
        <w:rPr>
          <w:b/>
        </w:rPr>
        <w:t xml:space="preserve">Pub date: </w:t>
      </w:r>
      <w:r>
        <w:t>2026-05-25 00:00:00+00:00</w:t>
      </w:r>
    </w:p>
    <w:p>
      <w:pPr>
        <w:spacing w:before="0" w:after="120"/>
      </w:pPr>
      <w:r>
        <w:rPr>
          <w:b/>
        </w:rPr>
        <w:t xml:space="preserve">Notes: </w:t>
      </w:r>
      <w:r>
        <w:t>abstract_source=nature_html</w:t>
      </w:r>
    </w:p>
    <w:p>
      <w:pPr>
        <w:spacing w:before="0" w:after="80" w:lineRule="auto" w:line="276"/>
      </w:pPr>
      <w:r>
        <w:rPr>
          <w:b/>
        </w:rPr>
        <w:t xml:space="preserve">摘要（ZH）: </w:t>
      </w:r>
      <w:r>
        <w:t>厌氧甲烷氧化（ANME）古菌主要是通过环境样本的宏基因组分析来记录的。人们对驱动其多样化和物种形成的机制知之甚少。在这里，我们分析了深海冷泉分支 ANME-1 在物种和菌株水平上的系统发育多样性，作为一个具有经过充分研究的系统发育框架的模型系统。我们重建了高质量的环状宏基因组组装基因组（cMAG），并识别了区分它们的高度可变的基因组热点。 ANME-1 的基因组分化和多样化与原核防御系统、运输机制和甲烷代谢相关的基因有关。此外，ANME-1 hicAB 操纵子的异源表达支持其作为毒素/抗毒素系统的作用，可能参与介导对环境应激的反应。</w:t>
      </w:r>
    </w:p>
    <w:p>
      <w:pPr>
        <w:spacing w:before="0" w:after="200" w:lineRule="auto" w:line="276"/>
      </w:pPr>
      <w:r>
        <w:rPr>
          <w:b/>
        </w:rPr>
        <w:t xml:space="preserve">Abstract (EN): </w:t>
      </w:r>
      <w:r>
        <w:t>Anaerobic methanotrophic (ANME) archaea have been primarily documented by metagenomic analysis of environmental samples. The mechanisms that drive their diversification and speciation are poorly understood. Here we analyse the phylogenomic diversity at the species and strain levels of clade ANME-1 from deep-sea cold seeps, as a model system with a well-studied phylogenetic framework. We reconstruct high-quality circular metagenomic-assembled genomes (cMAGs) and identify highly variable genomic hotspots that distinguish them. Genomic differentiation and diversification in ANME-1 is associated with genes involved in prokaryotic defense systems, transport mechanisms and methane metabolism. In addition, heterologous expression of ANME-1 hicAB operons supports their proposed role as toxin/antitoxin systems, possibly involved in mediating responses to environmental stresses.</w:t>
      </w:r>
    </w:p>
    <w:p>
      <w:pPr>
        <w:spacing w:before="120" w:after="120"/>
      </w:pPr>
      <w:r>
        <w:rPr>
          <w:sz w:val="18"/>
        </w:rPr>
        <w:t>——————————————————————————————————————————————————————————————————————</w:t>
      </w:r>
    </w:p>
    <w:p>
      <w:pPr>
        <w:spacing w:before="160" w:after="40" w:line="240" w:lineRule="auto"/>
      </w:pPr>
      <w:r>
        <w:rPr>
          <w:b/>
        </w:rPr>
        <w:t xml:space="preserve">[58] </w:t>
      </w:r>
      <w:hyperlink r:id="rId401">
        <w:r>
          <w:rPr>
            <w:color w:val="1155CC"/>
            <w:u w:val="single"/>
          </w:rPr>
          <w:t>作者更正：欧洲葡萄酒产区的气候适应能力</w:t>
        </w:r>
      </w:hyperlink>
    </w:p>
    <w:p>
      <w:pPr>
        <w:spacing w:before="0" w:after="80"/>
      </w:pPr>
      <w:r>
        <w:rPr>
          <w:i/>
          <w:sz w:val="20"/>
        </w:rPr>
        <w:t>EN: Author Correction: Climate resilience of European wine regions</w:t>
      </w:r>
    </w:p>
    <w:p>
      <w:pPr>
        <w:spacing w:before="0" w:after="120"/>
      </w:pPr>
      <w:r>
        <w:rPr>
          <w:b/>
        </w:rPr>
        <w:t xml:space="preserve">Source: </w:t>
      </w:r>
      <w:r>
        <w:t>Biological sciences : Nature Communications subject feeds</w:t>
      </w:r>
      <w:r>
        <w:t xml:space="preserve">    </w:t>
      </w:r>
      <w:r>
        <w:rPr>
          <w:b/>
        </w:rPr>
        <w:t xml:space="preserve">Pub date: </w:t>
      </w:r>
      <w:r>
        <w:t>2026-05-25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402">
        <w:r>
          <w:rPr>
            <w:color w:val="1155CC"/>
            <w:u w:val="single"/>
          </w:rPr>
          <w:t>石榴石在塑造 660 公里地震不连续性方面的作用</w:t>
        </w:r>
      </w:hyperlink>
    </w:p>
    <w:p>
      <w:pPr>
        <w:spacing w:before="0" w:after="80"/>
      </w:pPr>
      <w:r>
        <w:rPr>
          <w:i/>
          <w:sz w:val="20"/>
        </w:rPr>
        <w:t>EN: Role of garnet shaping the 660-km seismic discontinuity</w:t>
      </w:r>
    </w:p>
    <w:p>
      <w:pPr>
        <w:spacing w:before="0" w:after="120"/>
      </w:pPr>
      <w:r>
        <w:rPr>
          <w:b/>
        </w:rPr>
        <w:t xml:space="preserve">Source: </w:t>
      </w:r>
      <w:r>
        <w:t>Earth and environmental sciences : Nature Communications subject feeds</w:t>
      </w:r>
      <w:r>
        <w:t xml:space="preserve">    </w:t>
      </w:r>
      <w:r>
        <w:rPr>
          <w:b/>
        </w:rPr>
        <w:t xml:space="preserve">Pub date: </w:t>
      </w:r>
      <w:r>
        <w:t>2026-05-25 00:00:00+00:00</w:t>
      </w:r>
    </w:p>
    <w:p>
      <w:pPr>
        <w:spacing w:before="0" w:after="120"/>
      </w:pPr>
      <w:r>
        <w:rPr>
          <w:b/>
        </w:rPr>
        <w:t xml:space="preserve">Notes: </w:t>
      </w:r>
      <w:r>
        <w:t>abstract_source=nature_html</w:t>
      </w:r>
    </w:p>
    <w:p>
      <w:pPr>
        <w:spacing w:before="0" w:after="80" w:lineRule="auto" w:line="276"/>
      </w:pPr>
      <w:r>
        <w:rPr>
          <w:b/>
        </w:rPr>
        <w:t xml:space="preserve">摘要（ZH）: </w:t>
      </w:r>
      <w:r>
        <w:t>660公里的不连续性通常归因于尖晶石后尖晶石向桥锰矿和铁方镁石的转变，但它并不能完全解释观察到的结构复杂性。在这里，我们通过高压和高温实验研究了镁铁榴石（第二丰富的地幔矿物）对后尖晶石转变的影响。我们发现，含石榴石体系中的后尖晶石转变压力与不含石榴石体系中的不同，但与多数石榴石到桥锰石的后石榴石转变保持一致。这表明多组分地幔中的后尖晶石转变是由后石榴石转变引起的连锁反应而发生的。此外，石榴石转变的发生一致地解释了在冷和热地幔流附近观察到的 660 公里不连续性的粗糙结构和动力学。这些结果表明，平均地幔不是由异质岩性的机械混合物组成，而是由具有类叶蜡石块体成分的均质岩性组成。</w:t>
      </w:r>
    </w:p>
    <w:p>
      <w:pPr>
        <w:spacing w:before="0" w:after="200" w:lineRule="auto" w:line="276"/>
      </w:pPr>
      <w:r>
        <w:rPr>
          <w:b/>
        </w:rPr>
        <w:t xml:space="preserve">Abstract (EN): </w:t>
      </w:r>
      <w:r>
        <w:t>The 660-km discontinuity is commonly attributed to the post-spinel transition of ringwoodite to bridgmanite and ferropericlase, yet it does not fully explain observed structural complexity. Here, we examine the influence of majorite garnet, the second most abundant mantle mineral, on the post-spinel transition using high-pressure and high-temperature experiments. We find that the post-spinel transition pressure in garnet-bearing systems differs from that in garnet-free systems but remains consistent with the post-garnet transition of majorite garnet to bridgmanite. This suggests that the post-spinel transition in a multi-component mantle occurs as a linked reaction induced by the post-garnet transition. Moreover, the occurrence of garnet transformations consistently explains the roughness structures and dynamics of the 660-km discontinuity observed near cold and hot mantle flows. These results indicate that the average mantle comprises not a mechanical mixture of heterogeneous lithologies but rather a homogeneous lithology with a pyrolite-like bulk composition.</w:t>
      </w:r>
    </w:p>
    <w:p>
      <w:pPr>
        <w:spacing w:before="120" w:after="120"/>
      </w:pPr>
      <w:r>
        <w:rPr>
          <w:sz w:val="18"/>
        </w:rPr>
        <w:t>——————————————————————————————————————————————————————————————————————</w:t>
      </w:r>
    </w:p>
    <w:p>
      <w:pPr>
        <w:spacing w:before="160" w:after="40" w:line="240" w:lineRule="auto"/>
      </w:pPr>
      <w:r>
        <w:rPr>
          <w:b/>
        </w:rPr>
        <w:t xml:space="preserve">[60] </w:t>
      </w:r>
      <w:hyperlink r:id="rId403">
        <w:r>
          <w:rPr>
            <w:color w:val="1155CC"/>
            <w:u w:val="single"/>
          </w:rPr>
          <w:t>MiTo：通过线粒体单细胞多组学追踪体细胞谱系的表型进化</w:t>
        </w:r>
      </w:hyperlink>
    </w:p>
    <w:p>
      <w:pPr>
        <w:spacing w:before="0" w:after="80"/>
      </w:pPr>
      <w:r>
        <w:rPr>
          <w:i/>
          <w:sz w:val="20"/>
        </w:rPr>
        <w:t>EN: MiTo: tracing the phenotypic evolution of somatic cell lineages via mitochondrial single-cell multi-omics</w:t>
      </w:r>
    </w:p>
    <w:p>
      <w:pPr>
        <w:spacing w:before="0" w:after="120"/>
      </w:pPr>
      <w:r>
        <w:rPr>
          <w:b/>
        </w:rPr>
        <w:t xml:space="preserve">Source: </w:t>
      </w:r>
      <w:r>
        <w:t>Biological sciences : Nature Communications subject feeds</w:t>
      </w:r>
      <w:r>
        <w:t xml:space="preserve">    </w:t>
      </w:r>
      <w:r>
        <w:rPr>
          <w:b/>
        </w:rPr>
        <w:t xml:space="preserve">Pub date: </w:t>
      </w:r>
      <w:r>
        <w:t>2026-05-25 00:00:00+00:00</w:t>
      </w:r>
    </w:p>
    <w:p>
      <w:pPr>
        <w:spacing w:before="0" w:after="120"/>
      </w:pPr>
      <w:r>
        <w:rPr>
          <w:b/>
        </w:rPr>
        <w:t xml:space="preserve">Notes: </w:t>
      </w:r>
      <w:r>
        <w:t>abstract_source=nature_html</w:t>
      </w:r>
    </w:p>
    <w:p>
      <w:pPr>
        <w:spacing w:before="0" w:after="80" w:lineRule="auto" w:line="276"/>
      </w:pPr>
      <w:r>
        <w:rPr>
          <w:b/>
        </w:rPr>
        <w:t xml:space="preserve">摘要（ZH）: </w:t>
      </w:r>
      <w:r>
        <w:t>线粒体单细胞谱系追踪最近已成为追踪体细胞谱系的可扩展且非侵入性的工具。然而，这项技术的可靠性和分辨率仍然存在很大争议。在这里，我们介绍 MiTo，一种用于稳健线粒体单细胞谱系追踪数据分析的新型端到端框架。以现实世界的数据集为基准，MiTo 在数据预处理和克隆推理方面优于最先进的方法和基线。 MiTo 应用于乳腺癌进化的时间分辨数据集（&gt;2,500 个细胞），可以准确推断真实细胞谱系 (ARI = 0.94) 和细胞状态转换，检测克隆适应度标记，并量化基因调控网络的遗传力。通过比较替代谱系标记，MiTo 量化了现有线粒体单细胞谱系追踪系统的分辨率极限，该系统目前可以可靠地推断粗粒度的细胞祖先，但不能进行高分辨率的系统发育推断。总之，这项工作为用单细胞多组学剖析体细胞进化提供了强大的工具和实用指南。</w:t>
      </w:r>
    </w:p>
    <w:p>
      <w:pPr>
        <w:spacing w:before="0" w:after="200" w:lineRule="auto" w:line="276"/>
      </w:pPr>
      <w:r>
        <w:rPr>
          <w:b/>
        </w:rPr>
        <w:t xml:space="preserve">Abstract (EN): </w:t>
      </w:r>
      <w:r>
        <w:t>Mitochondrial single-cell lineage tracing has recently emerged as a scalable and non-invasive tool to trace somatic cell lineages. However, the reliability and resolution of this technology remains highly debated. Here, we present MiTo, a novel end-to-end framework for robust mitochondrial single-cell lineage tracing data analysis. Benchmarked against real-world datasets, MiTo outperforms state-of-the-art methods and baselines in data pre-processing and clonal inference. Applied to a time-resolved dataset of breast cancer evolution (&gt;2,500 cells), MiTo accurately infers ground-truth cell lineages (ARI = 0.94) and cell state transitions, detects clonal fitness markers, and quantifies heritability of gene regulatory networks. Comparing alternative lineage markers, MiTo quantifies the resolution limit of existing mitochondrial single-cell lineage tracing systems, which currently enable reliable inference of coarse-grained cellular ancestries, but not high-resolution phylogenetic inference. In conclusion, this work provides robust tools and practical guidelines to dissect somatic evolution with single-cell multi-omics.</w:t>
      </w:r>
    </w:p>
    <w:p>
      <w:pPr>
        <w:spacing w:before="120" w:after="120"/>
      </w:pPr>
      <w:r>
        <w:rPr>
          <w:sz w:val="18"/>
        </w:rPr>
        <w:t>——————————————————————————————————————————————————————————————————————</w:t>
      </w:r>
    </w:p>
    <w:p>
      <w:pPr>
        <w:spacing w:before="160" w:after="40" w:line="240" w:lineRule="auto"/>
      </w:pPr>
      <w:r>
        <w:rPr>
          <w:b/>
        </w:rPr>
        <w:t xml:space="preserve">[61] </w:t>
      </w:r>
      <w:hyperlink r:id="rId404">
        <w:r>
          <w:rPr>
            <w:color w:val="1155CC"/>
            <w:u w:val="single"/>
          </w:rPr>
          <w:t>可解释的机器学习引导的综合多组学分析揭示了乳腺癌中巨噬细胞驱动的免疫抑制</w:t>
        </w:r>
      </w:hyperlink>
    </w:p>
    <w:p>
      <w:pPr>
        <w:spacing w:before="0" w:after="80"/>
      </w:pPr>
      <w:r>
        <w:rPr>
          <w:i/>
          <w:sz w:val="20"/>
        </w:rPr>
        <w:t>EN: Explainable machine learning-guided integrated multiomics analysis reveals macrophage-driven immune suppression in breast cancer</w:t>
      </w:r>
    </w:p>
    <w:p>
      <w:pPr>
        <w:spacing w:before="0" w:after="120"/>
      </w:pPr>
      <w:r>
        <w:rPr>
          <w:b/>
        </w:rPr>
        <w:t xml:space="preserve">Source: </w:t>
      </w:r>
      <w:r>
        <w:t>Biological sciences : Nature Communications subject feeds</w:t>
      </w:r>
      <w:r>
        <w:t xml:space="preserve">    </w:t>
      </w:r>
      <w:r>
        <w:rPr>
          <w:b/>
        </w:rPr>
        <w:t xml:space="preserve">Pub date: </w:t>
      </w:r>
      <w:r>
        <w:t>2026-05-25 00:00:00+00:00</w:t>
      </w:r>
    </w:p>
    <w:p>
      <w:pPr>
        <w:spacing w:before="0" w:after="120"/>
      </w:pPr>
      <w:r>
        <w:rPr>
          <w:b/>
        </w:rPr>
        <w:t xml:space="preserve">Notes: </w:t>
      </w:r>
      <w:r>
        <w:t>abstract_source=nature_html</w:t>
      </w:r>
    </w:p>
    <w:p>
      <w:pPr>
        <w:spacing w:before="0" w:after="80" w:lineRule="auto" w:line="276"/>
      </w:pPr>
      <w:r>
        <w:rPr>
          <w:b/>
        </w:rPr>
        <w:t xml:space="preserve">摘要（ZH）: </w:t>
      </w:r>
      <w:r>
        <w:t>尽管对乳腺肿瘤微环境（TME）内的细胞组成进行了彻底的表征，但它们对疾病进展和患者预后的影响仍然知之甚少。揭示这些影响对于确定改善治疗结果的潜在目标至关重要。在这项研究中，我们设计了一个可解释的机器学习 (XML) 管道来仔细检查 TME 细胞成分与无复发生存 (RFS) 之间的关联。通过将此流程应用于 METABRIC 和 TCGA 数据集中的估计细胞分数，并将这些结果与新辅助化疗 (NAC) 后的病理完全缓解 (pCR) 的关联进行比较，我们根据 5000 名患者样本创建了 TME 作用的综合目录。我们的研究结果揭示了一种意想不到的二分法，即巨噬细胞与 pCR 呈正相关，但与 RFS 呈负相关，特别是在雌激素受体阳性 (ER+) 和 Luminal A 和 B (LumA/B) 癌症亚型中。我们发现这种模式是由乳腺肿瘤的异质性驱动的，其特征是巨噬细胞浸润水平增加。通过成像质谱流式细胞术（IMC）数据分析，我们发现随着肿瘤组织中巨噬细胞频率的增加，巨噬细胞倾向于在HLA-ABChi上皮细胞附近聚集，并且它们也表达水平升高的HLA-ABC蛋白。在 IMC 和单细胞 RNA 测序 (scRNA-seq) 数据中，我们发现这些 HLA-ABChi 巨噬细胞与调节性 T 细胞和耗竭 T 细胞（TReg 和 TEx）之间存在显着关联，表明它们参与免疫抑制</w:t>
      </w:r>
    </w:p>
    <w:p>
      <w:pPr>
        <w:spacing w:before="0" w:after="200" w:lineRule="auto" w:line="276"/>
      </w:pPr>
      <w:r>
        <w:rPr>
          <w:b/>
        </w:rPr>
        <w:t xml:space="preserve">Abstract (EN): </w:t>
      </w:r>
      <w:r>
        <w:t>Despite thorough characterizations of cellular compositions within the breast tumor microenvironment (TME), their implications for disease progression and patient prognosis remain poorly understood. Unraveling these effects is vital for identifying potential targets to improve treatment outcomes. In this study, we devise an explainable machine learning (XML) pipeline to scrutinize the associations between TME cellular constituents and relapse-free survival (RFS). By applying this pipeline to estimated cell fractions in the METABRIC and TCGA datasets and comparing these results with associations to pathological complete response (pCR) after neoadjuvant chemotherapy (NAC), we create a comprehensive catalog of the TME’s role based on 5000 patient samples. Our findings reveal an unexpected dichotomy in which macrophages correlate positively with pCR but negatively with RFS, particularly within estrogen receptor-positive (ER+) and Luminal A and B (LumA/B) cancer subtypes. We show that this pattern is driven by heterogeneity in breast tumors characterized by increasing levels of macrophage infiltration. Through imaging mass cytometry (IMC) data analysis, we find that macrophages tend to accumulate in the vicinity of HLA-ABChi epithelial cells as their frequency increases in tumor tissues and that they also express elevated levels of HLA-ABC protein. In both IMC and single-cell RNA sequencing (scRNA-seq) data, we uncover a significant association between these HLA-ABChi macrophages and regulatory and exhausted T cells (TReg and TEx), suggesting their involvement in immune suppression, likely by creating a chronically activated immunosuppressive TME. Subsequent cell-cell communication analysis predicts interactions between HLA-ABChi macrophages and TEx cells via the ligands SIGLEC9, ALCAM, and CSF1, and with TReg cells through APP, ANGPTL4, and SIGLEC9 signaling. Considering the clinical relevance of macrophages in ER+ (LumA/B) subtypes, this work enhances the characterization of macrophage-associated immune suppression in these tumors and identifies potential targets for immunomodulatory strategies.</w:t>
      </w:r>
    </w:p>
    <w:p>
      <w:pPr>
        <w:spacing w:before="120" w:after="120"/>
      </w:pPr>
      <w:r>
        <w:rPr>
          <w:sz w:val="18"/>
        </w:rPr>
        <w:t>——————————————————————————————————————————————————————————————————————</w:t>
      </w:r>
    </w:p>
    <w:p>
      <w:pPr>
        <w:spacing w:before="160" w:after="40" w:line="240" w:lineRule="auto"/>
      </w:pPr>
      <w:r>
        <w:rPr>
          <w:b/>
        </w:rPr>
        <w:t xml:space="preserve">[62] </w:t>
      </w:r>
      <w:hyperlink r:id="rId405">
        <w:r>
          <w:rPr>
            <w:color w:val="1155CC"/>
            <w:u w:val="single"/>
          </w:rPr>
          <w:t>重建 MCUb 中的钙电导阐明了其调节线粒体钙单向转运蛋白的分子设计</w:t>
        </w:r>
      </w:hyperlink>
    </w:p>
    <w:p>
      <w:pPr>
        <w:spacing w:before="0" w:after="80"/>
      </w:pPr>
      <w:r>
        <w:rPr>
          <w:i/>
          <w:sz w:val="20"/>
        </w:rPr>
        <w:t>EN: Reconstructing calcium conductance in MCUb illuminates its molecular design for tuning the mitochondrial calcium uniporter</w:t>
      </w:r>
    </w:p>
    <w:p>
      <w:pPr>
        <w:spacing w:before="0" w:after="120"/>
      </w:pPr>
      <w:r>
        <w:rPr>
          <w:b/>
        </w:rPr>
        <w:t xml:space="preserve">Source: </w:t>
      </w:r>
      <w:r>
        <w:t>Biological sciences : Nature Communications subject feeds</w:t>
      </w:r>
      <w:r>
        <w:t xml:space="preserve">    </w:t>
      </w:r>
      <w:r>
        <w:rPr>
          <w:b/>
        </w:rPr>
        <w:t xml:space="preserve">Pub date: </w:t>
      </w:r>
      <w:r>
        <w:t>2026-05-25 00:00:00+00:00</w:t>
      </w:r>
    </w:p>
    <w:p>
      <w:pPr>
        <w:spacing w:before="0" w:after="120"/>
      </w:pPr>
      <w:r>
        <w:rPr>
          <w:b/>
        </w:rPr>
        <w:t xml:space="preserve">Notes: </w:t>
      </w:r>
      <w:r>
        <w:t>abstract_source=nature_html</w:t>
      </w:r>
    </w:p>
    <w:p>
      <w:pPr>
        <w:spacing w:before="0" w:after="80" w:lineRule="auto" w:line="276"/>
      </w:pPr>
      <w:r>
        <w:rPr>
          <w:b/>
        </w:rPr>
        <w:t xml:space="preserve">摘要（ZH）: </w:t>
      </w:r>
      <w:r>
        <w:t>线粒体 Ca2+ 单向转运蛋白介导线粒体 Ca2+ 摄取，以调节细胞生物能、Ca2+ 信号传导和存活，但过度活动会引发 Ca2+ 过载和组织损伤。细胞通过表达 MCUb（单向转运蛋白的成孔 MCU 亚基的旁系同源物）来对抗这种威胁，以减弱单向转运蛋白的活性。尽管具有保守的 Ca2+ 协调 DIME 基序，但 MCUb 却缺乏电导，这是其单向转运蛋白抑制作用背后的一个决定性但神秘的特征。在这里，我们证明 MCUb 的非导电性源于其无法结合 EMRE（单向转运蛋白功能所必需的亚基），并且其 N 端结构域 (NTD) 发挥自抑制作用。恢复 EMRE 结合并解除 NTD 介导的抑制可重建 MCUb 中的 Ca2+ 电导，达到 MCU 活性的约 80%。野生型 MCUb 表现出孔破坏 E249A 变体的约 30% 的抑制能力，表明 MCUb 是一种温和的负调节因子，而不是有效的负调节因子。这些发现揭示了 MCU-MCUb 旁系同源分歧如何赋予单向转运蛋白调节可塑性，以微调线粒体 Ca2+ 稳态。</w:t>
      </w:r>
    </w:p>
    <w:p>
      <w:pPr>
        <w:spacing w:before="0" w:after="200" w:lineRule="auto" w:line="276"/>
      </w:pPr>
      <w:r>
        <w:rPr>
          <w:b/>
        </w:rPr>
        <w:t xml:space="preserve">Abstract (EN): </w:t>
      </w:r>
      <w:r>
        <w:t>The mitochondrial Ca2+ uniporter mediates mitochondrial Ca2+ uptake to regulate cellular bioenergetics, Ca2+ signaling and survival, but excessive activity triggers Ca2+ overload and tissue injury. Cells counter this threat by expressing MCUb, a paralog of the uniporter’s pore-forming MCU subunit, to attenuate uniporter activity. Despite harboring the conserved Ca2+-coordinating DIME motif, MCUb paradoxically lacks conductance, a defining yet enigmatic feature underlying its uniporter-inhibitory role. Here, we demonstrate that MCUb’s non-conductivity stems from its inability to bind EMRE, a subunit essential for uniporter function, and that its N-terminal domain (NTD) exerts autoinhibition. Reinstating EMRE binding and relieving NTD-mediated inhibition rebuild Ca2+ conductance in MCUb, reaching ~80% of MCU activity. Wild-type MCUb exhibits ~30% of the inhibitory capacity of a pore-disrupting E249A variant, indicating that MCUb is a modest, rather than potent, negative regulator. These findings reveal how MCU-MCUb paralog divergence endows the uniporter with regulatory plasticity to fine-tune mitochondrial Ca2+ homeostasis.</w:t>
      </w:r>
    </w:p>
    <w:p>
      <w:pPr>
        <w:spacing w:before="120" w:after="120"/>
      </w:pPr>
      <w:r>
        <w:rPr>
          <w:sz w:val="18"/>
        </w:rPr>
        <w:t>——————————————————————————————————————————————————————————————————————</w:t>
      </w:r>
    </w:p>
    <w:p>
      <w:pPr>
        <w:spacing w:before="160" w:after="40" w:line="240" w:lineRule="auto"/>
      </w:pPr>
      <w:r>
        <w:rPr>
          <w:b/>
        </w:rPr>
        <w:t xml:space="preserve">[63] </w:t>
      </w:r>
      <w:hyperlink r:id="rId406">
        <w:r>
          <w:rPr>
            <w:color w:val="1155CC"/>
            <w:u w:val="single"/>
          </w:rPr>
          <w:t>作者更正：远程循环进化揭示了几丁质酶在活性位点之外的复杂生物学功能</w:t>
        </w:r>
      </w:hyperlink>
    </w:p>
    <w:p>
      <w:pPr>
        <w:spacing w:before="0" w:after="80"/>
      </w:pPr>
      <w:r>
        <w:rPr>
          <w:i/>
          <w:sz w:val="20"/>
        </w:rPr>
        <w:t>EN: Author Correction: Remote loop evolution reveals a complex biological function for chitinase enzymes beyond the active site</w:t>
      </w:r>
    </w:p>
    <w:p>
      <w:pPr>
        <w:spacing w:before="0" w:after="120"/>
      </w:pPr>
      <w:r>
        <w:rPr>
          <w:b/>
        </w:rPr>
        <w:t xml:space="preserve">Source: </w:t>
      </w:r>
      <w:r>
        <w:t>Biological sciences : Nature Communications subject feeds</w:t>
      </w:r>
      <w:r>
        <w:t xml:space="preserve">    </w:t>
      </w:r>
      <w:r>
        <w:rPr>
          <w:b/>
        </w:rPr>
        <w:t xml:space="preserve">Pub date: </w:t>
      </w:r>
      <w:r>
        <w:t>2026-05-25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407">
        <w:r>
          <w:rPr>
            <w:color w:val="1155CC"/>
            <w:u w:val="single"/>
          </w:rPr>
          <w:t>DNA病毒被限制在生态位中，并与宿主具有相似的环境适应能力</w:t>
        </w:r>
      </w:hyperlink>
    </w:p>
    <w:p>
      <w:pPr>
        <w:spacing w:before="0" w:after="80"/>
      </w:pPr>
      <w:r>
        <w:rPr>
          <w:i/>
          <w:sz w:val="20"/>
        </w:rPr>
        <w:t>EN: DNA viruses are constrained to ecological niches and share similar environmental adaptations with hosts</w:t>
      </w:r>
    </w:p>
    <w:p>
      <w:pPr>
        <w:spacing w:before="0" w:after="120"/>
      </w:pPr>
      <w:r>
        <w:rPr>
          <w:b/>
        </w:rPr>
        <w:t xml:space="preserve">Source: </w:t>
      </w:r>
      <w:r>
        <w:t>Biological sciences : Nature Communications subject feeds</w:t>
      </w:r>
      <w:r>
        <w:t xml:space="preserve">    </w:t>
      </w:r>
      <w:r>
        <w:rPr>
          <w:b/>
        </w:rPr>
        <w:t xml:space="preserve">Pub date: </w:t>
      </w:r>
      <w:r>
        <w:t>2026-05-25 00:00:00+00:00</w:t>
      </w:r>
    </w:p>
    <w:p>
      <w:pPr>
        <w:spacing w:before="0" w:after="120"/>
      </w:pPr>
      <w:r>
        <w:rPr>
          <w:b/>
        </w:rPr>
        <w:t xml:space="preserve">Notes: </w:t>
      </w:r>
      <w:r>
        <w:t>abstract_source=nature_html</w:t>
      </w:r>
    </w:p>
    <w:p>
      <w:pPr>
        <w:spacing w:before="0" w:after="80" w:lineRule="auto" w:line="276"/>
      </w:pPr>
      <w:r>
        <w:rPr>
          <w:b/>
        </w:rPr>
        <w:t xml:space="preserve">摘要（ZH）: </w:t>
      </w:r>
      <w:r>
        <w:t>病毒无处不在，尽管各自受到宿主范围的限制。不太了解的是病毒增殖的环境限制。为了研究河口病毒多样性、生态位限制和环境适应特征，我们分析了河​​口盐度梯度（包括水和沉积物）的宏基因组和宏转录组数据。然后，我们将分析扩展到全球分布的病毒基因组。病毒分布因河口栖息地而异，反映了原核生物群落模式，并强调病毒与宿主的相互作用受到环境的强烈影响。病毒谱系，直到大约属的等级，很大程度上是根据盐度和水生陆生鸿沟等因素按生态位划分的。跨越栖息地边界，病毒具有与其原核生物宿主相似的渗透适应性特征。这些包括酸性与碱性氨基酸的比例略有升高，以及在较高盐度下蛋白质等电点降低，特别是在病毒主尾和衣壳蛋白中，这不仅仅可以通过对宿主机制的依赖来解释。需要进一步的研究来确定病毒这些修饰（例如环境或宿主）的主要驱动因素，以及这些特征是否限制病毒分布超出宿主范围限制。总的来说，我们的研究结果表明，病毒成功增殖到不同的生物群落（例如淡水、盐水、陆地）的情况很少见，因为病毒被限制在特定的生态位中。</w:t>
      </w:r>
    </w:p>
    <w:p>
      <w:pPr>
        <w:spacing w:before="0" w:after="200" w:lineRule="auto" w:line="276"/>
      </w:pPr>
      <w:r>
        <w:rPr>
          <w:b/>
        </w:rPr>
        <w:t xml:space="preserve">Abstract (EN): </w:t>
      </w:r>
      <w:r>
        <w:t>Viruses are ubiquitous albeit individually constrained by host-range. Less well understood are environmental limitations on virus proliferation. To investigate estuarine viral diversity, niche constraints, and traits of environmental adaptation, we analyse metagenomic and metatranscriptomic data from an estuarine salinity gradient, including water and sediment. We then expand our analysis to globally-distributed viral genomes. Viral distributions vary by estuary habitat, reflecting prokaryote community patterns, and highlighting that virus-host interactions are strongly influenced by environment. Viral lineages, up until approximately the rank of genus, are largely partitioned by ecological niche based on factors such as salinity and the aquatic-terrestrial divide. Across habitat boundaries, viruses feature osmoadaptive traits similar to their prokaryote hosts. These include slightly elevated ratios of acidic to basic amino acids and decreased protein isoelectric points at higher salinities, particularly in virus major tail and capsid proteins, which are not solely explained by reliance on host machinery. Further studies are needed to determine the primary driver of these modifications in viruses (e.g. environment or host) and whether these traits restrict virus distributions beyond host-range limitation. Overall, our findings indicate that successful proliferations of viruses into distinct biomes (e.g. freshwater, saline, terrestrial) are rare, with viruses constrained to specific ecological niches.</w:t>
      </w:r>
    </w:p>
    <w:p>
      <w:pPr>
        <w:spacing w:before="120" w:after="120"/>
      </w:pPr>
      <w:r>
        <w:rPr>
          <w:sz w:val="18"/>
        </w:rPr>
        <w:t>——————————————————————————————————————————————————————————————————————</w:t>
      </w:r>
    </w:p>
    <w:p>
      <w:pPr>
        <w:spacing w:before="160" w:after="40" w:line="240" w:lineRule="auto"/>
      </w:pPr>
      <w:r>
        <w:rPr>
          <w:b/>
        </w:rPr>
        <w:t xml:space="preserve">[65] </w:t>
      </w:r>
      <w:hyperlink r:id="rId408">
        <w:r>
          <w:rPr>
            <w:color w:val="1155CC"/>
            <w:u w:val="single"/>
          </w:rPr>
          <w:t>门卫翻转酶转运磷壁酸的机制基础</w:t>
        </w:r>
      </w:hyperlink>
    </w:p>
    <w:p>
      <w:pPr>
        <w:spacing w:before="0" w:after="80"/>
      </w:pPr>
      <w:r>
        <w:rPr>
          <w:i/>
          <w:sz w:val="20"/>
        </w:rPr>
        <w:t>EN: Mechanistic basis of teichoic acid transport by a gatekeeper flippase</w:t>
      </w:r>
    </w:p>
    <w:p>
      <w:pPr>
        <w:spacing w:before="0" w:after="120"/>
      </w:pPr>
      <w:r>
        <w:rPr>
          <w:b/>
        </w:rPr>
        <w:t xml:space="preserve">Source: </w:t>
      </w:r>
      <w:r>
        <w:t>Biological sciences : Nature Communications subject feeds</w:t>
      </w:r>
      <w:r>
        <w:t xml:space="preserve">    </w:t>
      </w:r>
      <w:r>
        <w:rPr>
          <w:b/>
        </w:rPr>
        <w:t xml:space="preserve">Pub date: </w:t>
      </w:r>
      <w:r>
        <w:t>2026-05-25 00:00:00+00:00</w:t>
      </w:r>
    </w:p>
    <w:p>
      <w:pPr>
        <w:spacing w:before="0" w:after="120"/>
      </w:pPr>
      <w:r>
        <w:rPr>
          <w:b/>
        </w:rPr>
        <w:t xml:space="preserve">Notes: </w:t>
      </w:r>
      <w:r>
        <w:t>abstract_source=nature_html</w:t>
      </w:r>
    </w:p>
    <w:p>
      <w:pPr>
        <w:spacing w:before="0" w:after="80" w:lineRule="auto" w:line="276"/>
      </w:pPr>
      <w:r>
        <w:rPr>
          <w:b/>
        </w:rPr>
        <w:t xml:space="preserve">摘要（ZH）: </w:t>
      </w:r>
      <w:r>
        <w:t>细胞壁是一种复杂的结构，可以保护细菌免受环境威胁。含磷酸胆碱的磷壁酸是关键的细胞壁生物聚合物，对于肺炎链球菌的宿主定植、免疫逃避、能力和持久性至关重要。翻转酶 TacF 是多药/寡糖-脂质/多糖 (MOP) 超家族的成员，在运输过程中监测磷壁酸的磷酸胆碱含量，但该过程的潜在机制仍未解决。我们展示了脂质纳米盘中肺炎链球菌 TacF 的冷冻电镜结构。体内互补测定和分子动力学模拟揭示了参与磷壁酸识别和转运的关键残基，而共同进化和保守分析描绘了MOP翻转酶之间的共同机制元件，表明聚异戊二烯基二磷酸酯连接的寡糖脂质转运具有共同的机制。我们的研究结果为参与肺炎链球菌发病机制的重要翻转酶和潜在的药物靶点提供了机制见解。</w:t>
      </w:r>
    </w:p>
    <w:p>
      <w:pPr>
        <w:spacing w:before="0" w:after="200" w:lineRule="auto" w:line="276"/>
      </w:pPr>
      <w:r>
        <w:rPr>
          <w:b/>
        </w:rPr>
        <w:t xml:space="preserve">Abstract (EN): </w:t>
      </w:r>
      <w:r>
        <w:t>The cell wall is a complex structure that protects bacteria from environmental threats. Phosphocholine-containing teichoic acids are key cell wall biopolymers critical for host colonization, immune evasion, competence, and persistence in Streptococcus pneumoniae. The flippase TacF, a member of the multidrug/oligosaccharide-lipid/polysaccharide (MOP) superfamily, monitors the phosphocholine content of teichoic acids during transport, yet the underlying mechanism of this process remains unresolved. We present a cryo-EM structure of S. pneumoniae TacF in lipid nanodiscs. In vivo complementation assays and molecular dynamics simulations reveal key residues involved in teichoic acid recognition and transport, while coevolutionary and conservation analyses delineate common mechanistic elements among MOP flippases, indicating a shared mechanism for polyprenyl-diphosphate-linked oligosaccharide lipid transport. Our findings provide mechanistic insights into an essential flippase involved in S. pneumoniae pathogenesis and a potential drug target.</w:t>
      </w:r>
    </w:p>
    <w:p>
      <w:pPr>
        <w:spacing w:before="120" w:after="120"/>
      </w:pPr>
      <w:r>
        <w:rPr>
          <w:sz w:val="18"/>
        </w:rPr>
        <w:t>——————————————————————————————————————————————————————————————————————</w:t>
      </w:r>
    </w:p>
    <w:p>
      <w:pPr>
        <w:spacing w:before="160" w:after="40" w:line="240" w:lineRule="auto"/>
      </w:pPr>
      <w:r>
        <w:rPr>
          <w:b/>
        </w:rPr>
        <w:t xml:space="preserve">[66] </w:t>
      </w:r>
      <w:hyperlink r:id="rId409">
        <w:r>
          <w:rPr>
            <w:color w:val="1155CC"/>
            <w:u w:val="single"/>
          </w:rPr>
          <w:t>夏季高温下紧急护理脆弱性的区域差异</w:t>
        </w:r>
      </w:hyperlink>
    </w:p>
    <w:p>
      <w:pPr>
        <w:spacing w:before="0" w:after="80"/>
      </w:pPr>
      <w:r>
        <w:rPr>
          <w:i/>
          <w:sz w:val="20"/>
        </w:rPr>
        <w:t>EN: Regional variations in emergency care vulnerability to summer heat</w:t>
      </w:r>
    </w:p>
    <w:p>
      <w:pPr>
        <w:spacing w:before="0" w:after="120"/>
      </w:pPr>
      <w:r>
        <w:rPr>
          <w:b/>
        </w:rPr>
        <w:t xml:space="preserve">Source: </w:t>
      </w:r>
      <w:r>
        <w:t>Scientific community and society : Nature Communications subject feeds</w:t>
      </w:r>
      <w:r>
        <w:t xml:space="preserve">    </w:t>
      </w:r>
      <w:r>
        <w:rPr>
          <w:b/>
        </w:rPr>
        <w:t xml:space="preserve">Pub date: </w:t>
      </w:r>
      <w:r>
        <w:t>2026-05-25 00:00:00+00:00</w:t>
      </w:r>
    </w:p>
    <w:p>
      <w:pPr>
        <w:spacing w:before="0" w:after="120"/>
      </w:pPr>
      <w:r>
        <w:rPr>
          <w:b/>
        </w:rPr>
        <w:t xml:space="preserve">Notes: </w:t>
      </w:r>
      <w:r>
        <w:t>abstract_source=nature_html</w:t>
      </w:r>
    </w:p>
    <w:p>
      <w:pPr>
        <w:spacing w:before="0" w:after="80" w:lineRule="auto" w:line="276"/>
      </w:pPr>
      <w:r>
        <w:rPr>
          <w:b/>
        </w:rPr>
        <w:t xml:space="preserve">摘要（ZH）: </w:t>
      </w:r>
      <w:r>
        <w:t>气候变化导致极端高温现象加剧，但与高温相关发病率的区域和时间变化的证据仍然有限。在此，我们使用时间分层病例交叉设计，分析了 2000 年至 2019 年间五个国家和地区超过 1 亿例急诊 (ED) 就诊次数，以量化夏季气温与紧急医疗需求之间的关联。在这里，我们表明，夏季气温升高与所有研究地区急诊就诊的风险增加有关。在当地每日最高气温的第95个百分位处，累积超额比值比最高的是澳大利亚（42.1%，95%置信区间38.1-46.2）和台湾（25.7%，16.7-35.3），其次是巴西（18.0%，17.6-18.4）、新西兰（16.6%，13.5-19.7）和加拿大（6.1%，4.1–8.1）。随着时间的推移，与高温相关的风险在澳大利亚有所下降，但在巴西却有所增加。这些发现揭示了脆弱性的显着区域和时间异质性，并强调在气候变暖的情况下需要根据当地情况制定热健康适应策略。</w:t>
      </w:r>
    </w:p>
    <w:p>
      <w:pPr>
        <w:spacing w:before="0" w:after="200" w:lineRule="auto" w:line="276"/>
      </w:pPr>
      <w:r>
        <w:rPr>
          <w:b/>
        </w:rPr>
        <w:t xml:space="preserve">Abstract (EN): </w:t>
      </w:r>
      <w:r>
        <w:t>Extreme heat is intensifying under climate change, yet evidence on regional and temporal variation in heat-related morbidity remains limited. Here we analyzed over 100 million emergency department (ED) visits across five countries and territories from 2000 to 2019 using a time-stratified case-crossover design to quantify associations between summer temperature and acute healthcare demand. Here we show that higher summer temperatures are associated with increased risks of ED visits across all study regions. At the 95th percentile of local daily maximum temperature, cumulative excess odds ratios are highest in Australia (42.1%, 95% confidence interval 38.1-46.2) and Taiwan (25.7%, 16.7-35.3), followed by Brazil (18.0%, 17.6-18.4), New Zealand (16.6%, 13.5-19.7), and Canada (6.1%, 4.1–8.1). Over time, heat-related risks declined in Australia but increased in Brazil. These findings reveal substantial regional and temporal heterogeneity in vulnerability and underscore the need for locally tailored heat-health adaptation strategies under a warming climate.</w:t>
      </w:r>
    </w:p>
    <w:p>
      <w:pPr>
        <w:spacing w:before="120" w:after="120"/>
      </w:pPr>
      <w:r>
        <w:rPr>
          <w:sz w:val="18"/>
        </w:rPr>
        <w:t>——————————————————————————————————————————————————————————————————————</w:t>
      </w:r>
    </w:p>
    <w:p>
      <w:pPr>
        <w:spacing w:before="160" w:after="40" w:line="240" w:lineRule="auto"/>
      </w:pPr>
      <w:r>
        <w:rPr>
          <w:b/>
        </w:rPr>
        <w:t xml:space="preserve">[67] </w:t>
      </w:r>
      <w:hyperlink r:id="rId410">
        <w:r>
          <w:rPr>
            <w:color w:val="1155CC"/>
            <w:u w:val="single"/>
          </w:rPr>
          <w:t>碳酸盐岩覆盖的海山俯冲加速了富含二氧化碳的弧岩浆上升</w:t>
        </w:r>
      </w:hyperlink>
    </w:p>
    <w:p>
      <w:pPr>
        <w:spacing w:before="0" w:after="80"/>
      </w:pPr>
      <w:r>
        <w:rPr>
          <w:i/>
          <w:sz w:val="20"/>
        </w:rPr>
        <w:t>EN: Carbonate-capped seamount subduction accelerates CO2-rich arc magma ascent</w:t>
      </w:r>
    </w:p>
    <w:p>
      <w:pPr>
        <w:spacing w:before="0" w:after="120"/>
      </w:pPr>
      <w:r>
        <w:rPr>
          <w:b/>
        </w:rPr>
        <w:t xml:space="preserve">Source: </w:t>
      </w:r>
      <w:r>
        <w:t>Earth and environmental sciences : Nature Communications subject feeds</w:t>
      </w:r>
      <w:r>
        <w:t xml:space="preserve">    </w:t>
      </w:r>
      <w:r>
        <w:rPr>
          <w:b/>
        </w:rPr>
        <w:t xml:space="preserve">Pub date: </w:t>
      </w:r>
      <w:r>
        <w:t>2026-05-25 00:00:00+00:00</w:t>
      </w:r>
    </w:p>
    <w:p>
      <w:pPr>
        <w:spacing w:before="0" w:after="120"/>
      </w:pPr>
      <w:r>
        <w:rPr>
          <w:b/>
        </w:rPr>
        <w:t xml:space="preserve">Notes: </w:t>
      </w:r>
      <w:r>
        <w:t>abstract_source=nature_html</w:t>
      </w:r>
    </w:p>
    <w:p>
      <w:pPr>
        <w:spacing w:before="0" w:after="80" w:lineRule="auto" w:line="276"/>
      </w:pPr>
      <w:r>
        <w:rPr>
          <w:b/>
        </w:rPr>
        <w:t xml:space="preserve">摘要（ZH）: </w:t>
      </w:r>
      <w:r>
        <w:t>俯冲将碳输送到地球内部，但俯冲碳如何影响弧岩浆上升动力学仍不清楚。在这里，我们将橄榄石熔融包裹体的挥发性成分与帕甘火山（马里亚纳岛弧）的橄榄石扩散计时相结合，揭示了碳酸盐覆盖的海山俯冲与快速岩浆上升之间的直接联系。熔体包裹体记录了高二氧化碳含量（2000-6000 ppm），并且岩浆储存在莫霍面深度（约20公里）附近。橄榄石分带剖面限制了岩浆从莫霍面附近上升到地表的时间尺度为数周至数月。喷发火山中 CaO/Al2O3 比率升高 (&gt;1)、监测到的火山气体中 δ13C 值较高 (~0.5‰) 以及弧前泥火山中海山碳酸盐的出现，共同表明俯冲海山碳酸盐是 Pagan 岩浆作用的主要 CO2 来源。我们认为莫霍面附近的早期二氧化碳排出会产生超压，使含水弧岩浆能够绕过地壳失速。这些结果确定二氧化碳是弧形岩浆快速上升的关键驱动因素，并强调碳酸盐覆盖的海山俯冲是深层碳循环的有效途径。</w:t>
      </w:r>
    </w:p>
    <w:p>
      <w:pPr>
        <w:spacing w:before="0" w:after="200" w:lineRule="auto" w:line="276"/>
      </w:pPr>
      <w:r>
        <w:rPr>
          <w:b/>
        </w:rPr>
        <w:t xml:space="preserve">Abstract (EN): </w:t>
      </w:r>
      <w:r>
        <w:t>Subduction transports carbon into Earth’s interior, yet how subducted carbon influences arc magma ascent dynamics remains unclear. Here we combine volatile compositions of olivine-hosted melt inclusions with olivine diffusion chronometry at Pagan volcano (Mariana arc) to reveal a direct link between carbonate-capped seamount subduction and rapid magma ascent. Melt inclusions record high CO2 contents (2000-6000 ppm), and magma storage near Moho depths (~20 km). Olivine zoning profiles constrain magma ascent from near-Moho to the surface on timescales of weeks to months. Elevated CaO/Al2O3 ratios (&gt;1) in erupted volcanics, heavy δ13C values (~0.5‰) in monitored volcanic gases, and the occurrence of seamount carbonate in the forearc mud volcano collectively point to subducted seamount carbonates as the dominant CO2 source feeding Pagan magmatism. We propose that early CO2 exsolution near the Moho generates overpressure that enables hydrous arc magmas to bypass crustal stalling. These results identify CO2 as a key driver of rapid magma ascent in arcs and highlight carbonate-capped seamount subduction as an efficient pathway for deep carbon cycling.</w:t>
      </w:r>
    </w:p>
    <w:p>
      <w:pPr>
        <w:spacing w:before="120" w:after="120"/>
      </w:pPr>
      <w:r>
        <w:rPr>
          <w:sz w:val="18"/>
        </w:rPr>
        <w:t>——————————————————————————————————————————————————————————————————————</w:t>
      </w:r>
    </w:p>
    <w:p>
      <w:pPr>
        <w:spacing w:before="160" w:after="40" w:line="240" w:lineRule="auto"/>
      </w:pPr>
      <w:r>
        <w:rPr>
          <w:b/>
        </w:rPr>
        <w:t xml:space="preserve">[68] </w:t>
      </w:r>
      <w:hyperlink r:id="rId411">
        <w:r>
          <w:rPr>
            <w:color w:val="1155CC"/>
            <w:u w:val="single"/>
          </w:rPr>
          <w:t>稀土掺杂纳米晶体通过直接三重态激发在溶液中实现有机室温磷光</w:t>
        </w:r>
      </w:hyperlink>
    </w:p>
    <w:p>
      <w:pPr>
        <w:spacing w:before="0" w:after="80"/>
      </w:pPr>
      <w:r>
        <w:rPr>
          <w:i/>
          <w:sz w:val="20"/>
        </w:rPr>
        <w:t>EN: Lanthanide-doped nanocrystals enable organic room-temperature phosphorescence in solution through direct triplet excitation</w:t>
      </w:r>
    </w:p>
    <w:p>
      <w:pPr>
        <w:spacing w:before="0" w:after="120"/>
      </w:pPr>
      <w:r>
        <w:rPr>
          <w:b/>
        </w:rPr>
        <w:t xml:space="preserve">Source: </w:t>
      </w:r>
      <w:r>
        <w:t>Nature Chemistry</w:t>
      </w:r>
      <w:r>
        <w:t xml:space="preserve">    </w:t>
      </w:r>
      <w:r>
        <w:rPr>
          <w:b/>
        </w:rPr>
        <w:t xml:space="preserve">Pub date: </w:t>
      </w:r>
      <w:r>
        <w:t>2026-05-25 00:00:00+00:00</w:t>
      </w:r>
      <w:r>
        <w:t xml:space="preserve">    </w:t>
      </w:r>
      <w:r>
        <w:rPr>
          <w:b/>
        </w:rPr>
        <w:t xml:space="preserve">DOI: </w:t>
      </w:r>
      <w:hyperlink r:id="rId412">
        <w:r>
          <w:rPr>
            <w:color w:val="1155CC"/>
            <w:u w:val="single"/>
          </w:rPr>
          <w:t>10.1038/s41557-026-02159-w</w:t>
        </w:r>
      </w:hyperlink>
    </w:p>
    <w:p>
      <w:pPr>
        <w:spacing w:before="0" w:after="120"/>
      </w:pPr>
      <w:r>
        <w:rPr>
          <w:b/>
        </w:rPr>
        <w:t xml:space="preserve">Notes: </w:t>
      </w:r>
      <w:r>
        <w:t>abstract_source=nature_html</w:t>
      </w:r>
    </w:p>
    <w:p>
      <w:pPr>
        <w:spacing w:before="0" w:after="80" w:lineRule="auto" w:line="276"/>
      </w:pPr>
      <w:r>
        <w:rPr>
          <w:b/>
        </w:rPr>
        <w:t xml:space="preserve">摘要（ZH）: </w:t>
      </w:r>
      <w:r>
        <w:t>有机三重态激子在光电子学、光化学和治疗诊断学中的应用引起了极大的兴趣。由于自旋选择规则，三重态是“暗态”，使得基态的直接光激发和有效的磷光发射几乎不可能。克服这些与自旋有关的限制是一个长期存在的挑战。在这里，我们报告了一种通过将发色团附着在镧系元素掺杂纳米晶体的表面上来增亮有机三重态激子的通用方法，从而实现镧系元素离子和有机分子的不成对自旋之间的自旋交换耦合。这使得有机三重态可以直接光激发，并在环境条件下在溶液和薄膜中产生室温、纳秒时间尺度、对氧不敏感的磷光。不同的有机发色团和镧系元素离子结合以获得可见光和近红外范围内的磷光。与仅存在于晶体或低温下的普通有机磷光相比，这里建立的三线态发射不需要结晶、低温或惰性气氛。我们的方法可以为室温有机磷光在光电器件以及生物标记和成像中的应用开辟途径。该图像的替代文本可能是使用人工智能生成的。</w:t>
      </w:r>
    </w:p>
    <w:p>
      <w:pPr>
        <w:spacing w:before="0" w:after="200" w:lineRule="auto" w:line="276"/>
      </w:pPr>
      <w:r>
        <w:rPr>
          <w:b/>
        </w:rPr>
        <w:t xml:space="preserve">Abstract (EN): </w:t>
      </w:r>
      <w:r>
        <w:t>Organic triplet excitons are of great interest for applications in optoelectronics, photochemistry and theranostics. Due to spin-selection rules, triplets are ‘dark states’, rendering direct photoexcitation from the ground state and efficient phosphorescent emission nearly impossible. Overcoming these spin-dependent limitations is a long-standing challenge. Here we report a universal method to brighten organic triplet excitons by attaching chromophores onto the surface of lanthanide-doped nanocrystals, enabling spin-exchange coupling between the unpaired spins of lanthanide ions and organic molecules. This allows direct photoexcitation of the organic triplets, and room-temperature, nanosecond-timescale, oxygen-insensitive phosphorescence in both solution and film under ambient conditions. Different organic chromophores and lanthanide ions are combined to obtain phosphorescence in the visible and near-infrared range. Compared with common organic phosphorescence, which only exists in crystals or at low temperature, the triplet emission established here does not require crystallization, low temperatures or an inert atmosphere. Our approach could open avenues to the application of room-temperature organic phosphorescence in optoelectronic devices and biological labelling and imaging.The alternative text for this image may have been generated using AI.</w:t>
      </w:r>
    </w:p>
    <w:p>
      <w:pPr>
        <w:spacing w:before="120" w:after="120"/>
      </w:pPr>
      <w:r>
        <w:rPr>
          <w:sz w:val="18"/>
        </w:rPr>
        <w:t>——————————————————————————————————————————————————————————————————————</w:t>
      </w:r>
    </w:p>
    <w:p>
      <w:pPr>
        <w:spacing w:before="160" w:after="40" w:line="240" w:lineRule="auto"/>
      </w:pPr>
      <w:r>
        <w:rPr>
          <w:b/>
        </w:rPr>
        <w:t xml:space="preserve">[69] </w:t>
      </w:r>
      <w:hyperlink r:id="rId413">
        <w:r>
          <w:rPr>
            <w:color w:val="1155CC"/>
            <w:u w:val="single"/>
          </w:rPr>
          <w:t>如何让大脑理论重获新生</w:t>
        </w:r>
      </w:hyperlink>
    </w:p>
    <w:p>
      <w:pPr>
        <w:spacing w:before="0" w:after="80"/>
      </w:pPr>
      <w:r>
        <w:rPr>
          <w:i/>
          <w:sz w:val="20"/>
        </w:rPr>
        <w:t>EN: How to breathe life back into brain theory</w:t>
      </w:r>
    </w:p>
    <w:p>
      <w:pPr>
        <w:spacing w:before="0" w:after="120"/>
      </w:pPr>
      <w:r>
        <w:rPr>
          <w:b/>
        </w:rPr>
        <w:t xml:space="preserve">Source: </w:t>
      </w:r>
      <w:r>
        <w:t>Nature</w:t>
      </w:r>
      <w:r>
        <w:t xml:space="preserve">    </w:t>
      </w:r>
      <w:r>
        <w:rPr>
          <w:b/>
        </w:rPr>
        <w:t xml:space="preserve">Pub date: </w:t>
      </w:r>
      <w:r>
        <w:t>2026-05-25 00:00:00+00:00</w:t>
      </w:r>
      <w:r>
        <w:t xml:space="preserve">    </w:t>
      </w:r>
      <w:r>
        <w:rPr>
          <w:b/>
        </w:rPr>
        <w:t xml:space="preserve">DOI: </w:t>
      </w:r>
      <w:hyperlink r:id="rId414">
        <w:r>
          <w:rPr>
            <w:color w:val="1155CC"/>
            <w:u w:val="single"/>
          </w:rPr>
          <w:t>10.1038/d41586-026-01619-0</w:t>
        </w:r>
      </w:hyperlink>
    </w:p>
    <w:p>
      <w:pPr>
        <w:spacing w:before="0" w:after="120"/>
      </w:pPr>
      <w:r>
        <w:rPr>
          <w:b/>
        </w:rPr>
        <w:t xml:space="preserve">Notes: </w:t>
      </w:r>
      <w:r>
        <w:t>abstract_source=nature_html</w:t>
      </w:r>
    </w:p>
    <w:p>
      <w:pPr>
        <w:spacing w:before="0" w:after="80" w:lineRule="auto" w:line="276"/>
      </w:pPr>
      <w:r>
        <w:rPr>
          <w:b/>
        </w:rPr>
        <w:t xml:space="preserve">摘要（ZH）: </w:t>
      </w:r>
      <w:r>
        <w:t>神经科学需要停止将大脑视为一台计算机。神经科学需要停止将大脑视为一台计算机。</w:t>
      </w:r>
    </w:p>
    <w:p>
      <w:pPr>
        <w:spacing w:before="0" w:after="200" w:lineRule="auto" w:line="276"/>
      </w:pPr>
      <w:r>
        <w:rPr>
          <w:b/>
        </w:rPr>
        <w:t xml:space="preserve">Abstract (EN): </w:t>
      </w:r>
      <w:r>
        <w:t>Neuroscience needs to stop treating the brain as if it is a computer. Neuroscience needs to stop treating the brain as if it is a computer.</w:t>
      </w:r>
    </w:p>
    <w:p>
      <w:pPr>
        <w:spacing w:before="120" w:after="120"/>
      </w:pPr>
      <w:r>
        <w:rPr>
          <w:sz w:val="18"/>
        </w:rPr>
        <w:t>——————————————————————————————————————————————————————————————————————</w:t>
      </w:r>
    </w:p>
    <w:p>
      <w:pPr>
        <w:spacing w:before="160" w:after="40" w:line="240" w:lineRule="auto"/>
      </w:pPr>
      <w:r>
        <w:rPr>
          <w:b/>
        </w:rPr>
        <w:t xml:space="preserve">[70] </w:t>
      </w:r>
      <w:hyperlink r:id="rId415">
        <w:r>
          <w:rPr>
            <w:color w:val="1155CC"/>
            <w:u w:val="single"/>
          </w:rPr>
          <w:t>多目标优化和强化学习的全过程可解释风速组合预测</w:t>
        </w:r>
      </w:hyperlink>
    </w:p>
    <w:p>
      <w:pPr>
        <w:spacing w:before="0" w:after="80"/>
      </w:pPr>
      <w:r>
        <w:rPr>
          <w:i/>
          <w:sz w:val="20"/>
        </w:rPr>
        <w:t>EN: Whole-process interpretable wind speed combination forecasting with multi-objective optimization and reinforcement learning</w:t>
      </w:r>
    </w:p>
    <w:p>
      <w:pPr>
        <w:spacing w:before="0" w:after="120"/>
      </w:pPr>
      <w:r>
        <w:rPr>
          <w:b/>
        </w:rPr>
        <w:t xml:space="preserve">Source: </w:t>
      </w:r>
      <w:r>
        <w:t>ScienceDirect Publication: Applied Energy</w:t>
      </w:r>
      <w:r>
        <w:t xml:space="preserve">    </w:t>
      </w:r>
      <w:r>
        <w:rPr>
          <w:b/>
        </w:rPr>
        <w:t xml:space="preserve">Pub date: </w:t>
      </w:r>
      <w:r>
        <w:t>2026-05-25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 </w:t>
      </w:r>
      <w:hyperlink r:id="rId416">
        <w:r>
          <w:rPr>
            <w:color w:val="1155CC"/>
            <w:u w:val="single"/>
          </w:rPr>
          <w:t>重新构想能源研究和教育</w:t>
        </w:r>
      </w:hyperlink>
    </w:p>
    <w:p>
      <w:pPr>
        <w:spacing w:before="0" w:after="80"/>
      </w:pPr>
      <w:r>
        <w:rPr>
          <w:i/>
          <w:sz w:val="20"/>
        </w:rPr>
        <w:t>EN: Reimagining energy research and education</w:t>
      </w:r>
    </w:p>
    <w:p>
      <w:pPr>
        <w:spacing w:before="0" w:after="120"/>
      </w:pPr>
      <w:r>
        <w:rPr>
          <w:b/>
        </w:rPr>
        <w:t xml:space="preserve">Source: </w:t>
      </w:r>
      <w:r>
        <w:t>Nature Energy</w:t>
      </w:r>
      <w:r>
        <w:t xml:space="preserve">    </w:t>
      </w:r>
      <w:r>
        <w:rPr>
          <w:b/>
        </w:rPr>
        <w:t xml:space="preserve">Pub date: </w:t>
      </w:r>
      <w:r>
        <w:t>2026-05-25 00:00:00+00:00</w:t>
      </w:r>
      <w:r>
        <w:t xml:space="preserve">    </w:t>
      </w:r>
      <w:r>
        <w:rPr>
          <w:b/>
        </w:rPr>
        <w:t xml:space="preserve">DOI: </w:t>
      </w:r>
      <w:hyperlink r:id="rId417">
        <w:r>
          <w:rPr>
            <w:color w:val="1155CC"/>
            <w:u w:val="single"/>
          </w:rPr>
          <w:t>10.1038/s41560-026-02081-y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 </w:t>
      </w:r>
      <w:hyperlink r:id="rId418">
        <w:r>
          <w:rPr>
            <w:color w:val="1155CC"/>
            <w:u w:val="single"/>
          </w:rPr>
          <w:t>我如何偷听青蛙的谈话</w:t>
        </w:r>
      </w:hyperlink>
    </w:p>
    <w:p>
      <w:pPr>
        <w:spacing w:before="0" w:after="80"/>
      </w:pPr>
      <w:r>
        <w:rPr>
          <w:i/>
          <w:sz w:val="20"/>
        </w:rPr>
        <w:t>EN: How I eavesdrop on frog conversations</w:t>
      </w:r>
    </w:p>
    <w:p>
      <w:pPr>
        <w:spacing w:before="0" w:after="120"/>
      </w:pPr>
      <w:r>
        <w:rPr>
          <w:b/>
        </w:rPr>
        <w:t xml:space="preserve">Source: </w:t>
      </w:r>
      <w:r>
        <w:t>Nature</w:t>
      </w:r>
      <w:r>
        <w:t xml:space="preserve">    </w:t>
      </w:r>
      <w:r>
        <w:rPr>
          <w:b/>
        </w:rPr>
        <w:t xml:space="preserve">Pub date: </w:t>
      </w:r>
      <w:r>
        <w:t>2026-05-25 00:00:00+00:00</w:t>
      </w:r>
      <w:r>
        <w:t xml:space="preserve">    </w:t>
      </w:r>
      <w:r>
        <w:rPr>
          <w:b/>
        </w:rPr>
        <w:t xml:space="preserve">DOI: </w:t>
      </w:r>
      <w:hyperlink r:id="rId419">
        <w:r>
          <w:rPr>
            <w:color w:val="1155CC"/>
            <w:u w:val="single"/>
          </w:rPr>
          <w:t>10.1038/d41586-026-01621-6</w:t>
        </w:r>
      </w:hyperlink>
    </w:p>
    <w:p>
      <w:pPr>
        <w:spacing w:before="0" w:after="120"/>
      </w:pPr>
      <w:r>
        <w:rPr>
          <w:b/>
        </w:rPr>
        <w:t xml:space="preserve">Notes: </w:t>
      </w:r>
      <w:r>
        <w:t>abstract_source=nature_html</w:t>
      </w:r>
    </w:p>
    <w:p>
      <w:pPr>
        <w:spacing w:before="0" w:after="80" w:lineRule="auto" w:line="276"/>
      </w:pPr>
      <w:r>
        <w:rPr>
          <w:b/>
        </w:rPr>
        <w:t xml:space="preserve">摘要（ZH）: </w:t>
      </w:r>
      <w:r>
        <w:t>比莉·古尔斯比（Billie Goolsby）的听力损失经历帮助她开发了机器人蝌蚪，以破译两栖动物的秘密生活。比莉·古尔斯比（Billie Goolsby）的听力损失经历帮助她开发了机器人蝌蚪，以破译两栖动物的秘密生活。</w:t>
      </w:r>
    </w:p>
    <w:p>
      <w:pPr>
        <w:spacing w:before="0" w:after="200" w:lineRule="auto" w:line="276"/>
      </w:pPr>
      <w:r>
        <w:rPr>
          <w:b/>
        </w:rPr>
        <w:t xml:space="preserve">Abstract (EN): </w:t>
      </w:r>
      <w:r>
        <w:t>Billie Goolsby’s experience with hearing loss helped her to develop a robotic tadpole for deciphering the secret lives of amphibians. Billie Goolsby’s experience with hearing loss helped her to develop a robotic tadpole for deciphering the secret lives of amphibians.</w:t>
      </w:r>
    </w:p>
    <w:p>
      <w:pPr>
        <w:spacing w:before="120" w:after="120"/>
      </w:pPr>
      <w:r>
        <w:rPr>
          <w:sz w:val="18"/>
        </w:rPr>
        <w:t>——————————————————————————————————————————————————————————————————————</w:t>
      </w:r>
    </w:p>
    <w:p>
      <w:pPr>
        <w:spacing w:before="160" w:after="40" w:line="240" w:lineRule="auto"/>
      </w:pPr>
      <w:r>
        <w:rPr>
          <w:b/>
        </w:rPr>
        <w:t xml:space="preserve">[73] </w:t>
      </w:r>
      <w:hyperlink r:id="rId420">
        <w:r>
          <w:rPr>
            <w:color w:val="1155CC"/>
            <w:u w:val="single"/>
          </w:rPr>
          <w:t>测量磁滞材料中的霍尔效应</w:t>
        </w:r>
      </w:hyperlink>
    </w:p>
    <w:p>
      <w:pPr>
        <w:spacing w:before="0" w:after="80"/>
      </w:pPr>
      <w:r>
        <w:rPr>
          <w:i/>
          <w:sz w:val="20"/>
        </w:rPr>
        <w:t>EN: Measuring the Hall Effect in Hysteretic Materials</w:t>
      </w:r>
    </w:p>
    <w:p>
      <w:pPr>
        <w:spacing w:before="0" w:after="120"/>
      </w:pPr>
      <w:r>
        <w:rPr>
          <w:b/>
        </w:rPr>
        <w:t xml:space="preserve">Source: </w:t>
      </w:r>
      <w:r>
        <w:t>Wiley: Advanced Materials: Table of Contents</w:t>
      </w:r>
      <w:r>
        <w:t xml:space="preserve">    </w:t>
      </w:r>
      <w:r>
        <w:rPr>
          <w:b/>
        </w:rPr>
        <w:t xml:space="preserve">Pub date: </w:t>
      </w:r>
      <w:r>
        <w:t>2026-05-25 07:10:58+00:00</w:t>
      </w:r>
      <w:r>
        <w:t xml:space="preserve">    </w:t>
      </w:r>
      <w:r>
        <w:rPr>
          <w:b/>
        </w:rPr>
        <w:t xml:space="preserve">DOI: </w:t>
      </w:r>
      <w:hyperlink r:id="rId421">
        <w:r>
          <w:rPr>
            <w:color w:val="1155CC"/>
            <w:u w:val="single"/>
          </w:rPr>
          <w:t>10.1002/adma.202523674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霍尔效应的测量是材料发现、表征和计量的普遍探针。由于霍尔测量几何结构固有，测量的信号经常受到不需要的影响的污染，因此必须对数据进行处理以隔离霍尔响应。标准方法调用 Onsager-Casimir 互易性并使原始信号关于零外加磁场反对称。在磁滞材料中，这变得很重要，因为昂萨格-卡西米尔关系仅适用于微观可逆状态。不正确的反对称可能会导致模仿异常或拓扑霍尔特征的伪影。当磁滞回线不以零外加磁场为中心时（如交换偏置系统中），这种情况尤其微妙。缺乏一般提取迟滞材料中霍尔响应的实用参考。在这里，我们使用可以在有或没有交换偏置磁滞的情况下制备的块状单晶模型，回顾并演示了可用于提取霍尔效应的两个程序：（1）反向磁场互易性和（2）相对于外加场的反对称。然后，我们测量了 的霍尔效应，这是一种非中心对称反铁磁体，可以制备成具有不对称磁化强度和磁阻，并演示了不正确的处理如何产生人工异常霍尔信号。所审查的方法是通用的，可以应用于任何导体。</w:t>
      </w:r>
    </w:p>
    <w:p>
      <w:pPr>
        <w:spacing w:before="0" w:after="200" w:lineRule="auto" w:line="276"/>
      </w:pPr>
      <w:r>
        <w:rPr>
          <w:b/>
        </w:rPr>
        <w:t xml:space="preserve">Abstract (EN): </w:t>
      </w:r>
      <w:r>
        <w:t>Measurement of the Hall effect is a ubiquitous probe for materials discovery, characterization, and metrology. Inherent to the Hall measurement geometry, the measured signal is often contaminated by unwanted contributions, so the data must be processed to isolate the Hall response. The standard approach invokes Onsager–Casimir reciprocity and antisymmetrizes the raw signal about zero applied magnetic field. In hysteretic materials this becomes nontrivial, since Onsager–Casimir relations apply only to microscopically reversible states. Incorrect antisymmetrization can lead to artifacts that mimic anomalous or topological Hall signatures. The situation is especially subtle when hysteresis loops are not centered at zero applied field, as in exchange‐biased systems. A practical reference for generically extracting the Hall response in hysteretic materials is lacking. Here, using  as a bulk single‐crystal model that can be prepared with or without exchange‐biased hysteresis, we review and demonstrate two procedures that can be used to extract the Hall effect: (1) reverse‐magnetic‐field reciprocity and (2) antisymmetrization with respect to applied field. We then measure the Hall effect on , a noncentrosymmetric antiferromagnet which can be prepared to have asymmetric magnetization and magnetoresistance, and demonstrate how improper processing can generate artificial anomalous Hall signals. The methods reviewed are generic and can be applied to any conductor.</w:t>
      </w:r>
    </w:p>
    <w:p>
      <w:pPr>
        <w:spacing w:before="120" w:after="120"/>
      </w:pPr>
      <w:r>
        <w:rPr>
          <w:sz w:val="18"/>
        </w:rPr>
        <w:t>——————————————————————————————————————————————————————————————————————</w:t>
      </w:r>
    </w:p>
    <w:p>
      <w:pPr>
        <w:spacing w:before="160" w:after="40" w:line="240" w:lineRule="auto"/>
      </w:pPr>
      <w:r>
        <w:rPr>
          <w:b/>
        </w:rPr>
        <w:t xml:space="preserve">[74] </w:t>
      </w:r>
      <w:hyperlink r:id="rId422">
        <w:r>
          <w:rPr>
            <w:color w:val="1155CC"/>
            <w:u w:val="single"/>
          </w:rPr>
          <w:t>拮抗手性偏移螺旋超结构实现圆偏振有机超长磷光的高对比度旋向反演</w:t>
        </w:r>
      </w:hyperlink>
    </w:p>
    <w:p>
      <w:pPr>
        <w:spacing w:before="0" w:after="80"/>
      </w:pPr>
      <w:r>
        <w:rPr>
          <w:i/>
          <w:sz w:val="20"/>
        </w:rPr>
        <w:t>EN: High‐Contrast Handedness Inversion in Circularly Polarized Organic Ultralong Phosphorescence Enabled by an Antagonistic Chirality‐Offset Helical Superstructure</w:t>
      </w:r>
    </w:p>
    <w:p>
      <w:pPr>
        <w:spacing w:before="0" w:after="120"/>
      </w:pPr>
      <w:r>
        <w:rPr>
          <w:b/>
        </w:rPr>
        <w:t xml:space="preserve">Source: </w:t>
      </w:r>
      <w:r>
        <w:t>Wiley: Advanced Materials: Table of Contents</w:t>
      </w:r>
      <w:r>
        <w:t xml:space="preserve">    </w:t>
      </w:r>
      <w:r>
        <w:rPr>
          <w:b/>
        </w:rPr>
        <w:t xml:space="preserve">Pub date: </w:t>
      </w:r>
      <w:r>
        <w:t>2026-05-25 07:19:12+00:00</w:t>
      </w:r>
      <w:r>
        <w:t xml:space="preserve">    </w:t>
      </w:r>
      <w:r>
        <w:rPr>
          <w:b/>
        </w:rPr>
        <w:t xml:space="preserve">DOI: </w:t>
      </w:r>
      <w:hyperlink r:id="rId423">
        <w:r>
          <w:rPr>
            <w:color w:val="1155CC"/>
            <w:u w:val="single"/>
          </w:rPr>
          <w:t>10.1002/adma.73466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圆偏振超长室温磷光（CP-OURTP）的动态和可逆控制对于时间选通手性光学光子学来说是非常理想的。然而，同时实现旋向反演和大的不对称因子仍然具有挑战性，因为反演通常发生在光子带隙（PBG）崩溃的净手性抵消点附近。在这里，我们报道了一种解耦双层 CP-OURTP 薄膜，该薄膜将室温磷光聚合物发射器与通过对抗手性偏移设计设计的光响应手性螺旋超结构 (CHS) 耦合。通过将高 HTP 手性光电开关与相反方向的静态掺杂剂配对，净 HTP 可逆地过零，同时在两个光稳态中保持相当的幅度，从而在反转两侧保持稳健的 PBG 发射重叠。因此，该薄膜提供了可逆切换</w:t>
      </w:r>
      <w:r>
        <w:t xml:space="preserve"> </w:t>
      </w:r>
      <w:r>
        <w:t>克</w:t>
      </w:r>
      <w:r>
        <w:t xml:space="preserve"> </w:t>
      </w:r>
      <w:r>
        <w:t>卢姆</w:t>
      </w:r>
      <w:r>
        <w:t xml:space="preserve"> </w:t>
      </w:r>
      <w:r>
        <w:t>在 365 和 530 nm 交替照射下可达 ±1.0，磷光量子产率为 21.4%，超长寿命可达 388 ms，可稳定运行超过 50 个开关周期。 CP-OURTP 和选择性圆偏振反射的组合可实现高保真可重写防伪标签。这种 CHS 工程策略为 CP-OURTP 材料提供了一条通用途径，该材料具有用于多级信息加密和智能光子器件的按需手性光学控制。</w:t>
      </w:r>
    </w:p>
    <w:p>
      <w:pPr>
        <w:spacing w:before="0" w:after="200" w:lineRule="auto" w:line="276"/>
      </w:pPr>
      <w:r>
        <w:rPr>
          <w:b/>
        </w:rPr>
        <w:t xml:space="preserve">Abstract (EN): </w:t>
      </w:r>
      <w:r>
        <w:t>Dynamic and reversible control of circularly polarized ultralong room‐temperature phosphorescence (CP‐OURTP) is highly desirable for time‐gated chiroptical photonics. Yet, the simultaneous realization of handedness inversion and large dissymmetry factors remains challenging because inversion typically occurs near a net‐chirality cancellation point where the photonic bandgap (PBG) collapses. Here, we report a decoupled bilayer CP‐OURTP film that couples a room‐temperature phosphorescent polymer emitter with a photoresponsive chiral helical superstructure (CHS) engineered by an antagonistic chirality‐offset design. By pairing a high‐HTP chiral photoswitch with an oppositely handed static dopant, the net HTP reversibly crosses zero while remaining comparable in magnitude in the two photostationary states, thereby maintaining a robust PBG‐emission overlap on both sides of inversion. Consequently, the film delivers reversibly switchable</w:t>
      </w:r>
      <w:r>
        <w:t xml:space="preserve"> </w:t>
      </w:r>
      <w:r>
        <w:t>g</w:t>
      </w:r>
      <w:r>
        <w:t xml:space="preserve"> </w:t>
      </w:r>
      <w:r>
        <w:t>lum</w:t>
      </w:r>
      <w:r>
        <w:t xml:space="preserve"> </w:t>
      </w:r>
      <w:r>
        <w:t>up to ±1.0 under alternating 365 and 530 nm irradiation, together with a phosphorescence quantum yield of 21.4%, an ultralong lifetime up to 388 ms, and stable operation over 50 switching cycles. The combined CP‐OURTP and selective circular‐polarization reflection enable high‐fidelity rewritable anti‐counterfeiting labels. This CHS‐engineering strategy provides a general route to CP‐OURTP materials with on‐demand chiroptical control for multi‐level information encryption and smart photonic devices.</w:t>
      </w:r>
    </w:p>
    <w:p>
      <w:pPr>
        <w:spacing w:before="120" w:after="120"/>
      </w:pPr>
      <w:r>
        <w:rPr>
          <w:sz w:val="18"/>
        </w:rPr>
        <w:t>——————————————————————————————————————————————————————————————————————</w:t>
      </w:r>
    </w:p>
    <w:p>
      <w:pPr>
        <w:spacing w:before="160" w:after="40" w:line="240" w:lineRule="auto"/>
      </w:pPr>
      <w:r>
        <w:rPr>
          <w:b/>
        </w:rPr>
        <w:t xml:space="preserve">[75] </w:t>
      </w:r>
      <w:hyperlink r:id="rId424">
        <w:r>
          <w:rPr>
            <w:color w:val="1155CC"/>
            <w:u w:val="single"/>
          </w:rPr>
          <w:t>用于高效深蓝色钙钛矿 LED 的 NiOx 的稳定能级调节</w:t>
        </w:r>
      </w:hyperlink>
    </w:p>
    <w:p>
      <w:pPr>
        <w:spacing w:before="0" w:after="80"/>
      </w:pPr>
      <w:r>
        <w:rPr>
          <w:i/>
          <w:sz w:val="20"/>
        </w:rPr>
        <w:t>EN: Stable Energy‐Level Regulation of NiOx for Efficient Deep‐Blue Perovskite LEDs</w:t>
      </w:r>
    </w:p>
    <w:p>
      <w:pPr>
        <w:spacing w:before="0" w:after="120"/>
      </w:pPr>
      <w:r>
        <w:rPr>
          <w:b/>
        </w:rPr>
        <w:t xml:space="preserve">Source: </w:t>
      </w:r>
      <w:r>
        <w:t>Wiley: Advanced Materials: Table of Contents</w:t>
      </w:r>
      <w:r>
        <w:t xml:space="preserve">    </w:t>
      </w:r>
      <w:r>
        <w:rPr>
          <w:b/>
        </w:rPr>
        <w:t xml:space="preserve">Pub date: </w:t>
      </w:r>
      <w:r>
        <w:t>2026-05-25 07:47:39+00:00</w:t>
      </w:r>
      <w:r>
        <w:t xml:space="preserve">    </w:t>
      </w:r>
      <w:r>
        <w:rPr>
          <w:b/>
        </w:rPr>
        <w:t xml:space="preserve">DOI: </w:t>
      </w:r>
      <w:hyperlink r:id="rId425">
        <w:r>
          <w:rPr>
            <w:color w:val="1155CC"/>
            <w:u w:val="single"/>
          </w:rPr>
          <w:t>10.1002/adma.73478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氧化镍</w:t>
      </w:r>
      <w:r>
        <w:t xml:space="preserve"> </w:t>
      </w:r>
      <w:r>
        <w:t>x</w:t>
      </w:r>
      <w:r>
        <w:t xml:space="preserve"> </w:t>
      </w:r>
      <w:r>
        <w:t>通过界面分子修饰提供可调节的能级，使其成为钙钛矿发光二极管（PeLED）有前途的空穴注入层。然而，传统的改性剂经常在钙钛矿沉积过程中分离，将能级恢复到本征状态。虽然简单地增强吸电子强度可以改善锚定，但它会导致过度的能级变化。在这里，我们采用多齿锚定策略来增强改性剂在 NiO 上的吸附稳定性</w:t>
      </w:r>
      <w:r>
        <w:t xml:space="preserve"> </w:t>
      </w:r>
      <w:r>
        <w:t>x</w:t>
      </w:r>
      <w:r>
        <w:t xml:space="preserve"> </w:t>
      </w:r>
      <w:r>
        <w:t>，防止调节的能量水平向后移动。这些相互作用相应地提供了多种电荷转移途径，有效地分散了电荷密度，从而减轻了导致过度能级调制的局部强电子转移。具体来说，三齿锚4-溴苯基膦酸（BPA）参与多个Ni-O配位键，实现-6.47 eV的高吸附强度，并在极性溶剂冲洗后保留超过95%的表面覆盖率。同时，多种电荷转移途径有效分散了─PO的吸电子效应</w:t>
      </w:r>
      <w:r>
        <w:rPr>
          <w:vertAlign w:val="subscript"/>
        </w:rPr>
        <w:t>3</w:t>
      </w:r>
      <w:r>
        <w:t>H</w:t>
      </w:r>
      <w:r>
        <w:rPr>
          <w:vertAlign w:val="subscript"/>
        </w:rPr>
        <w:t>2</w:t>
      </w:r>
      <w:r>
        <w:t>组，产生有利的能级排列，其势垒小于 0.69 eV。我们整合了这种强化的 NiO</w:t>
      </w:r>
    </w:p>
    <w:p>
      <w:pPr>
        <w:spacing w:before="0" w:after="200" w:lineRule="auto" w:line="276"/>
      </w:pPr>
      <w:r>
        <w:rPr>
          <w:b/>
        </w:rPr>
        <w:t xml:space="preserve">Abstract (EN): </w:t>
      </w:r>
      <w:r>
        <w:t>NiO</w:t>
      </w:r>
      <w:r>
        <w:t xml:space="preserve"> </w:t>
      </w:r>
      <w:r>
        <w:t>x</w:t>
      </w:r>
      <w:r>
        <w:t xml:space="preserve"> </w:t>
      </w:r>
      <w:r>
        <w:t>offers tunable energy‐level via interfacial molecular modification, making it a promising hole injection layer for perovskite light‐emitting diodes (PeLEDs). However, conventional modifiers often detach during perovskite deposition, reverting energy‐level to the intrinsic state. While simply enhancing electron‐withdrawing strength can improve anchoring, it causes excessive energy‐level shifts. Here, we employ a multidentate anchoring strategy to enhance modifier adsorption stability on NiO</w:t>
      </w:r>
      <w:r>
        <w:t xml:space="preserve"> </w:t>
      </w:r>
      <w:r>
        <w:t>x</w:t>
      </w:r>
      <w:r>
        <w:t xml:space="preserve"> </w:t>
      </w:r>
      <w:r>
        <w:t>, preventing the regulated energy‐level from shifting back. These interactions correspondingly provide multiple charge‐transfer pathways, which effectively disperse the charge density and thereby mitigate the localized strong electron transfer that causes excessive energy‐level modulation. Specifically, tridentate anchor 4‐bromophenylphosphonic acid (BPA) engages in multiple Ni‐O coordination bonds, achieving a high adsorption strength of −6.47 eV and retaining over 95% surface‐coverage after polar solvent rinsing. Concurrently, multiple charge‐transfer pathways effectively distribute the electron‐withdrawing effect of ─PO</w:t>
      </w:r>
      <w:r>
        <w:rPr>
          <w:vertAlign w:val="subscript"/>
        </w:rPr>
        <w:t>3</w:t>
      </w:r>
      <w:r>
        <w:t>H</w:t>
      </w:r>
      <w:r>
        <w:rPr>
          <w:vertAlign w:val="subscript"/>
        </w:rPr>
        <w:t>2</w:t>
      </w:r>
      <w:r>
        <w:t>group, yielding favorable energy‐level alignment with a small barrier of less than 0.69 eV. We integrate this strengthened NiO</w:t>
      </w:r>
      <w:r>
        <w:t xml:space="preserve"> </w:t>
      </w:r>
      <w:r>
        <w:t>x</w:t>
      </w:r>
      <w:r>
        <w:t xml:space="preserve"> </w:t>
      </w:r>
      <w:r>
        <w:t>with pure‐halide quasi‐2D perovskites to fabricate deep‐blue PeLEDs. The obtained PeLEDs exhibit a champion external quantum efficiency (EQE) of 15.8% at 463 nm and a record‐low turn‐on voltage of 2.4 V. This approach also enables large‐area (3 × 3 cm</w:t>
      </w:r>
      <w:r>
        <w:rPr>
          <w:vertAlign w:val="subscript"/>
        </w:rPr>
        <w:t>2</w:t>
      </w:r>
      <w:r>
        <w:t>) PeLEDs fabrication, with an EQE of 11.2%.</w:t>
      </w:r>
    </w:p>
    <w:p>
      <w:pPr>
        <w:spacing w:before="120" w:after="120"/>
      </w:pPr>
      <w:r>
        <w:rPr>
          <w:sz w:val="18"/>
        </w:rPr>
        <w:t>——————————————————————————————————————————————————————————————————————</w:t>
      </w:r>
    </w:p>
    <w:p>
      <w:pPr>
        <w:spacing w:before="160" w:after="40" w:line="240" w:lineRule="auto"/>
      </w:pPr>
      <w:r>
        <w:rPr>
          <w:b/>
        </w:rPr>
        <w:t xml:space="preserve">[76] </w:t>
      </w:r>
      <w:hyperlink r:id="rId426">
        <w:r>
          <w:rPr>
            <w:color w:val="1155CC"/>
            <w:u w:val="single"/>
          </w:rPr>
          <w:t>用于增强血液灌流材料的类淀粉样纳米涂层</w:t>
        </w:r>
      </w:hyperlink>
    </w:p>
    <w:p>
      <w:pPr>
        <w:spacing w:before="0" w:after="80"/>
      </w:pPr>
      <w:r>
        <w:rPr>
          <w:i/>
          <w:sz w:val="20"/>
        </w:rPr>
        <w:t>EN: Amyloid‐Like Nanocoatings for Enhanced Hemoperfusion Materials</w:t>
      </w:r>
    </w:p>
    <w:p>
      <w:pPr>
        <w:spacing w:before="0" w:after="120"/>
      </w:pPr>
      <w:r>
        <w:rPr>
          <w:b/>
        </w:rPr>
        <w:t xml:space="preserve">Source: </w:t>
      </w:r>
      <w:r>
        <w:t>Wiley: Advanced Materials: Table of Contents</w:t>
      </w:r>
      <w:r>
        <w:t xml:space="preserve">    </w:t>
      </w:r>
      <w:r>
        <w:rPr>
          <w:b/>
        </w:rPr>
        <w:t xml:space="preserve">Pub date: </w:t>
      </w:r>
      <w:r>
        <w:t>2026-05-25 07:51:18+00:00</w:t>
      </w:r>
      <w:r>
        <w:t xml:space="preserve">    </w:t>
      </w:r>
      <w:r>
        <w:rPr>
          <w:b/>
        </w:rPr>
        <w:t xml:space="preserve">DOI: </w:t>
      </w:r>
      <w:hyperlink r:id="rId427">
        <w:r>
          <w:rPr>
            <w:color w:val="1155CC"/>
            <w:u w:val="single"/>
          </w:rPr>
          <w:t>10.1002/adma.73480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血液灌流是一种通过体外吸附剂循环血液以清除毒素的治疗技术，面临着通过简单且环保的表面工程策略同时增强血液灌流材料（HPM）的吸附性能和血液相容性的挑战。在此，提出了一种一步淀粉样蛋白介导的表面修饰方法，通过将 HPM 浸入相变牛血清白蛋白（PTB）水溶液中来封装 HPM。所得的类淀粉样蛋白PTB纳米涂层改性活性炭对尿素和肌酐的吸附能力增加了近四倍，并且对其他有害物质的吸附显着增强，包括重金属铬离子、药物诺氟沙星、中分子毒素胆红素和大分子毒素白细胞介素-6。此外，活性炭的血液相容性通过减少碳碎片的形成、最大限度地减少对血细胞的损伤、有效减轻血浆蛋白的非特异性吸附、同时抵抗血小板粘附而得到显着改善。使用多种慢性肾病动物模型在体内验证了其卓越的血液净化性能。值得注意的是，该策略广泛适用于各种 HPM，例如聚合物树脂和碳纳米管和金属有机框架等新兴材料，提供了一种有效且高度通用的表面工程方法，可增强各种血液净化材料的性能，具有显着的临床效果。</w:t>
      </w:r>
    </w:p>
    <w:p>
      <w:pPr>
        <w:spacing w:before="0" w:after="200" w:lineRule="auto" w:line="276"/>
      </w:pPr>
      <w:r>
        <w:rPr>
          <w:b/>
        </w:rPr>
        <w:t xml:space="preserve">Abstract (EN): </w:t>
      </w:r>
      <w:r>
        <w:t>Hemoperfusion, a therapeutic technique in which blood is circulated through extracorporeal adsorbents to remove toxins, faces the challenge of simultaneously enhancing the adsorption performance and hemocompatibility of hemoperfusion materials (HPMs) through a facile and eco‐friendly surface engineering strategy. Herein, a one‐step amyloid‐mediated surface modification method is proposed to encapsulate HPMs by immersing them in a phase‐transitioned bovine serum albumin (PTB) aqueous solution. The resultant amyloid‐like PTB nanocoating modified activated carbon exhibited a nearly four‐fold increase in the adsorption capacity for urea and creatinine, as well as significantly enhanced adsorption toward other harmful substances, including heavy metal chromium ion, drug norfloxacin, medium‐molecule toxin bilirubin, and large‐molecule toxin interleukin‐6. Additionally, the hemocompatibility of activated carbon is substantially improved by reducing carbon debris formation, minimizing damage to blood cells, and effectively alleviating non‐specific adsorption of plasma proteins while resisting platelet adhesion. The superior blood purification performance was validated in vivo using multiple animal models of chronic kidney disease. Notably, this strategy is broadly applicable to various HPMs, such as polymeric resins and emerging materials such as carbon nanotubes and metal‐organic frameworks, offering an effective and highly general surface engineering approach to enhance the performance of various blood purification materials with significant clinical implications.</w:t>
      </w:r>
    </w:p>
    <w:p>
      <w:pPr>
        <w:spacing w:before="120" w:after="120"/>
      </w:pPr>
      <w:r>
        <w:rPr>
          <w:sz w:val="18"/>
        </w:rPr>
        <w:t>——————————————————————————————————————————————————————————————————————</w:t>
      </w:r>
    </w:p>
    <w:p>
      <w:pPr>
        <w:spacing w:before="160" w:after="40" w:line="240" w:lineRule="auto"/>
      </w:pPr>
      <w:r>
        <w:rPr>
          <w:b/>
        </w:rPr>
        <w:t xml:space="preserve">[77] </w:t>
      </w:r>
      <w:hyperlink r:id="rId428">
        <w:r>
          <w:rPr>
            <w:color w:val="1155CC"/>
            <w:u w:val="single"/>
          </w:rPr>
          <w:t>稳定六氰基三亚甲基环丙烷电子受体——结构和光物理表征</w:t>
        </w:r>
      </w:hyperlink>
    </w:p>
    <w:p>
      <w:pPr>
        <w:spacing w:before="0" w:after="80"/>
      </w:pPr>
      <w:r>
        <w:rPr>
          <w:i/>
          <w:sz w:val="20"/>
        </w:rPr>
        <w:t>EN: Stabilizing the Hexacyanotrimethylenecyclopropane Electron Acceptor—Structural and Photophysical Characterization</w:t>
      </w:r>
    </w:p>
    <w:p>
      <w:pPr>
        <w:spacing w:before="0" w:after="120"/>
      </w:pPr>
      <w:r>
        <w:rPr>
          <w:b/>
        </w:rPr>
        <w:t xml:space="preserve">Source: </w:t>
      </w:r>
      <w:r>
        <w:t>Wiley: Angewandte Chemie International Edition: Table of Contents</w:t>
      </w:r>
      <w:r>
        <w:t xml:space="preserve">    </w:t>
      </w:r>
      <w:r>
        <w:rPr>
          <w:b/>
        </w:rPr>
        <w:t xml:space="preserve">Pub date: </w:t>
      </w:r>
      <w:r>
        <w:t>2026-05-25 08:49:38+00:00</w:t>
      </w:r>
      <w:r>
        <w:t xml:space="preserve">    </w:t>
      </w:r>
      <w:r>
        <w:rPr>
          <w:b/>
        </w:rPr>
        <w:t xml:space="preserve">DOI: </w:t>
      </w:r>
      <w:hyperlink r:id="rId429">
        <w:r>
          <w:rPr>
            <w:color w:val="1155CC"/>
            <w:u w:val="single"/>
          </w:rPr>
          <w:t>10.1002/anie.5081033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六氰基三亚甲基环丙烷（</w:t>
      </w:r>
      <w:r>
        <w:t xml:space="preserve"> </w:t>
      </w:r>
      <w:r>
        <w:t>CN6CP</w:t>
      </w:r>
      <w:r>
        <w:t xml:space="preserve"> </w:t>
      </w:r>
      <w:r>
        <w:t>）是一种中性形式的非常强的有机电子受体，广泛应用于分子掺杂以诱导电荷转移过程并启用电化学系统。然而，其基本分子特性仍然很大程度上未知。在这里，我们展示了第一个全面的结构分析表征</w:t>
      </w:r>
      <w:r>
        <w:t xml:space="preserve"> </w:t>
      </w:r>
      <w:r>
        <w:t>CN6CP</w:t>
      </w:r>
      <w:r>
        <w:t xml:space="preserve"> </w:t>
      </w:r>
      <w:r>
        <w:t>，通过改进的低温合成和中性化合物的第一个固态结构实现。由此产生的过程提供了可分离的结晶</w:t>
      </w:r>
      <w:r>
        <w:t xml:space="preserve"> </w:t>
      </w:r>
      <w:r>
        <w:t>CN6CP</w:t>
      </w:r>
      <w:r>
        <w:t xml:space="preserve"> </w:t>
      </w:r>
      <w:r>
        <w:t>在 –30°C 下可稳定数周，并且可以重结晶。在所有氧化还原态中，结合红外/拉曼、紫外-可见光和核磁共振测量，以及 NICS 计算，揭示了电子密度的氧化态依赖性重新分布。这些数据表明</w:t>
      </w:r>
      <w:r>
        <w:t xml:space="preserve"> </w:t>
      </w:r>
      <w:r>
        <w:t>CN6CP</w:t>
      </w:r>
      <w:r>
        <w:t xml:space="preserve"> </w:t>
      </w:r>
      <w:r>
        <w:t>具有具有可调π离域的σ-芳香环丙烷核心，其在还原时增强，而额外的电荷主要集中在环外受体框架上。循环伏安实验揭示了两个可逆的单电子过程和 –5.85 eV 的极低 LUMO 能量，这是小有机分子报道的最低能量，显着低于 F 等基准受体的能量</w:t>
      </w:r>
      <w:r>
        <w:rPr>
          <w:vertAlign w:val="subscript"/>
        </w:rPr>
        <w:t>4</w:t>
      </w:r>
      <w:r>
        <w:t>TCNQ 或 F</w:t>
      </w:r>
      <w:r>
        <w:rPr>
          <w:vertAlign w:val="subscript"/>
        </w:rPr>
        <w:t>6</w:t>
      </w:r>
      <w:r>
        <w:t>TCNNQ。所有人在一起，</w:t>
      </w:r>
    </w:p>
    <w:p>
      <w:pPr>
        <w:spacing w:before="0" w:after="200" w:lineRule="auto" w:line="276"/>
      </w:pPr>
      <w:r>
        <w:rPr>
          <w:b/>
        </w:rPr>
        <w:t xml:space="preserve">Abstract (EN): </w:t>
      </w:r>
      <w:r>
        <w:t>Hexacyanotrimethylenecyclopropane (</w:t>
      </w:r>
      <w:r>
        <w:t xml:space="preserve"> </w:t>
      </w:r>
      <w:r>
        <w:t>CN6CP</w:t>
      </w:r>
      <w:r>
        <w:t xml:space="preserve"> </w:t>
      </w:r>
      <w:r>
        <w:t>) is an exceptionally strong organic electron acceptor in its neutral form, and widely applied for molecular doping to induce charge transfer processes and enable electrochemical systems. Yet, its fundamental molecular properties have remained largely unknown. Here, we show the first comprehensive structure‐analytical characterization of</w:t>
      </w:r>
      <w:r>
        <w:t xml:space="preserve"> </w:t>
      </w:r>
      <w:r>
        <w:t>CN6CP</w:t>
      </w:r>
      <w:r>
        <w:t xml:space="preserve"> </w:t>
      </w:r>
      <w:r>
        <w:t>, enabled by an improved, low‐temperature synthesis and the first solid‐state structure of the neutral compound. The resulting procedure affords isolable, crystalline</w:t>
      </w:r>
      <w:r>
        <w:t xml:space="preserve"> </w:t>
      </w:r>
      <w:r>
        <w:t>CN6CP</w:t>
      </w:r>
      <w:r>
        <w:t xml:space="preserve"> </w:t>
      </w:r>
      <w:r>
        <w:t>that is stable for weeks at –30°C and can be recrystallised. Across all redox states, combined IR/Raman, UV–Vis and NMR measurements, together with NICS calculations, reveal an oxidation‐state‐dependent redistribution of electron density. These data show that</w:t>
      </w:r>
      <w:r>
        <w:t xml:space="preserve"> </w:t>
      </w:r>
      <w:r>
        <w:t>CN6CP</w:t>
      </w:r>
      <w:r>
        <w:t xml:space="preserve"> </w:t>
      </w:r>
      <w:r>
        <w:t>possesses a σ‐aromatic cyclopropane core with tunable π‐delocalisation, which is enhanced upon reduction while the additional charge is predominantly localised on the exocyclic acceptor framework. Cyclic voltammetry experiments unveil two reversible one‐electron processes and an exceptionally low LUMO energy of –5.85 eV, which is the lowest reported for small organic molecules being significantly lower than those of benchmark acceptors such as F</w:t>
      </w:r>
      <w:r>
        <w:rPr>
          <w:vertAlign w:val="subscript"/>
        </w:rPr>
        <w:t>4</w:t>
      </w:r>
      <w:r>
        <w:t>TCNQ or F</w:t>
      </w:r>
      <w:r>
        <w:rPr>
          <w:vertAlign w:val="subscript"/>
        </w:rPr>
        <w:t>6</w:t>
      </w:r>
      <w:r>
        <w:t>TCNNQ. All together, these findings establish</w:t>
      </w:r>
      <w:r>
        <w:t xml:space="preserve"> </w:t>
      </w:r>
      <w:r>
        <w:t>CN6CP</w:t>
      </w:r>
      <w:r>
        <w:t xml:space="preserve"> </w:t>
      </w:r>
      <w:r>
        <w:t>as a structurally unique, extremely strong electron acceptor and provide the molecular basis underlying its performance in organic electronics and redox‐active materials.</w:t>
      </w:r>
    </w:p>
    <w:p>
      <w:pPr>
        <w:spacing w:before="120" w:after="120"/>
      </w:pPr>
      <w:r>
        <w:rPr>
          <w:sz w:val="18"/>
        </w:rPr>
        <w:t>——————————————————————————————————————————————————————————————————————</w:t>
      </w:r>
    </w:p>
    <w:p>
      <w:pPr>
        <w:spacing w:before="160" w:after="40" w:line="240" w:lineRule="auto"/>
      </w:pPr>
      <w:r>
        <w:rPr>
          <w:b/>
        </w:rPr>
        <w:t xml:space="preserve">[78] </w:t>
      </w:r>
      <w:hyperlink r:id="rId430">
        <w:r>
          <w:rPr>
            <w:color w:val="1155CC"/>
            <w:u w:val="single"/>
          </w:rPr>
          <w:t>双齿导向助剂实现未活化 π 键的催化功能化</w:t>
        </w:r>
      </w:hyperlink>
    </w:p>
    <w:p>
      <w:pPr>
        <w:spacing w:before="0" w:after="80"/>
      </w:pPr>
      <w:r>
        <w:rPr>
          <w:i/>
          <w:sz w:val="20"/>
        </w:rPr>
        <w:t>EN: Catalytic Functionalization of Unactivated π‐Bonds Enabled by Bidentate Directing Auxiliaries</w:t>
      </w:r>
    </w:p>
    <w:p>
      <w:pPr>
        <w:spacing w:before="0" w:after="120"/>
      </w:pPr>
      <w:r>
        <w:rPr>
          <w:b/>
        </w:rPr>
        <w:t xml:space="preserve">Source: </w:t>
      </w:r>
      <w:r>
        <w:t>Wiley: Angewandte Chemie International Edition: Table of Contents</w:t>
      </w:r>
      <w:r>
        <w:t xml:space="preserve">    </w:t>
      </w:r>
      <w:r>
        <w:rPr>
          <w:b/>
        </w:rPr>
        <w:t xml:space="preserve">Pub date: </w:t>
      </w:r>
      <w:r>
        <w:t>2026-05-25 08:52:39+00:00</w:t>
      </w:r>
      <w:r>
        <w:t xml:space="preserve">    </w:t>
      </w:r>
      <w:r>
        <w:rPr>
          <w:b/>
        </w:rPr>
        <w:t xml:space="preserve">DOI: </w:t>
      </w:r>
      <w:hyperlink r:id="rId431">
        <w:r>
          <w:rPr>
            <w:color w:val="1155CC"/>
            <w:u w:val="single"/>
          </w:rPr>
          <w:t>10.1002/anie.4046829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未活化π键的催化功能化是现代有机合成的基石，为复杂分子提供了有效的途径。双齿导向辅助策略的出现从根本上重塑并显着拓宽了过渡金属催化的π键功能化的范围。该策略的一个关键特征是形成螯合中间体，其中与烯烃或炔底物相连的双齿导向助剂与过渡金属催化剂强烈配位。这种螯合提供了许多优点，包括增强的反应动力学、优异的化学选择性和提高的催化剂效率，从而能够在未活化的 π 键上实现以前具有挑战性的反应类型。本综述重点介绍了双齿导向助剂在 π 键功能化方面最近取得的重大进展，重点关注钯、镍、铜和其他过渡金属催化的转化。我们系统地讨论了主要的反应类型，包括各种底物的氢官能化、双官能化和 C-H 活化，同时强调了控制这些系统的反应性和选择性的基本设计原则。</w:t>
      </w:r>
    </w:p>
    <w:p>
      <w:pPr>
        <w:spacing w:before="0" w:after="200" w:lineRule="auto" w:line="276"/>
      </w:pPr>
      <w:r>
        <w:rPr>
          <w:b/>
        </w:rPr>
        <w:t xml:space="preserve">Abstract (EN): </w:t>
      </w:r>
      <w:r>
        <w:t>Catalytic functionalization of unactivated π‐bonds is a cornerstone of modern organic synthesis, offering efficient pathways to complex molecules. The emergence of the bidentate directing auxiliary strategy has fundamentally reshaped and significantly broadened the scope of transition‐metal‐catalyzed π‐bond functionalization. A key feature of this strategy is the formation of chelated intermediates where the bidentate directing auxiliary, tethered to the alkene or alkyne substrate, coordinates strongly to the transition metal catalyst. This chelation provides numerous advantages, including enhanced reaction kinetics, superior chemoselectivity, and improved catalyst efficiency, thereby enabling previously challenging reaction types on unactivated π‐bonds. This review highlights the recent significant progress in π‐bond functionalization enabled by bidentate directing auxiliaries, focusing on transformations catalyzed by palladium, nickel, copper, and other transition metals. We systematically discuss major reaction types, including hydrofunctionalization, difunctionalization, and C–H activation across various substrates, while emphasizing the underlying design principles that govern reactivity and selectivity in these systems.</w:t>
      </w:r>
    </w:p>
    <w:p>
      <w:pPr>
        <w:spacing w:before="120" w:after="120"/>
      </w:pPr>
      <w:r>
        <w:rPr>
          <w:sz w:val="18"/>
        </w:rPr>
        <w:t>——————————————————————————————————————————————————————————————————————</w:t>
      </w:r>
    </w:p>
    <w:p>
      <w:pPr>
        <w:spacing w:before="160" w:after="40" w:line="240" w:lineRule="auto"/>
      </w:pPr>
      <w:r>
        <w:rPr>
          <w:b/>
        </w:rPr>
        <w:t xml:space="preserve">[79] </w:t>
      </w:r>
      <w:hyperlink r:id="rId432">
        <w:r>
          <w:rPr>
            <w:color w:val="1155CC"/>
            <w:u w:val="single"/>
          </w:rPr>
          <w:t>亲电小分子的广义分析</w:t>
        </w:r>
      </w:hyperlink>
    </w:p>
    <w:p>
      <w:pPr>
        <w:spacing w:before="0" w:after="80"/>
      </w:pPr>
      <w:r>
        <w:rPr>
          <w:i/>
          <w:sz w:val="20"/>
        </w:rPr>
        <w:t>EN: Generalized Analysis of Electrophilic Small Molecules</w:t>
      </w:r>
    </w:p>
    <w:p>
      <w:pPr>
        <w:spacing w:before="0" w:after="120"/>
      </w:pPr>
      <w:r>
        <w:rPr>
          <w:b/>
        </w:rPr>
        <w:t xml:space="preserve">Source: </w:t>
      </w:r>
      <w:r>
        <w:t>Wiley: Angewandte Chemie International Edition: Table of Contents</w:t>
      </w:r>
      <w:r>
        <w:t xml:space="preserve">    </w:t>
      </w:r>
      <w:r>
        <w:rPr>
          <w:b/>
        </w:rPr>
        <w:t xml:space="preserve">Pub date: </w:t>
      </w:r>
      <w:r>
        <w:t>2026-05-25 08:53:39+00:00</w:t>
      </w:r>
      <w:r>
        <w:t xml:space="preserve">    </w:t>
      </w:r>
      <w:r>
        <w:rPr>
          <w:b/>
        </w:rPr>
        <w:t xml:space="preserve">DOI: </w:t>
      </w:r>
      <w:hyperlink r:id="rId433">
        <w:r>
          <w:rPr>
            <w:color w:val="1155CC"/>
            <w:u w:val="single"/>
          </w:rPr>
          <w:t>10.1002/anie.8895173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建筑几乎普遍采用高度定制的产品特定分析。向通用性的转变将消除这一关键瓶颈。在这里，我们介绍如何利用亲电性的基本化学性质来推广反应分析。通过使用简单的硫醇探针，我们将亲电小分子的定制分析方案转化为串联质谱的单一广义读数。我们将该策略应用于共价抑制剂中常见的丙烯酰胺，随后展示了如何将其扩展到其他类别的亲电小分子。这种方法在高通量化学合成中的应用简化了分析，能够快速读出以丙烯酰胺为特征的化学类似物。</w:t>
      </w:r>
    </w:p>
    <w:p>
      <w:pPr>
        <w:spacing w:before="0" w:after="200" w:lineRule="auto" w:line="276"/>
      </w:pPr>
      <w:r>
        <w:rPr>
          <w:b/>
        </w:rPr>
        <w:t xml:space="preserve">Abstract (EN): </w:t>
      </w:r>
      <w:r>
        <w:t>Chemical construction almost universally employs highly customized product‐specific analytics. A transition toward generality will remove this critical bottleneck. Here we present how the fundamental chemical property of electrophilicity can be leveraged to generalize reaction analytics. By using a simple thiol probe we transform customized analytical schemes for electrophilic small molecules into a single generalized readout by tandem mass spectrometry. We apply this strategy to acrylamides commonly found in covalent inhibitors, and subsequently show how it can be extended to other classes of electrophilic small molecules. Application of this approach to high‐throughput chemical synthesis streamlines analysis, enabling rapid readouts of chemical analogs featuring acrylamides.</w:t>
      </w:r>
    </w:p>
    <w:p>
      <w:pPr>
        <w:spacing w:before="120" w:after="120"/>
      </w:pPr>
      <w:r>
        <w:rPr>
          <w:sz w:val="18"/>
        </w:rPr>
        <w:t>——————————————————————————————————————————————————————————————————————</w:t>
      </w:r>
    </w:p>
    <w:p>
      <w:pPr>
        <w:spacing w:before="160" w:after="40" w:line="240" w:lineRule="auto"/>
      </w:pPr>
      <w:r>
        <w:rPr>
          <w:b/>
        </w:rPr>
        <w:t xml:space="preserve">[80] </w:t>
      </w:r>
      <w:hyperlink r:id="rId434">
        <w:r>
          <w:rPr>
            <w:color w:val="1155CC"/>
            <w:u w:val="single"/>
          </w:rPr>
          <w:t>通过基因组和光谱方法揭示含氮丙啶的天然产物</w:t>
        </w:r>
      </w:hyperlink>
    </w:p>
    <w:p>
      <w:pPr>
        <w:spacing w:before="0" w:after="80"/>
      </w:pPr>
      <w:r>
        <w:rPr>
          <w:i/>
          <w:sz w:val="20"/>
        </w:rPr>
        <w:t>EN: Unveiling Aziridine‐Containing Natural Products by Genomic and Spectroscopic Approaches</w:t>
      </w:r>
    </w:p>
    <w:p>
      <w:pPr>
        <w:spacing w:before="0" w:after="120"/>
      </w:pPr>
      <w:r>
        <w:rPr>
          <w:b/>
        </w:rPr>
        <w:t xml:space="preserve">Source: </w:t>
      </w:r>
      <w:r>
        <w:t>Wiley: Angewandte Chemie International Edition: Table of Contents</w:t>
      </w:r>
      <w:r>
        <w:t xml:space="preserve">    </w:t>
      </w:r>
      <w:r>
        <w:rPr>
          <w:b/>
        </w:rPr>
        <w:t xml:space="preserve">Pub date: </w:t>
      </w:r>
      <w:r>
        <w:t>2026-05-25 08:54:55+00:00</w:t>
      </w:r>
      <w:r>
        <w:t xml:space="preserve">    </w:t>
      </w:r>
      <w:r>
        <w:rPr>
          <w:b/>
        </w:rPr>
        <w:t xml:space="preserve">DOI: </w:t>
      </w:r>
      <w:hyperlink r:id="rId435">
        <w:r>
          <w:rPr>
            <w:color w:val="1155CC"/>
            <w:u w:val="single"/>
          </w:rPr>
          <w:t>10.1002/anie.8862620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含氮丙啶的天然产物因其强大的生物活性而受到重视，但其稀缺性和对其生物合成知之甚少限制了系统探索。在这里，我们通过将基因组挖掘与</w:t>
      </w:r>
      <w:r>
        <w:rPr>
          <w:vertAlign w:val="subscript"/>
        </w:rPr>
        <w:t>1</w:t>
      </w:r>
      <w:r>
        <w:t>H——</w:t>
      </w:r>
      <w:r>
        <w:rPr>
          <w:vertAlign w:val="subscript"/>
        </w:rPr>
        <w:t>13</w:t>
      </w:r>
      <w:r>
        <w:t>C 耦合 HSQC 代谢组学方法利用氮丙啶独特的 NMR 特征，能够从复杂的提取物中直接检测它们。这一策略揭示了沙漠内酯，这是第一个包含罕见末端 2-甲基-氮丙啶-2-羧酸酯部分的大环内酯。遗传和同位素研究确定了一个专门的生物合成亚群（</w:t>
      </w:r>
      <w:r>
        <w:t xml:space="preserve"> </w:t>
      </w:r>
      <w:r>
        <w:t>脱A</w:t>
      </w:r>
      <w:r>
        <w:t xml:space="preserve"> </w:t>
      </w:r>
      <w:r>
        <w:t>–</w:t>
      </w:r>
      <w:r>
        <w:t xml:space="preserve"> </w:t>
      </w:r>
      <w:r>
        <w:t>德尼</w:t>
      </w:r>
      <w:r>
        <w:t xml:space="preserve"> </w:t>
      </w:r>
      <w:r>
        <w:t>）从谷氨酸组装并安装这个单元，异源表达证实了这个子簇的自给自足。直接 MS 证据揭示了氮丙啶部分与 DesN 的活性位点 Cys113 共价结合，从而确立了该 KAS III 同系物作为第一个专用氮丙啶转移酶和聚酮化合物工程的有前途的工具。生物信息分析发现了超过 50 个生物合成基因簇，表明这种与氮丙啶相关的生物合成逻辑可能比目前认为的更为广泛。这项工作为含氮丙啶天然产物的靶向发现和工程生物合成建立了一个易于处理的平台，使这一尚未充分开发的药效团得以系统化研究。</w:t>
      </w:r>
    </w:p>
    <w:p>
      <w:pPr>
        <w:spacing w:before="0" w:after="200" w:lineRule="auto" w:line="276"/>
      </w:pPr>
      <w:r>
        <w:rPr>
          <w:b/>
        </w:rPr>
        <w:t xml:space="preserve">Abstract (EN): </w:t>
      </w:r>
      <w:r>
        <w:t>Aziridine‐containing natural products are prized for their potent bioactivities, yet their scarcity and poorly understood biosynthesis have limited systematic exploration. Here, we address this by integrating genome mining with a</w:t>
      </w:r>
      <w:r>
        <w:rPr>
          <w:vertAlign w:val="subscript"/>
        </w:rPr>
        <w:t>1</w:t>
      </w:r>
      <w:r>
        <w:t>H–</w:t>
      </w:r>
      <w:r>
        <w:rPr>
          <w:vertAlign w:val="subscript"/>
        </w:rPr>
        <w:t>13</w:t>
      </w:r>
      <w:r>
        <w:t>C coupled HSQC metabolomic approach that exploits the distinctive NMR signatures of aziridines, enabling their direct detection from complex extracts. This strategy unveiled the desertolides, the first macrolides incorporating a rare terminal 2‐methyl‐aziridine‐2‐carboxylate moiety. Genetic and isotopic studies identified a dedicated biosynthetic subcluster (</w:t>
      </w:r>
      <w:r>
        <w:t xml:space="preserve"> </w:t>
      </w:r>
      <w:r>
        <w:t>desA</w:t>
      </w:r>
      <w:r>
        <w:t xml:space="preserve"> </w:t>
      </w:r>
      <w:r>
        <w:t>–</w:t>
      </w:r>
      <w:r>
        <w:t xml:space="preserve"> </w:t>
      </w:r>
      <w:r>
        <w:t>desN</w:t>
      </w:r>
      <w:r>
        <w:t xml:space="preserve"> </w:t>
      </w:r>
      <w:r>
        <w:t>) that assembles and installs this unit from glutamate, and heterologous expression confirmed the self‐sufficiency of this subcluster. Direct MS evidence reveals the aziridine moiety covalently bound to the active‐site Cys113 of DesN, establishing this KAS III homolog as the first dedicated aziridine‐transferase and a promising tool for polyketide engineering. Bioinformatic analysis uncovered over 50 biosynthetic gene clusters, suggesting that this aziridine‐associated biosynthetic logic may be more widespread than currently appreciated. This work establishes a tractable platform for the targeted discovery and engineered biosynthesis of aziridine‐containing natural products, opening this underexplored pharmacophore to systematic interrogation.</w:t>
      </w:r>
    </w:p>
    <w:p>
      <w:pPr>
        <w:spacing w:before="120" w:after="120"/>
      </w:pPr>
      <w:r>
        <w:rPr>
          <w:sz w:val="18"/>
        </w:rPr>
        <w:t>——————————————————————————————————————————————————————————————————————</w:t>
      </w:r>
    </w:p>
    <w:p>
      <w:pPr>
        <w:spacing w:before="160" w:after="40" w:line="240" w:lineRule="auto"/>
      </w:pPr>
      <w:r>
        <w:rPr>
          <w:b/>
        </w:rPr>
        <w:t xml:space="preserve">[81] </w:t>
      </w:r>
      <w:hyperlink r:id="rId436">
        <w:r>
          <w:rPr>
            <w:color w:val="1155CC"/>
            <w:u w:val="single"/>
          </w:rPr>
          <w:t>Interleukin-15 和 Interleukin-2 的全化学合成：通过多功能增溶策略驯服蛋白质疏水性和聚集</w:t>
        </w:r>
      </w:hyperlink>
    </w:p>
    <w:p>
      <w:pPr>
        <w:spacing w:before="0" w:after="80"/>
      </w:pPr>
      <w:r>
        <w:rPr>
          <w:i/>
          <w:sz w:val="20"/>
        </w:rPr>
        <w:t>EN: Total Chemical Synthesis of Interleukin‐15 and Interleukin‐2: Taming Protein Hydrophobicity and Aggregation by a Versatile Solubilizing Strategy</w:t>
      </w:r>
    </w:p>
    <w:p>
      <w:pPr>
        <w:spacing w:before="0" w:after="120"/>
      </w:pPr>
      <w:r>
        <w:rPr>
          <w:b/>
        </w:rPr>
        <w:t xml:space="preserve">Source: </w:t>
      </w:r>
      <w:r>
        <w:t>Wiley: Angewandte Chemie International Edition: Table of Contents</w:t>
      </w:r>
      <w:r>
        <w:t xml:space="preserve">    </w:t>
      </w:r>
      <w:r>
        <w:rPr>
          <w:b/>
        </w:rPr>
        <w:t xml:space="preserve">Pub date: </w:t>
      </w:r>
      <w:r>
        <w:t>2026-05-25 08:59:44+00:00</w:t>
      </w:r>
      <w:r>
        <w:t xml:space="preserve">    </w:t>
      </w:r>
      <w:r>
        <w:rPr>
          <w:b/>
        </w:rPr>
        <w:t xml:space="preserve">DOI: </w:t>
      </w:r>
      <w:hyperlink r:id="rId437">
        <w:r>
          <w:rPr>
            <w:color w:val="1155CC"/>
            <w:u w:val="single"/>
          </w:rPr>
          <w:t>10.1002/anie.2586132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疏水性和易聚集的蛋白质仍然是蛋白质化学合成和工程的障碍。由于固有的序列疏水性和严重的肽聚集，白细胞介素-15 (IL-15) 的化学合成是一项艰巨的挑战，阻碍了下游蛋白质工程和化学生物学研究。在这里，我们报告了使用多功能增溶策略 (RST-2.0) 的 IL-15 的首次全合成，该策略能够制备和连接易于聚集的片段，同时在折叠过程中易于移除。值得注意的是，该策略与糖肽合成完全兼容，允许合成均质 N79 糖基化的 IL-15。通过野生型和叠氮化物标记的白介素-2 (IL-2) 类似物的有效合成，进一步证明了 RST-2.0 的有效性。此外，IL-15 和 IL-2 类似物的生物活性通过 CTLL-2 增殖测定和微量热泳 (MST) 进行了验证。这项工作提供了一个</w:t>
      </w:r>
      <w:r>
        <w:t xml:space="preserve"> </w:t>
      </w:r>
      <w:r>
        <w:t>从头</w:t>
      </w:r>
      <w:r>
        <w:t xml:space="preserve"> </w:t>
      </w:r>
      <w:r>
        <w:t>合成方法阐明了 N-糖基化对 IL-15 介导的免疫调节的作用，并为开发基于合成 IL-15 变体的下一代癌症免疫疗法奠定了基础。</w:t>
      </w:r>
    </w:p>
    <w:p>
      <w:pPr>
        <w:spacing w:before="0" w:after="200" w:lineRule="auto" w:line="276"/>
      </w:pPr>
      <w:r>
        <w:rPr>
          <w:b/>
        </w:rPr>
        <w:t xml:space="preserve">Abstract (EN): </w:t>
      </w:r>
      <w:r>
        <w:t>Hydrophobic and aggregation‐prone proteins still present obstacles for protein chemical synthesis and engineering. The chemical synthesis of Interleukin‐15 (IL‐15) is a formidable challenge due to inherent sequence hydrophobicity and severe peptide aggregation, which impedes downstream protein engineering and chemical biology studies. Here, we report the first total synthesis of IL‐15 using a versatile solubilizing strategy (RST‐2.0), which enables the preparation and ligation of aggregation‐prone segments while being readily removable during folding. Remarkably, this strategy is fully compatible with glycopeptide synthesis, allowing for the synthesis of homogeneously N79‐glycosylated IL‐15. The effectiveness of RST‐2.0 was further demonstrated through the efficient synthesis of wild‐type and azide‐labeled Interleukin‐2 (IL‐2) analogs. Moreover, the bioactivity of IL‐15 and IL‐2 analogs was validated by CTLL‐2 proliferation assays and microscale thermophoresis (MST). This work provides a</w:t>
      </w:r>
      <w:r>
        <w:t xml:space="preserve"> </w:t>
      </w:r>
      <w:r>
        <w:t>de novo</w:t>
      </w:r>
      <w:r>
        <w:t xml:space="preserve"> </w:t>
      </w:r>
      <w:r>
        <w:t>synthesis approach to elucidate the role of N‐glycosylation on IL‐15‐mediated immune regulation and lays the foundation for developing next‐generation cancer immunotherapies based on synthetic IL‐15 variants.</w:t>
      </w:r>
    </w:p>
    <w:p>
      <w:pPr>
        <w:spacing w:before="120" w:after="120"/>
      </w:pPr>
      <w:r>
        <w:rPr>
          <w:sz w:val="18"/>
        </w:rPr>
        <w:t>——————————————————————————————————————————————————————————————————————</w:t>
      </w:r>
    </w:p>
    <w:p>
      <w:pPr>
        <w:spacing w:before="160" w:after="40" w:line="240" w:lineRule="auto"/>
      </w:pPr>
      <w:r>
        <w:rPr>
          <w:b/>
        </w:rPr>
        <w:t xml:space="preserve">[82] </w:t>
      </w:r>
      <w:hyperlink r:id="rId438">
        <w:r>
          <w:rPr>
            <w:color w:val="1155CC"/>
            <w:u w:val="single"/>
          </w:rPr>
          <w:t>针对超过 900 nm 的溶液加工纯膜近红外 OLED 的严格而强大的供体策略</w:t>
        </w:r>
      </w:hyperlink>
    </w:p>
    <w:p>
      <w:pPr>
        <w:spacing w:before="0" w:after="80"/>
      </w:pPr>
      <w:r>
        <w:rPr>
          <w:i/>
          <w:sz w:val="20"/>
        </w:rPr>
        <w:t>EN: A Rigid and Strong Donor Strategy for Solution‐Processed Neat‐Film Near‐Infrared OLEDs Beyond 900 nm</w:t>
      </w:r>
    </w:p>
    <w:p>
      <w:pPr>
        <w:spacing w:before="0" w:after="120"/>
      </w:pPr>
      <w:r>
        <w:rPr>
          <w:b/>
        </w:rPr>
        <w:t xml:space="preserve">Source: </w:t>
      </w:r>
      <w:r>
        <w:t>Wiley: Angewandte Chemie International Edition: Table of Contents</w:t>
      </w:r>
      <w:r>
        <w:t xml:space="preserve">    </w:t>
      </w:r>
      <w:r>
        <w:rPr>
          <w:b/>
        </w:rPr>
        <w:t xml:space="preserve">Pub date: </w:t>
      </w:r>
      <w:r>
        <w:t>2026-05-25 09:02:17+00:00</w:t>
      </w:r>
      <w:r>
        <w:t xml:space="preserve">    </w:t>
      </w:r>
      <w:r>
        <w:rPr>
          <w:b/>
        </w:rPr>
        <w:t xml:space="preserve">DOI: </w:t>
      </w:r>
      <w:hyperlink r:id="rId439">
        <w:r>
          <w:rPr>
            <w:color w:val="1155CC"/>
            <w:u w:val="single"/>
          </w:rPr>
          <w:t>10.1002/anie.7852611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近红外 (NIR) 有机发光二极管 (OLED) 通常存在外量子效率 (EQE) 较低的问题。传统的近红外热激活延迟荧光 (TADF) 发射器主要依赖于三苯胺 (TPA) 供体，限制了进一步的分子设计。在此，我们开发了四种新型 NIR-TADF 发射器，其中包含刚性且强给电子的供体单元，其中通过调节受体框架上氰基的连接位置来微调电荷转移特性。溶液处理的纯薄膜 OLED 表现出 867 至 922 nm 的电致发光。值得注意的是，基于 tBPz-CN36 的器件在 922 nm 处实现了 0.01% 的 EQE，这是该光谱区域中纯膜 NIR TADF OLED 报告的最高值之​​一。这项工作表明，引入独立于 TPA 系统的刚性供体，再加上通过调节氰基连接位置进行受体位点工程，为实现超越传统 TPA 架构的长波长 NIR TADF 发射提供了有效的分子策略。</w:t>
      </w:r>
    </w:p>
    <w:p>
      <w:pPr>
        <w:spacing w:before="0" w:after="200" w:lineRule="auto" w:line="276"/>
      </w:pPr>
      <w:r>
        <w:rPr>
          <w:b/>
        </w:rPr>
        <w:t xml:space="preserve">Abstract (EN): </w:t>
      </w:r>
      <w:r>
        <w:t>Near‐infrared (NIR) organic light‐emitting diodes (OLEDs) generally suffer from low external quantum efficiencies (EQEs). Conventional NIR thermally activated delayed fluorescence (TADF) emitters predominantly rely on triphenylamine (TPA)‐based donors, restricting further molecular design. Herein, we develop four new NIR‐TADF emitters incorporating a rigid and strongly electron‐donating donor unit, in which the charge‐transfer characteristics are finely tuned by regulating the connection positions of cyano groups on the acceptor framework. Solution‐processed neat‐film OLEDs exhibit electroluminescence from 867 to 922 nm. Notably, the device based on tBPz‐CN36 achieves an EQE of 0.01% at 922 nm, representing one of the highest values reported for neat‐film NIR TADF OLEDs in this spectral region. This work demonstrates that the introduction of a rigid donor that is independent of the TPA system, together with acceptor‐site engineering through regulation of cyano connection positions, provides an effective molecular strategy for achieving long‐wavelength NIR TADF emission beyond conventional TPA architectures.</w:t>
      </w:r>
    </w:p>
    <w:p>
      <w:pPr>
        <w:spacing w:before="120" w:after="120"/>
      </w:pPr>
      <w:r>
        <w:rPr>
          <w:sz w:val="18"/>
        </w:rPr>
        <w:t>——————————————————————————————————————————————————————————————————————</w:t>
      </w:r>
    </w:p>
    <w:p>
      <w:pPr>
        <w:spacing w:before="160" w:after="40" w:line="240" w:lineRule="auto"/>
      </w:pPr>
      <w:r>
        <w:rPr>
          <w:b/>
        </w:rPr>
        <w:t xml:space="preserve">[83] </w:t>
      </w:r>
      <w:hyperlink r:id="rId440">
        <w:r>
          <w:rPr>
            <w:color w:val="1155CC"/>
            <w:u w:val="single"/>
          </w:rPr>
          <w:t>[ASAP] 通过原子稳定剂锁定理论指导合成稳定的低核团簇催化剂</w:t>
        </w:r>
      </w:hyperlink>
    </w:p>
    <w:p>
      <w:pPr>
        <w:spacing w:before="0" w:after="80"/>
      </w:pPr>
      <w:r>
        <w:rPr>
          <w:i/>
          <w:sz w:val="20"/>
        </w:rPr>
        <w:t>EN: [ASAP] Theory-Guided Synthesis of Stable Low-Nuclearity Cluster Catalysts via Atom-Stabilizer Locking</w:t>
      </w:r>
    </w:p>
    <w:p>
      <w:pPr>
        <w:spacing w:before="0" w:after="120"/>
      </w:pPr>
      <w:r>
        <w:rPr>
          <w:b/>
        </w:rPr>
        <w:t xml:space="preserve">Source: </w:t>
      </w:r>
      <w:r>
        <w:t>Journal of the American Chemical Society: Latest Articles (ACS Publications)</w:t>
      </w:r>
      <w:r>
        <w:t xml:space="preserve">    </w:t>
      </w:r>
      <w:r>
        <w:rPr>
          <w:b/>
        </w:rPr>
        <w:t xml:space="preserve">Pub date: </w:t>
      </w:r>
      <w:r>
        <w:t>2026-05-25 09:27:39+00:00</w:t>
      </w:r>
      <w:r>
        <w:t xml:space="preserve">    </w:t>
      </w:r>
      <w:r>
        <w:rPr>
          <w:b/>
        </w:rPr>
        <w:t xml:space="preserve">DOI: </w:t>
      </w:r>
      <w:hyperlink r:id="rId441">
        <w:r>
          <w:rPr>
            <w:color w:val="1155CC"/>
            <w:u w:val="single"/>
          </w:rPr>
          <w:t>10.1021/jacs.6c05609</w:t>
        </w:r>
      </w:hyperlink>
    </w:p>
    <w:p>
      <w:pPr>
        <w:spacing w:before="0" w:after="120"/>
      </w:pPr>
      <w:r>
        <w:rPr>
          <w:b/>
        </w:rPr>
        <w:t xml:space="preserve">Notes: </w:t>
      </w:r>
      <w:r>
        <w:t>abstract_source=openalex</w:t>
      </w:r>
    </w:p>
    <w:p>
      <w:pPr>
        <w:spacing w:before="0" w:after="80" w:lineRule="auto" w:line="276"/>
      </w:pPr>
      <w:r>
        <w:rPr>
          <w:b/>
        </w:rPr>
        <w:t xml:space="preserve">摘要（ZH）: </w:t>
      </w:r>
      <w:r>
        <w:t>低核团簇（LNC）具有最大的原子利用率和独特的电子结构，引起了众多领域的广泛兴趣。然而，由于高表面自由能，它们固有的热力学不稳定性严重阻碍了它们的实际应用，特别是在多相催化中。在这里，我们报告了一种以理论为指导的通用合成策略来克服这一挑战。通过将氮掺杂碳上 14 个单原子和 20 个同核/异核二聚体配置的计算模型与逐个原子制造的实验验证相结合，我们证明仅高吸附能不足以防止 LNC 在高温下氢气下聚集，从而限制了它们在涉及氢气的催化反应中的应用。相反，将能够与氢中的载体形成牢固键的原子稳定剂（例如，Co或Cu原子）纳入LNC中是至关重要的。事实证明，这一策略具有普遍性。成功合成了六聚体和三聚体LNC催化剂，在400℃以上的氢气中具有极高的稳定性，为超稳定LNC催化剂的合理设计铺平了实用途径。</w:t>
      </w:r>
    </w:p>
    <w:p>
      <w:pPr>
        <w:spacing w:before="0" w:after="200" w:lineRule="auto" w:line="276"/>
      </w:pPr>
      <w:r>
        <w:rPr>
          <w:b/>
        </w:rPr>
        <w:t xml:space="preserve">Abstract (EN): </w:t>
      </w:r>
      <w:r>
        <w:t>Low-nuclearity clusters (LNCs), offering maximum atom utilization and distinct electronic structures, have attracted widespread interest across numerous fields. However, their inherent thermodynamic instability due to high surface free energy severely impedes their practical applications, especially in heterogeneous catalysis. Here, we report a theory-guided, general synthesis strategy to overcome this challenge. By integrating computational modeling of 14 single-atom and 20 homo/heteronuclear dimer configurations on nitrogen-doped carbon with experimental verification via atom-by-atom fabrication, we demonstrate that high adsorption energies alone are insufficient to prevent LNC aggregation under hydrogen at elevated temperatures, limiting their applications in hydrogen-involved catalytic reactions. Instead, incorporating an atom stabilizer (e.g., Co or Cu atoms), capable of forming robust bonds with the support in hydrogen, into LNCs is essential. This strategy has proved universal; six dimeric and three trimeric LNC catalysts with exceptionally high stability in hydrogen above 400 °C were successfully synthesized, paving a practical way for the rational design of ultrastable LNC catalysts.</w:t>
      </w:r>
    </w:p>
    <w:p>
      <w:pPr>
        <w:spacing w:before="120" w:after="120"/>
      </w:pPr>
      <w:r>
        <w:rPr>
          <w:sz w:val="18"/>
        </w:rPr>
        <w:t>——————————————————————————————————————————————————————————————————————</w:t>
      </w:r>
    </w:p>
    <w:p>
      <w:pPr>
        <w:spacing w:before="160" w:after="40" w:line="240" w:lineRule="auto"/>
      </w:pPr>
      <w:r>
        <w:rPr>
          <w:b/>
        </w:rPr>
        <w:t xml:space="preserve">[84] </w:t>
      </w:r>
      <w:hyperlink r:id="rId442">
        <w:r>
          <w:rPr>
            <w:color w:val="1155CC"/>
            <w:u w:val="single"/>
          </w:rPr>
          <w:t>各向异性 NMR 作为区分具有高构象灵活性的差向异构体的重要工具</w:t>
        </w:r>
      </w:hyperlink>
    </w:p>
    <w:p>
      <w:pPr>
        <w:spacing w:before="0" w:after="80"/>
      </w:pPr>
      <w:r>
        <w:rPr>
          <w:i/>
          <w:sz w:val="20"/>
        </w:rPr>
        <w:t>EN: Anisotropic NMR as a Crucial Tool for Differentiation of Epimers With High Conformational Flexibility</w:t>
      </w:r>
    </w:p>
    <w:p>
      <w:pPr>
        <w:spacing w:before="0" w:after="120"/>
      </w:pPr>
      <w:r>
        <w:rPr>
          <w:b/>
        </w:rPr>
        <w:t xml:space="preserve">Source: </w:t>
      </w:r>
      <w:r>
        <w:t>Wiley: Angewandte Chemie International Edition: Table of Contents</w:t>
      </w:r>
      <w:r>
        <w:t xml:space="preserve">    </w:t>
      </w:r>
      <w:r>
        <w:rPr>
          <w:b/>
        </w:rPr>
        <w:t xml:space="preserve">Pub date: </w:t>
      </w:r>
      <w:r>
        <w:t>2026-05-25 10:17:04+00:00</w:t>
      </w:r>
      <w:r>
        <w:t xml:space="preserve">    </w:t>
      </w:r>
      <w:r>
        <w:rPr>
          <w:b/>
        </w:rPr>
        <w:t xml:space="preserve">DOI: </w:t>
      </w:r>
      <w:hyperlink r:id="rId443">
        <w:r>
          <w:rPr>
            <w:color w:val="1155CC"/>
            <w:u w:val="single"/>
          </w:rPr>
          <w:t>10.1002/anie.2111490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由于各自的 NMR 特征有时存在非常细微的差异，因此识别差向异构体的正确结构非常具有挑战性。在此背景下，分析碳残留化学位移各向异性（</w:t>
      </w:r>
      <w:r>
        <w:rPr>
          <w:vertAlign w:val="subscript"/>
        </w:rPr>
        <w:t>13</w:t>
      </w:r>
      <w:r>
        <w:t>C-RCSA）和残余偶极耦合（RDC）对于区分两种四异戊二烯基甲苯喹酚差向异构类萜类化合物 C3 处的相对构型至关重要（</w:t>
      </w:r>
      <w:r>
        <w:t xml:space="preserve"> </w:t>
      </w:r>
      <w:r>
        <w:t>1a</w:t>
      </w:r>
      <w:r>
        <w:t xml:space="preserve"> </w:t>
      </w:r>
      <w:r>
        <w:t>和</w:t>
      </w:r>
      <w:r>
        <w:t xml:space="preserve"> </w:t>
      </w:r>
      <w:r>
        <w:t>1b</w:t>
      </w:r>
      <w:r>
        <w:t xml:space="preserve"> </w:t>
      </w:r>
      <w:r>
        <w:t>）。这些化合物具有两个远程定位的立体簇，并表现出显着的构象灵活性。基于 DP4 的方法（DP4+ 或</w:t>
      </w:r>
      <w:r>
        <w:t xml:space="preserve"> </w:t>
      </w:r>
      <w:r>
        <w:t>J</w:t>
      </w:r>
      <w:r>
        <w:t xml:space="preserve"> </w:t>
      </w:r>
      <w:r>
        <w:t>‐DP4) 未能区分这些差向异构体。开发了几何探索策略来研究构象多样性</w:t>
      </w:r>
      <w:r>
        <w:t xml:space="preserve"> </w:t>
      </w:r>
      <w:r>
        <w:t>1a</w:t>
      </w:r>
      <w:r>
        <w:t xml:space="preserve"> </w:t>
      </w:r>
      <w:r>
        <w:t>和</w:t>
      </w:r>
      <w:r>
        <w:t xml:space="preserve"> </w:t>
      </w:r>
      <w:r>
        <w:t>1b</w:t>
      </w:r>
      <w:r>
        <w:t xml:space="preserve"> </w:t>
      </w:r>
      <w:r>
        <w:t>同时考虑到其固有的灵活性。然后，细化构象空间并优化各向异性参数的拟合</w:t>
      </w:r>
      <w:r>
        <w:t xml:space="preserve"> </w:t>
      </w:r>
      <w:r>
        <w:t>1a</w:t>
      </w:r>
      <w:r>
        <w:t xml:space="preserve"> </w:t>
      </w:r>
      <w:r>
        <w:t>/</w:t>
      </w:r>
      <w:r>
        <w:t>1b</w:t>
      </w:r>
      <w:r>
        <w:t xml:space="preserve"> </w:t>
      </w:r>
      <w:r>
        <w:t>使用 DMSO 中的聚 HEMA 凝胶在 3 mm 半微压缩装置中进行测量，使我们能够区分它们的相对构型。</w:t>
      </w:r>
    </w:p>
    <w:p>
      <w:pPr>
        <w:spacing w:before="0" w:after="200" w:lineRule="auto" w:line="276"/>
      </w:pPr>
      <w:r>
        <w:rPr>
          <w:b/>
        </w:rPr>
        <w:t xml:space="preserve">Abstract (EN): </w:t>
      </w:r>
      <w:r>
        <w:t>Identifying the correct structures of epimers is highly challenging due to the sometimes very subtle differences in their respective NMR signatures. In this context, the analysis of carbon residual chemical shift anisotropies (</w:t>
      </w:r>
      <w:r>
        <w:rPr>
          <w:vertAlign w:val="subscript"/>
        </w:rPr>
        <w:t>13</w:t>
      </w:r>
      <w:r>
        <w:t>C‐RCSAs) and residual dipolar couplings (RDCs) was essential for distinguishing the relative configurations of two tetraprenyltoluquinol epimeric meroterpenoids at C3 (</w:t>
      </w:r>
      <w:r>
        <w:t xml:space="preserve"> </w:t>
      </w:r>
      <w:r>
        <w:t>1a</w:t>
      </w:r>
      <w:r>
        <w:t xml:space="preserve"> </w:t>
      </w:r>
      <w:r>
        <w:t>and</w:t>
      </w:r>
      <w:r>
        <w:t xml:space="preserve"> </w:t>
      </w:r>
      <w:r>
        <w:t>1b</w:t>
      </w:r>
      <w:r>
        <w:t xml:space="preserve"> </w:t>
      </w:r>
      <w:r>
        <w:t>). These compounds feature two remotely located stereoclusters and exhibit significant conformational flexibility. DP4‐based approaches (DP4+ or</w:t>
      </w:r>
      <w:r>
        <w:t xml:space="preserve"> </w:t>
      </w:r>
      <w:r>
        <w:t>J</w:t>
      </w:r>
      <w:r>
        <w:t xml:space="preserve"> </w:t>
      </w:r>
      <w:r>
        <w:t>‐DP4) failed to differentiate these epimers. A geometric exploration strategy was developed to investigate the conformational diversity of</w:t>
      </w:r>
      <w:r>
        <w:t xml:space="preserve"> </w:t>
      </w:r>
      <w:r>
        <w:t>1a</w:t>
      </w:r>
      <w:r>
        <w:t xml:space="preserve"> </w:t>
      </w:r>
      <w:r>
        <w:t>and</w:t>
      </w:r>
      <w:r>
        <w:t xml:space="preserve"> </w:t>
      </w:r>
      <w:r>
        <w:t>1b</w:t>
      </w:r>
      <w:r>
        <w:t xml:space="preserve"> </w:t>
      </w:r>
      <w:r>
        <w:t>while accounting for their inherent flexibility. Then, refining the conformational space and optimizing the fitting of the anisotropic parameters of</w:t>
      </w:r>
      <w:r>
        <w:t xml:space="preserve"> </w:t>
      </w:r>
      <w:r>
        <w:t>1a</w:t>
      </w:r>
      <w:r>
        <w:t xml:space="preserve"> </w:t>
      </w:r>
      <w:r>
        <w:t>/</w:t>
      </w:r>
      <w:r>
        <w:t>1b</w:t>
      </w:r>
      <w:r>
        <w:t xml:space="preserve"> </w:t>
      </w:r>
      <w:r>
        <w:t>measured in a 3 mm semi‐micro compression device using poly‐HEMA gels in DMSO enabled us to discriminate the relative configuration of them.</w:t>
      </w:r>
    </w:p>
    <w:p>
      <w:pPr>
        <w:spacing w:before="120" w:after="120"/>
      </w:pPr>
      <w:r>
        <w:rPr>
          <w:sz w:val="18"/>
        </w:rPr>
        <w:t>——————————————————————————————————————————————————————————————————————</w:t>
      </w:r>
    </w:p>
    <w:p>
      <w:pPr>
        <w:spacing w:before="160" w:after="40" w:line="240" w:lineRule="auto"/>
      </w:pPr>
      <w:r>
        <w:rPr>
          <w:b/>
        </w:rPr>
        <w:t xml:space="preserve">[85] </w:t>
      </w:r>
      <w:hyperlink r:id="rId444">
        <w:r>
          <w:rPr>
            <w:color w:val="1155CC"/>
            <w:u w:val="single"/>
          </w:rPr>
          <w:t>新型非细胞毒性酰基次膦酸盐和酰基氧化膦光引发剂</w:t>
        </w:r>
      </w:hyperlink>
    </w:p>
    <w:p>
      <w:pPr>
        <w:spacing w:before="0" w:after="80"/>
      </w:pPr>
      <w:r>
        <w:rPr>
          <w:i/>
          <w:sz w:val="20"/>
        </w:rPr>
        <w:t>EN: Novel Non‐Cytotoxic Acylphosphinates and Acylphosphine Oxides Photoinitiators</w:t>
      </w:r>
    </w:p>
    <w:p>
      <w:pPr>
        <w:spacing w:before="0" w:after="120"/>
      </w:pPr>
      <w:r>
        <w:rPr>
          <w:b/>
        </w:rPr>
        <w:t xml:space="preserve">Source: </w:t>
      </w:r>
      <w:r>
        <w:t>Wiley: Angewandte Chemie International Edition: Table of Contents</w:t>
      </w:r>
      <w:r>
        <w:t xml:space="preserve">    </w:t>
      </w:r>
      <w:r>
        <w:rPr>
          <w:b/>
        </w:rPr>
        <w:t xml:space="preserve">Pub date: </w:t>
      </w:r>
      <w:r>
        <w:t>2026-05-25 12:50:59+00:00</w:t>
      </w:r>
      <w:r>
        <w:t xml:space="preserve">    </w:t>
      </w:r>
      <w:r>
        <w:rPr>
          <w:b/>
        </w:rPr>
        <w:t xml:space="preserve">DOI: </w:t>
      </w:r>
      <w:hyperlink r:id="rId445">
        <w:r>
          <w:rPr>
            <w:color w:val="1155CC"/>
            <w:u w:val="single"/>
          </w:rPr>
          <w:t>10.1002/anie.6797341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研究重点设计和合成了一系列基于二苯基氧化膦（DPO）或9,10-二氢-9-氧杂-10-磷杂菲10-氧化物（DOPO）的新型酰基氧化膦（APO）和酰基次膦酸酯光引发剂，系统地研究了光化学性能、聚合效率和细胞毒性方面的结构-性能关系。聚合实验表明，DPO基光引发剂表现出优异的光聚合效率，而结构优化的DOPO基I型光引发剂也表现出良好的反应活性。生物相容性实验表明，酰基次膦酸盐（例如，(6-氧化二苯并[c,e][1,2]氧膦-6-基)(2,4,6-三甲氧基苯基)甲酮(TMO-DOPO)衍生物）对C3H10 T1/2小鼠间充质干细胞没有显着毒性，明显优于传统的2,4,6-三甲基苯甲酰基二苯基氧化膦(TPO)光引发剂。这些结果凸显了 DOPO 作为 I 型引发系统功能核心的作用，为开发新型、高效、低毒的光引发剂提供了有效的策略。</w:t>
      </w:r>
    </w:p>
    <w:p>
      <w:pPr>
        <w:spacing w:before="0" w:after="200" w:lineRule="auto" w:line="276"/>
      </w:pPr>
      <w:r>
        <w:rPr>
          <w:b/>
        </w:rPr>
        <w:t xml:space="preserve">Abstract (EN): </w:t>
      </w:r>
      <w:r>
        <w:t>This study focused on the design and synthesis of a series of novel acylphosphine oxide (APO) and acylphosphinate photoinitiators based either on diphenylphosphine oxide (DPO) or 9,10‐dihydro‐9‐oxa‐10‐phosphaphenanthrene 10‐oxide (DOPO), systematically investigating the structure–property relationships in terms of photochemical performance, polymerization efficiency and cytotoxicity. Polymerization experiments demonstrated that DPO‐based photoinitiators exhibit excellent photopolymerization efficiency, while the structurally optimized DOPO‐based Type I photoinitiators also exhibit good reactivity. Biocompatibility experiments indicate that acylphosphinates (e.g., the (6‐oxidodibenzo[c,e][1,2]oxaphosphinin‐6‐yl)(2,4,6‐trimethoxyphenyl)methanone (TMO‐DOPO) derivative) exhibit no significant toxicity toward C3H10 T1/2 mouse mesenchymal stem cells, significantly outperforming the traditional 2,4,6‐trimethylbenzoyldiphenylphosphine oxide (TPO) photoinitiator. These results highlight the DOPO role as a functional core in Type I initiation systems, providing an effective strategy for developing novel, efficient, and low‐toxicity photoinitiators.</w:t>
      </w:r>
    </w:p>
    <w:p>
      <w:pPr>
        <w:spacing w:before="120" w:after="120"/>
      </w:pPr>
      <w:r>
        <w:rPr>
          <w:sz w:val="18"/>
        </w:rPr>
        <w:t>——————————————————————————————————————————————————————————————————————</w:t>
      </w:r>
    </w:p>
    <w:p>
      <w:pPr>
        <w:spacing w:before="160" w:after="40" w:line="240" w:lineRule="auto"/>
      </w:pPr>
      <w:r>
        <w:rPr>
          <w:b/>
        </w:rPr>
        <w:t xml:space="preserve">[86] </w:t>
      </w:r>
      <w:hyperlink r:id="rId446">
        <w:r>
          <w:rPr>
            <w:color w:val="1155CC"/>
            <w:u w:val="single"/>
          </w:rPr>
          <w:t>通过轴向配体场调节电子自旋弛豫来实现阴离子传感的分子量子位</w:t>
        </w:r>
      </w:hyperlink>
    </w:p>
    <w:p>
      <w:pPr>
        <w:spacing w:before="0" w:after="80"/>
      </w:pPr>
      <w:r>
        <w:rPr>
          <w:i/>
          <w:sz w:val="20"/>
        </w:rPr>
        <w:t>EN: Molecular Qubits for Anion Sensing by Tuning Electron Spin Relaxation via Axial Ligand Field</w:t>
      </w:r>
    </w:p>
    <w:p>
      <w:pPr>
        <w:spacing w:before="0" w:after="120"/>
      </w:pPr>
      <w:r>
        <w:rPr>
          <w:b/>
        </w:rPr>
        <w:t xml:space="preserve">Source: </w:t>
      </w:r>
      <w:r>
        <w:t>Wiley: Angewandte Chemie International Edition: Table of Contents</w:t>
      </w:r>
      <w:r>
        <w:t xml:space="preserve">    </w:t>
      </w:r>
      <w:r>
        <w:rPr>
          <w:b/>
        </w:rPr>
        <w:t xml:space="preserve">Pub date: </w:t>
      </w:r>
      <w:r>
        <w:t>2026-05-25 12:52:46+00:00</w:t>
      </w:r>
      <w:r>
        <w:t xml:space="preserve">    </w:t>
      </w:r>
      <w:r>
        <w:rPr>
          <w:b/>
        </w:rPr>
        <w:t xml:space="preserve">DOI: </w:t>
      </w:r>
      <w:hyperlink r:id="rId447">
        <w:r>
          <w:rPr>
            <w:color w:val="1155CC"/>
            <w:u w:val="single"/>
          </w:rPr>
          <w:t>10.1002/anie.9746205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此前，我们报道了一种新的大环配体，</w:t>
      </w:r>
      <w:r>
        <w:t xml:space="preserve"> </w:t>
      </w:r>
      <w:r>
        <w:t>梅斯</w:t>
      </w:r>
      <w:r>
        <w:t xml:space="preserve"> </w:t>
      </w:r>
      <w:r>
        <w:t>氮</w:t>
      </w:r>
      <w:r>
        <w:rPr>
          <w:vertAlign w:val="subscript"/>
        </w:rPr>
        <w:t>6</w:t>
      </w:r>
      <w:r>
        <w:t>，这使得 Cu(</w:t>
      </w:r>
      <w:r>
        <w:t xml:space="preserve"> </w:t>
      </w:r>
      <w:r>
        <w:t>梅斯</w:t>
      </w:r>
      <w:r>
        <w:t xml:space="preserve"> </w:t>
      </w:r>
      <w:r>
        <w:t>氮</w:t>
      </w:r>
      <w:r>
        <w:rPr>
          <w:vertAlign w:val="subscript"/>
        </w:rPr>
        <w:t>6</w:t>
      </w:r>
      <w:r>
        <w:t>)(OTf)</w:t>
      </w:r>
      <w:r>
        <w:rPr>
          <w:vertAlign w:val="subscript"/>
        </w:rPr>
        <w:t>2</w:t>
      </w:r>
      <w:r>
        <w:t>。在这项研究中，我们基于方形平面 [M(</w:t>
      </w:r>
      <w:r>
        <w:t xml:space="preserve"> </w:t>
      </w:r>
      <w:r>
        <w:t>梅斯</w:t>
      </w:r>
      <w:r>
        <w:t xml:space="preserve"> </w:t>
      </w:r>
      <w:r>
        <w:t>氮</w:t>
      </w:r>
      <w:r>
        <w:rPr>
          <w:vertAlign w:val="subscript"/>
        </w:rPr>
        <w:t>6</w:t>
      </w:r>
      <w:r>
        <w:t>)]</w:t>
      </w:r>
      <w:r>
        <w:t xml:space="preserve"> </w:t>
      </w:r>
      <w:r>
        <w:t>2+</w:t>
      </w:r>
      <w:r>
        <w:t xml:space="preserve"> </w:t>
      </w:r>
      <w:r>
        <w:t>具有不同阴离子 X（M = Co、Cu；X = SiF、OTf 和 Cl）的基序，通过改变轴向配体来调节 Cu(II) 和 Co(II) 的电子自旋弛豫特性。对于 Cu(II)，弱配位 SiF 抗衡离子可最大限度地减少轨道角动量 (OAM) 并延长纵向弛豫时间。 Co(II) 观察到相反的趋势，其中更多的 Cl 轴向配体会降低 OAM 并延长自旋弛豫。当单占据分子轨道（SOMO）及其能量受阴离子结合影响最显着时，效果最显着。利用 Co(II) 配位的变化，我们通过弛豫测定法检测 125 µM（0.25 当量）的氯阴离子，作为纵向自旋弛豫 (T</w:t>
      </w:r>
      <w:r>
        <w:rPr>
          <w:vertAlign w:val="subscript"/>
        </w:rPr>
        <w:t>1</w:t>
      </w:r>
      <w:r>
        <w:t>）。此外，氯配位使 T</w:t>
      </w:r>
      <w:r>
        <w:t xml:space="preserve"> </w:t>
      </w:r>
      <w:r>
        <w:t>米</w:t>
      </w:r>
      <w:r>
        <w:t xml:space="preserve"> </w:t>
      </w:r>
      <w:r>
        <w:t>基于 Hahn 回波的 Co(II)-氯化物检测。总体而言，我们展示了电的可预测变化</w:t>
      </w:r>
    </w:p>
    <w:p>
      <w:pPr>
        <w:spacing w:before="0" w:after="200" w:lineRule="auto" w:line="276"/>
      </w:pPr>
      <w:r>
        <w:rPr>
          <w:b/>
        </w:rPr>
        <w:t xml:space="preserve">Abstract (EN): </w:t>
      </w:r>
      <w:r>
        <w:t>Previously, we reported a new macrocyclic ligand,</w:t>
      </w:r>
      <w:r>
        <w:t xml:space="preserve"> </w:t>
      </w:r>
      <w:r>
        <w:t>Mes</w:t>
      </w:r>
      <w:r>
        <w:t xml:space="preserve"> </w:t>
      </w:r>
      <w:r>
        <w:t>N</w:t>
      </w:r>
      <w:r>
        <w:rPr>
          <w:vertAlign w:val="subscript"/>
        </w:rPr>
        <w:t>6</w:t>
      </w:r>
      <w:r>
        <w:t>, which enables the room‐temperature coherence of Cu(</w:t>
      </w:r>
      <w:r>
        <w:t xml:space="preserve"> </w:t>
      </w:r>
      <w:r>
        <w:t>Mes</w:t>
      </w:r>
      <w:r>
        <w:t xml:space="preserve"> </w:t>
      </w:r>
      <w:r>
        <w:t>N</w:t>
      </w:r>
      <w:r>
        <w:rPr>
          <w:vertAlign w:val="subscript"/>
        </w:rPr>
        <w:t>6</w:t>
      </w:r>
      <w:r>
        <w:t>)(OTf)</w:t>
      </w:r>
      <w:r>
        <w:rPr>
          <w:vertAlign w:val="subscript"/>
        </w:rPr>
        <w:t>2</w:t>
      </w:r>
      <w:r>
        <w:t>. In this study, we characterize a new series of complexes based on the square planar [M(</w:t>
      </w:r>
      <w:r>
        <w:t xml:space="preserve"> </w:t>
      </w:r>
      <w:r>
        <w:t>Mes</w:t>
      </w:r>
      <w:r>
        <w:t xml:space="preserve"> </w:t>
      </w:r>
      <w:r>
        <w:t>N</w:t>
      </w:r>
      <w:r>
        <w:rPr>
          <w:vertAlign w:val="subscript"/>
        </w:rPr>
        <w:t>6</w:t>
      </w:r>
      <w:r>
        <w:t>)]</w:t>
      </w:r>
      <w:r>
        <w:t xml:space="preserve"> </w:t>
      </w:r>
      <w:r>
        <w:t>2+</w:t>
      </w:r>
      <w:r>
        <w:t xml:space="preserve"> </w:t>
      </w:r>
      <w:r>
        <w:t>motif with different anions, X, (M = Co, Cu; X = SiF, OTf, and Cl) to tune the electron spin relaxation properties of Cu(II) and Co(II) through changes to the axial ligand. For Cu(II), a weakly‐coordinating SiF counterion minimizes orbital angular momentum (OAM) and prolongs longitudinal relaxation. An inverted trend is observed for Co(II) where a more donating Cl axial ligand decreases OAM and prolongs spin relaxation. The most pronounced effect occurs when the singly‐occupied molecular orbital (SOMO) is  and its energy is most significantly impacted by anion binding. Using changes in coordination of Co(II) we detect chloride anions at 125 µM (0.25 equivalents) through relaxometry as measurable differences in longitudinal spin relaxation (T</w:t>
      </w:r>
      <w:r>
        <w:rPr>
          <w:vertAlign w:val="subscript"/>
        </w:rPr>
        <w:t>1</w:t>
      </w:r>
      <w:r>
        <w:t>). Additionally, chloride coordination enables T</w:t>
      </w:r>
      <w:r>
        <w:t xml:space="preserve"> </w:t>
      </w:r>
      <w:r>
        <w:t>m</w:t>
      </w:r>
      <w:r>
        <w:t xml:space="preserve"> </w:t>
      </w:r>
      <w:r>
        <w:t>‐based detection by Hahn echo of a Co(II)‐chloride species. Overall, we demonstrate predictable changes to electron spin relaxation through systematic variation of the axial ligand field, providing a strategy for molecular quantum sensing of anionic ligands.</w:t>
      </w:r>
    </w:p>
    <w:p>
      <w:pPr>
        <w:spacing w:before="120" w:after="120"/>
      </w:pPr>
      <w:r>
        <w:rPr>
          <w:sz w:val="18"/>
        </w:rPr>
        <w:t>——————————————————————————————————————————————————————————————————————</w:t>
      </w:r>
    </w:p>
    <w:p>
      <w:pPr>
        <w:spacing w:before="160" w:after="40" w:line="240" w:lineRule="auto"/>
      </w:pPr>
      <w:r>
        <w:rPr>
          <w:b/>
        </w:rPr>
        <w:t xml:space="preserve">[87] </w:t>
      </w:r>
      <w:hyperlink r:id="rId448">
        <w:r>
          <w:rPr>
            <w:color w:val="1155CC"/>
            <w:u w:val="single"/>
          </w:rPr>
          <w:t>定制的纳米凝胶网络拓扑使临床超声诱导的机械化学激活能够用于体内治疗</w:t>
        </w:r>
      </w:hyperlink>
    </w:p>
    <w:p>
      <w:pPr>
        <w:spacing w:before="0" w:after="80"/>
      </w:pPr>
      <w:r>
        <w:rPr>
          <w:i/>
          <w:sz w:val="20"/>
        </w:rPr>
        <w:t>EN: Tailored Nanogel Network Topology Enables Clinical Ultrasound‐Induced Mechanochemical Activation for In Vivo Therapy</w:t>
      </w:r>
    </w:p>
    <w:p>
      <w:pPr>
        <w:spacing w:before="0" w:after="120"/>
      </w:pPr>
      <w:r>
        <w:rPr>
          <w:b/>
        </w:rPr>
        <w:t xml:space="preserve">Source: </w:t>
      </w:r>
      <w:r>
        <w:t>Wiley: Angewandte Chemie International Edition: Table of Contents</w:t>
      </w:r>
      <w:r>
        <w:t xml:space="preserve">    </w:t>
      </w:r>
      <w:r>
        <w:rPr>
          <w:b/>
        </w:rPr>
        <w:t xml:space="preserve">Pub date: </w:t>
      </w:r>
      <w:r>
        <w:t>2026-05-25 12:54:26+00:00</w:t>
      </w:r>
      <w:r>
        <w:t xml:space="preserve">    </w:t>
      </w:r>
      <w:r>
        <w:rPr>
          <w:b/>
        </w:rPr>
        <w:t xml:space="preserve">DOI: </w:t>
      </w:r>
      <w:hyperlink r:id="rId449">
        <w:r>
          <w:rPr>
            <w:color w:val="1155CC"/>
            <w:u w:val="single"/>
          </w:rPr>
          <w:t>10.1002/anie.4591365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聚合物机械化学能够选择性地激活机械力团，从而实现精确的分子释放。然而，该领域长期以来依赖低频超声的强空化效应，与临床高频超声（&gt; 1 MHz）不相容，阻碍了其生物医学应用。在此，我们报告了一种纳米凝胶网络拓扑编程的机械化学策略，能够在高频（高达 2.4 MHz）和低强度（低至 2 W/cm</w:t>
      </w:r>
      <w:r>
        <w:rPr>
          <w:vertAlign w:val="subscript"/>
        </w:rPr>
        <w:t>2</w:t>
      </w:r>
      <w:r>
        <w:t>）超声波。通过引入网络拓扑作为设计参数，我们建立了纳米凝胶拓扑、超声频率和机械化学活性之间的关系，揭示了不同的网络拓扑在不同超声频率下选择性地积累机械力。同时，高频超声的热效应降低了力团的激活势垒，进一步促进其有效激活。值得注意的是，在高频超声下，纳米凝胶的激活率达到 12.6%/分钟，使其成为迄今为止报道的最有效的激活系统之一。重要的是，将纳米凝胶与临床低强度聚焦超声相结合，我们开发了一种新的超声介导的治疗范式——协同声热和机械化学治疗，通过单次短期治疗实现了晚期肿瘤的完全消除。这项工作将网络拓扑工程确立为机甲编程的通用策略</w:t>
      </w:r>
    </w:p>
    <w:p>
      <w:pPr>
        <w:spacing w:before="0" w:after="200" w:lineRule="auto" w:line="276"/>
      </w:pPr>
      <w:r>
        <w:rPr>
          <w:b/>
        </w:rPr>
        <w:t xml:space="preserve">Abstract (EN): </w:t>
      </w:r>
      <w:r>
        <w:t>Polymer mechanochemistry enables the selective mechanophore activation for precise molecular release. However, this field has long relied on the strong cavitation effects of low‐frequency ultrasound, which are incompatible with clinically high‐frequency ultrasound (&amp;gt; 1 MHz), hindering its biomedical applications. Herein, we report a nanogel network topology‐programmed mechanochemical strategy, enabling iterative activation of mechanophores under high‐frequency (up to 2.4 MHz) and low‐intensity (down to 2 W/cm</w:t>
      </w:r>
      <w:r>
        <w:rPr>
          <w:vertAlign w:val="subscript"/>
        </w:rPr>
        <w:t>2</w:t>
      </w:r>
      <w:r>
        <w:t>) ultrasound. By introducing network topology as a design parameter, we established the relationship between nanogel topology, ultrasound frequency, and mechanochemical activity, revealing that distinct network topologies selectively accumulate mechanical forces under different ultrasound frequencies. Meanwhile, the thermal effect of high‐frequency ultrasound lowers the activation barrier of mechanophores, further promoting their efficient activation. Remarkably, under high‐frequency ultrasound, nanogels achieve an activation rate of 12.6%/min, placing it among the most efficient activation systems reported to date. Importantly, combining nanogels with clinical low‐intensity focused ultrasound, we developed a new ultrasound‐mediated therapeutic paradigm—synergistic sonothermal and mechanochemical therapy, achieving complete elimination of advanced tumors with a single short treatment. This work establishes network topology engineering as a general strategy for programming mechanochemistry, and opens new opportunities for the in vivo biomedical applications of polymer mechanochemistry.</w:t>
      </w:r>
    </w:p>
    <w:p>
      <w:pPr>
        <w:spacing w:before="120" w:after="120"/>
      </w:pPr>
      <w:r>
        <w:rPr>
          <w:sz w:val="18"/>
        </w:rPr>
        <w:t>——————————————————————————————————————————————————————————————————————</w:t>
      </w:r>
    </w:p>
    <w:p>
      <w:pPr>
        <w:spacing w:before="160" w:after="40" w:line="240" w:lineRule="auto"/>
      </w:pPr>
      <w:r>
        <w:rPr>
          <w:b/>
        </w:rPr>
        <w:t xml:space="preserve">[88] </w:t>
      </w:r>
      <w:hyperlink r:id="rId450">
        <w:r>
          <w:rPr>
            <w:color w:val="1155CC"/>
            <w:u w:val="single"/>
          </w:rPr>
          <w:t>[ASAP] 用于高效自旋极化的手性共价有机框架</w:t>
        </w:r>
      </w:hyperlink>
    </w:p>
    <w:p>
      <w:pPr>
        <w:spacing w:before="0" w:after="80"/>
      </w:pPr>
      <w:r>
        <w:rPr>
          <w:i/>
          <w:sz w:val="20"/>
        </w:rPr>
        <w:t>EN: [ASAP] Chiral Covalent Organic Framework for Highly Efficient Spin Polarization</w:t>
      </w:r>
    </w:p>
    <w:p>
      <w:pPr>
        <w:spacing w:before="0" w:after="120"/>
      </w:pPr>
      <w:r>
        <w:rPr>
          <w:b/>
        </w:rPr>
        <w:t xml:space="preserve">Source: </w:t>
      </w:r>
      <w:r>
        <w:t>Journal of the American Chemical Society: Latest Articles (ACS Publications)</w:t>
      </w:r>
      <w:r>
        <w:t xml:space="preserve">    </w:t>
      </w:r>
      <w:r>
        <w:rPr>
          <w:b/>
        </w:rPr>
        <w:t xml:space="preserve">Pub date: </w:t>
      </w:r>
      <w:r>
        <w:t>2026-05-25 12:59:18+00:00</w:t>
      </w:r>
      <w:r>
        <w:t xml:space="preserve">    </w:t>
      </w:r>
      <w:r>
        <w:rPr>
          <w:b/>
        </w:rPr>
        <w:t xml:space="preserve">DOI: </w:t>
      </w:r>
      <w:hyperlink r:id="rId451">
        <w:r>
          <w:rPr>
            <w:color w:val="1155CC"/>
            <w:u w:val="single"/>
          </w:rPr>
          <w:t>10.1021/jacs.5c21153</w:t>
        </w:r>
      </w:hyperlink>
    </w:p>
    <w:p>
      <w:pPr>
        <w:spacing w:before="0" w:after="120"/>
      </w:pPr>
      <w:r>
        <w:rPr>
          <w:b/>
        </w:rPr>
        <w:t xml:space="preserve">Notes: </w:t>
      </w:r>
      <w:r>
        <w:t>abstract_source=openalex</w:t>
      </w:r>
    </w:p>
    <w:p>
      <w:pPr>
        <w:spacing w:before="0" w:after="80" w:lineRule="auto" w:line="276"/>
      </w:pPr>
      <w:r>
        <w:rPr>
          <w:b/>
        </w:rPr>
        <w:t xml:space="preserve">摘要（ZH）: </w:t>
      </w:r>
      <w:r>
        <w:t>二维手性共价有机框架（2D-CCOF）因其可定制的半导体结构和固有的手性位点而成为手性自旋电子器件的优秀候选者。然而，目前有两个关键挑战阻碍了它们的发展：首先，合成高度结晶的 2D-CCOF 薄膜的困难，其次，缺乏构建稳定的基于 2D-CCOF 的自旋电子器件的可靠方法。在此，我们成功合成了具有高结晶度和优异导电性的2D-CCOF薄膜。原位磁导探针 AFM (原位 mCP-AFM) 表征证实，这种 2D-CCOF 表现出优异的手性诱导自旋选择性 (CISS)，在室温下自旋极化超过 90%。使用石墨烯作为阻挡层，我们成功构建了基于 2D-CCOF 的稳定的半自旋阀器件，该器件表现出明显的手性依赖磁阻。石墨烯在减轻电极沉积对 CCOF 薄膜的不利影响方面发挥着关键作用。 2D-CCOF 优异的自旋选择性为有效控制电子自旋开辟了前所未有的机会，并实现了固态手性自旋电子器件。</w:t>
      </w:r>
    </w:p>
    <w:p>
      <w:pPr>
        <w:spacing w:before="0" w:after="200" w:lineRule="auto" w:line="276"/>
      </w:pPr>
      <w:r>
        <w:rPr>
          <w:b/>
        </w:rPr>
        <w:t xml:space="preserve">Abstract (EN): </w:t>
      </w:r>
      <w:r>
        <w:t>Two-dimensional chiral covalent organic frameworks (2D-CCOFs) stand out as excellent candidates for chiral spintronic devices owing to their tailorable semiconducting structures and intrinsic chiral sites. However, two critical challenges currently hinder their development: first, the difficulty in synthesizing highly crystalline 2D-CCOF films and, second, the lack of reliable methods to construct stable 2D-CCOF-based spintronic devices. Herein, we successfully synthesized a 2D-CCOF film featuring a high crystallinity and excellent conductivity. In situ magnetic conductive-probe AFM (in situ mCP-AFM) characterization confirms that this 2D-CCOF exhibits excellent chiral-induced spin selectivity (CISS), with a spin polarization over 90% at room temperature. Using graphene as a blocking layer, we have successfully constructed stable half-spin valve devices based on the 2D-CCOF, which exhibit distinct chirality-dependent magnetoresistance. Graphene plays a key role in mitigating the detrimental effect of electrode deposition on the CCOF films. The excellent spin selectivity of 2D-CCOF opens up unprecedented opportunities for efficient control of electron spin and enables solid-state chiral spintronic devices.</w:t>
      </w:r>
    </w:p>
    <w:p>
      <w:pPr>
        <w:spacing w:before="120" w:after="120"/>
      </w:pPr>
      <w:r>
        <w:rPr>
          <w:sz w:val="18"/>
        </w:rPr>
        <w:t>——————————————————————————————————————————————————————————————————————</w:t>
      </w:r>
    </w:p>
    <w:p>
      <w:pPr>
        <w:spacing w:before="160" w:after="40" w:line="240" w:lineRule="auto"/>
      </w:pPr>
      <w:r>
        <w:rPr>
          <w:b/>
        </w:rPr>
        <w:t xml:space="preserve">[89] </w:t>
      </w:r>
      <w:hyperlink r:id="rId452">
        <w:r>
          <w:rPr>
            <w:color w:val="1155CC"/>
            <w:u w:val="single"/>
          </w:rPr>
          <w:t>[ASAP] The One Ring：一种从白叶藻中产生 II 类二萜环化酶的单环酶</w:t>
        </w:r>
      </w:hyperlink>
    </w:p>
    <w:p>
      <w:pPr>
        <w:spacing w:before="0" w:after="80"/>
      </w:pPr>
      <w:r>
        <w:rPr>
          <w:i/>
          <w:sz w:val="20"/>
        </w:rPr>
        <w:t>EN: [ASAP] The One Ring: A Monocycle Producing Class II Diterpene Cyclase from Isodon leucophyllus</w:t>
      </w:r>
    </w:p>
    <w:p>
      <w:pPr>
        <w:spacing w:before="0" w:after="120"/>
      </w:pPr>
      <w:r>
        <w:rPr>
          <w:b/>
        </w:rPr>
        <w:t xml:space="preserve">Source: </w:t>
      </w:r>
      <w:r>
        <w:t>Journal of the American Chemical Society: Latest Articles (ACS Publications)</w:t>
      </w:r>
      <w:r>
        <w:t xml:space="preserve">    </w:t>
      </w:r>
      <w:r>
        <w:rPr>
          <w:b/>
        </w:rPr>
        <w:t xml:space="preserve">Pub date: </w:t>
      </w:r>
      <w:r>
        <w:t>2026-05-25 13:26:05+00:00</w:t>
      </w:r>
      <w:r>
        <w:t xml:space="preserve">    </w:t>
      </w:r>
      <w:r>
        <w:rPr>
          <w:b/>
        </w:rPr>
        <w:t xml:space="preserve">DOI: </w:t>
      </w:r>
      <w:hyperlink r:id="rId453">
        <w:r>
          <w:rPr>
            <w:color w:val="1155CC"/>
            <w:u w:val="single"/>
          </w:rPr>
          <w:t>10.1021/jacs.6c03321</w:t>
        </w:r>
      </w:hyperlink>
    </w:p>
    <w:p>
      <w:pPr>
        <w:spacing w:before="0" w:after="120"/>
      </w:pPr>
      <w:r>
        <w:rPr>
          <w:b/>
        </w:rPr>
        <w:t xml:space="preserve">Notes: </w:t>
      </w:r>
      <w:r>
        <w:t>abstract_source=openalex</w:t>
      </w:r>
    </w:p>
    <w:p>
      <w:pPr>
        <w:spacing w:before="0" w:after="80" w:lineRule="auto" w:line="276"/>
      </w:pPr>
      <w:r>
        <w:rPr>
          <w:b/>
        </w:rPr>
        <w:t xml:space="preserve">摘要（ZH）: </w:t>
      </w:r>
      <w:r>
        <w:t>长期以来，II 类二萜环化酶 (DTC) 一直被认为可以通过酸碱催化机制介导香叶基香叶基焦磷酸 (GGPP) 远端环化成双环 Labdane 相关产物，从而使焦磷酸“头”基团保持完整。尽管远端单环二萜自然存在，但历史上这些都归因于四萜类胡萝卜素降解而不是直接酶促环化。在此，报道了从白叶藻中发现了一种新型 DTC，它产生单环 (+)-triagyl 焦磷酸，因此被称为 IleuTPS，标志着此类 DTC 活性的首次报道。值得注意的是，IleuTPS 具有不寻常的 E366XDD，而不是典型的 DXDD 基序，其中“中间”天冬氨酸充当催化酸，也可以充当碱。突变分析表明，E366D 变体产生大量重排的单环无色叶酰焦磷酸和少量双环产物，表明天然谷氨酸通常充当催化碱。进一步采用同位素标记实验、量子化学计算和 TerDockin 模拟来描述酶促机制，强调单环形成背后的不寻常碎片过程，并强调催化碱基在决定产物结果中的关键作用。初步进化分析表明 IleuTPS 通过早期基因复制和新功能化产生，这种活性广泛分布在植物和潜在的其他类群中。这项研究</w:t>
      </w:r>
    </w:p>
    <w:p>
      <w:pPr>
        <w:spacing w:before="0" w:after="200" w:lineRule="auto" w:line="276"/>
      </w:pPr>
      <w:r>
        <w:rPr>
          <w:b/>
        </w:rPr>
        <w:t xml:space="preserve">Abstract (EN): </w:t>
      </w:r>
      <w:r>
        <w:t>Class II diterpene cyclases (DTCs) have long been recognized to mediate distal cyclization of geranylgeranyl pyrophosphate (GGPP) into bicyclic labdane-related products through an acid–base catalytic mechanism, leaving the pyrophosphate ‘head’ group intact. Although distal monocyclic diterpenoids naturally occur, these are historically attributed to tetraterpenoid carotenoid degradation rather than direct enzymatic cyclization. Here, the discovery of a novel DTC from Isodon leucophyllus is reported, which produces the monocyclic (+)-trixagyl pyrophosphate and is, hence, termed IleuTPS, marking the first reported instance of such DTC activity. Notably, IleuTPS harbors an unusual E366XDD instead of the prototypical DXDD motif, where the “middle” aspartate functions as the catalytic acid and can also act as the base. Mutational analysis demonstrated that the E366D variant produces substantial amounts of the rearranged monocycle leucophyllusyl pyrophosphate, and small amounts of bicyclic products, suggesting that the native glutamate typically serves as the catalytic base. Isotope labeling experiments, quantum chemical calculations, and TerDockin simulations were further employed to delineate the enzymatic mechanism, highlighting an unusual fragmentation process underlying monocycle formation and underscoring the critical role of catalytic bases in dictating product outcome. Preliminary evolutionary analyses indicate that IleuTPS arose via early gene duplication and neofunctionalization, with such activity broadly distributed across plants and potentially other taxa. This study not only unlocks new avenues for exploring the functions of long-overlooked DTCs but also reshapes our understanding of distal monocyclic diterpenoid biosynthesis.</w:t>
      </w:r>
    </w:p>
    <w:p>
      <w:pPr>
        <w:spacing w:before="120" w:after="120"/>
      </w:pPr>
      <w:r>
        <w:rPr>
          <w:sz w:val="18"/>
        </w:rPr>
        <w:t>——————————————————————————————————————————————————————————————————————</w:t>
      </w:r>
    </w:p>
    <w:p>
      <w:pPr>
        <w:spacing w:before="160" w:after="40" w:line="240" w:lineRule="auto"/>
      </w:pPr>
      <w:r>
        <w:rPr>
          <w:b/>
        </w:rPr>
        <w:t xml:space="preserve">[90] </w:t>
      </w:r>
      <w:hyperlink r:id="rId454">
        <w:r>
          <w:rPr>
            <w:color w:val="1155CC"/>
            <w:u w:val="single"/>
          </w:rPr>
          <w:t>[ASAP] DNA 靶向声动力激活增强深度和缺氧感染的抗菌功效</w:t>
        </w:r>
      </w:hyperlink>
    </w:p>
    <w:p>
      <w:pPr>
        <w:spacing w:before="0" w:after="80"/>
      </w:pPr>
      <w:r>
        <w:rPr>
          <w:i/>
          <w:sz w:val="20"/>
        </w:rPr>
        <w:t>EN: [ASAP] DNA-Targeted Sonodynamic Activation Enhances Antibacterial Efficacy in Deep and Hypoxic Infections</w:t>
      </w:r>
    </w:p>
    <w:p>
      <w:pPr>
        <w:spacing w:before="0" w:after="120"/>
      </w:pPr>
      <w:r>
        <w:rPr>
          <w:b/>
        </w:rPr>
        <w:t xml:space="preserve">Source: </w:t>
      </w:r>
      <w:r>
        <w:t>Journal of the American Chemical Society: Latest Articles (ACS Publications)</w:t>
      </w:r>
      <w:r>
        <w:t xml:space="preserve">    </w:t>
      </w:r>
      <w:r>
        <w:rPr>
          <w:b/>
        </w:rPr>
        <w:t xml:space="preserve">Pub date: </w:t>
      </w:r>
      <w:r>
        <w:t>2026-05-25 13:58:07+00:00</w:t>
      </w:r>
      <w:r>
        <w:t xml:space="preserve">    </w:t>
      </w:r>
      <w:r>
        <w:rPr>
          <w:b/>
        </w:rPr>
        <w:t xml:space="preserve">DOI: </w:t>
      </w:r>
      <w:hyperlink r:id="rId455">
        <w:r>
          <w:rPr>
            <w:color w:val="1155CC"/>
            <w:u w:val="single"/>
          </w:rPr>
          <w:t>10.1021/jacs.6c06618</w:t>
        </w:r>
      </w:hyperlink>
    </w:p>
    <w:p>
      <w:pPr>
        <w:spacing w:before="0" w:after="120"/>
      </w:pPr>
      <w:r>
        <w:rPr>
          <w:b/>
        </w:rPr>
        <w:t xml:space="preserve">Notes: </w:t>
      </w:r>
      <w:r>
        <w:t>abstract_source=pubmed</w:t>
      </w:r>
    </w:p>
    <w:p>
      <w:pPr>
        <w:spacing w:before="0" w:after="80" w:lineRule="auto" w:line="276"/>
      </w:pPr>
      <w:r>
        <w:rPr>
          <w:b/>
        </w:rPr>
        <w:t xml:space="preserve">摘要（ZH）: </w:t>
      </w:r>
      <w:r>
        <w:t>深层细菌感染仍然难以根除，因为抗生素输送和光动力疗法本质上都受到组织深度、生物膜保护和缺氧微环境的限制。声动力疗法 (SDT) 提供具有临床相关穿透深度的无创激活，但其抗菌应用受到缺乏结合高活性、目标特异性和临床相关分子支架的声敏剂的限制。在这里，我们建立了 TLD1433，一种临床先进的 Ru(II) 光敏剂，作为用于抗菌治疗的 DNA 靶向声敏剂。在超声激活下，TLD1433 表现出强大的声动力活性、占主导地位的单线态氧生成以及相对于传统声敏剂更优异的抗菌功效。从机制上讲，TLD1433 优先与细菌 DNA 结合，从而对重要的细胞内靶标产生局部氧化损伤。同时，它催化内源性 H2O2 分解产生 O2，从而缓解生物膜缺氧并增强声动力功效。因此，超声激活的 TLD1433 在小鼠铜绿假单胞菌肺炎模型和深部组织条件下患者来源的支气管肺泡灌洗液中显示出有效的抗菌功效。这项工作基于临床先进的钌络合物建立了一种机制独特的抗菌声动力策略，为针对深层和缺氧细菌感染的目标特异性声敏剂提供了设计框架。</w:t>
      </w:r>
    </w:p>
    <w:p>
      <w:pPr>
        <w:spacing w:before="0" w:after="200" w:lineRule="auto" w:line="276"/>
      </w:pPr>
      <w:r>
        <w:rPr>
          <w:b/>
        </w:rPr>
        <w:t xml:space="preserve">Abstract (EN): </w:t>
      </w:r>
      <w:r>
        <w:t>Deep-seated bacterial infections remain difficult to eradicate because both antibiotic delivery and photodynamic therapy are intrinsically constrained by tissue depth, biofilm protection, and hypoxic microenvironments. Sonodynamic therapy (SDT) offers noninvasive activation with clinically relevant penetration depth, but its antibacterial application has been limited by the scarcity of sonosensitizers that combine high activity, target specificity, and clinically relevant molecular scaffolds. Here, we establish TLD1433, a clinically advanced Ru(II) photosensitizer, as a DNA-targeting sonosensitizer for antibacterial therapy. Under ultrasound activation, TLD1433 exhibits strong sonodynamic activity, dominant singlet oxygen generation, and superior antibacterial efficacy relative to conventional sonosensitizers. Mechanistically, TLD1433 preferentially associates with bacterial DNA, thereby enabling localized oxidative damage to an essential intracellular target. In parallel, it catalyzes endogenous H2O2 decomposition to generate O2, thereby relieving biofilm hypoxia and amplifying sonodynamic efficacy. As a result, ultrasound-activated TLD1433 shows potent antibacterial efficacy in a murine Pseudomonas aeruginosa pneumonia model and in patient-derived bronchoalveolar lavage fluid under deep-tissue conditions. This work establishes a mechanistically distinct antibacterial sonodynamic strategy based on a clinically advanced ruthenium complex, providing a design framework for target-specific sonosensitizers against deep and hypoxic bacterial infections.</w:t>
      </w:r>
    </w:p>
    <w:p>
      <w:pPr>
        <w:spacing w:before="120" w:after="120"/>
      </w:pPr>
      <w:r>
        <w:rPr>
          <w:sz w:val="18"/>
        </w:rPr>
        <w:t>——————————————————————————————————————————————————————————————————————</w:t>
      </w:r>
    </w:p>
    <w:p>
      <w:pPr>
        <w:spacing w:before="160" w:after="40" w:line="240" w:lineRule="auto"/>
      </w:pPr>
      <w:r>
        <w:rPr>
          <w:b/>
        </w:rPr>
        <w:t xml:space="preserve">[91] </w:t>
      </w:r>
      <w:hyperlink r:id="rId456">
        <w:r>
          <w:rPr>
            <w:color w:val="1155CC"/>
            <w:u w:val="single"/>
          </w:rPr>
          <w:t>[ASAP] NaI 介导的脱氟：以 La2CoO3F3 作为模型系统演示的减少 Ruddlesden-Popper 氟氧化物的温和途径</w:t>
        </w:r>
      </w:hyperlink>
    </w:p>
    <w:p>
      <w:pPr>
        <w:spacing w:before="0" w:after="80"/>
      </w:pPr>
      <w:r>
        <w:rPr>
          <w:i/>
          <w:sz w:val="20"/>
        </w:rPr>
        <w:t>EN: [ASAP] NaI-Mediated Defluorination: A Mild Route to Reduced Ruddlesden–Popper Oxyfluorides Demonstrated on La2CoO3F3 as Model System</w:t>
      </w:r>
    </w:p>
    <w:p>
      <w:pPr>
        <w:spacing w:before="0" w:after="120"/>
      </w:pPr>
      <w:r>
        <w:rPr>
          <w:b/>
        </w:rPr>
        <w:t xml:space="preserve">Source: </w:t>
      </w:r>
      <w:r>
        <w:t>Journal of the American Chemical Society: Latest Articles (ACS Publications)</w:t>
      </w:r>
      <w:r>
        <w:t xml:space="preserve">    </w:t>
      </w:r>
      <w:r>
        <w:rPr>
          <w:b/>
        </w:rPr>
        <w:t xml:space="preserve">Pub date: </w:t>
      </w:r>
      <w:r>
        <w:t>2026-05-25 14:13:20+00:00</w:t>
      </w:r>
      <w:r>
        <w:t xml:space="preserve">    </w:t>
      </w:r>
      <w:r>
        <w:rPr>
          <w:b/>
        </w:rPr>
        <w:t xml:space="preserve">DOI: </w:t>
      </w:r>
      <w:hyperlink r:id="rId457">
        <w:r>
          <w:rPr>
            <w:color w:val="1155CC"/>
            <w:u w:val="single"/>
          </w:rPr>
          <w:t>10.1021/jacs.6c06828</w:t>
        </w:r>
      </w:hyperlink>
    </w:p>
    <w:p>
      <w:pPr>
        <w:spacing w:before="0" w:after="120"/>
      </w:pPr>
      <w:r>
        <w:rPr>
          <w:b/>
        </w:rPr>
        <w:t xml:space="preserve">Notes: </w:t>
      </w:r>
      <w:r>
        <w:t>abstract_source=pubmed</w:t>
      </w:r>
    </w:p>
    <w:p>
      <w:pPr>
        <w:spacing w:before="0" w:after="80" w:lineRule="auto" w:line="276"/>
      </w:pPr>
      <w:r>
        <w:rPr>
          <w:b/>
        </w:rPr>
        <w:t xml:space="preserve">摘要（ZH）: </w:t>
      </w:r>
      <w:r>
        <w:t>我们引入 NaI 作为温和试剂，用于 Ruddlesden-Popper 氟氧化物的低温拓扑化学脱氟。在拓扑化学氟化和随后的脱氟过程中，使用聚偏二氟乙烯（PVDF）或聚四氟乙烯（PTFE）作为氟源，从La2CoO4获得La2CoO3F3，并通过添加NaI将其转化为La2CoO3F2。这两个过程均通过实验室原位 X 射线衍射进行了研究，结果显示通过四种结晶中间体逐步吸收氟。随后的 NaI 处理可以控制 F- 去除，形成 La2CoO3F2。这种 Co(II) 相不能通过 La2CoO4 的直接拓扑化学氟化来获得，并且沿着 La2CoO3F3 形成途径也没有观察到。 X 射线和中子粉末衍射确定 La2CoO3F3 为单斜晶系 (P21/c)，完全占据间隙阴离子层，而 La2CoO3F2 与 La2NiO3F2 (Cccm) 是同型的，并表现出通道状间隙阴离子排列。原位 XRD 热分析用于扫描两种氟氧化物保持其结构的温度范围，磁化测量表明氟化/脱氟时钴氧化和自旋状态的变化。本研究使用 La2CoO4 → La2CoO3F3 → La2CoO3F2 反应序列作为模型系统，证明顺序拓扑化学氟化和 NaI 介导的脱氟可以在比传统氢化物还原更温和的条件下获得亚稳态、阴离子有序的 RP 氟氧化物，避免金属阳离子还原为其金属态和</w:t>
      </w:r>
    </w:p>
    <w:p>
      <w:pPr>
        <w:spacing w:before="0" w:after="200" w:lineRule="auto" w:line="276"/>
      </w:pPr>
      <w:r>
        <w:rPr>
          <w:b/>
        </w:rPr>
        <w:t xml:space="preserve">Abstract (EN): </w:t>
      </w:r>
      <w:r>
        <w:t>We introduce NaI as a mild reagent for low-temperature topochemical defluorination of Ruddlesden-Popper oxyfluorides. In a topochemical fluorination and subsequent defluorination process La2CoO3F3 is obtained from La2CoO4, using poly(vinylidene fluoride) (PVDF) or polytetrafluoroethylene (PTFE) as fluorine sources, and converted to La2CoO3F2 by the addition of NaI. Both processes were studied by laboratory in situ X-ray diffraction, which reveals a stepwise fluorine uptake through four crystalline intermediates. Subsequent NaI treatment enables controlled F- removal to form La2CoO3F2. This Co(II) phase is not accessible by direct topochemical fluorination of La2CoO4 and is not observed along the La2CoO3F3 formation pathway. X-ray and neutron powder diffraction establish La2CoO3F3 as monoclinic (P21/c) with full occupation of the interstitial anion layer, whereas La2CoO3F2 is isotypic to La2NiO3F2 (Cccm) and exhibits a channel-like interstitial anion arrangement. Thermal analysis by in situ XRD is used to scan the temperature ranges over which both oxyfluorides retain their structure, and magnetization measurements indicate the change in cobalt oxidation and spin state upon fluorination/defluorination. This study uses the La2CoO4 → La2CoO3F3 → La2CoO3F2 reaction sequence as model system to demonstrate that, sequential topochemical fluorination and NaI-mediated defluorination provides access to metastable, anion-ordered RP oxyfluorides under milder conditions than conventional hydride-based reductions, avoiding both reduction of the metal cations to their metallic state and anion substitution reactions due to size effects of the iodide ion.</w:t>
      </w:r>
    </w:p>
    <w:p>
      <w:pPr>
        <w:spacing w:before="120" w:after="120"/>
      </w:pPr>
      <w:r>
        <w:rPr>
          <w:sz w:val="18"/>
        </w:rPr>
        <w:t>——————————————————————————————————————————————————————————————————————</w:t>
      </w:r>
    </w:p>
    <w:p>
      <w:pPr>
        <w:spacing w:before="160" w:after="40" w:line="240" w:lineRule="auto"/>
      </w:pPr>
      <w:r>
        <w:rPr>
          <w:b/>
        </w:rPr>
        <w:t xml:space="preserve">[92] </w:t>
      </w:r>
      <w:hyperlink r:id="rId458">
        <w:r>
          <w:rPr>
            <w:color w:val="1155CC"/>
            <w:u w:val="single"/>
          </w:rPr>
          <w:t>[ASAP] NO+ 和 NO3– 相互中和的复杂非绝热动力学</w:t>
        </w:r>
      </w:hyperlink>
    </w:p>
    <w:p>
      <w:pPr>
        <w:spacing w:before="0" w:after="80"/>
      </w:pPr>
      <w:r>
        <w:rPr>
          <w:i/>
          <w:sz w:val="20"/>
        </w:rPr>
        <w:t>EN: [ASAP] The Intricate Nonadiabatic Dynamics of NO+ and NO3– Mutual Neutralization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2026-05-25 15:21:10+00:00</w:t>
      </w:r>
      <w:r>
        <w:t xml:space="preserve">    </w:t>
      </w:r>
      <w:r>
        <w:rPr>
          <w:b/>
        </w:rPr>
        <w:t xml:space="preserve">DOI: </w:t>
      </w:r>
      <w:hyperlink r:id="rId459">
        <w:r>
          <w:rPr>
            <w:color w:val="1155CC"/>
            <w:u w:val="single"/>
          </w:rPr>
          <w:t>10.1021/jacs.6c03637</w:t>
        </w:r>
      </w:hyperlink>
    </w:p>
    <w:p>
      <w:pPr>
        <w:spacing w:before="0" w:after="120"/>
      </w:pPr>
      <w:r>
        <w:rPr>
          <w:b/>
        </w:rPr>
        <w:t xml:space="preserve">Notes: </w:t>
      </w:r>
      <w:r>
        <w:t>abstract_source=openalex</w:t>
      </w:r>
    </w:p>
    <w:p>
      <w:pPr>
        <w:spacing w:before="0" w:after="80" w:lineRule="auto" w:line="276"/>
      </w:pPr>
      <w:r>
        <w:rPr>
          <w:b/>
        </w:rPr>
        <w:t xml:space="preserve">摘要（ZH）: </w:t>
      </w:r>
      <w:r>
        <w:t>相互中和反应在大气化学中发挥着微妙但至关重要的作用。典型电离能和电子亲和力之间的固有差距允许阳离子-阴离子反应产生多种中性产物。具体来说，NO+ 和 NO3- 离子在水存在下的相互中和在大气亚硝酸 (HONO) 的形成以及 OH 自由基的形成中发挥着关键作用。然而，分子阴离子-阳离子反应的机制和产物在很大程度上还是未知的。在这里，我们利用合并阳离子和阴离子束中低能碰撞的中性产物的三维符合成像，对孤立的 NO+ 和 NO3- 反应进行了详细的实验研究。我们发现，虽然 15 个产物通道在能量上是可访问的，但反应仅通过单一非绝热途径进行，产生 NO + NO2 + O。动量相关分析揭示了一种复杂的非绝热机制，该机制是由离子之间 ∼6 Å 距离的长程电子转移引发的，导致振动热 NO 和电子激发的 NO3 (2E') 中间体，该中间体随后发生解离，归因于与下方 NO3 的圆锥形交叉(2E”)状态。 NO+ + NO3– 中和的机理图以及特定中间体的识别为考虑在水存在下可导致 HONO 形成的竞争过程提供了基础。</w:t>
      </w:r>
    </w:p>
    <w:p>
      <w:pPr>
        <w:spacing w:before="0" w:after="200" w:lineRule="auto" w:line="276"/>
      </w:pPr>
      <w:r>
        <w:rPr>
          <w:b/>
        </w:rPr>
        <w:t xml:space="preserve">Abstract (EN): </w:t>
      </w:r>
      <w:r>
        <w:t>Mutual neutralization reactions play a subtle but crucial role in atmospheric chemistry. The intrinsic gap between typical ionization energies and electron affinities allows cation–anion reactions to produce a broad range of neutral products. Specifically, mutual neutralization of NO+ and NO3– ions in the presence of water has been proposed to play a key role in the formation of atmospheric nitrous acid (HONO) and, consequently, also OH radical formation. Nevertheless, the mechanisms and products of molecular anion–cation reactions are largely unknown. Here, we present a detailed experimental study of the isolated NO+ and NO3– reactions, using three-dimensional coincidence imaging of the neutral products of low-energy collisions in merged cation and anion beams. We found that while 15 product channels are energetically accessible, the reaction proceeds exclusively via a single nonadiabatic pathway yielding NO + NO2 + O. Momentum correlation analysis revealed an intricate nonadiabatic mechanism, initiated by a long-range electron transfer at ∼6 Å distance between the ions, resulting in vibrationally hot NO and an electronically excited NO3 (2E′) intermediate that undergoes subsequent dissociation, attributed to a conical intersection with the lower lying NO3 (2E″) state. The mechanistic picture of NO+ + NO3– neutralization and identification of specific intermediates provides a basis for considering the competing processes that in the presence of water can lead to HONO formation.</w:t>
      </w:r>
    </w:p>
    <w:p>
      <w:pPr>
        <w:spacing w:before="120" w:after="120"/>
      </w:pPr>
      <w:r>
        <w:rPr>
          <w:sz w:val="18"/>
        </w:rPr>
        <w:t>——————————————————————————————————————————————————————————————————————</w:t>
      </w:r>
    </w:p>
    <w:p>
      <w:pPr>
        <w:spacing w:before="160" w:after="40" w:line="240" w:lineRule="auto"/>
      </w:pPr>
      <w:r>
        <w:rPr>
          <w:b/>
        </w:rPr>
        <w:t xml:space="preserve">[93] </w:t>
      </w:r>
      <w:hyperlink r:id="rId460">
        <w:r>
          <w:rPr>
            <w:color w:val="1155CC"/>
            <w:u w:val="single"/>
          </w:rPr>
          <w:t>[ASAP] 催化对映选择性脱芳构化 [2,3]-Wittig 重排可产生不同的 [2,3]-、[1,2]- 和 Sommelet–Hauser 型产品</w:t>
        </w:r>
      </w:hyperlink>
    </w:p>
    <w:p>
      <w:pPr>
        <w:spacing w:before="0" w:after="80"/>
      </w:pPr>
      <w:r>
        <w:rPr>
          <w:i/>
          <w:sz w:val="20"/>
        </w:rPr>
        <w:t>EN: [ASAP] Catalytic Enantioselective Dearomatizing [2,3]-Wittig Rearrangements Allow Divergent [2,3]-, [1,2]-, and Sommelet–Hauser-Type Products</w:t>
      </w:r>
    </w:p>
    <w:p>
      <w:pPr>
        <w:spacing w:before="0" w:after="120"/>
      </w:pPr>
      <w:r>
        <w:rPr>
          <w:b/>
        </w:rPr>
        <w:t xml:space="preserve">Source: </w:t>
      </w:r>
      <w:r>
        <w:t>Journal of the American Chemical Society: Latest Articles (ACS Publications)</w:t>
      </w:r>
      <w:r>
        <w:t xml:space="preserve">    </w:t>
      </w:r>
      <w:r>
        <w:rPr>
          <w:b/>
        </w:rPr>
        <w:t xml:space="preserve">Pub date: </w:t>
      </w:r>
      <w:r>
        <w:t>2026-05-25 15:38:16+00:00</w:t>
      </w:r>
      <w:r>
        <w:t xml:space="preserve">    </w:t>
      </w:r>
      <w:r>
        <w:rPr>
          <w:b/>
        </w:rPr>
        <w:t xml:space="preserve">DOI: </w:t>
      </w:r>
      <w:hyperlink r:id="rId461">
        <w:r>
          <w:rPr>
            <w:color w:val="1155CC"/>
            <w:u w:val="single"/>
          </w:rPr>
          <w:t>10.1021/jacs.6c04473</w:t>
        </w:r>
      </w:hyperlink>
    </w:p>
    <w:p>
      <w:pPr>
        <w:spacing w:before="0" w:after="120"/>
      </w:pPr>
      <w:r>
        <w:rPr>
          <w:b/>
        </w:rPr>
        <w:t xml:space="preserve">Notes: </w:t>
      </w:r>
      <w:r>
        <w:t>abstract_source=openalex</w:t>
      </w:r>
    </w:p>
    <w:p>
      <w:pPr>
        <w:spacing w:before="0" w:after="80" w:lineRule="auto" w:line="276"/>
      </w:pPr>
      <w:r>
        <w:rPr>
          <w:b/>
        </w:rPr>
        <w:t xml:space="preserve">摘要（ZH）: </w:t>
      </w:r>
      <w:r>
        <w:t>涉及悬垂（杂）芳族取代基的 C=C 键的催化对映选择性脱芳构化 [2,3]-重排过程的发展仍然是一个公认的重大挑战，主要是由于该过程中与芳香性损失相关的能量损失。该领域最常见的策略依赖于鎓叶立德中间体的重排，然后进行重芳构化，以生成 Sommelet-Hauser 型产品。迄今为止仅公开了有限的对映选择性变体。在本文中，证明了使用手性双功​​能亚氨基正膦（BIMP）催化剂对羟吲哚取代的杂芳基醚进行对映选择性脱芳构化[2,3]-Wittig重排。观察到溶剂依赖性反应性，1,4-二恶烷允许优先获得高度对映体富集的 [2,3]-Wittig 重排产物（高达 94:6 dr、98:2 er）。在均三甲苯中，通过由初始[2,3]-重排和随后的对映体保留断裂/重组事件（相当于[1,3]-重排）组成的级联过程，有利于形成对映体富集的[1,2]-Wittig产物（高达97:3 er）。 Sommelet-Hauser 型产品（高达 98:2 er）可以通过对映选择性 [2,3]-Wittig 重排，然后用酸处理后进行选择性互变异构化来获得。总之，这些方法以高产率和优异的立体选择性提供了杂芳基取代的 3-羟基吲哚衍生物的不同途径。计算 DFT 研究提供了对 deomatizi 立体控制起源的见解</w:t>
      </w:r>
    </w:p>
    <w:p>
      <w:pPr>
        <w:spacing w:before="0" w:after="200" w:lineRule="auto" w:line="276"/>
      </w:pPr>
      <w:r>
        <w:rPr>
          <w:b/>
        </w:rPr>
        <w:t xml:space="preserve">Abstract (EN): </w:t>
      </w:r>
      <w:r>
        <w:t>The development of catalytic enantioselective dearomatizing [2,3]-rearrangement processes involving the C═C bond of a pendant (hetero)aromatic substituent remains a recognized significant challenge, primarily due to the energetic penalty associated with the loss of aromaticity in this process. The most common strategy in this area relies upon rearrangement from an onium ylide intermediate, followed by rearomatization, to generate Sommelet-Hauser-type products. Only limited enantioselective variants have been disclosed to date. In this paper, the enantioselective dearomatizing [2,3]-Wittig rearrangement of oxindole-substituted heteroaryl ethers employing a chiral bifunctional iminophosphorane (BIMP) catalyst is demonstrated. Solvent-dependent reactivity is observed, with 1,4-dioxane allowing preferential access to highly enantioenriched [2,3]-Wittig rearrangement products (up to 94:6 dr, 98:2 er). In mesitylene, the formation of enantioenriched [1,2]-Wittig products (up to 97:3 er) is favored via a cascade process consisting of initial [2,3]-rearrangement followed by an enantioretentive fragmentation/recombination event (equivalent to a [1,3]-rearrangement). Sommelet-Hauser-type products (up to 98:2 er) can be accessed by enantioselective [2,3]-Wittig rearrangement followed by selective tautomerization upon treatment with acid. Together, these processes deliver divergent access to heteroaryl-substituted 3-hydroxyoxindole derivatives in high yields and excellent stereoselectivities. Computational DFT studies provide insights into the origin of stereocontrol in the dearomatizing [2,3]-rearrangement event that underpins the observed stereoselectivity.</w:t>
      </w:r>
    </w:p>
    <w:p>
      <w:pPr>
        <w:spacing w:before="120" w:after="120"/>
      </w:pPr>
      <w:r>
        <w:rPr>
          <w:sz w:val="18"/>
        </w:rPr>
        <w:t>——————————————————————————————————————————————————————————————————————</w:t>
      </w:r>
    </w:p>
    <w:p>
      <w:pPr>
        <w:spacing w:before="160" w:after="40" w:line="240" w:lineRule="auto"/>
      </w:pPr>
      <w:r>
        <w:rPr>
          <w:b/>
        </w:rPr>
        <w:t xml:space="preserve">[94] </w:t>
      </w:r>
      <w:hyperlink r:id="rId462">
        <w:r>
          <w:rPr>
            <w:color w:val="1155CC"/>
            <w:u w:val="single"/>
          </w:rPr>
          <w:t>[ASAP] 光腔内集体耦合的 ZnTPP 分子的从头算极化子光谱</w:t>
        </w:r>
      </w:hyperlink>
    </w:p>
    <w:p>
      <w:pPr>
        <w:spacing w:before="0" w:after="80"/>
      </w:pPr>
      <w:r>
        <w:rPr>
          <w:i/>
          <w:sz w:val="20"/>
        </w:rPr>
        <w:t>EN: [ASAP] Ab Initio Polariton Spectra of ZnTPP Molecules Collectively Coupled Inside an Optical Cavity</w:t>
      </w:r>
    </w:p>
    <w:p>
      <w:pPr>
        <w:spacing w:before="0" w:after="120"/>
      </w:pPr>
      <w:r>
        <w:rPr>
          <w:b/>
        </w:rPr>
        <w:t xml:space="preserve">Source: </w:t>
      </w:r>
      <w:r>
        <w:t>Journal of the American Chemical Society: Latest Articles (ACS Publications)</w:t>
      </w:r>
      <w:r>
        <w:t xml:space="preserve">    </w:t>
      </w:r>
      <w:r>
        <w:rPr>
          <w:b/>
        </w:rPr>
        <w:t xml:space="preserve">Pub date: </w:t>
      </w:r>
      <w:r>
        <w:t>2026-05-25 15:39:49+00:00</w:t>
      </w:r>
      <w:r>
        <w:t xml:space="preserve">    </w:t>
      </w:r>
      <w:r>
        <w:rPr>
          <w:b/>
        </w:rPr>
        <w:t xml:space="preserve">DOI: </w:t>
      </w:r>
      <w:hyperlink r:id="rId463">
        <w:r>
          <w:rPr>
            <w:color w:val="1155CC"/>
            <w:u w:val="single"/>
          </w:rPr>
          <w:t>10.1021/jacs.6c01411</w:t>
        </w:r>
      </w:hyperlink>
    </w:p>
    <w:p>
      <w:pPr>
        <w:spacing w:before="0" w:after="120"/>
      </w:pPr>
      <w:r>
        <w:rPr>
          <w:b/>
        </w:rPr>
        <w:t xml:space="preserve">Notes: </w:t>
      </w:r>
      <w:r>
        <w:t>abstract_source=openalex</w:t>
      </w:r>
    </w:p>
    <w:p>
      <w:pPr>
        <w:spacing w:before="0" w:after="80" w:lineRule="auto" w:line="276"/>
      </w:pPr>
      <w:r>
        <w:rPr>
          <w:b/>
        </w:rPr>
        <w:t xml:space="preserve">摘要（ZH）: </w:t>
      </w:r>
      <w:r>
        <w:t>激子极化子是由电子和光子激发的量子力学杂化形成的准粒子。尽管进行了广泛的研究，但从头算理论角度对分子极化子光谱和极化子离域的基本理解仍然难以捉摸。我们根据第一原理模拟了许多四苯基卟啉锌 (II) (ZnTPP) 分子的实验测量线性透射光谱，这些分子共同耦合到空腔。我们的理论方法结合了 ZnTPP 分子中的许多低位电子激发，以及 ZnTPP 和量化辐射模式之间的集体光物质耦合，这两者都被证明是准确恢复实验光谱的关键。我们首次使用分子的完全从头开始描述，进一步分析了许多分子上极化子和暗态的离域程度。最后，我们研究了线宽作为失谐函数的关系，为实验观察到的运动变窄行为提供了新的理论见解。我们的工作首次对分子极化子光谱进行了理论研究，为现实的从头算分子系统中分子极化子的形成提供了新的视角，该系统丰富的多态性质提供了超越简单量子光学模型的高密度电子态所带来的光谱特征。</w:t>
      </w:r>
    </w:p>
    <w:p>
      <w:pPr>
        <w:spacing w:before="0" w:after="200" w:lineRule="auto" w:line="276"/>
      </w:pPr>
      <w:r>
        <w:rPr>
          <w:b/>
        </w:rPr>
        <w:t xml:space="preserve">Abstract (EN): </w:t>
      </w:r>
      <w:r>
        <w:t>Exciton-polaritons are quasi-particles formed by the quantum mechanical hybridization of electronic and photonic excitations. Despite extensive investigations, a fundamental understanding of molecular polariton spectra and the polariton delocalization from an ab initio theoretical perspective remains elusive. We simulate experimentally measured linear transmission spectroscopy of many Zinc(II) tetraphenylporphyrin (ZnTPP) molecules collectively coupled to a cavity from first principles. Our theoretical approach incorporates many low-lying electronic excitations in ZnTPP molecules, as well as collective light-matter couplings between ZnTPP and the quantized radiation modes, both of which are shown to be the key to accurately recovering the experimental spectra. We further analyzed to what extent the polariton and dark states are delocalized over many molecules, for the first time, using fully ab initio descriptions of the molecules. We finally investigate the line width as a function of detuning, providing new theoretical insights into the experimentally observed motional narrowing behavior. Our work presents first-of-its-kind theoretical studies on molecular polariton spectra, offering a new perspective on molecular polariton formation in realistic ab initio molecular systems whose rich, many-state nature provides spectral features enabled by the high density of electronic states beyond simple quantum optics models.</w:t>
      </w:r>
    </w:p>
    <w:p>
      <w:pPr>
        <w:spacing w:before="120" w:after="120"/>
      </w:pPr>
      <w:r>
        <w:rPr>
          <w:sz w:val="18"/>
        </w:rPr>
        <w:t>——————————————————————————————————————————————————————————————————————</w:t>
      </w:r>
    </w:p>
    <w:p>
      <w:pPr>
        <w:spacing w:before="160" w:after="40" w:line="240" w:lineRule="auto"/>
      </w:pPr>
      <w:r>
        <w:rPr>
          <w:b/>
        </w:rPr>
        <w:t xml:space="preserve">[95] </w:t>
      </w:r>
      <w:hyperlink r:id="rId464">
        <w:r>
          <w:rPr>
            <w:color w:val="1155CC"/>
            <w:u w:val="single"/>
          </w:rPr>
          <w:t>[ASAP] 光诱导铜催化 C(sp3)-H 磺化对映选择性合成硫亚胺</w:t>
        </w:r>
      </w:hyperlink>
    </w:p>
    <w:p>
      <w:pPr>
        <w:spacing w:before="0" w:after="80"/>
      </w:pPr>
      <w:r>
        <w:rPr>
          <w:i/>
          <w:sz w:val="20"/>
        </w:rPr>
        <w:t>EN: [ASAP] Enantioselective Synthesis of Sulfilimines Enabled by Photoinduced Copper-Catalyzed C(sp3)-H Sulfimidation</w:t>
      </w:r>
    </w:p>
    <w:p>
      <w:pPr>
        <w:spacing w:before="0" w:after="120"/>
      </w:pPr>
      <w:r>
        <w:rPr>
          <w:b/>
        </w:rPr>
        <w:t xml:space="preserve">Source: </w:t>
      </w:r>
      <w:r>
        <w:t>Journal of the American Chemical Society: Latest Articles (ACS Publications)</w:t>
      </w:r>
      <w:r>
        <w:t xml:space="preserve">    </w:t>
      </w:r>
      <w:r>
        <w:rPr>
          <w:b/>
        </w:rPr>
        <w:t xml:space="preserve">Pub date: </w:t>
      </w:r>
      <w:r>
        <w:t>2026-05-25 15:43:12+00:00</w:t>
      </w:r>
      <w:r>
        <w:t xml:space="preserve">    </w:t>
      </w:r>
      <w:r>
        <w:rPr>
          <w:b/>
        </w:rPr>
        <w:t xml:space="preserve">DOI: </w:t>
      </w:r>
      <w:hyperlink r:id="rId465">
        <w:r>
          <w:rPr>
            <w:color w:val="1155CC"/>
            <w:u w:val="single"/>
          </w:rPr>
          <w:t>10.1021/jacs.6c04538</w:t>
        </w:r>
      </w:hyperlink>
    </w:p>
    <w:p>
      <w:pPr>
        <w:spacing w:before="0" w:after="120"/>
      </w:pPr>
      <w:r>
        <w:rPr>
          <w:b/>
        </w:rPr>
        <w:t xml:space="preserve">Notes: </w:t>
      </w:r>
      <w:r>
        <w:t>abstract_source=openalex</w:t>
      </w:r>
    </w:p>
    <w:p>
      <w:pPr>
        <w:spacing w:before="0" w:after="80" w:lineRule="auto" w:line="276"/>
      </w:pPr>
      <w:r>
        <w:rPr>
          <w:b/>
        </w:rPr>
        <w:t xml:space="preserve">摘要（ZH）: </w:t>
      </w:r>
      <w:r>
        <w:t>图2 C-S键形成步骤的反应机理。</w:t>
      </w:r>
    </w:p>
    <w:p>
      <w:pPr>
        <w:spacing w:before="0" w:after="200" w:lineRule="auto" w:line="276"/>
      </w:pPr>
      <w:r>
        <w:rPr>
          <w:b/>
        </w:rPr>
        <w:t xml:space="preserve">Abstract (EN): </w:t>
      </w:r>
      <w:r>
        <w:t>2 reaction mechanism of the C-S bond formation step.</w:t>
      </w:r>
    </w:p>
    <w:p>
      <w:pPr>
        <w:spacing w:before="120" w:after="120"/>
      </w:pPr>
      <w:r>
        <w:rPr>
          <w:sz w:val="18"/>
        </w:rPr>
        <w:t>——————————————————————————————————————————————————————————————————————</w:t>
      </w:r>
    </w:p>
    <w:p>
      <w:pPr>
        <w:spacing w:before="160" w:after="40" w:line="240" w:lineRule="auto"/>
      </w:pPr>
      <w:r>
        <w:rPr>
          <w:b/>
        </w:rPr>
        <w:t xml:space="preserve">[96] </w:t>
      </w:r>
      <w:hyperlink r:id="rId466">
        <w:r>
          <w:rPr>
            <w:color w:val="1155CC"/>
            <w:u w:val="single"/>
          </w:rPr>
          <w:t>通过混合卤化物钙钛矿的梯度调节结晶提高钙钛矿/有机串联太阳能电池效率</w:t>
        </w:r>
      </w:hyperlink>
    </w:p>
    <w:p>
      <w:pPr>
        <w:spacing w:before="0" w:after="80"/>
      </w:pPr>
      <w:r>
        <w:rPr>
          <w:i/>
          <w:sz w:val="20"/>
        </w:rPr>
        <w:t>EN: Enhancing Perovskite/Organic Tandem Solar Cell Efficiencies via Gradient‐Regulated Crystallization of Mixed‐Halide Perovskites</w:t>
      </w:r>
    </w:p>
    <w:p>
      <w:pPr>
        <w:spacing w:before="0" w:after="120"/>
      </w:pPr>
      <w:r>
        <w:rPr>
          <w:b/>
        </w:rPr>
        <w:t xml:space="preserve">Source: </w:t>
      </w:r>
      <w:r>
        <w:t>Wiley: Advanced Energy Materials: Table of Contents</w:t>
      </w:r>
      <w:r>
        <w:t xml:space="preserve">    </w:t>
      </w:r>
      <w:r>
        <w:rPr>
          <w:b/>
        </w:rPr>
        <w:t xml:space="preserve">Pub date: </w:t>
      </w:r>
      <w:r>
        <w:t>2026-05-25 17:14:15+00:00</w:t>
      </w:r>
      <w:r>
        <w:t xml:space="preserve">    </w:t>
      </w:r>
      <w:r>
        <w:rPr>
          <w:b/>
        </w:rPr>
        <w:t xml:space="preserve">DOI: </w:t>
      </w:r>
      <w:hyperlink r:id="rId467">
        <w:r>
          <w:rPr>
            <w:color w:val="1155CC"/>
            <w:u w:val="single"/>
          </w:rPr>
          <w:t>10.1002/aenm.71115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混合卤化物宽带隙（WBG）钙钛矿在成膜和器件运行过程中会出现不均匀结晶和垂直卤化物偏析。在这里，我们报告了一种梯度控制结晶策略，用于调节混合卤化物钙钛矿薄膜中的结晶动力学和卤化物分布。通过与卤化物物质的选择性相互作用和表面定向积累，该方法建立了表面到本体的添加剂浓度梯度，同步卤化物的掺入并抑制富溴区域的形成。该策略减轻了成分的不均匀性，所得的表面富集层进一步阻碍了水分和氧气的渗透。重要的是，该策略对于跨越不同卤化物混合比例的混合卤化物组合物广泛有效。因此，WBG 钙钛矿器件可提供卓越的光伏性能，实现高</w:t>
      </w:r>
      <w:r>
        <w:t xml:space="preserve"> </w:t>
      </w:r>
      <w:r>
        <w:t>V</w:t>
      </w:r>
      <w:r>
        <w:t xml:space="preserve"> </w:t>
      </w:r>
      <w:r>
        <w:t>奥克</w:t>
      </w:r>
      <w:r>
        <w:t xml:space="preserve"> </w:t>
      </w:r>
      <w:r>
        <w:t>1.385 V，PCE 为 17.78%。将 WBG 子电池集成到钙钛矿/有机串联器件中，可实现 25.91% 的冠军效率</w:t>
      </w:r>
      <w:r>
        <w:t xml:space="preserve"> </w:t>
      </w:r>
      <w:r>
        <w:t>V</w:t>
      </w:r>
      <w:r>
        <w:t xml:space="preserve"> </w:t>
      </w:r>
      <w:r>
        <w:t>奥克</w:t>
      </w:r>
      <w:r>
        <w:t xml:space="preserve"> </w:t>
      </w:r>
      <w:r>
        <w:t>2.191 V，同时在连续运行 600 小时后保留超过 80% 的初始 PCE。</w:t>
      </w:r>
    </w:p>
    <w:p>
      <w:pPr>
        <w:spacing w:before="0" w:after="200" w:lineRule="auto" w:line="276"/>
      </w:pPr>
      <w:r>
        <w:rPr>
          <w:b/>
        </w:rPr>
        <w:t xml:space="preserve">Abstract (EN): </w:t>
      </w:r>
      <w:r>
        <w:t>Mixed‐halide wide‐bandgap (WBG) perovskites suffer from inhomogeneous crystallization and vertical halide segregation during film formation and device operation. Here, we report a gradient‐controlled crystallization strategy to regulate crystallization kinetics and halide distribution in mixed‐halide perovskite films. Enabled by selective interactions with halide species and surface‐directed accumulation, this approach establishes a surface‐to‐bulk additive concentration gradient that synchronizes halide incorporation and suppresses the formation of Br‐rich regions. The strategy alleviates compositional heterogeneity, and the resulting surface‐enriched layer further retards the penetration of moisture and oxygen. Importantly, this strategy is broadly effective for mixed‐halide compositions spanning diverse halide mixing ratios. Consequently, WBG perovskite devices deliver superior photovoltaic performance, achieving a high</w:t>
      </w:r>
      <w:r>
        <w:t xml:space="preserve"> </w:t>
      </w:r>
      <w:r>
        <w:t>V</w:t>
      </w:r>
      <w:r>
        <w:t xml:space="preserve"> </w:t>
      </w:r>
      <w:r>
        <w:t>OC</w:t>
      </w:r>
      <w:r>
        <w:t xml:space="preserve"> </w:t>
      </w:r>
      <w:r>
        <w:t>of 1.385 V and a PCE of 17.78%. Integration of the WBG subcells into perovskite/organic tandem devices yields a champion efficiency of 25.91% with a</w:t>
      </w:r>
      <w:r>
        <w:t xml:space="preserve"> </w:t>
      </w:r>
      <w:r>
        <w:t>V</w:t>
      </w:r>
      <w:r>
        <w:t xml:space="preserve"> </w:t>
      </w:r>
      <w:r>
        <w:t>OC</w:t>
      </w:r>
      <w:r>
        <w:t xml:space="preserve"> </w:t>
      </w:r>
      <w:r>
        <w:t>of 2.191 V, while retaining more than 80% of the initial PCE after 600 h of continuous operation.</w:t>
      </w:r>
    </w:p>
    <w:p>
      <w:pPr>
        <w:spacing w:before="120" w:after="120"/>
      </w:pPr>
      <w:r>
        <w:rPr>
          <w:sz w:val="18"/>
        </w:rPr>
        <w:t>——————————————————————————————————————————————————————————————————————</w:t>
      </w:r>
    </w:p>
    <w:p>
      <w:pPr>
        <w:spacing w:before="160" w:after="40" w:line="240" w:lineRule="auto"/>
      </w:pPr>
      <w:r>
        <w:rPr>
          <w:b/>
        </w:rPr>
        <w:t xml:space="preserve">[97] </w:t>
      </w:r>
      <w:hyperlink r:id="rId468">
        <w:r>
          <w:rPr>
            <w:color w:val="1155CC"/>
            <w:u w:val="single"/>
          </w:rPr>
          <w:t>[ASAP] 多酚肽网络实现的靶向凝聚层用于治疗传递</w:t>
        </w:r>
      </w:hyperlink>
    </w:p>
    <w:p>
      <w:pPr>
        <w:spacing w:before="0" w:after="80"/>
      </w:pPr>
      <w:r>
        <w:rPr>
          <w:i/>
          <w:sz w:val="20"/>
        </w:rPr>
        <w:t>EN: [ASAP] Targeted Coacervates Enabled by Polyphenol–Peptide Networks for Therapeutic Delivery</w:t>
      </w:r>
    </w:p>
    <w:p>
      <w:pPr>
        <w:spacing w:before="0" w:after="120"/>
      </w:pPr>
      <w:r>
        <w:rPr>
          <w:b/>
        </w:rPr>
        <w:t xml:space="preserve">Source: </w:t>
      </w:r>
      <w:r>
        <w:t>Journal of the American Chemical Society: Latest Articles (ACS Publications)</w:t>
      </w:r>
      <w:r>
        <w:t xml:space="preserve">    </w:t>
      </w:r>
      <w:r>
        <w:rPr>
          <w:b/>
        </w:rPr>
        <w:t xml:space="preserve">Pub date: </w:t>
      </w:r>
      <w:r>
        <w:t>2026-05-25 17:49:08+00:00</w:t>
      </w:r>
      <w:r>
        <w:t xml:space="preserve">    </w:t>
      </w:r>
      <w:r>
        <w:rPr>
          <w:b/>
        </w:rPr>
        <w:t xml:space="preserve">DOI: </w:t>
      </w:r>
      <w:hyperlink r:id="rId469">
        <w:r>
          <w:rPr>
            <w:color w:val="1155CC"/>
            <w:u w:val="single"/>
          </w:rPr>
          <w:t>10.1021/jacs.6c06722</w:t>
        </w:r>
      </w:hyperlink>
    </w:p>
    <w:p>
      <w:pPr>
        <w:spacing w:before="0" w:after="120"/>
      </w:pPr>
      <w:r>
        <w:rPr>
          <w:b/>
        </w:rPr>
        <w:t xml:space="preserve">Notes: </w:t>
      </w:r>
      <w:r>
        <w:t>abstract_source=pubmed</w:t>
      </w:r>
    </w:p>
    <w:p>
      <w:pPr>
        <w:spacing w:before="0" w:after="80" w:lineRule="auto" w:line="276"/>
      </w:pPr>
      <w:r>
        <w:rPr>
          <w:b/>
        </w:rPr>
        <w:t xml:space="preserve">摘要（ZH）: </w:t>
      </w:r>
      <w:r>
        <w:t>精确的细胞内递送仍然是治疗生物分子功效的关键障碍。凝聚层具有高负载能力，已成为一种变革性的药物递送平台，可以促进多种治疗药物的细胞内递送，但受到稳定性差、非特异性细胞内化和不受控释放的限制。在此，我们报告了一种简单且通用的表面工程策略，该策略可提高凝聚层的稳定性并实现可编程细胞靶向和精确的细胞内递送。采用可编程释放设计的肽凝聚层 (PC) 被多酚肽网络 (PC@PPN) 包被，以封装不同的货物，包括荧光团、有毒蛋白质、促凋亡肽和质粒 DNA。 PC@PPNs 的双重 pH 和谷胱甘肽响应性分解促进内体逃逸并实现受控的胞质释放。值得注意的是，PC@PPNs 与特定细胞的关联可以通过调节 PPNs 上的肽序列来轻松编程。例如，掺入 HER2 靶向肽可将 PC@PPN 与 SKOV3 细胞的特异性关联从 14% 增加至 75%。细胞特异性靶向在体内得到进一步验证，HER2 过表达肿瘤的尺寸明显减小就证明了这一点。这项工作为工程功能凝聚层建立了一个合理的框架，促进了它们作为细胞内递送的多功能和可编程平台的发展。</w:t>
      </w:r>
    </w:p>
    <w:p>
      <w:pPr>
        <w:spacing w:before="0" w:after="200" w:lineRule="auto" w:line="276"/>
      </w:pPr>
      <w:r>
        <w:rPr>
          <w:b/>
        </w:rPr>
        <w:t xml:space="preserve">Abstract (EN): </w:t>
      </w:r>
      <w:r>
        <w:t>Precise intracellular delivery remains a critical barrier to the efficacy of therapeutic biomolecules. Coacervates, with their high loading capacity, have emerged as a transformative drug delivery platform that can facilitate the intracellular delivery of diverse therapeutic cargos but are limited by poor stability, nonspecific cellular internalization, and uncontrolled release. Herein, we report a simple and versatile surface-engineering strategy that improves the stability of coacervates and enables programmable cell targeting and precise intracellular delivery. Peptide coacervates (PCs) designed with programmable release were coated with polyphenol-peptide networks (PC@PPNs) to encapsulate diverse cargos, including fluorophores, toxic proteins, pro-apoptotic peptides, and plasmid DNA. The dual pH- and glutathione-responsive disassembly of PC@PPNs facilitates endosomal escape and enables controlled cytosolic release. Notably, the association of PC@PPNs with specific cells can be readily programmed by modulating the peptide sequence on PPNs. For example, incorporating HER2-targeting peptides increases the specific association of PC@PPNs with SKOV3 cells from 14% to 75%. The cell-specific targeting is further validated in vivo, as demonstrated by a pronounced size reduction in HER2-overexpressing tumors. This work establishes a rational framework for engineering functional coacervates, advancing their development as versatile and programmable platforms for intracellular delivery.</w:t>
      </w:r>
    </w:p>
    <w:p>
      <w:pPr>
        <w:spacing w:before="120" w:after="120"/>
      </w:pPr>
      <w:r>
        <w:rPr>
          <w:sz w:val="18"/>
        </w:rPr>
        <w:t>——————————————————————————————————————————————————————————————————————</w:t>
      </w:r>
    </w:p>
    <w:p>
      <w:pPr>
        <w:spacing w:before="160" w:after="40" w:line="240" w:lineRule="auto"/>
      </w:pPr>
      <w:r>
        <w:rPr>
          <w:b/>
        </w:rPr>
        <w:t xml:space="preserve">[98] </w:t>
      </w:r>
      <w:hyperlink r:id="rId470">
        <w:r>
          <w:rPr>
            <w:color w:val="1155CC"/>
            <w:u w:val="single"/>
          </w:rPr>
          <w:t>[ASAP] 室温下流体溶液中具有长自旋晶格弛豫时间的轴向手性双芴基阴离子</w:t>
        </w:r>
      </w:hyperlink>
    </w:p>
    <w:p>
      <w:pPr>
        <w:spacing w:before="0" w:after="80"/>
      </w:pPr>
      <w:r>
        <w:rPr>
          <w:i/>
          <w:sz w:val="20"/>
        </w:rPr>
        <w:t>EN: [ASAP] Axially Chiral Bifluorenylidene Radical Anions with Long Spin–Lattice Relaxation Times at Room Temperature in Fluid Solution</w:t>
      </w:r>
    </w:p>
    <w:p>
      <w:pPr>
        <w:spacing w:before="0" w:after="120"/>
      </w:pPr>
      <w:r>
        <w:rPr>
          <w:b/>
        </w:rPr>
        <w:t xml:space="preserve">Source: </w:t>
      </w:r>
      <w:r>
        <w:t>Journal of the American Chemical Society: Latest Articles (ACS Publications)</w:t>
      </w:r>
      <w:r>
        <w:t xml:space="preserve">    </w:t>
      </w:r>
      <w:r>
        <w:rPr>
          <w:b/>
        </w:rPr>
        <w:t xml:space="preserve">Pub date: </w:t>
      </w:r>
      <w:r>
        <w:t>2026-05-25 18:02:01+00:00</w:t>
      </w:r>
      <w:r>
        <w:t xml:space="preserve">    </w:t>
      </w:r>
      <w:r>
        <w:rPr>
          <w:b/>
        </w:rPr>
        <w:t xml:space="preserve">DOI: </w:t>
      </w:r>
      <w:hyperlink r:id="rId471">
        <w:r>
          <w:rPr>
            <w:color w:val="1155CC"/>
            <w:u w:val="single"/>
          </w:rPr>
          <w:t>10.1021/jacs.6c04102</w:t>
        </w:r>
      </w:hyperlink>
    </w:p>
    <w:p>
      <w:pPr>
        <w:spacing w:before="0" w:after="120"/>
      </w:pPr>
      <w:r>
        <w:rPr>
          <w:b/>
        </w:rPr>
        <w:t xml:space="preserve">Notes: </w:t>
      </w:r>
      <w:r>
        <w:t>abstract_source=pubmed</w:t>
      </w:r>
    </w:p>
    <w:p>
      <w:pPr>
        <w:spacing w:before="0" w:after="80" w:lineRule="auto" w:line="276"/>
      </w:pPr>
      <w:r>
        <w:rPr>
          <w:b/>
        </w:rPr>
        <w:t xml:space="preserve">摘要（ZH）: </w:t>
      </w:r>
      <w:r>
        <w:t>尽管最近人们对磁手性现象很感兴趣，但同时具有分子手性和自旋的良好表征的自由基仍然很少。在此，我们报道了一系列轴向手性二芴基（BF）分子及其具有不同程度的峡湾区苯并环化的单还原自由基阴离子的合成。我们的系统结构扰动提供了关于中心 C=C 键扭转角如何影响其氧化还原态、电子结构、立体化学动力学和自旋特性的见解。变温核磁共振（NMR）和电子顺磁共振（EPR）研究用于探索主要外消旋过程的障碍。紫外-可见-近红外吸收和磁圆二色光谱可以深入了解系统的电子结构，并与多参考计算技术相结合来表征势能表面。脉冲 EPR 测量表明，BF 自由基阴离子表现出显着长的自旋晶格 (T1) 弛豫时间，在室温下的流体 2-甲基四氢呋喃溶液中接近 0.1 毫秒，比典型有机自由基长近 2 个数量级。值得注意的是，我们发现 π 离域、电子结构和低各向异性的独特组合使自旋免受分子翻滚引起的纵向弛豫的影响。相反，T1 温度依赖性与热激活局部模式过程的弛豫一致，这表明控制振动的分子设计可能同样重要</w:t>
      </w:r>
    </w:p>
    <w:p>
      <w:pPr>
        <w:spacing w:before="0" w:after="200" w:lineRule="auto" w:line="276"/>
      </w:pPr>
      <w:r>
        <w:rPr>
          <w:b/>
        </w:rPr>
        <w:t xml:space="preserve">Abstract (EN): </w:t>
      </w:r>
      <w:r>
        <w:t>Despite the recent interest in magnetochiral phenomena, well-characterized radicals that possess both molecular chirality and spin remain scarce. Herein, we report the synthesis of a series of axially chiral bifluorenylidene (BF) molecules and their singly reduced radical anions with varying degrees of fjord-region benzannulation. Our systematic structural perturbations provide insight into how the twist angle across their central C═C bond influences their redox state, electronic structure, stereochemical dynamics, and spin properties. Variable-temperature nuclear magnetic resonance (NMR) and electron paramagnetic resonance (EPR) studies are used to explore the barriers to major racemization processes. UV-vis-NIR absorption and magnetic circular dichroism spectroscopies provide insight into the electronic structures of the systems and are combined with multireference computational techniques to characterize the potential energy surfaces. Pulsed EPR measurements revealed that the BF radical anions displayed notably long spin-lattice (T1) relaxation times that approached 0.1 ms in fluid 2-methyltetrahydrofuran solution at room temperature, nearly 2 orders of magnitude longer than typical organic radicals. Remarkably, we found the unique combination of π delocalization, electronic structure, and low anisotropy insulates the spin from longitudinal relaxation due to molecular tumbling. The T1 temperature dependence is instead consistent with relaxation through thermally activated local-mode processes, suggesting that molecular design to control vibrations may be just as important in extending solution-phase T1 times as in the solid state. Our results establish BF radical anions as a versatile framework to explore spin-chirality interactions and to achieve long-lived spin states in nonviscous fluid solution at room temperature.</w:t>
      </w:r>
    </w:p>
    <w:p>
      <w:pPr>
        <w:spacing w:before="120" w:after="120"/>
      </w:pPr>
      <w:r>
        <w:rPr>
          <w:sz w:val="18"/>
        </w:rPr>
        <w:t>——————————————————————————————————————————————————————————————————————</w:t>
      </w:r>
    </w:p>
    <w:p>
      <w:pPr>
        <w:spacing w:before="160" w:after="40" w:line="240" w:lineRule="auto"/>
      </w:pPr>
      <w:r>
        <w:rPr>
          <w:b/>
        </w:rPr>
        <w:t xml:space="preserve">[99] </w:t>
      </w:r>
      <w:hyperlink r:id="rId472">
        <w:r>
          <w:rPr>
            <w:color w:val="1155CC"/>
            <w:u w:val="single"/>
          </w:rPr>
          <w:t>[ASAP] 富镉壳工程 ZnCdS 纳米晶体，用于超高性能可调节紫外-蓝光屏蔽</w:t>
        </w:r>
      </w:hyperlink>
    </w:p>
    <w:p>
      <w:pPr>
        <w:spacing w:before="0" w:after="80"/>
      </w:pPr>
      <w:r>
        <w:rPr>
          <w:i/>
          <w:sz w:val="20"/>
        </w:rPr>
        <w:t>EN: [ASAP] Cd-Rich Shell-Engineered ZnCdS Nanocrystals for Ultrahigh-Performance Adjustable Shielding of Ultraviolet–Blue Light</w:t>
      </w:r>
    </w:p>
    <w:p>
      <w:pPr>
        <w:spacing w:before="0" w:after="120"/>
      </w:pPr>
      <w:r>
        <w:rPr>
          <w:b/>
        </w:rPr>
        <w:t xml:space="preserve">Source: </w:t>
      </w:r>
      <w:r>
        <w:t>Journal of the American Chemical Society: Latest Articles (ACS Publications)</w:t>
      </w:r>
      <w:r>
        <w:t xml:space="preserve">    </w:t>
      </w:r>
      <w:r>
        <w:rPr>
          <w:b/>
        </w:rPr>
        <w:t xml:space="preserve">Pub date: </w:t>
      </w:r>
      <w:r>
        <w:t>2026-05-25 18:02:32+00:00</w:t>
      </w:r>
      <w:r>
        <w:t xml:space="preserve">    </w:t>
      </w:r>
      <w:r>
        <w:rPr>
          <w:b/>
        </w:rPr>
        <w:t xml:space="preserve">DOI: </w:t>
      </w:r>
      <w:hyperlink r:id="rId473">
        <w:r>
          <w:rPr>
            <w:color w:val="1155CC"/>
            <w:u w:val="single"/>
          </w:rPr>
          <w:t>10.1021/jacs.6c01137</w:t>
        </w:r>
      </w:hyperlink>
    </w:p>
    <w:p>
      <w:pPr>
        <w:spacing w:before="0" w:after="120"/>
      </w:pPr>
      <w:r>
        <w:rPr>
          <w:b/>
        </w:rPr>
        <w:t xml:space="preserve">Notes: </w:t>
      </w:r>
      <w:r>
        <w:t>abstract_source=pubmed</w:t>
      </w:r>
    </w:p>
    <w:p>
      <w:pPr>
        <w:spacing w:before="0" w:after="80" w:lineRule="auto" w:line="276"/>
      </w:pPr>
      <w:r>
        <w:rPr>
          <w:b/>
        </w:rPr>
        <w:t xml:space="preserve">摘要（ZH）: </w:t>
      </w:r>
      <w:r>
        <w:t>过度暴露于紫外线 (UV)-蓝光（250-500 nm）会对人体健康、高分子材料和天然物质产生有害影响。开发能够选择性吸收有害紫外光、同时在较长波长下保持高透明度的稳定、高效和多功能材料仍然是非常理想的，但也具有挑战性。在此，我们报告了一种富镉壳工程策略，可精确定制ZnCdS纳米晶体（NC）的带边状态，从而显着增强胶体溶液在紫外蓝色区域的吸收（光程：1 cm），几乎完全阻挡有害辐射（500 nm处的透射率&lt;1％），同时保持出色的光学透明度（528 nm以上的透射率&gt; 90％）。此外，将ZnCdS@富含Cd的NCs加入乙基纤维素聚合物基体中，可以制备具有优异的紫外蓝光屏蔽能力的透明复合薄膜，有效保护木材等有机基材免受光降解。即使在激光二极管辐射下，NC基透明薄膜仍能具有出色的屏蔽性能。引入富镉壳工程作为增强半导体NC中短波长吸收的通用策略，使得能够制造出有效阻挡有害紫外蓝光同时保持高可见透明度的光学薄膜，从而在光学滤波器和保护涂层中提供有前景的应用。</w:t>
      </w:r>
    </w:p>
    <w:p>
      <w:pPr>
        <w:spacing w:before="0" w:after="200" w:lineRule="auto" w:line="276"/>
      </w:pPr>
      <w:r>
        <w:rPr>
          <w:b/>
        </w:rPr>
        <w:t xml:space="preserve">Abstract (EN): </w:t>
      </w:r>
      <w:r>
        <w:t>Excessive exposure to ultraviolet (UV)-blue light (250-500 nm) has detrimental effects on human health, polymeric materials, and natural substances. The development of stable, efficient, and multifunctional materials capable of selectively absorbing harmful UV-blue light while preserving high transparency at longer wavelengths remains highly desirable yet challenging. Herein, we report a Cd-rich shell-engineering strategy to precisely tailor the band-edge states of ZnCdS nanocrystals (NCs), thereby achieving markedly enhanced the colloidal solution's absorption (optical path: 1 cm) in the UV-blue region, with nearly complete blocking of hazardous radiation (&lt;1% transmittance at 500 nm), while maintaining outstanding optical transparency (&gt;90% transmittance above 528 nm). Moreover, incorporation of ZnCdS@Cd-rich NCs into ethyl cellulose polymer matrix enables the fabrication of transparent composite films with excellent UV-blue light shielding ability, effectively protecting organic substrates such as wood against photodegradation. Even under laser diodes radiation, the NC-based transparent film still can possess outstanding shielding performance. The introduction of Cd-rich shell engineering as a versatile strategy to enhance short-wavelength absorption in semiconductor NCs, enabling the fabrication of optical films that effectively block harmful UV-blue light while maintaining high visible transparency, offering promising applications in optical filters and protective coatings.</w:t>
      </w:r>
    </w:p>
    <w:p>
      <w:pPr>
        <w:spacing w:before="120" w:after="120"/>
      </w:pPr>
      <w:r>
        <w:rPr>
          <w:sz w:val="18"/>
        </w:rPr>
        <w:t>——————————————————————————————————————————————————————————————————————</w:t>
      </w:r>
    </w:p>
    <w:p>
      <w:pPr>
        <w:spacing w:before="160" w:after="40" w:line="240" w:lineRule="auto"/>
      </w:pPr>
      <w:r>
        <w:rPr>
          <w:b/>
        </w:rPr>
        <w:t xml:space="preserve">[100] </w:t>
      </w:r>
      <w:hyperlink r:id="rId474">
        <w:r>
          <w:rPr>
            <w:color w:val="1155CC"/>
            <w:u w:val="single"/>
          </w:rPr>
          <w:t>[ASAP] 通过分子内催化加速 1,8-双（二​​烷基氨基）萘质子海绵中的质子交换，用于 CEST MRI</w:t>
        </w:r>
      </w:hyperlink>
    </w:p>
    <w:p>
      <w:pPr>
        <w:spacing w:before="0" w:after="80"/>
      </w:pPr>
      <w:r>
        <w:rPr>
          <w:i/>
          <w:sz w:val="20"/>
        </w:rPr>
        <w:t>EN: [ASAP] Accelerating Proton Exchange in 1,8-Bis(dialkylamino)naphthalene Proton Sponges through Intramolecular Catalysis for CEST MRI</w:t>
      </w:r>
    </w:p>
    <w:p>
      <w:pPr>
        <w:spacing w:before="0" w:after="120"/>
      </w:pPr>
      <w:r>
        <w:rPr>
          <w:b/>
        </w:rPr>
        <w:t xml:space="preserve">Source: </w:t>
      </w:r>
      <w:r>
        <w:t>Journal of the American Chemical Society: Latest Articles (ACS Publications)</w:t>
      </w:r>
      <w:r>
        <w:t xml:space="preserve">    </w:t>
      </w:r>
      <w:r>
        <w:rPr>
          <w:b/>
        </w:rPr>
        <w:t xml:space="preserve">Pub date: </w:t>
      </w:r>
      <w:r>
        <w:t>2026-05-25 18:42:35+00:00</w:t>
      </w:r>
      <w:r>
        <w:t xml:space="preserve">    </w:t>
      </w:r>
      <w:r>
        <w:rPr>
          <w:b/>
        </w:rPr>
        <w:t xml:space="preserve">DOI: </w:t>
      </w:r>
      <w:hyperlink r:id="rId475">
        <w:r>
          <w:rPr>
            <w:color w:val="1155CC"/>
            <w:u w:val="single"/>
          </w:rPr>
          <w:t>10.1021/jacs.6c06687</w:t>
        </w:r>
      </w:hyperlink>
    </w:p>
    <w:p>
      <w:pPr>
        <w:spacing w:before="0" w:after="120"/>
      </w:pPr>
      <w:r>
        <w:rPr>
          <w:b/>
        </w:rPr>
        <w:t xml:space="preserve">Notes: </w:t>
      </w:r>
      <w:r>
        <w:t>abstract_source=pubmed</w:t>
      </w:r>
    </w:p>
    <w:p>
      <w:pPr>
        <w:spacing w:before="0" w:after="80" w:lineRule="auto" w:line="276"/>
      </w:pPr>
      <w:r>
        <w:rPr>
          <w:b/>
        </w:rPr>
        <w:t xml:space="preserve">摘要（ZH）: </w:t>
      </w:r>
      <w:r>
        <w:t>化学交换饱和度转移 (CEST) MRI 通过将饱和度从可交换质子转移到大量水中来产生对比度。在抗磁剂中，不稳定的 -NH/-OH 质子通常会在水附近 (1-5 ppm) 共振，严重限制选择性。因此，体内应用非常需要更大的化学位移偏移。在临床场强下有效的 CEST 还需要在狭窄的动力学窗口内进行汇率。四烷基 1,8-二氨基萘（质子海绵）是 diaCEST 试剂的有吸引力的支架，因为锁定在单质子化形式的两个氮之间的强氢键中的不稳定质子可以表现出与水的非常大的低场化学位移偏移。然而，这些化合物不具有 CEST，因为强氢键也会导致与本体的交换非常缓慢。在这里，我们报告了一种新型四取代1,8-二氨基萘衍生物的设计、合成和评估，其中质子交换通过分子内催化加速。 1,8-二氨基萘四乙酸 (DANTA) 的详细结构、热力学和动力学研究表明，羧酸根基团参与与中心 N·H+·N 桥的分子内氢键相互作用，在 37 °C 下将质子交换速率显着加速至 492 s-1，这处于 3 T 下 CEST 的最佳动力学范围内。重要的是，羧酸根取代基不会影响化学位移偏移交换质子，其仍然基本上是去屏蔽的并且高度低场偏移，距水 12.5 ppm。</w:t>
      </w:r>
    </w:p>
    <w:p>
      <w:pPr>
        <w:spacing w:before="0" w:after="200" w:lineRule="auto" w:line="276"/>
      </w:pPr>
      <w:r>
        <w:rPr>
          <w:b/>
        </w:rPr>
        <w:t xml:space="preserve">Abstract (EN): </w:t>
      </w:r>
      <w:r>
        <w:t>Chemical exchange saturation transfer (CEST) MRI generates contrast by transferring saturation from exchangeable protons to bulk water. In diamagnetic agents, labile -NH/-OH protons typically resonate close to water (1-5 ppm), severely limiting selectivity. Thus, larger chemical shift offsets are highly desirable for in vivo applications. Efficient CEST at clinical field strengths also requires exchange rates within a narrow kinetic window. Tetraalkyl 1,8-diaminonaphthalenes (proton sponges) are attractive scaffolds for diaCEST agents because the labile proton locked in a strong hydrogen bond between the two nitrogens in the monoprotonated forms can exhibit extraordinarily large downfield chemical shift offsets from water. However, these compounds do not have CEST because the strong H-bond also results in very slow exchange with the bulk. Here, we report the design, synthesis, and evaluation of a new tetrasubstituted 1,8-diaminonaphthalene derivative in which proton exchange is accelerated by intramolecular catalysis. Detailed structural, thermodynamic, and kinetic studies of 1,8-diaminonaphthalene tetraacetic acid (DANTA) reveal that the carboxylate groups participate in intramolecular hydrogen-bonding interactions with the central N···H+···N bridge, markedly accelerating the proton exchange rate to 492 s-1 at 37 °C, which is within the optimal kinetic regime for CEST at 3 T. Importantly, the carboxylate substituents do not affect the chemical shift offset of the exchanging proton, which remains substantially deshielded and highly downfield shifted at 12.5 ppm from water. In vivo MRI studies further demonstrate that DANTA generates exquisite CEST contrast in the kidneys of mice at 3 T using clinically permissible saturation RF field strengths.</w:t>
      </w:r>
    </w:p>
    <w:p>
      <w:pPr>
        <w:spacing w:before="120" w:after="120"/>
      </w:pPr>
      <w:r>
        <w:rPr>
          <w:sz w:val="18"/>
        </w:rPr>
        <w:t>——————————————————————————————————————————————————————————————————————</w:t>
      </w:r>
    </w:p>
    <w:p>
      <w:pPr>
        <w:spacing w:before="160" w:after="40" w:line="240" w:lineRule="auto"/>
      </w:pPr>
      <w:r>
        <w:rPr>
          <w:b/>
        </w:rPr>
        <w:t xml:space="preserve">[101] </w:t>
      </w:r>
      <w:hyperlink r:id="rId476">
        <w:r>
          <w:rPr>
            <w:color w:val="1155CC"/>
            <w:u w:val="single"/>
          </w:rPr>
          <w:t>[ASAP] 人工智能引导的咖啡因诱导蛋白质解离系统的从头设计</w:t>
        </w:r>
      </w:hyperlink>
    </w:p>
    <w:p>
      <w:pPr>
        <w:spacing w:before="0" w:after="80"/>
      </w:pPr>
      <w:r>
        <w:rPr>
          <w:i/>
          <w:sz w:val="20"/>
        </w:rPr>
        <w:t>EN: [ASAP] AI-Guided De Novo Design of a Caffeine-Induced Protein Dissociation System</w:t>
      </w:r>
    </w:p>
    <w:p>
      <w:pPr>
        <w:spacing w:before="0" w:after="120"/>
      </w:pPr>
      <w:r>
        <w:rPr>
          <w:b/>
        </w:rPr>
        <w:t xml:space="preserve">Source: </w:t>
      </w:r>
      <w:r>
        <w:t>Journal of the American Chemical Society: Latest Articles (ACS Publications)</w:t>
      </w:r>
      <w:r>
        <w:t xml:space="preserve">    </w:t>
      </w:r>
      <w:r>
        <w:rPr>
          <w:b/>
        </w:rPr>
        <w:t xml:space="preserve">Pub date: </w:t>
      </w:r>
      <w:r>
        <w:t>2026-05-25 18:52:13+00:00</w:t>
      </w:r>
      <w:r>
        <w:t xml:space="preserve">    </w:t>
      </w:r>
      <w:r>
        <w:rPr>
          <w:b/>
        </w:rPr>
        <w:t xml:space="preserve">DOI: </w:t>
      </w:r>
      <w:hyperlink r:id="rId477">
        <w:r>
          <w:rPr>
            <w:color w:val="1155CC"/>
            <w:u w:val="single"/>
          </w:rPr>
          <w:t>10.1021/jacs.6c02343</w:t>
        </w:r>
      </w:hyperlink>
    </w:p>
    <w:p>
      <w:pPr>
        <w:spacing w:before="0" w:after="120"/>
      </w:pPr>
      <w:r>
        <w:rPr>
          <w:b/>
        </w:rPr>
        <w:t xml:space="preserve">Notes: </w:t>
      </w:r>
      <w:r>
        <w:t>abstract_source=pubmed</w:t>
      </w:r>
    </w:p>
    <w:p>
      <w:pPr>
        <w:spacing w:before="0" w:after="80" w:lineRule="auto" w:line="276"/>
      </w:pPr>
      <w:r>
        <w:rPr>
          <w:b/>
        </w:rPr>
        <w:t xml:space="preserve">摘要（ZH）: </w:t>
      </w:r>
      <w:r>
        <w:t>化学诱导接近 (CIP) 和化学破坏接近 (CDP) 技术通过实现对蛋白质-蛋白质相互作用和细胞功能的精确时间控制，改变了生物学研究。然而，尽管CIP系统得到了广泛的发展，但具有强大转化潜力的CDP工具仍然相对不发达，需要扩展CDP工具包。在这里，我们提出了一种咖啡因操作解离系统（CODS），这是一种由咖啡因激活的 CDP 平台，咖啡因是一种廉价且广泛使用的小分子，来自食品或饮料，具有良好的安全性。使用人工智能引导的从头蛋白质设计框架，我们将现有的咖啡因响应 CIP 模块重新编程为配体依赖性解离系统。 CODS 表现出高灵敏度和快速功能切换，EC50 低于 90 nM，具有分钟级解离和重结合动力学。我们进一步证明了 CODS 在不同细胞环境中的效用，包括咖啡因依赖性基因表达抑制、通过细胞焦亡诱导程序性细胞死亡以及嵌合抗原受体 (CAR) T 细胞活性的条件失活。 CODS 建立了一个广泛适用的 CDP 平台，用于细胞功能的可调控制，并为从现有 CIP 架构设计化学控制解离系统提供了潜在的通用策略。</w:t>
      </w:r>
    </w:p>
    <w:p>
      <w:pPr>
        <w:spacing w:before="0" w:after="200" w:lineRule="auto" w:line="276"/>
      </w:pPr>
      <w:r>
        <w:rPr>
          <w:b/>
        </w:rPr>
        <w:t xml:space="preserve">Abstract (EN): </w:t>
      </w:r>
      <w:r>
        <w:t>Chemically induced proximity (CIP) and chemically disrupted proximity (CDP) technologies have transformed biological research by enabling precise temporal control of protein-protein interactions and cellular functions. However, despite the extensive development of CIP systems, CDP tools with strong translational potential remain comparatively underdeveloped, calling for the need to expand the CDP toolkit. Here, we present a caffeine-operated dissociation system (CODS), a CDP platform activated by caffeine-an inexpensive and widely available small molecule from food or beverages with a well-established safety profile. Using an AI-guided de novo protein design framework, we reprogrammed an existing caffeine-responsive CIP module into a ligand-dependent dissociation system. CODS exhibits high sensitivity and rapid functional switching, with an EC50 below 90 nM and minute-scale dissociation and reassociation kinetics. We further demonstrate the utility of CODS across diverse cellular contexts, including caffeine-dependent suppression of gene expression, induction of programmed cell death via pyroptosis, and conditional deactivation of chimeric antigen receptor (CAR) T-cell activity. CODS establishes a broadly applicable CDP platform for tunable control of cellular functions and provides a potentially generalizable strategy for engineering chemically controlled dissociation systems from existing CIP architectures.</w:t>
      </w:r>
    </w:p>
    <w:p>
      <w:pPr>
        <w:spacing w:before="120" w:after="120"/>
      </w:pPr>
      <w:r>
        <w:rPr>
          <w:sz w:val="18"/>
        </w:rPr>
        <w:t>——————————————————————————————————————————————————————————————————————</w:t>
      </w:r>
    </w:p>
    <w:p>
      <w:pPr>
        <w:spacing w:before="160" w:after="40" w:line="240" w:lineRule="auto"/>
      </w:pPr>
      <w:r>
        <w:rPr>
          <w:b/>
        </w:rPr>
        <w:t xml:space="preserve">[102] </w:t>
      </w:r>
      <w:hyperlink r:id="rId478">
        <w:r>
          <w:rPr>
            <w:color w:val="1155CC"/>
            <w:u w:val="single"/>
          </w:rPr>
          <w:t>对中国期刊排行榜关闭的谨慎声音</w:t>
        </w:r>
      </w:hyperlink>
    </w:p>
    <w:p>
      <w:pPr>
        <w:spacing w:before="0" w:after="80"/>
      </w:pPr>
      <w:r>
        <w:rPr>
          <w:i/>
          <w:sz w:val="20"/>
        </w:rPr>
        <w:t>EN: A cautious voice on the closure of China’s journal ranking list</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479">
        <w:r>
          <w:rPr>
            <w:color w:val="1155CC"/>
            <w:u w:val="single"/>
          </w:rPr>
          <w:t>10.1038/d41586-026-01663-w</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[103] </w:t>
      </w:r>
      <w:hyperlink r:id="rId480">
        <w:r>
          <w:rPr>
            <w:color w:val="1155CC"/>
            <w:u w:val="single"/>
          </w:rPr>
          <w:t>保护成果不应受到政治变化的影响</w:t>
        </w:r>
      </w:hyperlink>
    </w:p>
    <w:p>
      <w:pPr>
        <w:spacing w:before="0" w:after="80"/>
      </w:pPr>
      <w:r>
        <w:rPr>
          <w:i/>
          <w:sz w:val="20"/>
        </w:rPr>
        <w:t>EN: Conservation gains should not be at the mercy of political changes</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481">
        <w:r>
          <w:rPr>
            <w:color w:val="1155CC"/>
            <w:u w:val="single"/>
          </w:rPr>
          <w:t>10.1038/d41586-026-01665-8</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[104] </w:t>
      </w:r>
      <w:hyperlink r:id="rId482">
        <w:r>
          <w:rPr>
            <w:color w:val="1155CC"/>
            <w:u w:val="single"/>
          </w:rPr>
          <w:t>波兰的经济正在蓬勃发展，但其科学正在消亡</w:t>
        </w:r>
      </w:hyperlink>
    </w:p>
    <w:p>
      <w:pPr>
        <w:spacing w:before="0" w:after="80"/>
      </w:pPr>
      <w:r>
        <w:rPr>
          <w:i/>
          <w:sz w:val="20"/>
        </w:rPr>
        <w:t>EN: Poland’s economy is thriving, but its science is dying</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483">
        <w:r>
          <w:rPr>
            <w:color w:val="1155CC"/>
            <w:u w:val="single"/>
          </w:rPr>
          <w:t>10.1038/d41586-026-01664-9</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[105] </w:t>
      </w:r>
      <w:hyperlink r:id="rId484">
        <w:r>
          <w:rPr>
            <w:color w:val="1155CC"/>
            <w:u w:val="single"/>
          </w:rPr>
          <w:t>作者更正：人体分段时钟的体外表征</w:t>
        </w:r>
      </w:hyperlink>
    </w:p>
    <w:p>
      <w:pPr>
        <w:spacing w:before="0" w:after="80"/>
      </w:pPr>
      <w:r>
        <w:rPr>
          <w:i/>
          <w:sz w:val="20"/>
        </w:rPr>
        <w:t>EN: Author Correction: In vitro characterization of the human segmentation clock</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485">
        <w:r>
          <w:rPr>
            <w:color w:val="1155CC"/>
            <w:u w:val="single"/>
          </w:rPr>
          <w:t>10.1038/s41586-026-10651-z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[106] </w:t>
      </w:r>
      <w:hyperlink r:id="rId486">
        <w:r>
          <w:rPr>
            <w:color w:val="1155CC"/>
            <w:u w:val="single"/>
          </w:rPr>
          <w:t>发布太危险：Mythos 是受限人工智能时代的开始吗？</w:t>
        </w:r>
      </w:hyperlink>
    </w:p>
    <w:p>
      <w:pPr>
        <w:spacing w:before="0" w:after="80"/>
      </w:pPr>
      <w:r>
        <w:rPr>
          <w:i/>
          <w:sz w:val="20"/>
        </w:rPr>
        <w:t>EN: Too dangerous to release: is Mythos the start of the restricted-AI era?</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487">
        <w:r>
          <w:rPr>
            <w:color w:val="1155CC"/>
            <w:u w:val="single"/>
          </w:rPr>
          <w:t>10.1038/d41586-026-01617-2</w:t>
        </w:r>
      </w:hyperlink>
    </w:p>
    <w:p>
      <w:pPr>
        <w:spacing w:before="0" w:after="120"/>
      </w:pPr>
      <w:r>
        <w:rPr>
          <w:b/>
        </w:rPr>
        <w:t xml:space="preserve">Notes: </w:t>
      </w:r>
      <w:r>
        <w:t>abstract_source=nature_html</w:t>
      </w:r>
    </w:p>
    <w:p>
      <w:pPr>
        <w:spacing w:before="0" w:after="80" w:lineRule="auto" w:line="276"/>
      </w:pPr>
      <w:r>
        <w:rPr>
          <w:b/>
        </w:rPr>
        <w:t xml:space="preserve">摘要（ZH）: </w:t>
      </w:r>
      <w:r>
        <w:t>当人工智能公司生产出他们认为公众无法拥有的模型时会发生什么——用户和政府应该如何反应？当人工智能公司生产出他们认为公众无法拥有的模型时会发生什么——用户和政府应该如何反应？</w:t>
      </w:r>
    </w:p>
    <w:p>
      <w:pPr>
        <w:spacing w:before="0" w:after="200" w:lineRule="auto" w:line="276"/>
      </w:pPr>
      <w:r>
        <w:rPr>
          <w:b/>
        </w:rPr>
        <w:t xml:space="preserve">Abstract (EN): </w:t>
      </w:r>
      <w:r>
        <w:t>What happens when AI companies produce models that they say the public can’t have — and how should users and governments react? What happens when AI companies produce models that they say the public can’t have — and how should users and governments react?</w:t>
      </w:r>
    </w:p>
    <w:p>
      <w:pPr>
        <w:spacing w:before="120" w:after="120"/>
      </w:pPr>
      <w:r>
        <w:rPr>
          <w:sz w:val="18"/>
        </w:rPr>
        <w:t>——————————————————————————————————————————————————————————————————————</w:t>
      </w:r>
    </w:p>
    <w:p>
      <w:pPr>
        <w:spacing w:before="160" w:after="40" w:line="240" w:lineRule="auto"/>
      </w:pPr>
      <w:r>
        <w:rPr>
          <w:b/>
        </w:rPr>
        <w:t xml:space="preserve">[107] </w:t>
      </w:r>
      <w:hyperlink r:id="rId488">
        <w:r>
          <w:rPr>
            <w:color w:val="1155CC"/>
            <w:u w:val="single"/>
          </w:rPr>
          <w:t>波纹纳米层压薄膜作为反射光帆的实验演示</w:t>
        </w:r>
      </w:hyperlink>
    </w:p>
    <w:p>
      <w:pPr>
        <w:spacing w:before="0" w:after="80"/>
      </w:pPr>
      <w:r>
        <w:rPr>
          <w:i/>
          <w:sz w:val="20"/>
        </w:rPr>
        <w:t>EN: Experimental demonstration of corrugated nanolaminate films as reflective light sails</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实现激光驱动的相对论光帆将代表人类的巨大突破。已经提出了许多帆设计，但没有一个能够满足所有严格的光学、机械和质量约束。在这里，我们展示了一类具有坚固且灵活的六角形波纹微结构的纳米层压帆。我们的原型采用可扩展的半导体加工技术由氧化铝和二硫化钼制成，面密度为 ⋅ m−2，实验测量的宽带反射率达到 &gt; 50%，宽带吸收率为</w:t>
      </w:r>
    </w:p>
    <w:p>
      <w:pPr>
        <w:spacing w:before="0" w:after="200" w:lineRule="auto" w:line="276"/>
      </w:pPr>
      <w:r>
        <w:rPr>
          <w:b/>
        </w:rPr>
        <w:t xml:space="preserve">Abstract (EN): </w:t>
      </w:r>
      <w:r>
        <w:t>Achieving laser-driven relativistic light sails would represent a tremendous breakthrough for humankind. Numerous sail designs have been proposed, but none satisfy all the stringent optical, mechanical, and mass constraints. Here we demonstrate a class of nanolaminate sails with strong and flexible hexagonally-corrugated microstructures. Our prototypes, fabricated from alumina and molybdenum disulfide using scalable semiconductor processing techniques, feature areal densities of ⋅ m−2, achieve experimentally-measured broadband reflectivities of &gt; 50%, and feature broadband absorptivities of</w:t>
      </w:r>
    </w:p>
    <w:p>
      <w:pPr>
        <w:spacing w:before="120" w:after="120"/>
      </w:pPr>
      <w:r>
        <w:rPr>
          <w:sz w:val="18"/>
        </w:rPr>
        <w:t>——————————————————————————————————————————————————————————————————————</w:t>
      </w:r>
    </w:p>
    <w:p>
      <w:pPr>
        <w:spacing w:before="160" w:after="40" w:line="240" w:lineRule="auto"/>
      </w:pPr>
      <w:r>
        <w:rPr>
          <w:b/>
        </w:rPr>
        <w:t xml:space="preserve">[108] </w:t>
      </w:r>
      <w:hyperlink r:id="rId489">
        <w:r>
          <w:rPr>
            <w:color w:val="1155CC"/>
            <w:u w:val="single"/>
          </w:rPr>
          <w:t>通过网络拓扑适应，离子触发可重构水凝胶具有盐增强的机械和膨胀特性</w:t>
        </w:r>
      </w:hyperlink>
    </w:p>
    <w:p>
      <w:pPr>
        <w:spacing w:before="0" w:after="80"/>
      </w:pPr>
      <w:r>
        <w:rPr>
          <w:i/>
          <w:sz w:val="20"/>
        </w:rPr>
        <w:t>EN: Ion-triggered reconfigurable hydrogels with salt-enhanced mechanical and swelling properties via network topological adaptation</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水凝胶通常在高盐条件下恶化，因为静电屏蔽和聚合物-溶剂亲和力降低会抑制膨胀并削弱承载网络连接性。在这里，我们报道了一种双网络水凝胶，它在盐水中膨胀时会增强。与在水中的行为相比，该网络在暴露于盐时会经历离子触发的拓扑重构。链内两性离子对打开并重组为网络间 SBVI+-AMPS− 桥，在较低聚合物分数下增加了有效桥密度。与去离子水相比，该水凝胶在200 g/L NaCl中表现出1.63倍的拉伸强度和1.21倍的溶胀比。 SAXS 和 XPS 证实了盐诱导的结构均质化和电荷重新分布。密度泛函理论计算支持 SBVI 和 AMPS 之间在盐水条件下离子缔合的加强。自由能分析表明，环路分数的减少和连通性的增加使得关联稳定性能够补偿弹性膨胀损失。岩心驱替在高盐度多孔岩石中表现出强大的可注入性。该机制为盐适应性水凝胶提供了设计规则。</w:t>
      </w:r>
    </w:p>
    <w:p>
      <w:pPr>
        <w:spacing w:before="0" w:after="200" w:lineRule="auto" w:line="276"/>
      </w:pPr>
      <w:r>
        <w:rPr>
          <w:b/>
        </w:rPr>
        <w:t xml:space="preserve">Abstract (EN): </w:t>
      </w:r>
      <w:r>
        <w:t>Hydrogels typically deteriorate under high-salinity conditions because electrostatic screening and reduced polymer-solvent affinity suppress swelling and weaken load-bearing network connectivity. Here, we report a double-network hydrogel that strengthens while swelling in brine. Compared with its behavior in water, the network undergoes an ion-triggered topological reconfiguration upon salt exposure. The intrachain zwitterionic ion pairs open and reform as inter-network SBVI+-AMPS− bridges, increasing effective bridge density at lower polymer fraction. The hydrogel exhibits 1.63-fold tensile strength and 1.21-fold swelling ratio in 200 g/L NaCl compared to deionized water. SAXS and XPS confirm salt-induced structural homogenization and charge redistribution. Density functional theory calculations support strengthened ionic association under saline conditions between SBVI and AMPS. Free energy analysis reveals that reduced loop fraction and increased connectivity enable associative stabilization to compensate for elastic swelling penalties. Core-flooding demonstrates robust injectability in high-salinity porous rock. This mechanism provides design rules for salt-adaptive hydrogels.</w:t>
      </w:r>
    </w:p>
    <w:p>
      <w:pPr>
        <w:spacing w:before="120" w:after="120"/>
      </w:pPr>
      <w:r>
        <w:rPr>
          <w:sz w:val="18"/>
        </w:rPr>
        <w:t>——————————————————————————————————————————————————————————————————————</w:t>
      </w:r>
    </w:p>
    <w:p>
      <w:pPr>
        <w:spacing w:before="160" w:after="40" w:line="240" w:lineRule="auto"/>
      </w:pPr>
      <w:r>
        <w:rPr>
          <w:b/>
        </w:rPr>
        <w:t xml:space="preserve">[109] </w:t>
      </w:r>
      <w:hyperlink r:id="rId490">
        <w:r>
          <w:rPr>
            <w:color w:val="1155CC"/>
            <w:u w:val="single"/>
          </w:rPr>
          <w:t>具有无条件安全性的实验性非对称相对论零知识证明</w:t>
        </w:r>
      </w:hyperlink>
    </w:p>
    <w:p>
      <w:pPr>
        <w:spacing w:before="0" w:after="80"/>
      </w:pPr>
      <w:r>
        <w:rPr>
          <w:i/>
          <w:sz w:val="20"/>
        </w:rPr>
        <w:t>EN: Experimental asymmetric relativistic zero-knowledge proofs with unconditional security</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零知识证明（ZKP）广泛应用于数字经济中，例如加密货币和智能合约，用于在不可信各方之间建立信任和隐私。经典的 ZKP 依赖于计算假设，并且容易受到量子攻击。虽然最近的一项进展表明，在没有计算假设的情况下，可以使用量子声音对称相对论 ZKP 来解决图三着色问题，但较高的轮复杂度会导致无法实现的运行时间和总体随机性成本，使得它们对于现实生活中的部署来说是不切实际的。为了克服这个问题，我们使用相对论比特承诺开发了一种高效的非对称相对论 ZKP 协议，并通过将其与非局域 Clauser-Horne-Shimony-Holt (CHSH) 博弈相关来证明其量子可靠性。我们的协议实现了轮复杂度和边数之间的线性关系，从而显着提高了实际可行性。此外，我们还实施了一个原理验证实验，该实验在大约 0.22 秒内完成所有交互轮次，并且需要 430.81 MB 的总体随机性成本。我们的工作展示了将狭义相对论与量子理论在去信任密码学中相结合的强大潜力，为在不信任的互联网环境中抵御量子攻击的强大应用程序铺平了道路。</w:t>
      </w:r>
    </w:p>
    <w:p>
      <w:pPr>
        <w:spacing w:before="0" w:after="200" w:lineRule="auto" w:line="276"/>
      </w:pPr>
      <w:r>
        <w:rPr>
          <w:b/>
        </w:rPr>
        <w:t xml:space="preserve">Abstract (EN): </w:t>
      </w:r>
      <w:r>
        <w:t>Zero-knowledge proofs (ZKPs) are widely applied in digital economies, such as cryptocurrencies and smart contracts, for establishing trust and privacy between untrusted parties. Classical ZKPs rely on computational assumptions and are vulnerable to quantum attacks. While a recent advance suggests quantum-sound symmetric relativistic ZKPs for the graph three-coloring problem without computational assumptions, the high round complexity, which leads to unachievable runtime and overall randomness cost, renders them impractical for real-life deployment. To overcome this, we develop an efficient asymmetric relativistic ZKP protocol using relativistic bit commitments, and prove its quantum soundness by relating it to the nonlocal Clauser-Horne-Shimony-Holt (CHSH) game. Our protocol achieves a linear relationship between the round complexity and the number of edges, and thus significantly improves practical feasibility. In addition, we implement a proof-of-principle experiment which completes all interactive rounds in about 0.22 seconds and requires an overall randomness cost of 430.81 MB. Our work illustrates the powerful potential of integrating special relativity with quantum theory in trustless cryptography, paving the way for robust applications against quantum attacks in distrustful Internet environments.</w:t>
      </w:r>
    </w:p>
    <w:p>
      <w:pPr>
        <w:spacing w:before="120" w:after="120"/>
      </w:pPr>
      <w:r>
        <w:rPr>
          <w:sz w:val="18"/>
        </w:rPr>
        <w:t>——————————————————————————————————————————————————————————————————————</w:t>
      </w:r>
    </w:p>
    <w:p>
      <w:pPr>
        <w:spacing w:before="160" w:after="40" w:line="240" w:lineRule="auto"/>
      </w:pPr>
      <w:r>
        <w:rPr>
          <w:b/>
        </w:rPr>
        <w:t xml:space="preserve">[110] </w:t>
      </w:r>
      <w:hyperlink r:id="rId491">
        <w:r>
          <w:rPr>
            <w:color w:val="1155CC"/>
            <w:u w:val="single"/>
          </w:rPr>
          <w:t>由手性异常驱动的 D03-Fe3Ga 中鲁棒的平坦磁阻</w:t>
        </w:r>
      </w:hyperlink>
    </w:p>
    <w:p>
      <w:pPr>
        <w:spacing w:before="0" w:after="80"/>
      </w:pPr>
      <w:r>
        <w:rPr>
          <w:i/>
          <w:sz w:val="20"/>
        </w:rPr>
        <w:t>EN: Robust flat-magnetoresistivity in D03-Fe3Ga driven by chiral anomaly</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从平带交叉中出现的拓扑非平凡节点不仅增强了非常规拓扑响应，而且在探索相关驱动的拓扑物理中发挥着基础作用。在这里，我们报告了 D03-Fe3Ga 中异常强大的手性异常主导的传输。首先，我们观察到正/负磁阻、理想平面纵向磁阻（PLMR）和平面霍尔效应（PHE）的完美结合。其次，超低温电阻率表现出明显的非费米液体（NFL）行为，伴随着巨大的本征反常霍尔电导率（AHC）的出现，与我们的DFT计算非常一致，这证实了由于近三维（3D）平带交叉而产生的倾斜Weyl点的存在。最值得注意的是，我们检测到异常强大的平坦磁阻 (flat-MR)，其在高达 33 T 的温度下仍能保持不衰变。这组独特的现象提供了强有力的证据，证明费米能级与平坦的外尔交叉点相交，从而明确证实了长期以来寻求的理想拓扑半金属的标志。与以前的系统不同，D03-Fe3Ga 表现出拓扑平带半金属的原始特征。我们的研究结果还强调了量子器件创新的一个有前途的磁性平台。</w:t>
      </w:r>
    </w:p>
    <w:p>
      <w:pPr>
        <w:spacing w:before="0" w:after="200" w:lineRule="auto" w:line="276"/>
      </w:pPr>
      <w:r>
        <w:rPr>
          <w:b/>
        </w:rPr>
        <w:t xml:space="preserve">Abstract (EN): </w:t>
      </w:r>
      <w:r>
        <w:t>Topologically non‑trivial nodes emerging from flat‑band crossings not only enhance unconventional topological responses but also play a fundamental role in exploring correlation‑driven topological physics. Here, we report the exceptionally robust chiral-anomaly-dominated transport in D03-Fe3Ga. Firstly, we observe a perfect combination of positive/negative magnetoresistance, ideal planar longitudinal magnetoresistance (PLMR), and planar Hall effect (PHE). Secondly, ultra-low-temperature resistivity exhibits pronounced non-Fermi-liquid (NFL) behavior, accompanied by the emergence of giant intrinsic anomalous Hall conductivity (AHC), in excellent agreement with our DFT calculations, which confirm the existence of tilted Weyl points arising from crossings of nearly three-dimensional (3D) flat-bands. Most remarkably, we detect an exceptionally robust flat-magnetoresistance (flat-MR) that persists without decay up to 33 T. This distinctive set of phenomena provides strong evidence that the Fermi level intersects the flattened Weyl crossings, offering unambiguous confirmation of a long-sought hallmark of ideal topological semimetals. Unlike previous systems, D03-Fe3Ga exhibits the pristine characteristics of a topological flat-band semimetal. Our findings also highlight a promising magnetic platform for quantum device innovations.</w:t>
      </w:r>
    </w:p>
    <w:p>
      <w:pPr>
        <w:spacing w:before="120" w:after="120"/>
      </w:pPr>
      <w:r>
        <w:rPr>
          <w:sz w:val="18"/>
        </w:rPr>
        <w:t>——————————————————————————————————————————————————————————————————————</w:t>
      </w:r>
    </w:p>
    <w:p>
      <w:pPr>
        <w:spacing w:before="160" w:after="40" w:line="240" w:lineRule="auto"/>
      </w:pPr>
      <w:r>
        <w:rPr>
          <w:b/>
        </w:rPr>
        <w:t xml:space="preserve">[111] </w:t>
      </w:r>
      <w:hyperlink r:id="rId492">
        <w:r>
          <w:rPr>
            <w:color w:val="1155CC"/>
            <w:u w:val="single"/>
          </w:rPr>
          <w:t>用于深蓝色发射器的 B,N 掺杂纳米石墨烯拓扑结构优化</w:t>
        </w:r>
      </w:hyperlink>
    </w:p>
    <w:p>
      <w:pPr>
        <w:spacing w:before="0" w:after="80"/>
      </w:pPr>
      <w:r>
        <w:rPr>
          <w:i/>
          <w:sz w:val="20"/>
        </w:rPr>
        <w:t>EN: Topological structure optimization of B,N-doped nanographenes for deep-blue emitters</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B,N掺杂纳米石墨烯由于其窄带发射和三线态激子捕获能力而成为有前途的蓝色OLED掺杂剂，但其低效的反向系间窜越（RISC）仍然是实际应用的瓶颈。尽管 π 扩展被广泛用于加速 RISC 和提高颜色纯度，但分子拓扑的作用仍不清楚。在这里，我们报告了三种深蓝色四硼化纳米石墨烯，具有异构骨架和从负弯曲到准平面的拓扑依赖构象。理论和实验研究相结合表明，增强的平面性可以促进共振效应，促进电荷转移离域，并增加结构刚性。因此，最平坦的发射器实现了 13 nm/0.07 eV 的超窄发射带宽和 2.7 × 106 s−1 的高 RISC 速率常数，优于弯曲的类似物。相应的 OLED 在 1000 cd m−2 下具有 30.4% 的外量子效率，色坐标为 (0.127, 0.078)，为面向超高清显示器的高性能窄带发射器建立了构象引导设计原则。</w:t>
      </w:r>
    </w:p>
    <w:p>
      <w:pPr>
        <w:spacing w:before="0" w:after="200" w:lineRule="auto" w:line="276"/>
      </w:pPr>
      <w:r>
        <w:rPr>
          <w:b/>
        </w:rPr>
        <w:t xml:space="preserve">Abstract (EN): </w:t>
      </w:r>
      <w:r>
        <w:t>B,N-doped nanographenes are promising blue OLED dopants owing to their narrowband emission and triplet-exciton harvesting capability, but their inefficient reverse intersystem crossing (RISC) remains a bottleneck for practical applications. Although π-extension is widely used to accelerate RISC and improve color purity, the role of molecular topology remains unclear. Here we report three deep-blue, quadruple-borylated nanographenes with isomeric skeletons and topology-dependent conformations ranging from negatively curved to quasi-planar. Combined theoretical and experimental studies reveal that enhanced planarity can facilitate the resonance effect, promote charge-transfer delocalization, and increase structural rigidity. Consequently, the most planarized emitter achieves an ultranarrow emission bandwidth of 13 nm/0.07 eV and a high RISC rate constant of 2.7 × 106 s−1, outperforming the curved analogues. The corresponding OLED delivers an external quantum efficiency of 30.4% at 1000 cd m−2 with color coordinates of (0.127, 0.078), establishing conformation-guided design principles for high-performance narrowband emitters toward ultrahigh-definition displays.</w:t>
      </w:r>
    </w:p>
    <w:p>
      <w:pPr>
        <w:spacing w:before="120" w:after="120"/>
      </w:pPr>
      <w:r>
        <w:rPr>
          <w:sz w:val="18"/>
        </w:rPr>
        <w:t>——————————————————————————————————————————————————————————————————————</w:t>
      </w:r>
    </w:p>
    <w:p>
      <w:pPr>
        <w:spacing w:before="160" w:after="40" w:line="240" w:lineRule="auto"/>
      </w:pPr>
      <w:r>
        <w:rPr>
          <w:b/>
        </w:rPr>
        <w:t xml:space="preserve">[112] </w:t>
      </w:r>
      <w:hyperlink r:id="rId493">
        <w:r>
          <w:rPr>
            <w:color w:val="1155CC"/>
            <w:u w:val="single"/>
          </w:rPr>
          <w:t>应变局部发光电子皮肤，用于高分辨率压力图和视觉力反馈</w:t>
        </w:r>
      </w:hyperlink>
    </w:p>
    <w:p>
      <w:pPr>
        <w:spacing w:before="0" w:after="80"/>
      </w:pPr>
      <w:r>
        <w:rPr>
          <w:i/>
          <w:sz w:val="20"/>
        </w:rPr>
        <w:t>EN: Strain-localized luminescent e-skin for high-resolution pressure mapping and visual force feedback</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具有视觉反馈功能的模拟人类直觉触觉感知的电子皮肤（e-skin）对于下一代可穿戴设备、机器人和生物医学应用至关重要。然而，现有的可视化压力测绘系统要么需要密集的像素化阵列，从而增加体积、复杂性和信号串扰，要么依赖刚性或半刚性架构，并且无法适应动态变化的弯曲、柔软表面。在这里，我们报告了一种用于高分辨率可视化压力测绘的软机械电致发光电子皮肤。在弯曲且柔顺的基板上实现定量压力传感。它采用超薄、完全柔软的微结构架构构建，利用连续器件堆栈内的应变局部变形和固有的原位力-电-光耦合，无需离散传感像素即可实现高保真压力映射。它实现了30μm（847dpi）的空间分辨率和高发光灵敏度（1.12cd·m⁻²·kPa⁻）。这种电子皮肤可以实时绘制压力分布图并识别指纹等精细触觉特征。它与足底传感器和腹腔镜工具集成，还可以实现视觉力反馈，分别增强步态分析和手术训练。这种方法为智能触觉界面提供了一个柔软、紧凑、多模式的平台。</w:t>
      </w:r>
    </w:p>
    <w:p>
      <w:pPr>
        <w:spacing w:before="0" w:after="200" w:lineRule="auto" w:line="276"/>
      </w:pPr>
      <w:r>
        <w:rPr>
          <w:b/>
        </w:rPr>
        <w:t xml:space="preserve">Abstract (EN): </w:t>
      </w:r>
      <w:r>
        <w:t>Electronic skins (e-skins) that emulate human intuitive tactile perception with visual feedback capabilities are vital for next-generation wearables, robotics, and biomedical applications. However, existing visualized pressure mapping systems either require dense pixelated arrays that add bulk, complexity and signal crosstalk, or rely on rigid or semi‑rigid architecture, and are not able to conform to dynamically changing curved, soft surfaces. Here, we report a soft mechano-electroluminescent e-skin for high-resolution visualized pressure mapping. Quantitative pressure sensing is achieved on curved and compliant substrates. Built with an ultrathin, entirely soft microstructured architecture, it harnesses strain-localized deformation and intrinsic, in‑situ force–electric–optical coupling within a continuous device stack to achieve high‑fidelity pressure mapping without discrete sensing pixels. It achieves a spatial resolution of 30 μm (847 dpi) and high luminescent sensitivity (1.12 cd·m⁻²·kPa⁻¹). This e-skin allows real-time mapping of pressure distributions and recognition of fine tactile features like fingerprints. Integrated with plantar sensors and also laparoscopic tools, it also enables visual force feedback, enhancing gait analysis and surgical training, respectively. This approach offers a soft, compact, multimodal platform for intelligent tactile interfaces.</w:t>
      </w:r>
    </w:p>
    <w:p>
      <w:pPr>
        <w:spacing w:before="120" w:after="120"/>
      </w:pPr>
      <w:r>
        <w:rPr>
          <w:sz w:val="18"/>
        </w:rPr>
        <w:t>——————————————————————————————————————————————————————————————————————</w:t>
      </w:r>
    </w:p>
    <w:p>
      <w:pPr>
        <w:spacing w:before="160" w:after="40" w:line="240" w:lineRule="auto"/>
      </w:pPr>
      <w:r>
        <w:rPr>
          <w:b/>
        </w:rPr>
        <w:t xml:space="preserve">[113] </w:t>
      </w:r>
      <w:hyperlink r:id="rId494">
        <w:r>
          <w:rPr>
            <w:color w:val="1155CC"/>
            <w:u w:val="single"/>
          </w:rPr>
          <w:t>美国民权立法支持方面的党派差距不断扩大</w:t>
        </w:r>
      </w:hyperlink>
    </w:p>
    <w:p>
      <w:pPr>
        <w:spacing w:before="0" w:after="80"/>
      </w:pPr>
      <w:r>
        <w:rPr>
          <w:i/>
          <w:sz w:val="20"/>
        </w:rPr>
        <w:t>EN: The widening partisan gap in legislative support for civil rights in the United States</w:t>
      </w:r>
    </w:p>
    <w:p>
      <w:pPr>
        <w:spacing w:before="0" w:after="120"/>
      </w:pPr>
      <w:r>
        <w:rPr>
          <w:b/>
        </w:rPr>
        <w:t xml:space="preserve">Source: </w:t>
      </w:r>
      <w:r>
        <w:t>Scientific community and society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民权立法的历史提供了一个窗口，让我们了解美国民主如何随着时间的推移将社会正义编入法典，以及这一过程是逐渐展开还是通过间断的转变。民权运动六十年后，我们将自然语言处理应用于立法档案，以跟踪民权作为政策领域的演变。我们表明，民权立法已变得更加普遍，但也因党派而存在分歧。 2010 年代中期和 2010 年代中期，分歧加速——后者恰逢“黑人命也是命”运动兴起，并受到国会少数族裔民主党人支持率激增的推动。主题模型显示，分歧集中在有关少数族裔、妇女和 LGBTQ+ 人群的立法上，而两党对老年人和残疾人的关注度都有所下降。我们的研究结果为政党分歧、种族和族裔政治以及集体行动临界点提供了潜在的见解。</w:t>
      </w:r>
    </w:p>
    <w:p>
      <w:pPr>
        <w:spacing w:before="0" w:after="200" w:lineRule="auto" w:line="276"/>
      </w:pPr>
      <w:r>
        <w:rPr>
          <w:b/>
        </w:rPr>
        <w:t xml:space="preserve">Abstract (EN): </w:t>
      </w:r>
      <w:r>
        <w:t>The history of civil rights legislation offers a window into how American democracy codified social justice over time, and whether this process unfolded gradually or through punctuated shifts. Sixty years after the civil rights movement, we apply natural language processing to legislative archives to track how civil rights has evolved as a policy domain. We show that civil rights legislation has become more common, but also has diverged by party. Divergence accelerated during the early 1990s and mid-2010s—the latter coinciding with the rise of the Black Lives Matter movement and driven by a surge in sponsorship among racial minority Democrats in Congress. Topic modeling reveals that divergence is concentrated in legislation concerning racial minorities, women, and LGBTQ+ populations, while attention to older adults and people with disabilities has declined across both parties. Our findings offer potential insights into party divergence, race and ethnicity politics, and collective action tipping points.</w:t>
      </w:r>
    </w:p>
    <w:p>
      <w:pPr>
        <w:spacing w:before="120" w:after="120"/>
      </w:pPr>
      <w:r>
        <w:rPr>
          <w:sz w:val="18"/>
        </w:rPr>
        <w:t>——————————————————————————————————————————————————————————————————————</w:t>
      </w:r>
    </w:p>
    <w:p>
      <w:pPr>
        <w:spacing w:before="160" w:after="40" w:line="240" w:lineRule="auto"/>
      </w:pPr>
      <w:r>
        <w:rPr>
          <w:b/>
        </w:rPr>
        <w:t xml:space="preserve">[114] </w:t>
      </w:r>
      <w:hyperlink r:id="rId495">
        <w:r>
          <w:rPr>
            <w:color w:val="1155CC"/>
            <w:u w:val="single"/>
          </w:rPr>
          <w:t>钽的直接墨水书写：用于成骨的可定制分层多孔支架</w:t>
        </w:r>
      </w:hyperlink>
    </w:p>
    <w:p>
      <w:pPr>
        <w:spacing w:before="0" w:after="80"/>
      </w:pPr>
      <w:r>
        <w:rPr>
          <w:i/>
          <w:sz w:val="20"/>
        </w:rPr>
        <w:t>EN: Direct ink writing of tantalum: tailorable hierarchical porous scaffold for osteogenesis</w:t>
      </w:r>
    </w:p>
    <w:p>
      <w:pPr>
        <w:spacing w:before="0" w:after="120"/>
      </w:pPr>
      <w:r>
        <w:rPr>
          <w:b/>
        </w:rPr>
        <w:t xml:space="preserve">Source: </w:t>
      </w:r>
      <w:r>
        <w:t>National Science Review Advance Access</w:t>
      </w:r>
      <w:r>
        <w:t xml:space="preserve">    </w:t>
      </w:r>
      <w:r>
        <w:rPr>
          <w:b/>
        </w:rPr>
        <w:t xml:space="preserve">Pub date: </w:t>
      </w:r>
      <w:r>
        <w:t>2026-05-26 00:00:00+00:00</w:t>
      </w:r>
      <w:r>
        <w:t xml:space="preserve">    </w:t>
      </w:r>
      <w:r>
        <w:rPr>
          <w:b/>
        </w:rPr>
        <w:t xml:space="preserve">DOI: </w:t>
      </w:r>
      <w:hyperlink r:id="rId496">
        <w:r>
          <w:rPr>
            <w:color w:val="1155CC"/>
            <w:u w:val="single"/>
          </w:rPr>
          <w:t>10.1093/nsr/nwag293</w:t>
        </w:r>
      </w:hyperlink>
    </w:p>
    <w:p>
      <w:pPr>
        <w:spacing w:before="0" w:after="120"/>
      </w:pPr>
      <w:r>
        <w:rPr>
          <w:b/>
        </w:rPr>
        <w:t xml:space="preserve">Notes: </w:t>
      </w:r>
      <w:r>
        <w:t>abstract_source=rss_oup</w:t>
      </w:r>
    </w:p>
    <w:p>
      <w:pPr>
        <w:spacing w:before="0" w:after="80" w:lineRule="auto" w:line="276"/>
      </w:pPr>
      <w:r>
        <w:rPr>
          <w:b/>
        </w:rPr>
        <w:t xml:space="preserve">摘要（ZH）: </w:t>
      </w:r>
      <w:r>
        <w:t>为了降低骨缺损重建中骨整合失败的风险，开发具有最佳生物相容性和增强成骨能力的种植体的创新制造策略至关重要。大孔（约300-600μm）和微孔（小于20μm）协同组合形成的分级多孔结构可以更好地模拟天然骨的结构特征，从而促进成骨。在这项研究中，我们开发了直接墨水书写（DIW）技术来制造旨在促进成骨的分级多孔钽支架。在 DIW 打印过程中，使用了流变优化的墨水和仔细校准的打印参数，能够稳定制造具有明确大孔的患者特异性支架前体。经过受控的烧结过程，支架呈现出大孔（直径约 400-500 μm）和互连的微孔（直径约 0.5-23 μm），从而可以定制机械性能和孔隙率，以非常接近天然人骨的机械性能和孔隙率。控制良好的分层多孔结构表现出优异的生物相容性，并显着提高体外和体内的骨诱导性能，加速新骨形成。我们验证了这种基于 DIW 的钽支架打印方法的可靠定制能力。可控的多孔结构进一步增强了种植体的骨整合潜力，为个性化骨种植体的开发开辟了有前景的新途径</w:t>
      </w:r>
    </w:p>
    <w:p>
      <w:pPr>
        <w:spacing w:before="0" w:after="200" w:lineRule="auto" w:line="276"/>
      </w:pPr>
      <w:r>
        <w:rPr>
          <w:b/>
        </w:rPr>
        <w:t xml:space="preserve">Abstract (EN): </w:t>
      </w:r>
      <w:r>
        <w:t>To mitigate the risk of osseointegration failure in bone defect reconstruction, innovative fabrication strategies for developing implants with optimal biocompatibility and enhanced osteogenic capacity are crucial. Hierarchical porous structures formed by the synergistic combination of macropores (approximately 300–600 μm) and micropores (smaller than 20 μm) can better mimic the structural characteristics of native bone, thereby promoting osteogenesis. In this study, we developed direct ink writing (DIW) technology to fabricate a graded porous tantalum scaffold designed to promote osteogenesis. In the DIW printing process, a rheologically optimized ink and carefully calibrated printing parameters were utilized, enabling stable fabrication of patient-specific scaffold precursors with well-defined macropores. Following a controlled sintering process, the scaffolds exhibited macropores (approximately 400–500 μm in diameter) and interconnected micropores (approximately 0.5–23 μm in diameter), allowing tailoring of the mechanical properties and porosity to closely approximate those of native human bone. The well-controlled hierarchical porous structure exhibited excellent biocompatibility and significantly increased osteoinductive performance both in vitro and in vivo, accelerating new bone formation. We validated the reliable customization capabilities of this DIW-based tantalum scaffold printing method. The controllable porous structure further enhances the osseointegration potential of the implant, opening promising new avenues for the development of personalized bone implants.</w:t>
      </w:r>
    </w:p>
    <w:p>
      <w:pPr>
        <w:spacing w:before="120" w:after="120"/>
      </w:pPr>
      <w:r>
        <w:rPr>
          <w:sz w:val="18"/>
        </w:rPr>
        <w:t>——————————————————————————————————————————————————————————————————————</w:t>
      </w:r>
    </w:p>
    <w:p>
      <w:pPr>
        <w:spacing w:before="160" w:after="40" w:line="240" w:lineRule="auto"/>
      </w:pPr>
      <w:r>
        <w:rPr>
          <w:b/>
        </w:rPr>
        <w:t xml:space="preserve">[115] </w:t>
      </w:r>
      <w:hyperlink r:id="rId497">
        <w:r>
          <w:rPr>
            <w:color w:val="1155CC"/>
            <w:u w:val="single"/>
          </w:rPr>
          <w:t>配体修饰Rh单原子催化剂加氢甲酰化可切换合成醛和醇</w:t>
        </w:r>
      </w:hyperlink>
    </w:p>
    <w:p>
      <w:pPr>
        <w:spacing w:before="0" w:after="80"/>
      </w:pPr>
      <w:r>
        <w:rPr>
          <w:i/>
          <w:sz w:val="20"/>
        </w:rPr>
        <w:t>EN: Switchable synthesis of aldehydes and alcohols by hydroformylation with ligand-modified Rh single-atom catalyst</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控制催化中的产物选择性是绿色合成的基础，但也具有挑战性，特别是针对单一催化系统内不同产物之间的可切换结果。这在工业上至关重要的加氢甲酰化反应中得到了例证，其中由于均匀的活性位点无法独立控制醛中间体的氢化和解吸步骤，因此实现醛和醇之间的受控转换仍然很困难。在此，我们报道了CeO2负载的单原子Rh催化剂，其中三苯基膦（PPh3）作为分子开关，精确调节烯烃加氢甲酰化中醇和醛之间的化学选择性，具有广泛的底物兼容性和优异的稳定性。 Rh/CeO2 对醇的化学选择性高达 99%，收率高达 93%，而 PPh3-Rh/CeO2 对醛的化学选择性高达 99%，收率 91%。表征和理论计算表明，PPh3 的配位调节了 Rh 的电子结构，增加了 Rh 中心的电子密度。这种电子修饰改变了氢化途径，从氧→碳变为碳→氧，将醛氢化的速率决定步骤的吉布斯自由能垒提高了0.26 eV，从而将化学选择性转变为醛。这项工作将配体修饰的单原子催化剂建立为控制反应化学选择性的通用平台。</w:t>
      </w:r>
    </w:p>
    <w:p>
      <w:pPr>
        <w:spacing w:before="0" w:after="200" w:lineRule="auto" w:line="276"/>
      </w:pPr>
      <w:r>
        <w:rPr>
          <w:b/>
        </w:rPr>
        <w:t xml:space="preserve">Abstract (EN): </w:t>
      </w:r>
      <w:r>
        <w:t>Controlling product selectivity in catalysis is fundamental for green synthesis, yet challenging, especially aiming for switchable outcomes between different products within a single catalytic system. This is exemplified in the industrially crucial hydroformylation reaction, where achieving controlled switching between aldehydes and alcohols remains difficult due to the inability of uniform active site to independently govern the hydrogenation and desorption steps of the aldehyde intermediate. Herein, we report CeO2-supported single-atom Rh catalyst, in which triphenylphosphine (PPh3) serves as molecular switch to precisely modulate the chemoselectivity between alcohols and aldehydes in alkene hydroformylation with broad substrate compatibility and excellent stability. The Rh/CeO2 exhibits up to 99% chemoselectivity and 93% yield toward alcohols, while the PPh3-Rh/CeO2 shifts the chemoselectivity to aldehydes with up to 99% with 91% yield. Characterizations and theoretical calculations reveal that the coordination of PPh3 modulates the electronic structure of Rh, increasing the electron density at Rh centers. This electronic modification alters the hydrogenation pathway from oxygen-then-carbon to carbon-then-oxygen, raising the Gibbs free energy barrier for the rate-determining step of aldehyde hydrogenation by 0.26 eV, thereby switching the chemoselectivity to aldehyde. This work establishes ligand-modified single-atom catalysts as a versatile platform for controlling reaction chemoselectivity.</w:t>
      </w:r>
    </w:p>
    <w:p>
      <w:pPr>
        <w:spacing w:before="120" w:after="120"/>
      </w:pPr>
      <w:r>
        <w:rPr>
          <w:sz w:val="18"/>
        </w:rPr>
        <w:t>——————————————————————————————————————————————————————————————————————</w:t>
      </w:r>
    </w:p>
    <w:p>
      <w:pPr>
        <w:spacing w:before="160" w:after="40" w:line="240" w:lineRule="auto"/>
      </w:pPr>
      <w:r>
        <w:rPr>
          <w:b/>
        </w:rPr>
        <w:t xml:space="preserve">[116] </w:t>
      </w:r>
      <w:hyperlink r:id="rId498">
        <w:r>
          <w:rPr>
            <w:color w:val="1155CC"/>
            <w:u w:val="single"/>
          </w:rPr>
          <w:t>当电网跟不上时：南非实验室如何处理停电</w:t>
        </w:r>
      </w:hyperlink>
    </w:p>
    <w:p>
      <w:pPr>
        <w:spacing w:before="0" w:after="80"/>
      </w:pPr>
      <w:r>
        <w:rPr>
          <w:i/>
          <w:sz w:val="20"/>
        </w:rPr>
        <w:t>EN: When the grid can’t keep up: how South African laboratories handle power outages</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499">
        <w:r>
          <w:rPr>
            <w:color w:val="1155CC"/>
            <w:u w:val="single"/>
          </w:rPr>
          <w:t>10.1038/d41586-026-00402-5</w:t>
        </w:r>
      </w:hyperlink>
    </w:p>
    <w:p>
      <w:pPr>
        <w:spacing w:before="0" w:after="120"/>
      </w:pPr>
      <w:r>
        <w:rPr>
          <w:b/>
        </w:rPr>
        <w:t xml:space="preserve">Notes: </w:t>
      </w:r>
      <w:r>
        <w:t>abstract_source=nature_html</w:t>
      </w:r>
    </w:p>
    <w:p>
      <w:pPr>
        <w:spacing w:before="0" w:after="80" w:lineRule="auto" w:line="276"/>
      </w:pPr>
      <w:r>
        <w:rPr>
          <w:b/>
        </w:rPr>
        <w:t xml:space="preserve">摘要（ZH）: </w:t>
      </w:r>
      <w:r>
        <w:t>对于大多数研究设施来说，长时间断电将是一场灾难。对于南非各地的科学家来说，这只是又一天。对于大多数研究设施来说，长时间断电将是一场灾难。对于南非各地的科学家来说，这只是又一天。</w:t>
      </w:r>
    </w:p>
    <w:p>
      <w:pPr>
        <w:spacing w:before="0" w:after="200" w:lineRule="auto" w:line="276"/>
      </w:pPr>
      <w:r>
        <w:rPr>
          <w:b/>
        </w:rPr>
        <w:t xml:space="preserve">Abstract (EN): </w:t>
      </w:r>
      <w:r>
        <w:t>For most research facilities, long periods without electricity would be a disaster. For scientists across South Africa, it’s just another day. For most research facilities, long periods without electricity would be a disaster. For scientists across South Africa, it’s just another day.</w:t>
      </w:r>
    </w:p>
    <w:p>
      <w:pPr>
        <w:spacing w:before="120" w:after="120"/>
      </w:pPr>
      <w:r>
        <w:rPr>
          <w:sz w:val="18"/>
        </w:rPr>
        <w:t>——————————————————————————————————————————————————————————————————————</w:t>
      </w:r>
    </w:p>
    <w:p>
      <w:pPr>
        <w:spacing w:before="160" w:after="40" w:line="240" w:lineRule="auto"/>
      </w:pPr>
      <w:r>
        <w:rPr>
          <w:b/>
        </w:rPr>
        <w:t xml:space="preserve">[117] </w:t>
      </w:r>
      <w:hyperlink r:id="rId500">
        <w:r>
          <w:rPr>
            <w:color w:val="1155CC"/>
            <w:u w:val="single"/>
          </w:rPr>
          <w:t>战争给环境带来的长期阴影</w:t>
        </w:r>
      </w:hyperlink>
    </w:p>
    <w:p>
      <w:pPr>
        <w:spacing w:before="0" w:after="80"/>
      </w:pPr>
      <w:r>
        <w:rPr>
          <w:i/>
          <w:sz w:val="20"/>
        </w:rPr>
        <w:t>EN: The long environmental shadow of war</w:t>
      </w:r>
    </w:p>
    <w:p>
      <w:pPr>
        <w:spacing w:before="0" w:after="120"/>
      </w:pPr>
      <w:r>
        <w:rPr>
          <w:b/>
        </w:rPr>
        <w:t xml:space="preserve">Source: </w:t>
      </w:r>
      <w:r>
        <w:t>Nature Sustainability</w:t>
      </w:r>
      <w:r>
        <w:t xml:space="preserve">    </w:t>
      </w:r>
      <w:r>
        <w:rPr>
          <w:b/>
        </w:rPr>
        <w:t xml:space="preserve">Pub date: </w:t>
      </w:r>
      <w:r>
        <w:t>2026-05-26 00:00:00+00:00</w:t>
      </w:r>
      <w:r>
        <w:t xml:space="preserve">    </w:t>
      </w:r>
      <w:r>
        <w:rPr>
          <w:b/>
        </w:rPr>
        <w:t xml:space="preserve">DOI: </w:t>
      </w:r>
      <w:hyperlink r:id="rId501">
        <w:r>
          <w:rPr>
            <w:color w:val="1155CC"/>
            <w:u w:val="single"/>
          </w:rPr>
          <w:t>10.1038/s41893-026-01857-0</w:t>
        </w:r>
      </w:hyperlink>
    </w:p>
    <w:p>
      <w:pPr>
        <w:spacing w:before="0" w:after="120"/>
      </w:pPr>
      <w:r>
        <w:rPr>
          <w:b/>
        </w:rPr>
        <w:t xml:space="preserve">Notes: </w:t>
      </w:r>
      <w:r>
        <w:t>abstract_source=nature_html</w:t>
      </w:r>
    </w:p>
    <w:p>
      <w:pPr>
        <w:spacing w:before="0" w:after="80" w:lineRule="auto" w:line="276"/>
      </w:pPr>
      <w:r>
        <w:rPr>
          <w:b/>
        </w:rPr>
        <w:t xml:space="preserve">摘要（ZH）: </w:t>
      </w:r>
      <w:r>
        <w:t>燃料和水基础设施日益成为军事冲突的目标。这些袭击不仅对平民的健康和安全构成直接威胁，而且对环境构成持续威胁，这种威胁可能持续数十年。如果我们要建设一个公正和可持续的未来，就必须谴责对民用关键基础设施的军事袭击。</w:t>
      </w:r>
    </w:p>
    <w:p>
      <w:pPr>
        <w:spacing w:before="0" w:after="200" w:lineRule="auto" w:line="276"/>
      </w:pPr>
      <w:r>
        <w:rPr>
          <w:b/>
        </w:rPr>
        <w:t xml:space="preserve">Abstract (EN): </w:t>
      </w:r>
      <w:r>
        <w:t>Fuel and water infrastructure are increasingly becoming the targets of military conflicts. These attacks pose not only a direct threat to civilian health and safety, but an ongoing threat to the environment that may persist for decades. Military strikes on civilian-critical infrastructure must be condemned if we are to build a just and sustainable future.</w:t>
      </w:r>
    </w:p>
    <w:p>
      <w:pPr>
        <w:spacing w:before="120" w:after="120"/>
      </w:pPr>
      <w:r>
        <w:rPr>
          <w:sz w:val="18"/>
        </w:rPr>
        <w:t>——————————————————————————————————————————————————————————————————————</w:t>
      </w:r>
    </w:p>
    <w:p>
      <w:pPr>
        <w:spacing w:before="160" w:after="40" w:line="240" w:lineRule="auto"/>
      </w:pPr>
      <w:r>
        <w:rPr>
          <w:b/>
        </w:rPr>
        <w:t xml:space="preserve">[118] </w:t>
      </w:r>
      <w:hyperlink r:id="rId502">
        <w:r>
          <w:rPr>
            <w:color w:val="1155CC"/>
            <w:u w:val="single"/>
          </w:rPr>
          <w:t>释放二芳基甲烷染料在生命系统中的潜力</w:t>
        </w:r>
      </w:hyperlink>
    </w:p>
    <w:p>
      <w:pPr>
        <w:spacing w:before="0" w:after="80"/>
      </w:pPr>
      <w:r>
        <w:rPr>
          <w:i/>
          <w:sz w:val="20"/>
        </w:rPr>
        <w:t>EN: Unlocking the potential of diarylmethane dyes for living systems</w:t>
      </w:r>
    </w:p>
    <w:p>
      <w:pPr>
        <w:spacing w:before="0" w:after="120"/>
      </w:pPr>
      <w:r>
        <w:rPr>
          <w:b/>
        </w:rPr>
        <w:t xml:space="preserve">Source: </w:t>
      </w:r>
      <w:r>
        <w:t>Chem</w:t>
      </w:r>
      <w:r>
        <w:t xml:space="preserve">    </w:t>
      </w:r>
      <w:r>
        <w:rPr>
          <w:b/>
        </w:rPr>
        <w:t xml:space="preserve">Pub date: </w:t>
      </w:r>
      <w:r>
        <w:t>2026-05-26 00:00:00+00:00</w:t>
      </w:r>
      <w:r>
        <w:t xml:space="preserve">    </w:t>
      </w:r>
      <w:r>
        <w:rPr>
          <w:b/>
        </w:rPr>
        <w:t xml:space="preserve">DOI: </w:t>
      </w:r>
      <w:hyperlink r:id="rId503">
        <w:r>
          <w:rPr>
            <w:color w:val="1155CC"/>
            <w:u w:val="single"/>
          </w:rPr>
          <w:t>10.1016/j.chempr.2026.103103</w:t>
        </w:r>
      </w:hyperlink>
    </w:p>
    <w:p>
      <w:pPr>
        <w:spacing w:before="0" w:after="120"/>
      </w:pPr>
      <w:r>
        <w:rPr>
          <w:b/>
        </w:rPr>
        <w:t xml:space="preserve">Notes: </w:t>
      </w:r>
      <w:r>
        <w:t>abstract_source=rss_cell</w:t>
      </w:r>
    </w:p>
    <w:p>
      <w:pPr>
        <w:spacing w:before="0" w:after="80" w:lineRule="auto" w:line="276"/>
      </w:pPr>
      <w:r>
        <w:rPr>
          <w:b/>
        </w:rPr>
        <w:t xml:space="preserve">摘要（ZH）: </w:t>
      </w:r>
      <w:r>
        <w:t>（化学 12, 102883；2026 年 5 月 14 日）</w:t>
      </w:r>
    </w:p>
    <w:p>
      <w:pPr>
        <w:spacing w:before="0" w:after="200" w:lineRule="auto" w:line="276"/>
      </w:pPr>
      <w:r>
        <w:rPr>
          <w:b/>
        </w:rPr>
        <w:t xml:space="preserve">Abstract (EN): </w:t>
      </w:r>
      <w:r>
        <w:t>(Chem 12, 102883; May 14, 2026)</w:t>
      </w:r>
    </w:p>
    <w:p>
      <w:pPr>
        <w:spacing w:before="120" w:after="120"/>
      </w:pPr>
      <w:r>
        <w:rPr>
          <w:sz w:val="18"/>
        </w:rPr>
        <w:t>——————————————————————————————————————————————————————————————————————</w:t>
      </w:r>
    </w:p>
    <w:p>
      <w:pPr>
        <w:spacing w:before="160" w:after="40" w:line="240" w:lineRule="auto"/>
      </w:pPr>
      <w:r>
        <w:rPr>
          <w:b/>
        </w:rPr>
        <w:t xml:space="preserve">[119] </w:t>
      </w:r>
      <w:hyperlink r:id="rId504">
        <w:r>
          <w:rPr>
            <w:color w:val="1155CC"/>
            <w:u w:val="single"/>
          </w:rPr>
          <w:t>水分子带来能量</w:t>
        </w:r>
      </w:hyperlink>
    </w:p>
    <w:p>
      <w:pPr>
        <w:spacing w:before="0" w:after="80"/>
      </w:pPr>
      <w:r>
        <w:rPr>
          <w:i/>
          <w:sz w:val="20"/>
        </w:rPr>
        <w:t>EN: Water molecules bring the energy</w:t>
      </w:r>
    </w:p>
    <w:p>
      <w:pPr>
        <w:spacing w:before="0" w:after="120"/>
      </w:pPr>
      <w:r>
        <w:rPr>
          <w:b/>
        </w:rPr>
        <w:t xml:space="preserve">Source: </w:t>
      </w:r>
      <w:r>
        <w:t>Nature Chemical Engineering</w:t>
      </w:r>
      <w:r>
        <w:t xml:space="preserve">    </w:t>
      </w:r>
      <w:r>
        <w:rPr>
          <w:b/>
        </w:rPr>
        <w:t xml:space="preserve">Pub date: </w:t>
      </w:r>
      <w:r>
        <w:t>2026-05-26 00:00:00+00:00</w:t>
      </w:r>
      <w:r>
        <w:t xml:space="preserve">    </w:t>
      </w:r>
      <w:r>
        <w:rPr>
          <w:b/>
        </w:rPr>
        <w:t xml:space="preserve">DOI: </w:t>
      </w:r>
      <w:hyperlink r:id="rId505">
        <w:r>
          <w:rPr>
            <w:color w:val="1155CC"/>
            <w:u w:val="single"/>
          </w:rPr>
          <w:t>10.1038/s44286-026-00395-y</w:t>
        </w:r>
      </w:hyperlink>
    </w:p>
    <w:p>
      <w:pPr>
        <w:spacing w:before="0" w:after="120"/>
      </w:pPr>
      <w:r>
        <w:rPr>
          <w:b/>
        </w:rPr>
        <w:t xml:space="preserve">Notes: </w:t>
      </w:r>
      <w:r>
        <w:t>abstract_source=nature_html</w:t>
      </w:r>
    </w:p>
    <w:p>
      <w:pPr>
        <w:spacing w:before="0" w:after="80" w:lineRule="auto" w:line="276"/>
      </w:pPr>
      <w:r>
        <w:rPr>
          <w:b/>
        </w:rPr>
        <w:t xml:space="preserve">摘要（ZH）: </w:t>
      </w:r>
      <w:r>
        <w:t>Albert Liu 从植物蒸腾作用中汲取灵感，探索水力发电技术如何收集蒸发水分子的动能。</w:t>
      </w:r>
    </w:p>
    <w:p>
      <w:pPr>
        <w:spacing w:before="0" w:after="200" w:lineRule="auto" w:line="276"/>
      </w:pPr>
      <w:r>
        <w:rPr>
          <w:b/>
        </w:rPr>
        <w:t xml:space="preserve">Abstract (EN): </w:t>
      </w:r>
      <w:r>
        <w:t>Albert Liu explores how hydrovoltaic technologies can harvest the kinetic energy of evaporating water molecules, drawing inspiration from plant transpiration.</w:t>
      </w:r>
    </w:p>
    <w:p>
      <w:pPr>
        <w:spacing w:before="120" w:after="120"/>
      </w:pPr>
      <w:r>
        <w:rPr>
          <w:sz w:val="18"/>
        </w:rPr>
        <w:t>——————————————————————————————————————————————————————————————————————</w:t>
      </w:r>
    </w:p>
    <w:p>
      <w:pPr>
        <w:spacing w:before="160" w:after="40" w:line="240" w:lineRule="auto"/>
      </w:pPr>
      <w:r>
        <w:rPr>
          <w:b/>
        </w:rPr>
        <w:t xml:space="preserve">[120] </w:t>
      </w:r>
      <w:hyperlink r:id="rId506">
        <w:r>
          <w:rPr>
            <w:color w:val="1155CC"/>
            <w:u w:val="single"/>
          </w:rPr>
          <w:t>我们需要谈谈技术经济分析</w:t>
        </w:r>
      </w:hyperlink>
    </w:p>
    <w:p>
      <w:pPr>
        <w:spacing w:before="0" w:after="80"/>
      </w:pPr>
      <w:r>
        <w:rPr>
          <w:i/>
          <w:sz w:val="20"/>
        </w:rPr>
        <w:t>EN: We need to talk about techno-economic analyses</w:t>
      </w:r>
    </w:p>
    <w:p>
      <w:pPr>
        <w:spacing w:before="0" w:after="120"/>
      </w:pPr>
      <w:r>
        <w:rPr>
          <w:b/>
        </w:rPr>
        <w:t xml:space="preserve">Source: </w:t>
      </w:r>
      <w:r>
        <w:t>Nature Chemical Engineering</w:t>
      </w:r>
      <w:r>
        <w:t xml:space="preserve">    </w:t>
      </w:r>
      <w:r>
        <w:rPr>
          <w:b/>
        </w:rPr>
        <w:t xml:space="preserve">Pub date: </w:t>
      </w:r>
      <w:r>
        <w:t>2026-05-26 00:00:00+00:00</w:t>
      </w:r>
      <w:r>
        <w:t xml:space="preserve">    </w:t>
      </w:r>
      <w:r>
        <w:rPr>
          <w:b/>
        </w:rPr>
        <w:t xml:space="preserve">DOI: </w:t>
      </w:r>
      <w:hyperlink r:id="rId507">
        <w:r>
          <w:rPr>
            <w:color w:val="1155CC"/>
            <w:u w:val="single"/>
          </w:rPr>
          <w:t>10.1038/s44286-026-00403-1</w:t>
        </w:r>
      </w:hyperlink>
    </w:p>
    <w:p>
      <w:pPr>
        <w:spacing w:before="0" w:after="120"/>
      </w:pPr>
      <w:r>
        <w:rPr>
          <w:b/>
        </w:rPr>
        <w:t xml:space="preserve">Notes: </w:t>
      </w:r>
      <w:r>
        <w:t>abstract_source=nature_html</w:t>
      </w:r>
    </w:p>
    <w:p>
      <w:pPr>
        <w:spacing w:before="0" w:after="80" w:lineRule="auto" w:line="276"/>
      </w:pPr>
      <w:r>
        <w:rPr>
          <w:b/>
        </w:rPr>
        <w:t xml:space="preserve">摘要（ZH）: </w:t>
      </w:r>
      <w:r>
        <w:t>随着技术经济评估成为过程研究的标准，其范围和应用应根据所研究技术的成熟度进行校准。</w:t>
      </w:r>
    </w:p>
    <w:p>
      <w:pPr>
        <w:spacing w:before="0" w:after="200" w:lineRule="auto" w:line="276"/>
      </w:pPr>
      <w:r>
        <w:rPr>
          <w:b/>
        </w:rPr>
        <w:t xml:space="preserve">Abstract (EN): </w:t>
      </w:r>
      <w:r>
        <w:t>As techno-economic assessments become standard in process research, their scope and application should be calibrated to the maturity of the technology under study.</w:t>
      </w:r>
    </w:p>
    <w:p>
      <w:pPr>
        <w:spacing w:before="120" w:after="120"/>
      </w:pPr>
      <w:r>
        <w:rPr>
          <w:sz w:val="18"/>
        </w:rPr>
        <w:t>——————————————————————————————————————————————————————————————————————</w:t>
      </w:r>
    </w:p>
    <w:p>
      <w:pPr>
        <w:spacing w:before="160" w:after="40" w:line="240" w:lineRule="auto"/>
      </w:pPr>
      <w:r>
        <w:rPr>
          <w:b/>
        </w:rPr>
        <w:t xml:space="preserve">[121] </w:t>
      </w:r>
      <w:hyperlink r:id="rId508">
        <w:r>
          <w:rPr>
            <w:color w:val="1155CC"/>
            <w:u w:val="single"/>
          </w:rPr>
          <w:t>伊朗互联网中断：一位学者在黑暗中度过的一个月</w:t>
        </w:r>
      </w:hyperlink>
    </w:p>
    <w:p>
      <w:pPr>
        <w:spacing w:before="0" w:after="80"/>
      </w:pPr>
      <w:r>
        <w:rPr>
          <w:i/>
          <w:sz w:val="20"/>
        </w:rPr>
        <w:t>EN: Iran’s Internet blackout: a scholar’s month in the dark</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509">
        <w:r>
          <w:rPr>
            <w:color w:val="1155CC"/>
            <w:u w:val="single"/>
          </w:rPr>
          <w:t>10.1038/d41586-026-01666-7</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[122] </w:t>
      </w:r>
      <w:hyperlink r:id="rId510">
        <w:r>
          <w:rPr>
            <w:color w:val="1155CC"/>
            <w:u w:val="single"/>
          </w:rPr>
          <w:t>应该有一个国家化学品博物馆吗？</w:t>
        </w:r>
      </w:hyperlink>
    </w:p>
    <w:p>
      <w:pPr>
        <w:spacing w:before="0" w:after="80"/>
      </w:pPr>
      <w:r>
        <w:rPr>
          <w:i/>
          <w:sz w:val="20"/>
        </w:rPr>
        <w:t>EN: Should there be a national museum of chemicals?</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511">
        <w:r>
          <w:rPr>
            <w:color w:val="1155CC"/>
            <w:u w:val="single"/>
          </w:rPr>
          <w:t>10.1038/d41586-026-01336-8</w:t>
        </w:r>
      </w:hyperlink>
    </w:p>
    <w:p>
      <w:pPr>
        <w:spacing w:before="0" w:after="120"/>
      </w:pPr>
      <w:r>
        <w:rPr>
          <w:b/>
        </w:rPr>
        <w:t xml:space="preserve">Notes: </w:t>
      </w:r>
      <w:r>
        <w:t>abstract_source=nature_html</w:t>
      </w:r>
    </w:p>
    <w:p>
      <w:pPr>
        <w:spacing w:before="0" w:after="80" w:lineRule="auto" w:line="276"/>
      </w:pPr>
      <w:r>
        <w:rPr>
          <w:b/>
        </w:rPr>
        <w:t xml:space="preserve">摘要（ZH）: </w:t>
      </w:r>
      <w:r>
        <w:t>本周从《自然》档案馆中挑选的内容包括一项突出化学家工作的提案以及对伦敦动物园 150 周年的反思。大自然过去的片段。</w:t>
      </w:r>
    </w:p>
    <w:p>
      <w:pPr>
        <w:spacing w:before="0" w:after="200" w:lineRule="auto" w:line="276"/>
      </w:pPr>
      <w:r>
        <w:rPr>
          <w:b/>
        </w:rPr>
        <w:t xml:space="preserve">Abstract (EN): </w:t>
      </w:r>
      <w:r>
        <w:t>A proposal to highlight the work of chemists, and reflections on 150 years of London Zoo in this week’s pick from the Nature archive. Snippets from Nature’s past.</w:t>
      </w:r>
    </w:p>
    <w:p>
      <w:pPr>
        <w:spacing w:before="120" w:after="120"/>
      </w:pPr>
      <w:r>
        <w:rPr>
          <w:sz w:val="18"/>
        </w:rPr>
        <w:t>——————————————————————————————————————————————————————————————————————</w:t>
      </w:r>
    </w:p>
    <w:p>
      <w:pPr>
        <w:spacing w:before="160" w:after="40" w:line="240" w:lineRule="auto"/>
      </w:pPr>
      <w:r>
        <w:rPr>
          <w:b/>
        </w:rPr>
        <w:t xml:space="preserve">[123] </w:t>
      </w:r>
      <w:hyperlink r:id="rId512">
        <w:r>
          <w:rPr>
            <w:color w:val="1155CC"/>
            <w:u w:val="single"/>
          </w:rPr>
          <w:t>从纳米石墨烯自下而上合成分子纳米金刚石</w:t>
        </w:r>
      </w:hyperlink>
    </w:p>
    <w:p>
      <w:pPr>
        <w:spacing w:before="0" w:after="80"/>
      </w:pPr>
      <w:r>
        <w:rPr>
          <w:i/>
          <w:sz w:val="20"/>
        </w:rPr>
        <w:t>EN: Bottom-Up Synthesis of Molecular Nanodiamond from Nanographene</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513">
        <w:r>
          <w:rPr>
            <w:color w:val="1155CC"/>
            <w:u w:val="single"/>
          </w:rPr>
          <w:t>10.1038/s41586-026-10669-3</w:t>
        </w:r>
      </w:hyperlink>
    </w:p>
    <w:p>
      <w:pPr>
        <w:spacing w:before="0" w:after="120"/>
      </w:pPr>
      <w:r>
        <w:rPr>
          <w:b/>
        </w:rPr>
        <w:t xml:space="preserve">Notes: </w:t>
      </w:r>
      <w:r>
        <w:t>abstract_source=nature_html</w:t>
      </w:r>
    </w:p>
    <w:p>
      <w:pPr>
        <w:spacing w:before="0" w:after="80" w:lineRule="auto" w:line="276"/>
      </w:pPr>
      <w:r>
        <w:rPr>
          <w:b/>
        </w:rPr>
        <w:t xml:space="preserve">摘要（ZH）: </w:t>
      </w:r>
      <w:r>
        <w:t>托管色心的纳米金刚石是量子技术的有前景的构建模块，可促进量子计算1,2、纳米级核磁共振光谱3-6、单自旋磁力测量7,8、宽场量子成像9和单光子源10,11的进步。然而，超小且结构均匀的纳米金刚石的受控自下而上合成仍然是一个重大挑战，现有方法生产尺寸、形态、杂质含量和缺陷质量各不相同的异质材料。在这里，我们展示了明确的氢封端分子纳米石墨烯作为化学限制的前体，用于高压、高温合成超小（3-4 nm）、单分散和高度结晶的分子纳米金刚石（m-ND），仅具有单个 sp2 表面重构并以毫克规模生产。相同的自下而上平台还支持在合成过程中结合硅基和锗基色心的双组分策略，无需离子注入、辐照或后处理即可产生 SiV⁻ 和 GeV⁻ 发射体。由于纳米石墨烯前体定义了受限的碳框架和氢含量，因此该方法提供了对纳米金刚石尺寸和成分的内在前体水平控制，特别是在与生物和量子传感相关的低纳米范围内。因此，分子纳米石墨烯、超大多环芳烃建立了一条可扩展和模块化的高质量分子和荧光纳米金刚石路线，并为定制量子垫提供了通用设计原理</w:t>
      </w:r>
    </w:p>
    <w:p>
      <w:pPr>
        <w:spacing w:before="0" w:after="200" w:lineRule="auto" w:line="276"/>
      </w:pPr>
      <w:r>
        <w:rPr>
          <w:b/>
        </w:rPr>
        <w:t xml:space="preserve">Abstract (EN): </w:t>
      </w:r>
      <w:r>
        <w:t>Nanodiamonds hosting colour centres are promising building blocks for quantum technologies, enabling advances in quantum computation1,2, nanoscale NMR spectroscopy3–6, single-spin magnetometry7,8, wide-field quantum imaging9 and single-photon sources10,11. However, the controlled bottom-up synthesis of ultrasmall and structurally uniform nanodiamonds has remained a major challenge, with existing methods producing heterogeneous materials that vary in size, morphology, impurity content and defect quality. Here we show that well-defined, hydrogen-terminated molecular nanographenes serve as chemically confined precursors for high-pressure, high-temperature synthesis of ultrasmall (3–4 nm), monodisperse and highly crystalline molecular nanodiamonds (m-NDs) with only a single sp² surface reconstruction and produced on a milligram scale. The same bottom-up platform also enables a two-component strategy for incorporating silicon- and germanium-based colour centres during synthesis, yielding SiV⁻ and GeV⁻ emitters without ion implantation, irradiation or post-treatment. Because the nanographene precursor defines both the confined carbon framework and the hydrogen content, this approach provides intrinsic, precursor-level control over nanodiamond size and composition, particularly in the low-nanometre regime relevant for biological and quantum sensing. Molecular nanographenes, ultralarge polycyclic aromatic hydrocarbons, therefore establish a scalable and modular route to high-quality molecular and fluorescent nanodiamonds and offer a general design principle for tailored quantum materials and nanoscale devices.</w:t>
      </w:r>
    </w:p>
    <w:p>
      <w:pPr>
        <w:spacing w:before="120" w:after="120"/>
      </w:pPr>
      <w:r>
        <w:rPr>
          <w:sz w:val="18"/>
        </w:rPr>
        <w:t>——————————————————————————————————————————————————————————————————————</w:t>
      </w:r>
    </w:p>
    <w:p>
      <w:pPr>
        <w:spacing w:before="160" w:after="40" w:line="240" w:lineRule="auto"/>
      </w:pPr>
      <w:r>
        <w:rPr>
          <w:b/>
        </w:rPr>
        <w:t xml:space="preserve">[124] </w:t>
      </w:r>
      <w:hyperlink r:id="rId514">
        <w:r>
          <w:rPr>
            <w:color w:val="1155CC"/>
            <w:u w:val="single"/>
          </w:rPr>
          <w:t>难以检测的突变解释了常见自身免疫性疾病的发生方式</w:t>
        </w:r>
      </w:hyperlink>
    </w:p>
    <w:p>
      <w:pPr>
        <w:spacing w:before="0" w:after="80"/>
      </w:pPr>
      <w:r>
        <w:rPr>
          <w:i/>
          <w:sz w:val="20"/>
        </w:rPr>
        <w:t>EN: Hard-to-detect mutations explain how common autoimmune diseases arise</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515">
        <w:r>
          <w:rPr>
            <w:color w:val="1155CC"/>
            <w:u w:val="single"/>
          </w:rPr>
          <w:t>10.1038/d41586-026-01415-w</w:t>
        </w:r>
      </w:hyperlink>
    </w:p>
    <w:p>
      <w:pPr>
        <w:spacing w:before="0" w:after="120"/>
      </w:pPr>
      <w:r>
        <w:rPr>
          <w:b/>
        </w:rPr>
        <w:t xml:space="preserve">Notes: </w:t>
      </w:r>
      <w:r>
        <w:t>abstract_source=nature_html</w:t>
      </w:r>
    </w:p>
    <w:p>
      <w:pPr>
        <w:spacing w:before="0" w:after="80" w:lineRule="auto" w:line="276"/>
      </w:pPr>
      <w:r>
        <w:rPr>
          <w:b/>
        </w:rPr>
        <w:t xml:space="preserve">摘要（ZH）: </w:t>
      </w:r>
      <w:r>
        <w:t>一项古老的理论从先进的 DNA 测序中获得了新的支持，该测序可以检测患有自身免疫性甲状腺疾病的人的 B 细胞中的罕见突变。一项古老的理论从先进的 DNA 测序中获得了新的支持，该测序可以检测患有自身免疫性甲状腺疾病的人的 B 细胞中的罕见突变。</w:t>
      </w:r>
    </w:p>
    <w:p>
      <w:pPr>
        <w:spacing w:before="0" w:after="200" w:lineRule="auto" w:line="276"/>
      </w:pPr>
      <w:r>
        <w:rPr>
          <w:b/>
        </w:rPr>
        <w:t xml:space="preserve">Abstract (EN): </w:t>
      </w:r>
      <w:r>
        <w:t>An old theory gains fresh support from advanced DNA sequencing, which can detect rare mutations in B cells from people with autoimmune thyroid conditions. An old theory gains fresh support from advanced DNA sequencing, which can detect rare mutations in B cells from people with autoimmune thyroid conditions.</w:t>
      </w:r>
    </w:p>
    <w:p>
      <w:pPr>
        <w:spacing w:before="120" w:after="120"/>
      </w:pPr>
      <w:r>
        <w:rPr>
          <w:sz w:val="18"/>
        </w:rPr>
        <w:t>——————————————————————————————————————————————————————————————————————</w:t>
      </w:r>
    </w:p>
    <w:p>
      <w:pPr>
        <w:spacing w:before="160" w:after="40" w:line="240" w:lineRule="auto"/>
      </w:pPr>
      <w:r>
        <w:rPr>
          <w:b/>
        </w:rPr>
        <w:t xml:space="preserve">[125] </w:t>
      </w:r>
      <w:hyperlink r:id="rId516">
        <w:r>
          <w:rPr>
            <w:color w:val="1155CC"/>
            <w:u w:val="single"/>
          </w:rPr>
          <w:t>机器人在日本运营着这个实验室——并且正在改变科学家的工作方式</w:t>
        </w:r>
      </w:hyperlink>
    </w:p>
    <w:p>
      <w:pPr>
        <w:spacing w:before="0" w:after="80"/>
      </w:pPr>
      <w:r>
        <w:rPr>
          <w:i/>
          <w:sz w:val="20"/>
        </w:rPr>
        <w:t>EN: Robots run this laboratory in Japan — and are changing how scientists work</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517">
        <w:r>
          <w:rPr>
            <w:color w:val="1155CC"/>
            <w:u w:val="single"/>
          </w:rPr>
          <w:t>10.1038/d41586-026-01625-2</w:t>
        </w:r>
      </w:hyperlink>
    </w:p>
    <w:p>
      <w:pPr>
        <w:spacing w:before="0" w:after="120"/>
      </w:pPr>
      <w:r>
        <w:rPr>
          <w:b/>
        </w:rPr>
        <w:t xml:space="preserve">Notes: </w:t>
      </w:r>
      <w:r>
        <w:t>abstract_source=nature_html</w:t>
      </w:r>
    </w:p>
    <w:p>
      <w:pPr>
        <w:spacing w:before="0" w:after="80" w:lineRule="auto" w:line="276"/>
      </w:pPr>
      <w:r>
        <w:rPr>
          <w:b/>
        </w:rPr>
        <w:t xml:space="preserve">摘要（ZH）: </w:t>
      </w:r>
      <w:r>
        <w:t>研究人员希望到2040年建立一个拥有数千台能够独立进行实验的机器人的设施。研究人员希望到2040年建立一个拥有数千台能够独立进行实验的机器人的设施。</w:t>
      </w:r>
    </w:p>
    <w:p>
      <w:pPr>
        <w:spacing w:before="0" w:after="200" w:lineRule="auto" w:line="276"/>
      </w:pPr>
      <w:r>
        <w:rPr>
          <w:b/>
        </w:rPr>
        <w:t xml:space="preserve">Abstract (EN): </w:t>
      </w:r>
      <w:r>
        <w:t>Researchers hope to build a facility with thousands of robots capable of performing experiments independently by 2040. Researchers hope to build a facility with thousands of robots capable of performing experiments independently by 2040.</w:t>
      </w:r>
    </w:p>
    <w:p>
      <w:pPr>
        <w:spacing w:before="120" w:after="120"/>
      </w:pPr>
      <w:r>
        <w:rPr>
          <w:sz w:val="18"/>
        </w:rPr>
        <w:t>——————————————————————————————————————————————————————————————————————</w:t>
      </w:r>
    </w:p>
    <w:p>
      <w:pPr>
        <w:spacing w:before="160" w:after="40" w:line="240" w:lineRule="auto"/>
      </w:pPr>
      <w:r>
        <w:rPr>
          <w:b/>
        </w:rPr>
        <w:t xml:space="preserve">[126] </w:t>
      </w:r>
      <w:hyperlink r:id="rId518">
        <w:r>
          <w:rPr>
            <w:color w:val="1155CC"/>
            <w:u w:val="single"/>
          </w:rPr>
          <w:t>每日简报：为什么在压力下很难表现出洞察力</w:t>
        </w:r>
      </w:hyperlink>
    </w:p>
    <w:p>
      <w:pPr>
        <w:spacing w:before="0" w:after="80"/>
      </w:pPr>
      <w:r>
        <w:rPr>
          <w:i/>
          <w:sz w:val="20"/>
        </w:rPr>
        <w:t>EN: Daily briefing: Why it’s hard to show insight under pressure</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519">
        <w:r>
          <w:rPr>
            <w:color w:val="1155CC"/>
            <w:u w:val="single"/>
          </w:rPr>
          <w:t>10.1038/d41586-026-01696-1</w:t>
        </w:r>
      </w:hyperlink>
    </w:p>
    <w:p>
      <w:pPr>
        <w:spacing w:before="0" w:after="120"/>
      </w:pPr>
      <w:r>
        <w:rPr>
          <w:b/>
        </w:rPr>
        <w:t xml:space="preserve">Notes: </w:t>
      </w:r>
      <w:r>
        <w:t>abstract_source=nature_html</w:t>
      </w:r>
    </w:p>
    <w:p>
      <w:pPr>
        <w:spacing w:before="0" w:after="80" w:lineRule="auto" w:line="276"/>
      </w:pPr>
      <w:r>
        <w:rPr>
          <w:b/>
        </w:rPr>
        <w:t xml:space="preserve">摘要（ZH）: </w:t>
      </w:r>
      <w:r>
        <w:t>压力会阻止大脑在记忆和新信息之间建立联系。另外，为什么政府应该投资于早期科学教育和人工智能模型，因为人工智能模型被认为太危险而不能向公众发布。压力会阻止大脑在记忆和新信息之间建立联系。另外，为什么政府应该投资于早期科学教育和人工智能模型，因为人工智能模型被认为太危险而不能向公众发布。</w:t>
      </w:r>
    </w:p>
    <w:p>
      <w:pPr>
        <w:spacing w:before="0" w:after="200" w:lineRule="auto" w:line="276"/>
      </w:pPr>
      <w:r>
        <w:rPr>
          <w:b/>
        </w:rPr>
        <w:t xml:space="preserve">Abstract (EN): </w:t>
      </w:r>
      <w:r>
        <w:t>Stress stops the brain from making links between memories and fresh information. Plus, why governments should invest in early science education and an AI model that was deemed too dangerous to release to the public. Stress stops the brain from making links between memories and fresh information. Plus, why governments should invest in early science education and an AI model that was deemed too dangerous to release to the public.</w:t>
      </w:r>
    </w:p>
    <w:p>
      <w:pPr>
        <w:spacing w:before="120" w:after="120"/>
      </w:pPr>
      <w:r>
        <w:rPr>
          <w:sz w:val="18"/>
        </w:rPr>
        <w:t>——————————————————————————————————————————————————————————————————————</w:t>
      </w:r>
    </w:p>
    <w:p>
      <w:pPr>
        <w:spacing w:before="160" w:after="40" w:line="240" w:lineRule="auto"/>
      </w:pPr>
      <w:r>
        <w:rPr>
          <w:b/>
        </w:rPr>
        <w:t xml:space="preserve">[127] </w:t>
      </w:r>
      <w:hyperlink r:id="rId520">
        <w:r>
          <w:rPr>
            <w:color w:val="1155CC"/>
            <w:u w:val="single"/>
          </w:rPr>
          <w:t>创新始于学校——中国的经验教训</w:t>
        </w:r>
      </w:hyperlink>
    </w:p>
    <w:p>
      <w:pPr>
        <w:spacing w:before="0" w:after="80"/>
      </w:pPr>
      <w:r>
        <w:rPr>
          <w:i/>
          <w:sz w:val="20"/>
        </w:rPr>
        <w:t>EN: Innovation starts in schools — lessons from China</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521">
        <w:r>
          <w:rPr>
            <w:color w:val="1155CC"/>
            <w:u w:val="single"/>
          </w:rPr>
          <w:t>10.1038/d41586-026-01620-7</w:t>
        </w:r>
      </w:hyperlink>
    </w:p>
    <w:p>
      <w:pPr>
        <w:spacing w:before="0" w:after="120"/>
      </w:pPr>
      <w:r>
        <w:rPr>
          <w:b/>
        </w:rPr>
        <w:t xml:space="preserve">Notes: </w:t>
      </w:r>
      <w:r>
        <w:t>abstract_source=nature_html</w:t>
      </w:r>
    </w:p>
    <w:p>
      <w:pPr>
        <w:spacing w:before="0" w:after="80" w:lineRule="auto" w:line="276"/>
      </w:pPr>
      <w:r>
        <w:rPr>
          <w:b/>
        </w:rPr>
        <w:t xml:space="preserve">摘要（ZH）: </w:t>
      </w:r>
      <w:r>
        <w:t>想要成功的创新体系的国家必须投资于科学教育和科学教师。想要成功的创新体系的国家必须投资于科学教育和科学教师。</w:t>
      </w:r>
    </w:p>
    <w:p>
      <w:pPr>
        <w:spacing w:before="0" w:after="200" w:lineRule="auto" w:line="276"/>
      </w:pPr>
      <w:r>
        <w:rPr>
          <w:b/>
        </w:rPr>
        <w:t xml:space="preserve">Abstract (EN): </w:t>
      </w:r>
      <w:r>
        <w:t>Countries that want successful innovation systems must invest in science education and science teachers. Countries that want successful innovation systems must invest in science education and science teachers.</w:t>
      </w:r>
    </w:p>
    <w:p>
      <w:pPr>
        <w:spacing w:before="120" w:after="120"/>
      </w:pPr>
      <w:r>
        <w:rPr>
          <w:sz w:val="18"/>
        </w:rPr>
        <w:t>——————————————————————————————————————————————————————————————————————</w:t>
      </w:r>
    </w:p>
    <w:p>
      <w:pPr>
        <w:spacing w:before="160" w:after="40" w:line="240" w:lineRule="auto"/>
      </w:pPr>
      <w:r>
        <w:rPr>
          <w:b/>
        </w:rPr>
        <w:t xml:space="preserve">[128] </w:t>
      </w:r>
      <w:hyperlink r:id="rId522">
        <w:r>
          <w:rPr>
            <w:color w:val="1155CC"/>
            <w:u w:val="single"/>
          </w:rPr>
          <w:t>为什么人工智能不能被信任来撰写科学评论</w:t>
        </w:r>
      </w:hyperlink>
    </w:p>
    <w:p>
      <w:pPr>
        <w:spacing w:before="0" w:after="80"/>
      </w:pPr>
      <w:r>
        <w:rPr>
          <w:i/>
          <w:sz w:val="20"/>
        </w:rPr>
        <w:t>EN: Why AI can’t be trusted to write scientific reviews</w:t>
      </w:r>
    </w:p>
    <w:p>
      <w:pPr>
        <w:spacing w:before="0" w:after="120"/>
      </w:pPr>
      <w:r>
        <w:rPr>
          <w:b/>
        </w:rPr>
        <w:t xml:space="preserve">Source: </w:t>
      </w:r>
      <w:r>
        <w:t>Nature</w:t>
      </w:r>
      <w:r>
        <w:t xml:space="preserve">    </w:t>
      </w:r>
      <w:r>
        <w:rPr>
          <w:b/>
        </w:rPr>
        <w:t xml:space="preserve">Pub date: </w:t>
      </w:r>
      <w:r>
        <w:t>2026-05-26 00:00:00+00:00</w:t>
      </w:r>
      <w:r>
        <w:t xml:space="preserve">    </w:t>
      </w:r>
      <w:r>
        <w:rPr>
          <w:b/>
        </w:rPr>
        <w:t xml:space="preserve">DOI: </w:t>
      </w:r>
      <w:hyperlink r:id="rId523">
        <w:r>
          <w:rPr>
            <w:color w:val="1155CC"/>
            <w:u w:val="single"/>
          </w:rPr>
          <w:t>10.1038/d41586-026-01616-3</w:t>
        </w:r>
      </w:hyperlink>
    </w:p>
    <w:p>
      <w:pPr>
        <w:spacing w:before="0" w:after="120"/>
      </w:pPr>
      <w:r>
        <w:rPr>
          <w:b/>
        </w:rPr>
        <w:t xml:space="preserve">Notes: </w:t>
      </w:r>
      <w:r>
        <w:t>abstract_source=nature_html</w:t>
      </w:r>
    </w:p>
    <w:p>
      <w:pPr>
        <w:spacing w:before="0" w:after="80" w:lineRule="auto" w:line="276"/>
      </w:pPr>
      <w:r>
        <w:rPr>
          <w:b/>
        </w:rPr>
        <w:t xml:space="preserve">摘要（ZH）: </w:t>
      </w:r>
      <w:r>
        <w:t>最高质量的文献综述的制作需要人们的判断和专业知识。最高质量的文献综述的制作需要人们的判断和专业知识。</w:t>
      </w:r>
    </w:p>
    <w:p>
      <w:pPr>
        <w:spacing w:before="0" w:after="200" w:lineRule="auto" w:line="276"/>
      </w:pPr>
      <w:r>
        <w:rPr>
          <w:b/>
        </w:rPr>
        <w:t xml:space="preserve">Abstract (EN): </w:t>
      </w:r>
      <w:r>
        <w:t>The production of the highest-quality literature reviews requires the judgement and expertise of people. The production of the highest-quality literature reviews requires the judgement and expertise of people.</w:t>
      </w:r>
    </w:p>
    <w:p>
      <w:pPr>
        <w:spacing w:before="120" w:after="120"/>
      </w:pPr>
      <w:r>
        <w:rPr>
          <w:sz w:val="18"/>
        </w:rPr>
        <w:t>——————————————————————————————————————————————————————————————————————</w:t>
      </w:r>
    </w:p>
    <w:p>
      <w:pPr>
        <w:spacing w:before="160" w:after="40" w:line="240" w:lineRule="auto"/>
      </w:pPr>
      <w:r>
        <w:rPr>
          <w:b/>
        </w:rPr>
        <w:t xml:space="preserve">[129] </w:t>
      </w:r>
      <w:hyperlink r:id="rId524">
        <w:r>
          <w:rPr>
            <w:color w:val="1155CC"/>
            <w:u w:val="single"/>
          </w:rPr>
          <w:t>自带电极性向列单极子和混合拓扑态：交织和域集成</w:t>
        </w:r>
      </w:hyperlink>
    </w:p>
    <w:p>
      <w:pPr>
        <w:spacing w:before="0" w:after="80"/>
      </w:pPr>
      <w:r>
        <w:rPr>
          <w:i/>
          <w:sz w:val="20"/>
        </w:rPr>
        <w:t>EN: Self-charged polar nematic monopoles and hybrid topological states: intertwining and domain integration</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极性拓扑孤子是凝聚态物理中必不可少的准粒子，其面临的关键挑战是其拓扑多样化、控制和排列。这项研究表明，限制不对称性可以定制流体铁电体中的极性拓扑孤子并使其多样化，为解决设计大规模复杂域结构的长期问题提供了关键途径。我们发现了非经典电单极子和混合拓扑态，包括手性梅子和反梅子变体及其与嵌套斯格明子核心的复合杂化。它们表现出内在的自电荷，并通过向列弹性和电极相互作用相互作用。这种独特的机制导致通过交织极通量而形成多体拓扑结构。我们建议利用孤子结构作为基本准粒子来设计绝缘流体中充当局部导体的大规模带电阵列。自组织为实现面内域结构的大规模工程提供了前所未有的机会，这在传统铁电体中是无法实现的。</w:t>
      </w:r>
    </w:p>
    <w:p>
      <w:pPr>
        <w:spacing w:before="0" w:after="200" w:lineRule="auto" w:line="276"/>
      </w:pPr>
      <w:r>
        <w:rPr>
          <w:b/>
        </w:rPr>
        <w:t xml:space="preserve">Abstract (EN): </w:t>
      </w:r>
      <w:r>
        <w:t>Polar topological solitons are quasi-particles essential in condensed matter physics, with a key challenge being their topological diversification, control, and arrangement. This study demonstrates that confinement asymmetry can tailor and diversify electrically polar topological solitons in fluid ferroelectrics, providing a key pathway to solving the long-standing problem of designing large-scale, complex domain structures. We discover nonclassical electric monopoles and hybrid topological states, including chiral meron and anti-meron variants and their composite hybridization with a nested skyrmion core. They exhibit intrinsic self-charge and interact via nematic elasticity and electric polar interactions. The unique mechanism leads to the formation of multibody topological configurations by intertwining their polar flux. We propose utilizing solitonic structures as fundamental quasiparticles to design large-scale charged arrays in insulating fluids that function as local conductors. The self-organization offers an unprecedented opportunity to realize large-scale engineering of in-plane domain structures that were previously unachievable in traditional ferroelectrics.</w:t>
      </w:r>
    </w:p>
    <w:p>
      <w:pPr>
        <w:spacing w:before="120" w:after="120"/>
      </w:pPr>
      <w:r>
        <w:rPr>
          <w:sz w:val="18"/>
        </w:rPr>
        <w:t>——————————————————————————————————————————————————————————————————————</w:t>
      </w:r>
    </w:p>
    <w:p>
      <w:pPr>
        <w:spacing w:before="160" w:after="40" w:line="240" w:lineRule="auto"/>
      </w:pPr>
      <w:r>
        <w:rPr>
          <w:b/>
        </w:rPr>
        <w:t xml:space="preserve">[130] </w:t>
      </w:r>
      <w:hyperlink r:id="rId525">
        <w:r>
          <w:rPr>
            <w:color w:val="1155CC"/>
            <w:u w:val="single"/>
          </w:rPr>
          <w:t>单片集成光子映射红外成像仪</w:t>
        </w:r>
      </w:hyperlink>
    </w:p>
    <w:p>
      <w:pPr>
        <w:spacing w:before="0" w:after="80"/>
      </w:pPr>
      <w:r>
        <w:rPr>
          <w:i/>
          <w:sz w:val="20"/>
        </w:rPr>
        <w:t>EN: Monolithically integrated photon-mapping infrared imager</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传统的红外成像系统严重依赖外部电源，限制了其适用性、灵活性和便携性。在这里，我们提出了一种单片集成光子映射近红外（780-900 nm）成像仪，该成像仪以自驱动模式运行，实现了 5799 ppi 的分辨率和 18.5 kHz 的帧速率。该器件以级联配置垂直集成多个光电压生成光传感单元和发光单元，通过内部载流子转移在近红外激发下实现可见光发射。其无电路架构赋予了固有的灵活性和大面积可扩展性，同时保持与室温操作完全兼容。该系统消除了对像素级读出的需要，从而在光学激发控制下实现了超出传统像素限制的空间分辨率。它还支持由光生载流子的传输动力学控制的高速成像。此外，其自驱动特性确保了固有的低背景噪声，增强了信号背景比并提高了成像质量。这项工作介绍了一种简化、节能的红外可视化方法。</w:t>
      </w:r>
    </w:p>
    <w:p>
      <w:pPr>
        <w:spacing w:before="0" w:after="200" w:lineRule="auto" w:line="276"/>
      </w:pPr>
      <w:r>
        <w:rPr>
          <w:b/>
        </w:rPr>
        <w:t xml:space="preserve">Abstract (EN): </w:t>
      </w:r>
      <w:r>
        <w:t>Conventional infrared imaging systems rely heavily on external power supplies, limiting their applicability, flexibility, and portability. Here, we present a monolithically integrated photon-mapping near-infrared (780-900 nm) imager that operates in a self-driven mode, achieving a resolution of 5799 ppi and a frame rate of 18.5 kHz. The device vertically integrates multiple photovoltage-generating light-sensing units with a light-emitting unit in a cascaded configuration, enabling visible emission upon near-infrared excitation via internal carrier transfer. Its circuit-free architecture confers intrinsic flexibility and large-area scalability while remaining fully compatible with room-temperature operation. The system eliminates the need for pixel-level readout, thereby enabling spatial resolution beyond conventional pixel limits under optical excitation control. It further supports high-speed imaging governed by the transit dynamics of photogenerated carriers. In addition, its self-driven characteristic ensures inherently low background noise, enhancing the signal-to-background ratio and improving imaging quality. This work introduces a simplified, energy-efficient approach to infrared visualization.</w:t>
      </w:r>
    </w:p>
    <w:p>
      <w:pPr>
        <w:spacing w:before="120" w:after="120"/>
      </w:pPr>
      <w:r>
        <w:rPr>
          <w:sz w:val="18"/>
        </w:rPr>
        <w:t>——————————————————————————————————————————————————————————————————————</w:t>
      </w:r>
    </w:p>
    <w:p>
      <w:pPr>
        <w:spacing w:before="160" w:after="40" w:line="240" w:lineRule="auto"/>
      </w:pPr>
      <w:r>
        <w:rPr>
          <w:b/>
        </w:rPr>
        <w:t xml:space="preserve">[131] </w:t>
      </w:r>
      <w:hyperlink r:id="rId526">
        <w:r>
          <w:rPr>
            <w:color w:val="1155CC"/>
            <w:u w:val="single"/>
          </w:rPr>
          <w:t>TAK1 驱动雄性小鼠炎症成纤维细胞获得并塑造心肌梗死反应</w:t>
        </w:r>
      </w:hyperlink>
    </w:p>
    <w:p>
      <w:pPr>
        <w:spacing w:before="0" w:after="80"/>
      </w:pPr>
      <w:r>
        <w:rPr>
          <w:i/>
          <w:sz w:val="20"/>
        </w:rPr>
        <w:t>EN: TAK1 drives inflammatory fibroblast acquisition and shapes myocardial infarction responses in male mice</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器官功能取决于细胞类型之间的通讯来协调组织生长和修复。尽管成纤维细胞对此过程至关重要，但它们在调节损伤炎症反应中的作用仍然不明确。在这里，我们证明转化生长因子 β 激活激酶 1 (TAK1) 是炎症性心脏成纤维细胞表型的看门人。在心脏成纤维细胞中，TAK1 信号传导控制炎症成纤维细胞的定义特征的获得，包括趋化因子和细胞因子的合成、脂质介质的产生、金属蛋白酶活性和损伤相关的分子模式识别。此外，TAK1 传播 IL-1β 和 TNF-α 信号，但不传播 TGF-β-SMAD 信号，通过增加趋化因子分泌同时减少脂质介质产生来调节炎症程序。成纤维细胞特异性 TAK1 缺失会降低体外中性粒细胞的趋化性和体内心肌梗死后免疫细胞的募集，这与雄性小鼠心脏重塑和功能的改善有关。这些结果进一步解析了炎症成纤维细胞在心脏损伤反应中的性质和功能，并将 TAK1 信号传导确定为关键介质。</w:t>
      </w:r>
    </w:p>
    <w:p>
      <w:pPr>
        <w:spacing w:before="0" w:after="200" w:lineRule="auto" w:line="276"/>
      </w:pPr>
      <w:r>
        <w:rPr>
          <w:b/>
        </w:rPr>
        <w:t xml:space="preserve">Abstract (EN): </w:t>
      </w:r>
      <w:r>
        <w:t>Organ function depends on communication among cell types to coordinate tissue growth and repair. Although fibroblasts are critical to this process, their role in regulating inflammatory responses to injury remain ambiguous. Here, we show that transforming growth factor β-activated kinase 1 (TAK1) is a gatekeeper of an inflammatory cardiac fibroblast phenotype. In cardiac fibroblasts, TAK1 signaling controls the acquisition of defining features of inflammatory fibroblasts, including chemokine and cytokine synthesis, lipid mediator production, metalloproteinase activity, and damage-associated molecular pattern recognition. Moreover, TAK1 propagates IL-1β and TNF-α signaling, but not TGF-β-SMAD signaling, regulating inflammatory programs by increasing chemokine secretion while decreasing lipid mediator production. Fibroblast-specific TAK1 deletion decreases neutrophil chemotaxis in vitro and immune cell recruitment after myocardial infarction in vivo, which is associated with improved cardiac remodeling and function in male mice. These results further resolve the nature and function of inflammatory fibroblasts in cardiac responses to injury and identify TAK1 signaling as a critical mediator.</w:t>
      </w:r>
    </w:p>
    <w:p>
      <w:pPr>
        <w:spacing w:before="120" w:after="120"/>
      </w:pPr>
      <w:r>
        <w:rPr>
          <w:sz w:val="18"/>
        </w:rPr>
        <w:t>——————————————————————————————————————————————————————————————————————</w:t>
      </w:r>
    </w:p>
    <w:p>
      <w:pPr>
        <w:spacing w:before="160" w:after="40" w:line="240" w:lineRule="auto"/>
      </w:pPr>
      <w:r>
        <w:rPr>
          <w:b/>
        </w:rPr>
        <w:t xml:space="preserve">[132] </w:t>
      </w:r>
      <w:hyperlink r:id="rId527">
        <w:r>
          <w:rPr>
            <w:color w:val="1155CC"/>
            <w:u w:val="single"/>
          </w:rPr>
          <w:t>关键的 Wnt 拮抗剂通过限制 Wnt 活性来促进数字关节规范</w:t>
        </w:r>
      </w:hyperlink>
    </w:p>
    <w:p>
      <w:pPr>
        <w:spacing w:before="0" w:after="80"/>
      </w:pPr>
      <w:r>
        <w:rPr>
          <w:i/>
          <w:sz w:val="20"/>
        </w:rPr>
        <w:t>EN: A pivotal Wnt antagonist role promoting digit joint specification by constraining Wnt activity</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Bmp 和 Wnt 常常表现相反。在这里，我们报告说，在小鼠手指祖细胞中，与长骨关节不同，它们合作促进关节（区间）的软骨形成。 Bmp 信号升高会阻止 5’HoxdΔ/Δ 数字祖细胞形成带间区，从而导致关节损失。我们发现 5'HoxdΔ/Δ 指间的组成型 β 连环蛋白激活 (βCatCA) 可间接恢复手指关节，并且细胞非自主地恢复。 RNA 分析揭示 βCatCA 诱导分泌的 Wnt 拮抗剂，通过减少指尖 Bmp 活性来恢复 5'HoxdΔ/Δ 数字关节。删除 5'HoxdΔ/Δ 指间的 βCatCA 诱导的 Wnt 拮抗剂 Dkk2 可以消除 βCatCA 的联合救援。 Wnts 抑制 Gsk3β 激酶，该激酶使 β 连环蛋白和 Bmp 激活受体 pSmad1/5 磷酸化并使其不稳定。在培养的肢芽中，Gsk3β 拮抗剂可稳定 pSmad1/5，从而增强指尖 Bmp 活性。我们建议 Wnt 拮抗剂通过稳定 Gsk3β 来防止早熟的 pSmad1/5 积累，从而有利于联合命运。 5'HoxdΔ/Δ 指尖中过量的 Bmp-pSmad1/5 活性会加速软骨形成，阻碍向联合命运的转变。 Wnt 拮抗剂通过减缓软骨形成的速度来维持正常指骨关节规范的间充质可塑性。</w:t>
      </w:r>
    </w:p>
    <w:p>
      <w:pPr>
        <w:spacing w:before="0" w:after="200" w:lineRule="auto" w:line="276"/>
      </w:pPr>
      <w:r>
        <w:rPr>
          <w:b/>
        </w:rPr>
        <w:t xml:space="preserve">Abstract (EN): </w:t>
      </w:r>
      <w:r>
        <w:t>Bmps and Wnts often act antagonistically. Here we report that in mouse digit progenitors, unlike long bone joints, they cooperate to promote chondrogenic over joint (interzone) commitment. Elevated Bmp signaling prevents 5’HoxdΔ/Δ digit progenitors from forming interzones, causing joint loss. We show that constitutive βCatenin activation (βCatCA) in 5’HoxdΔ/Δ interdigits restores digit joints indirectly and cell non-autonomously. RNA profiling reveals βCatCA induces secreted Wnt antagonists that restore 5’HoxdΔ/Δ digit joints by reducing digit-tip Bmp activity. Deleting the βCatCA-induced Wnt antagonist Dkk2 in 5’HoxdΔ/Δ interdigits abolishes joint rescue by βCatCA. Wnts inhibit Gsk3β kinase, which phosphorylates and destabilizes both βCatenin and Bmp-activated receptors pSmad1/5. In cultured limb buds, Gsk3β antagonists stabilize pSmad1/5, enhancing digit-tip Bmp activity. We propose that Wnt antagonists prevent precocious pSmad1/5 accumulation by stabilizing Gsk3β, favoring joint fate. Excess Bmp-pSmad1/5 activity in 5’HoxdΔ/Δ digit-tips accelerates chondrogenic commitment, impeding a switch to joint fate. Wnt antagonists maintain mesenchymal plasticity for normal phalanx-joint specification by slowing the pace of chondrogenic commitment.</w:t>
      </w:r>
    </w:p>
    <w:p>
      <w:pPr>
        <w:spacing w:before="120" w:after="120"/>
      </w:pPr>
      <w:r>
        <w:rPr>
          <w:sz w:val="18"/>
        </w:rPr>
        <w:t>——————————————————————————————————————————————————————————————————————</w:t>
      </w:r>
    </w:p>
    <w:p>
      <w:pPr>
        <w:spacing w:before="160" w:after="40" w:line="240" w:lineRule="auto"/>
      </w:pPr>
      <w:r>
        <w:rPr>
          <w:b/>
        </w:rPr>
        <w:t xml:space="preserve">[133] </w:t>
      </w:r>
      <w:hyperlink r:id="rId528">
        <w:r>
          <w:rPr>
            <w:color w:val="1155CC"/>
            <w:u w:val="single"/>
          </w:rPr>
          <w:t>海洋保护对印度尼西亚东部沿海生计的分布影响</w:t>
        </w:r>
      </w:hyperlink>
    </w:p>
    <w:p>
      <w:pPr>
        <w:spacing w:before="0" w:after="80"/>
      </w:pPr>
      <w:r>
        <w:rPr>
          <w:i/>
          <w:sz w:val="20"/>
        </w:rPr>
        <w:t>EN: Distributional effects of marine conservation on coastal livelihoods in Eastern Indonesia</w:t>
      </w:r>
    </w:p>
    <w:p>
      <w:pPr>
        <w:spacing w:before="0" w:after="120"/>
      </w:pPr>
      <w:r>
        <w:rPr>
          <w:b/>
        </w:rPr>
        <w:t xml:space="preserve">Source: </w:t>
      </w:r>
      <w:r>
        <w:t>Scientific community and society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海洋保护区（MPA）被广泛用于保护海洋生物多样性，但其对资源依赖型社区的分布影响仍未得到充分研究。本研究采用准实验设计和对 10 个海洋保护区 180 个沿海定居点的 10,000 多个家庭进行的多轮家庭调查（2010-2017 年），调查了与印度尼西亚东部海洋保护区相关的社会经济不平等。我们通过客观（基于资产的指数）和主观（感知的经济趋势）措施来评估贫困。调查结果揭示了贫困的总体减少和性别、年龄、职业和保有权方面持续存在的不平等。海洋保护区并没有造成短期经济损失或扩大客观不平等，但限制了人们感知到的经济改善，特别是对女性户主家庭而言。社区参与调节了这些影响：当女性群体参与度较低时，性别差异就更大。这些发现表明，促进包容性参与有助于确保更公平的保护成果。</w:t>
      </w:r>
    </w:p>
    <w:p>
      <w:pPr>
        <w:spacing w:before="0" w:after="200" w:lineRule="auto" w:line="276"/>
      </w:pPr>
      <w:r>
        <w:rPr>
          <w:b/>
        </w:rPr>
        <w:t xml:space="preserve">Abstract (EN): </w:t>
      </w:r>
      <w:r>
        <w:t>Marine protected areas (MPAs) are widely adopted to conserve marine biodiversity, yet their distributional impacts on resource-dependent communities remain underexplored. This study investigates socioeconomic inequality linked to MPAs in eastern Indonesia using a quasi-experimental design and multi-round household surveys of over 10,000 households across 180 coastal settlements in 10 MPAs (2010–2017). We assess poverty through objective (asset-based index) and subjective (perceived economic trends) measures. Findings reveal overall poverty reduction and persistent pre-existing inequalities by gender, age, occupation, and tenure rights. MPAs did not cause short-term economic losses or widen objective inequality but constrained perceived economic improvement, particularly among female-headed households. Community engagement moderated these effects: gender disparities were greater where female participation in groups was low. These findings suggest that promoting inclusive participation can help ensure more equitable conservation outcomes.</w:t>
      </w:r>
    </w:p>
    <w:p>
      <w:pPr>
        <w:spacing w:before="120" w:after="120"/>
      </w:pPr>
      <w:r>
        <w:rPr>
          <w:sz w:val="18"/>
        </w:rPr>
        <w:t>——————————————————————————————————————————————————————————————————————</w:t>
      </w:r>
    </w:p>
    <w:p>
      <w:pPr>
        <w:spacing w:before="160" w:after="40" w:line="240" w:lineRule="auto"/>
      </w:pPr>
      <w:r>
        <w:rPr>
          <w:b/>
        </w:rPr>
        <w:t xml:space="preserve">[134] </w:t>
      </w:r>
      <w:hyperlink r:id="rId529">
        <w:r>
          <w:rPr>
            <w:color w:val="1155CC"/>
            <w:u w:val="single"/>
          </w:rPr>
          <w:t>PIWIL3-piRNA 通路通过转录组和蛋白质组的广泛调节控制兔卵子发生和胚胎发生</w:t>
        </w:r>
      </w:hyperlink>
    </w:p>
    <w:p>
      <w:pPr>
        <w:spacing w:before="0" w:after="80"/>
      </w:pPr>
      <w:r>
        <w:rPr>
          <w:i/>
          <w:sz w:val="20"/>
        </w:rPr>
        <w:t>EN: PIWIL3-piRNA pathway controls rabbit oogenesis and embryogenesis via broad regulation of the transcriptome and proteome</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女性不孕症通常是由卵子缺陷引起的，但潜在的分子机制仍然难以捉摸。 Piwi-piRNA 途径对于配子发生至关重要，但其在哺乳动物雌性生育力中的作用仍不清楚，部分原因是依赖于缺乏 PIWIL3 的小鼠模型。 PIWIL3 存在于大多数其他胎盘哺乳动物中，并且在人类卵母细胞中高度表达，但其功能在很大程度上仍未被探索。在这里，我们证明兔 PIWIL3 与人类对应物非常相似，并且是卵母细胞中主要的 PIWI 蛋白。通过 CRISPR-Cas9 敲除，我们证明 PIWIL3 对于雌性兔子的生育能力至关重要，它的缺失会导致卵子发生的严重缺陷。缺乏母体 PIWIL3 的胚胎在 8 细胞阶段停滞。从机制上讲，PIWIL3 结合约 18 个核苷酸的 piRNA，支持 piRNA 生物发生，并在卵母细胞成熟和早期胚胎发生过程中调节转录组、蛋白质组和转座元件动态。这些发现表明 PIWIL3 是非啮齿类哺乳动物（可能包括人类）雌性生育力的重要调节因子。</w:t>
      </w:r>
    </w:p>
    <w:p>
      <w:pPr>
        <w:spacing w:before="0" w:after="200" w:lineRule="auto" w:line="276"/>
      </w:pPr>
      <w:r>
        <w:rPr>
          <w:b/>
        </w:rPr>
        <w:t xml:space="preserve">Abstract (EN): </w:t>
      </w:r>
      <w:r>
        <w:t>Female infertility often arises from oogenic defects, yet the underlying molecular mechanisms remain elusive. The Piwi-piRNA pathway is crucial for gametogenesis, but its role in mammalian female fertility remains unclear, partly due to reliance on mouse models lacking PIWIL3. PIWIL3 exits in most other placental mammals and is highly expressed in human oocytes, but its function remains largely unexplored. Here, we show that rabbit PIWIL3 closely resembles its human counterpart and is the predominant PIWI protein in oocytes. Using CRISPR-Cas9 knockout, we demonstrate that PIWIL3 is essential for female fertility in rabbits, its loss leads to severe defects in oogenesis. Embryos lacking maternal PIWIL3 arrest by the 8-cell stage. Mechanistically, PIWIL3 binds ~18-nucleotide piRNAs, supports piRNA biogenesis, and regulates transcriptomic, proteomic, and transposable element dynamics during oocyte maturation and early embryogenesis. These findings establish PIWIL3 as an essential regulator of female fertility in non-rodent mammals, potentially including humans.</w:t>
      </w:r>
    </w:p>
    <w:p>
      <w:pPr>
        <w:spacing w:before="120" w:after="120"/>
      </w:pPr>
      <w:r>
        <w:rPr>
          <w:sz w:val="18"/>
        </w:rPr>
        <w:t>——————————————————————————————————————————————————————————————————————</w:t>
      </w:r>
    </w:p>
    <w:p>
      <w:pPr>
        <w:spacing w:before="160" w:after="40" w:line="240" w:lineRule="auto"/>
      </w:pPr>
      <w:r>
        <w:rPr>
          <w:b/>
        </w:rPr>
        <w:t xml:space="preserve">[135] </w:t>
      </w:r>
      <w:hyperlink r:id="rId530">
        <w:r>
          <w:rPr>
            <w:color w:val="1155CC"/>
            <w:u w:val="single"/>
          </w:rPr>
          <w:t>qChIP-MS 通过无标记定量蛋白质组学揭示局部染色质组成</w:t>
        </w:r>
      </w:hyperlink>
    </w:p>
    <w:p>
      <w:pPr>
        <w:spacing w:before="0" w:after="80"/>
      </w:pPr>
      <w:r>
        <w:rPr>
          <w:i/>
          <w:sz w:val="20"/>
        </w:rPr>
        <w:t>EN: qChIP-MS reveals the local chromatin composition by label-free quantitative proteomics</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过去几十年来，染色质免疫沉淀 (ChIP) 一直是表观遗传学分析的基石，但即使与测序方法 (ChIP-seq) 结合使用，它最终也仅限于一次分析一种蛋白质。作为补充，我们将 ChIP 与无标记定量质谱 (qChIP-MS) 结合起来，以检测局部染色质组成。我们证明了我们的方法在端粒、转录因子、组织中以及通过 dCas9 介导的位点特异性富集方面的多功能性。</w:t>
      </w:r>
    </w:p>
    <w:p>
      <w:pPr>
        <w:spacing w:before="0" w:after="200" w:lineRule="auto" w:line="276"/>
      </w:pPr>
      <w:r>
        <w:rPr>
          <w:b/>
        </w:rPr>
        <w:t xml:space="preserve">Abstract (EN): </w:t>
      </w:r>
      <w:r>
        <w:t>Chromatin immunoprecipitation (ChIP) has been a cornerstone for epigenetic analyses over the last decades, but even coupled to sequencing approaches (ChIP-seq), it is ultimately limited to one protein at a time. In a complementary effort, we here combine ChIP with label-free quantitative mass spectrometry (qChIP-MS) to interrogate local chromatin compositions. We demonstrate the versatility of our approach at telomeres, with transcription factors, in tissue and by dCas9-mediated locus-specific enrichment.</w:t>
      </w:r>
    </w:p>
    <w:p>
      <w:pPr>
        <w:spacing w:before="120" w:after="120"/>
      </w:pPr>
      <w:r>
        <w:rPr>
          <w:sz w:val="18"/>
        </w:rPr>
        <w:t>——————————————————————————————————————————————————————————————————————</w:t>
      </w:r>
    </w:p>
    <w:p>
      <w:pPr>
        <w:spacing w:before="160" w:after="40" w:line="240" w:lineRule="auto"/>
      </w:pPr>
      <w:r>
        <w:rPr>
          <w:b/>
        </w:rPr>
        <w:t xml:space="preserve">[136] </w:t>
      </w:r>
      <w:hyperlink r:id="rId531">
        <w:r>
          <w:rPr>
            <w:color w:val="1155CC"/>
            <w:u w:val="single"/>
          </w:rPr>
          <w:t>功能基因组学分析中基因组选择的基准测试</w:t>
        </w:r>
      </w:hyperlink>
    </w:p>
    <w:p>
      <w:pPr>
        <w:spacing w:before="0" w:after="80"/>
      </w:pPr>
      <w:r>
        <w:rPr>
          <w:i/>
          <w:sz w:val="20"/>
        </w:rPr>
        <w:t>EN: Benchmarking genome choice in functional genomics analyses</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人类基因组参考建立了基因组功能的共享坐标系，但它是不完整的，不能完全代表人类多样性。在这里，我们使用染色质可及性测序 (ATAC-seq)、RNA 测序、全基因组亚硫酸氢盐测序和染色体构象捕获 (Hi-C) 数据对基因组表示和每种表示的相应分析框架如何塑造功能基因组进行基准测试，这些数据来自来自五个具有完全定相基因组组装的个体的淋巴母细胞系。我们比较了 hg38、CHM13、人类全基因组草案以及每个个体的母本和父本组合的结果。由于当前的流程和质量控制惯例已调整为 hg38，因此其中一些比较反映了可用方法背景下的基因组表示，而不是单独的序列。个体身份占功能估计总方差的 57.52-78.47%，而基因组选择贡献 0.002-7.85%，样本与基因组相互作用贡献 0.63-5.43%。大约 2% 的生物信号只能通过个人装配才能检​​测到。尽管这些影响总体上不大，但一些生物学上重要的特征仍然无法通过线性参考获得。与此一致的是，人类全基因组中基于图的 DNA 甲基化分析揭示了染色体 8p23.1 上假定的 TNKS 增强子内的非参考 AluY5a 插入，该插入仅在全基因组中可见且高度甲基化。</w:t>
      </w:r>
    </w:p>
    <w:p>
      <w:pPr>
        <w:spacing w:before="0" w:after="200" w:lineRule="auto" w:line="276"/>
      </w:pPr>
      <w:r>
        <w:rPr>
          <w:b/>
        </w:rPr>
        <w:t xml:space="preserve">Abstract (EN): </w:t>
      </w:r>
      <w:r>
        <w:t>The human genome reference established a shared coordinate system for genome function, but it is incomplete and not fully representative of human diversity. Here, we benchmark how genome representation and corresponding analytical frameworks for each representation shape functional genomics using chromatin accessibility sequencing (ATAC-seq), RNA sequencing, whole-genome bisulfite sequencing, and chromosome conformation capture (Hi-C) data from lymphoblastoid cell lines derived from five individuals with fully phased genome assemblies. We compare results across hg38, CHM13, the draft human pangenome, and each individual’s maternal and paternal assemblies. Because current pipelines and quality control conventions are tuned to hg38, several of these comparisons reflect genome representation in the context of available methods, rather than sequence alone. Individual identity accounts for 57.52-78.47% of total variance in functional estimates, whereas genome choice contributes 0.002-7.85% and sample-by-genome interactions contribute 0.63-5.43%. About 2% of biological signals are detectable only with personal assemblies. Although these effects are modest overall, some biologically important features remain inaccessible to linear references. Consistent with this, graph-based DNA methylation analysis in the human pangenome reveals a non-reference AluY5a insertion within a putative TNKS enhancer at chromosome 8p23.1 that becomes visible and hypermethylated only in the pangenome.</w:t>
      </w:r>
    </w:p>
    <w:p>
      <w:pPr>
        <w:spacing w:before="120" w:after="120"/>
      </w:pPr>
      <w:r>
        <w:rPr>
          <w:sz w:val="18"/>
        </w:rPr>
        <w:t>——————————————————————————————————————————————————————————————————————</w:t>
      </w:r>
    </w:p>
    <w:p>
      <w:pPr>
        <w:spacing w:before="160" w:after="40" w:line="240" w:lineRule="auto"/>
      </w:pPr>
      <w:r>
        <w:rPr>
          <w:b/>
        </w:rPr>
        <w:t xml:space="preserve">[137] </w:t>
      </w:r>
      <w:hyperlink r:id="rId532">
        <w:r>
          <w:rPr>
            <w:color w:val="1155CC"/>
            <w:u w:val="single"/>
          </w:rPr>
          <w:t>通过单细胞数据的层次聚类揭示Atlas规模的基因模块</w:t>
        </w:r>
      </w:hyperlink>
    </w:p>
    <w:p>
      <w:pPr>
        <w:spacing w:before="0" w:after="80"/>
      </w:pPr>
      <w:r>
        <w:rPr>
          <w:i/>
          <w:sz w:val="20"/>
        </w:rPr>
        <w:t>EN: Unveiling gene modules at Atlas scale through hierarchical clustering of single-cell data</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单细胞 RNA 测序 (scRNA-seq) 分析的一个主要挑战是恢复具有生物学意义的细胞本体树和跨数据集的保守基因模块。数据集成和批量效应校正方法可以对多个数据集进行有效分析，但通常无法理清异质样本（例如癌症和免疫系统）中的细胞状态。在这里，我们提出了超级单细胞聚类（SuperSCC），这是一种计算框架，利用机器学习模型来发现跨多个数据集的细胞身份和基因模块，而无需数据集成。值得注意的是，SuperSCC 可以在细胞谱系和细胞状态水平上实施，从而允许创建具有特定细胞身份和基因模块的细胞程序的层次结构。该信息可用于识别跨数据集共享的稀有种群，无论批处理效果如何，并且对于将单元标签从参考数据集映射到查询数据集具有优势。我们使用 SuperSCC 对 90 多个数据集进行图谱级数据分析，并构建了健康和患病状态下复杂组织（例如人肺）的细胞状态图。 SuperSCC 在识别细胞环境方面优于现有方法，实现了更高的注释准确性，并识别了指示肺微环境中保守免疫细胞状态的基因模块。</w:t>
      </w:r>
    </w:p>
    <w:p>
      <w:pPr>
        <w:spacing w:before="0" w:after="200" w:lineRule="auto" w:line="276"/>
      </w:pPr>
      <w:r>
        <w:rPr>
          <w:b/>
        </w:rPr>
        <w:t xml:space="preserve">Abstract (EN): </w:t>
      </w:r>
      <w:r>
        <w:t>A major challenge in single-cell RNA sequencing (scRNA-seq) analysis is recovering biologically meaningful cell ontology trees and conserved gene modules across datasets. Data integration and batch-effect correction methods have enabled effective analyses of multiple datasets but often fail to disentangle cell states in heterogeneous samples, such as cancer and the immune system. Here, we present Super Single-Cell Clustering (SuperSCC), a computational framework that utilizes machine learning models to discover cell identities and gene modules across multiple datasets without the need for data integration. Notably, SuperSCC can be implemented at both the cell lineage and cell state levels, thereby allowing the creation of hierarchies of cell programs with specific cell identities and gene modules. This information can be used to identify shared rare populations across datasets regardless of batch effects and has advantages for mapping cell labels from reference to query datasets. We used SuperSCC to perform atlas-level data analysis with more than 90 datasets and built cell state maps of complex tissues, such as the human lung, in healthy and diseased states. SuperSCC outperforms existing approaches in identifying cellular contexts, achieves higher annotation accuracy, and identifies gene modules that indicate conserved immune cell statuses in the lung microenvironment.</w:t>
      </w:r>
    </w:p>
    <w:p>
      <w:pPr>
        <w:spacing w:before="120" w:after="120"/>
      </w:pPr>
      <w:r>
        <w:rPr>
          <w:sz w:val="18"/>
        </w:rPr>
        <w:t>——————————————————————————————————————————————————————————————————————</w:t>
      </w:r>
    </w:p>
    <w:p>
      <w:pPr>
        <w:spacing w:before="160" w:after="40" w:line="240" w:lineRule="auto"/>
      </w:pPr>
      <w:r>
        <w:rPr>
          <w:b/>
        </w:rPr>
        <w:t xml:space="preserve">[138] </w:t>
      </w:r>
      <w:hyperlink r:id="rId533">
        <w:r>
          <w:rPr>
            <w:color w:val="1155CC"/>
            <w:u w:val="single"/>
          </w:rPr>
          <w:t>不对称的生活史权衡塑造了性别偏见的长寿模式</w:t>
        </w:r>
      </w:hyperlink>
    </w:p>
    <w:p>
      <w:pPr>
        <w:spacing w:before="0" w:after="80"/>
      </w:pPr>
      <w:r>
        <w:rPr>
          <w:i/>
          <w:sz w:val="20"/>
        </w:rPr>
        <w:t>EN: Asymmetric life-history trade-offs shape sex-biased longevity patterns</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衰老和寿命方面的性别差异在各个分类群中普遍存在，但其进化原因仍然存在争议。一个主要的假设提出，这种差异是由特定性别的生活史权衡适应性产生的，但缺乏正式的理论支持。因此，我们开发了一个数学模型来研究这些权衡如何影响生态和交配系统背景下的寿命进化。在一夫一妻制下，个体通过雄性的交配机会和雌性的后代生产来优化生存与繁殖的权衡。不同的权衡优势表明，男性偏向的长寿出现在更广泛的参数范围内，与一夫一妻制物种的模式一致。这种不对称的出现是因为雌性寿命的延长减少了后代的产量，降低了种群规模和交配率，从而限制了对雌性寿命的选择，而更长的雄性寿命更容易进化，除非交配成本很高。结合密度依赖性表明，生态反馈不成比例地降低了本质上寿命较长的性别的生存率，可能掩盖了进化的差异。除了一夫一妻制之外，我们还发现，交配系统的变异通过竞争强度来影响寿命，而竞争强度是由性别限制和人口规模决定的，其中女性数量决定了生殖产出和长寿的选择性环境。总体而言，我们强调，生活史权衡和人口反馈共同决定了寿命中性别差异的方向和程度。</w:t>
      </w:r>
    </w:p>
    <w:p>
      <w:pPr>
        <w:spacing w:before="0" w:after="200" w:lineRule="auto" w:line="276"/>
      </w:pPr>
      <w:r>
        <w:rPr>
          <w:b/>
        </w:rPr>
        <w:t xml:space="preserve">Abstract (EN): </w:t>
      </w:r>
      <w:r>
        <w:t>Sex differences in ageing and lifespan are widespread across taxa, yet their evolutionary causes remain debated. A leading hypothesis proposes that such differences arise adaptively from sex-specific life-history trade-offs, but formal theoretical support is lacking. We therefore develop a mathematical model to examine how these trade-offs shape lifespan evolution across ecological and mating system contexts. Under monogamy, individuals optimise a survival-reproduction trade-off, mediated by mating opportunities in males and offspring production in females. Varying trade-off strengths shows that male-biased longevity emerges across a wider parameter range, consistent with patterns in monogamous species. This asymmetry arises because increased female longevity reduces offspring production, lowering population size and mating rates and thereby constraining selection on female lifespan, whereas longer male lifespan evolves more readily unless mating costs are high. Incorporating density dependence shows that ecological feedbacks disproportionately reduce survival in the intrinsically longer-lived sex, potentially masking evolved differences. Beyond monogamy, we show that mating system variation shapes longevity through competition intensity, determined by the limiting sex, and demographic scaling, where female number sets reproductive output and the selective context for longevity. Overall, we highlight that life-history trade-offs and demographic feedbacks jointly determine the direction and magnitude of sex differences in lifespan.</w:t>
      </w:r>
    </w:p>
    <w:p>
      <w:pPr>
        <w:spacing w:before="120" w:after="120"/>
      </w:pPr>
      <w:r>
        <w:rPr>
          <w:sz w:val="18"/>
        </w:rPr>
        <w:t>——————————————————————————————————————————————————————————————————————</w:t>
      </w:r>
    </w:p>
    <w:p>
      <w:pPr>
        <w:spacing w:before="160" w:after="40" w:line="240" w:lineRule="auto"/>
      </w:pPr>
      <w:r>
        <w:rPr>
          <w:b/>
        </w:rPr>
        <w:t xml:space="preserve">[139] </w:t>
      </w:r>
      <w:hyperlink r:id="rId534">
        <w:r>
          <w:rPr>
            <w:color w:val="1155CC"/>
            <w:u w:val="single"/>
          </w:rPr>
          <w:t>甲基 NMR 揭示 BAP1-UCH 内动态耦合的变构网络</w:t>
        </w:r>
      </w:hyperlink>
    </w:p>
    <w:p>
      <w:pPr>
        <w:spacing w:before="0" w:after="80"/>
      </w:pPr>
      <w:r>
        <w:rPr>
          <w:i/>
          <w:sz w:val="20"/>
        </w:rPr>
        <w:t>EN: Allosteric network of dynamic coupling within BAP1-UCH revealed by methyl NMR</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BRCA1 相关蛋白 1 (BAP1) 是一种肿瘤抑制因子，其去泛素酶 (DUB) 活性对于转录调节至关重要，并且在癌症中经常因其泛素羧基末端水解酶 (UCH) 结构域中聚集的突变而受到损害。这些致癌突变的结构和动态基础仍然难以捉摸。在这里，我们引入了 22 个癌症突变以及 BAP1-UCH 的其他 22 个癌症突变位点上的额外甲基突变，以绘制它们对甲基化学位移的影响。该分析揭示了以人类 UCH 旁系同源物共享的保守亮氨酸 (L49) 为中心的变构耦合网络。引人注目的是，L49V 变体中的单碳侧链截断消除了 DUB 活性，同时破坏了苯丙氨酸簇内相关的 μs-ms 时间尺度运动，该簇在 L49 中枢内进行协调运动。这些发现揭示了 BAP1-UCH 如何通过精心调整的动态网络维持其催化能力，以及微小的改变如何破坏这种变构平衡，从而在微妙的结构扰动和肿瘤发生之间提供了机制联系。</w:t>
      </w:r>
    </w:p>
    <w:p>
      <w:pPr>
        <w:spacing w:before="0" w:after="200" w:lineRule="auto" w:line="276"/>
      </w:pPr>
      <w:r>
        <w:rPr>
          <w:b/>
        </w:rPr>
        <w:t xml:space="preserve">Abstract (EN): </w:t>
      </w:r>
      <w:r>
        <w:t>BRCA1-associated protein 1 (BAP1) is a tumor suppressor whose deubiquitinase (DUB) activity is essential for transcriptional regulation and is frequently compromised in cancer by mutations clustered in its ubiquitin carboxyl-terminal hydrolase (UCH) domain. The structural and dynamic bases of these oncogenic mutations remain elusive. Here, we introduce 22 cancer mutations and additional methyl mutations on the other 22 cancer mutation sites of BAP1-UCH to map their effects on the methyl chemical shifts. This analysis reveals an allosteric coupling network centered on a conserved leucine (L49) shared across human UCH paralogs. Strikingly, a single-carbon side-chain truncation in the L49V variant abolishes DUB activity, coinciding with disruption of correlated μs–ms timescale motions within a phenylalanine cluster that undergoes concerted motions within the L49 hub. These findings uncover how BAP1-UCH sustains its catalytic competence through a delicately tuned dynamic network and how minute alterations can collapse this allosteric balance, providing a mechanistic link between subtle structural perturbations and oncogenesis.</w:t>
      </w:r>
    </w:p>
    <w:p>
      <w:pPr>
        <w:spacing w:before="120" w:after="120"/>
      </w:pPr>
      <w:r>
        <w:rPr>
          <w:sz w:val="18"/>
        </w:rPr>
        <w:t>——————————————————————————————————————————————————————————————————————</w:t>
      </w:r>
    </w:p>
    <w:p>
      <w:pPr>
        <w:spacing w:before="160" w:after="40" w:line="240" w:lineRule="auto"/>
      </w:pPr>
      <w:r>
        <w:rPr>
          <w:b/>
        </w:rPr>
        <w:t xml:space="preserve">[140] </w:t>
      </w:r>
      <w:hyperlink r:id="rId535">
        <w:r>
          <w:rPr>
            <w:color w:val="1155CC"/>
            <w:u w:val="single"/>
          </w:rPr>
          <w:t>西尼罗河媒介蚊子致倦库蚊的自限性种群抑制基因驱动设计</w:t>
        </w:r>
      </w:hyperlink>
    </w:p>
    <w:p>
      <w:pPr>
        <w:spacing w:before="0" w:after="80"/>
      </w:pPr>
      <w:r>
        <w:rPr>
          <w:i/>
          <w:sz w:val="20"/>
        </w:rPr>
        <w:t>EN: Self-limiting population suppression gene drive design in the West Nile vector mosquito, Culex quinquefasciatus</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致倦库蚊是西尼罗河病毒和其他病原体的主要载体，但针对该物种的遗传种群抑制工具仍然有限。在这里，我们开发了一种基于 CRISPR 的自我限制抑制基因驱动系统，针对双性，靠近雄性决定基因座，促进雄性传播。重新编码的 dsxM 序列可将雌性转化为不育的雌雄同体，从而防止群体传播。该驱动力实现了超孟德尔遗传（约 71%），并产生了完全或部分显性雌性不育的抗性等位基因。单次释放笼试验显示，种群抑制时间较长但具有自限性。该RIDD（携带显性不育驱动器的昆虫的释放）系统的种群模型进一步表明，在低释放率和内在增长率下，重复释放可以大大减少可育雌性数量，在可比条件下优于非驱动策略。总之，这些结果为库蚊建立了一个自限性抑制基因驱动平台，为病媒种群控制提供了一个有限且可持续的框架。</w:t>
      </w:r>
    </w:p>
    <w:p>
      <w:pPr>
        <w:spacing w:before="0" w:after="200" w:lineRule="auto" w:line="276"/>
      </w:pPr>
      <w:r>
        <w:rPr>
          <w:b/>
        </w:rPr>
        <w:t xml:space="preserve">Abstract (EN): </w:t>
      </w:r>
      <w:r>
        <w:t>Culex quinquefasciatus is a major vector of West Nile virus and other pathogens, yet genetic population suppression tools for this species remain limited. Here, we develop a self-limiting, CRISPR-based suppression gene drive system targeting doublesex, close to the male-determining locus, promoting male transmission. A recoded dsxM sequence converts females into sterile intersexes, preventing population-level spread. The drive achieves super-Mendelian inheritance ( ~ 71%) and generates resistance alleles that are fully or partially dominant female sterile. Single-release cage trials show extended but self-limiting population suppression. Population modeling of this RIDD (Release of Insects carrying a Dominant-sterile Drive) system further indicates that repeated releases can substantially reduce fertile female numbers at low release ratios and intrinsic growth rates, outperforming non-drive strategies under comparable conditions. Together, these results establish a self-limiting suppression gene drive platform for Culex, providing a confined and sustainable framework for vector population control.</w:t>
      </w:r>
    </w:p>
    <w:p>
      <w:pPr>
        <w:spacing w:before="120" w:after="120"/>
      </w:pPr>
      <w:r>
        <w:rPr>
          <w:sz w:val="18"/>
        </w:rPr>
        <w:t>——————————————————————————————————————————————————————————————————————</w:t>
      </w:r>
    </w:p>
    <w:p>
      <w:pPr>
        <w:spacing w:before="160" w:after="40" w:line="240" w:lineRule="auto"/>
      </w:pPr>
      <w:r>
        <w:rPr>
          <w:b/>
        </w:rPr>
        <w:t xml:space="preserve">[141] </w:t>
      </w:r>
      <w:hyperlink r:id="rId536">
        <w:r>
          <w:rPr>
            <w:color w:val="1155CC"/>
            <w:u w:val="single"/>
          </w:rPr>
          <w:t>未来气候情景下中国风能和太阳能发电系统的高影响天气影响</w:t>
        </w:r>
      </w:hyperlink>
    </w:p>
    <w:p>
      <w:pPr>
        <w:spacing w:before="0" w:after="80"/>
      </w:pPr>
      <w:r>
        <w:rPr>
          <w:i/>
          <w:sz w:val="20"/>
        </w:rPr>
        <w:t>EN: High-impact weather effects on wind and solar power systems under future climate scenarios in China</w:t>
      </w:r>
    </w:p>
    <w:p>
      <w:pPr>
        <w:spacing w:before="0" w:after="120"/>
      </w:pPr>
      <w:r>
        <w:rPr>
          <w:b/>
        </w:rPr>
        <w:t xml:space="preserve">Source: </w:t>
      </w:r>
      <w:r>
        <w:t>Scientific community and society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高影响天气事件 (HIW) 会导致风能和太阳能发电长期并发的短缺，从而威胁电力系统的可靠性。在这里，我们利用5公里分辨率的时空气象数据、空间明确的电力需求预测以及气候信息下可再生能源发电和跨区域输电的协调优化，对气候变化下中国未来以可再生能源为主的电力系统进行了综合评估。在 SSP5-8.5 情景下，到 2040 年，HIW 可能引发每年持续长达 24 天的发电赤字，使内陆省份的风能和太阳能发电量分别减少 41.2% 和中北部电网的 22.7%。内蒙古和西北电网成为重要的出口枢纽，跨区域输电潜力合计达 605 吉瓦，可缓解区域失衡。这些结果强调了HIW在扰乱可再生能源供应链方面的放大作用，并强调了空间协调、气候适应型基础设施规划的必要性，以确保低碳能源的未来。</w:t>
      </w:r>
    </w:p>
    <w:p>
      <w:pPr>
        <w:spacing w:before="0" w:after="200" w:lineRule="auto" w:line="276"/>
      </w:pPr>
      <w:r>
        <w:rPr>
          <w:b/>
        </w:rPr>
        <w:t xml:space="preserve">Abstract (EN): </w:t>
      </w:r>
      <w:r>
        <w:t>High-impact weather events (HIWs) threaten power system reliability by inducing prolonged, concurrent deficits in wind and solar generation. Here, we present an integrated assessment of China’s future renewable-dominated power system under climate change, leveraging 5-kilometer resolution spatial and hourly temporal meteorological data, spatially explicit electricity demand projections, and a climate-informed coordinated optimization of renewable generation and cross-regional transmission. Under the SSP5-8.5 scenario by 2040, we find that HIWs can trigger generation deficits persisting up to 24 days annually, reducing wind and solar output by as much as 41.2% in inland provinces and 22.7% across northern-central grids, respectively. Inner Mongolia and the Northwest China Grid emerge as key export hubs, with a combined cross-regional transmission potential of 605 gigawatts to alleviate regional imbalances. These results underscore the amplifying role of HIWs in disrupting renewable supply chains and highlight the necessity of spatially coordinated, climate-resilient infrastructure planning to secure a low-carbon energy future.</w:t>
      </w:r>
    </w:p>
    <w:p>
      <w:pPr>
        <w:spacing w:before="120" w:after="120"/>
      </w:pPr>
      <w:r>
        <w:rPr>
          <w:sz w:val="18"/>
        </w:rPr>
        <w:t>——————————————————————————————————————————————————————————————————————</w:t>
      </w:r>
    </w:p>
    <w:p>
      <w:pPr>
        <w:spacing w:before="160" w:after="40" w:line="240" w:lineRule="auto"/>
      </w:pPr>
      <w:r>
        <w:rPr>
          <w:b/>
        </w:rPr>
        <w:t xml:space="preserve">[142] </w:t>
      </w:r>
      <w:hyperlink r:id="rId537">
        <w:r>
          <w:rPr>
            <w:color w:val="1155CC"/>
            <w:u w:val="single"/>
          </w:rPr>
          <w:t>将钙钛矿光伏发电从承诺变为产品</w:t>
        </w:r>
      </w:hyperlink>
    </w:p>
    <w:p>
      <w:pPr>
        <w:spacing w:before="0" w:after="80"/>
      </w:pPr>
      <w:r>
        <w:rPr>
          <w:i/>
          <w:sz w:val="20"/>
        </w:rPr>
        <w:t>EN: Taking perovskite photovoltaics from promise to product</w:t>
      </w:r>
    </w:p>
    <w:p>
      <w:pPr>
        <w:spacing w:before="0" w:after="120"/>
      </w:pPr>
      <w:r>
        <w:rPr>
          <w:b/>
        </w:rPr>
        <w:t xml:space="preserve">Source: </w:t>
      </w:r>
      <w:r>
        <w:t>Nature Reviews Clean Technology</w:t>
      </w:r>
      <w:r>
        <w:t xml:space="preserve">    </w:t>
      </w:r>
      <w:r>
        <w:rPr>
          <w:b/>
        </w:rPr>
        <w:t xml:space="preserve">Pub date: </w:t>
      </w:r>
      <w:r>
        <w:t>2026-05-26 00:00:00+00:00</w:t>
      </w:r>
      <w:r>
        <w:t xml:space="preserve">    </w:t>
      </w:r>
      <w:r>
        <w:rPr>
          <w:b/>
        </w:rPr>
        <w:t xml:space="preserve">DOI: </w:t>
      </w:r>
      <w:hyperlink r:id="rId538">
        <w:r>
          <w:rPr>
            <w:color w:val="1155CC"/>
            <w:u w:val="single"/>
          </w:rPr>
          <w:t>10.1038/s44359-026-00173-2</w:t>
        </w:r>
      </w:hyperlink>
    </w:p>
    <w:p>
      <w:pPr>
        <w:spacing w:before="0" w:after="120"/>
      </w:pPr>
      <w:r>
        <w:rPr>
          <w:b/>
        </w:rPr>
        <w:t xml:space="preserve">Notes: </w:t>
      </w:r>
      <w:r>
        <w:t>abstract_source=nature_html</w:t>
      </w:r>
    </w:p>
    <w:p>
      <w:pPr>
        <w:spacing w:before="0" w:after="80" w:lineRule="auto" w:line="276"/>
      </w:pPr>
      <w:r>
        <w:rPr>
          <w:b/>
        </w:rPr>
        <w:t xml:space="preserve">摘要（ZH）: </w:t>
      </w:r>
      <w:r>
        <w:t>钙钛矿光伏发电 (PV) 的效率快速提升；然而，商业部署仍然受到与规模扩大、可靠性和系统级不确定性相关的问题的限制。现在，该领域受到的限制不再是材料发现，而是商业化的复杂编排。在这个视角中，我们将钙钛矿光伏的商业化重新定义为跨越材料、制造、标准、政策和市场设计的多维、以产品为中心的演变。在本视角中，我们研究了钙钛矿和钙钛矿-硅串联光伏技术，重点关注其制造成熟度和商业准备情况。我们强调了一种平台效应，即实验室规模的额外效率提升带来的效益有限，除非伴随着产量、操作稳定性和整体工厂经济效益的提高。借鉴早期试点、区域产业战略和 OLED 等模拟技术的经验教训，我们强调供应链、适应性标准和风险资本在创造可融资产品中的作用。未来的研究必须将可制造性、稳定性、资源限制和可回收性视为主要设计变量，而协调的、应用驱动的路线图对于将钙钛矿光伏从创纪录的设备转化为可靠的产品至关重要。</w:t>
      </w:r>
    </w:p>
    <w:p>
      <w:pPr>
        <w:spacing w:before="0" w:after="200" w:lineRule="auto" w:line="276"/>
      </w:pPr>
      <w:r>
        <w:rPr>
          <w:b/>
        </w:rPr>
        <w:t xml:space="preserve">Abstract (EN): </w:t>
      </w:r>
      <w:r>
        <w:t>Perovskite photovoltaics (PV) have delivered rapid efficiency gains; however, commercial deployment remains constrained by issues related to scale-up, reliability and system-level uncertainties. The field is now limited less by material discovery than by the complex choreography of commercialization. In this Perspective, we reframe the commercialization of perovskite PV as a multidimensional, product-centric evolution spanning materials, manufacturing, standards, policy and market design. In this Perspective, we examine perovskite and perovskite–silicon tandem photovoltaic technologies, focusing on their manufacturing maturity and commercial readiness. We highlight a plateau effect, in which additional laboratory-scale efficiency gains provide limited benefit unless accompanied by improvements in production yield, operational stability and overall factory economics. Drawing on lessons from early pilot lines, regional industrial strategies and analogue technologies such as OLEDs, we highlight the roles of supply chains, adaptive standards and risk capital in creating bankable products. Future research must treat manufacturability, stability, resource constraints and recyclability as primary design variables, and coordinated, application-driven roadmaps are essential to translate perovskite PV from record-setting devices into a credible product.</w:t>
      </w:r>
    </w:p>
    <w:p>
      <w:pPr>
        <w:spacing w:before="120" w:after="120"/>
      </w:pPr>
      <w:r>
        <w:rPr>
          <w:sz w:val="18"/>
        </w:rPr>
        <w:t>——————————————————————————————————————————————————————————————————————</w:t>
      </w:r>
    </w:p>
    <w:p>
      <w:pPr>
        <w:spacing w:before="160" w:after="40" w:line="240" w:lineRule="auto"/>
      </w:pPr>
      <w:r>
        <w:rPr>
          <w:b/>
        </w:rPr>
        <w:t xml:space="preserve">[143] </w:t>
      </w:r>
      <w:hyperlink r:id="rId539">
        <w:r>
          <w:rPr>
            <w:color w:val="1155CC"/>
            <w:u w:val="single"/>
          </w:rPr>
          <w:t>莫尔铁电体机械操作下拓扑依赖的节点动力学</w:t>
        </w:r>
      </w:hyperlink>
    </w:p>
    <w:p>
      <w:pPr>
        <w:spacing w:before="0" w:after="80"/>
      </w:pPr>
      <w:r>
        <w:rPr>
          <w:i/>
          <w:sz w:val="20"/>
        </w:rPr>
        <w:t>EN: Topology-dependent node dynamics under mechanical manipulation in moiré ferroelectrics</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范德瓦尔斯莫尔超晶格可以容纳界面铁电域，其排列受到节点拓扑的影响。在这里，我们研究了扭曲 WSe2 同双层中节点类型在局部机械扰动下的动态行为和拓扑保护。暗场透射电子显微镜和开尔文探针力显微镜揭示了对称的六重节点以及非理想节点，包括四重和八重类型。原子力显微镜尖端的机械加载在节点运动中显示出惊人的对比：对称六重节点动态鲁棒，而不对称六重节点可以通过尖端扫描方向移动和引导，正如准静态加载模拟所证实的那样。此外，我们观察到一个四重节点由于缺乏拓扑保护而断裂。这些发现在节点拓扑和机械响应之间建立了直接联系，为莫尔铁电性提供了基本见解，并增进了我们对二维范德华材料拓扑缺陷的理解。</w:t>
      </w:r>
    </w:p>
    <w:p>
      <w:pPr>
        <w:spacing w:before="0" w:after="200" w:lineRule="auto" w:line="276"/>
      </w:pPr>
      <w:r>
        <w:rPr>
          <w:b/>
        </w:rPr>
        <w:t xml:space="preserve">Abstract (EN): </w:t>
      </w:r>
      <w:r>
        <w:t>Van der Waals moiré superlattices can host interfacial ferroelectric domains, whose arrangement is influenced by the topology of nodes. Here, we investigate the dynamic behavior and topological protection of node types in twisted WSe2 homobilayers under local mechanical perturbations. Dark-field transmission electron microscopy and Kelvin probe force microscopy reveal symmetric sixfold nodes as well as non-ideal nodes, including fourfold and eightfold types. Mechanical loading with an atomic force microscopy tip shows striking contrasts in node motion: symmetric sixfold nodes are dynamically robust, whereas an asymmetric sixfold node can be displaced and guided by the tip scan direction, as confirmed by quasi-static loading simulations. Furthermore, we observe a fourfold node that fractured due to its lack of topological protection. These findings establish a direct link between node topology and mechanical response, providing fundamental insights into moiré ferroelectricity and advancing our understanding of topological defects in two-dimensional van der Waals materials.</w:t>
      </w:r>
    </w:p>
    <w:p>
      <w:pPr>
        <w:spacing w:before="120" w:after="120"/>
      </w:pPr>
      <w:r>
        <w:rPr>
          <w:sz w:val="18"/>
        </w:rPr>
        <w:t>——————————————————————————————————————————————————————————————————————</w:t>
      </w:r>
    </w:p>
    <w:p>
      <w:pPr>
        <w:spacing w:before="160" w:after="40" w:line="240" w:lineRule="auto"/>
      </w:pPr>
      <w:r>
        <w:rPr>
          <w:b/>
        </w:rPr>
        <w:t xml:space="preserve">[144] </w:t>
      </w:r>
      <w:hyperlink r:id="rId540">
        <w:r>
          <w:rPr>
            <w:color w:val="1155CC"/>
            <w:u w:val="single"/>
          </w:rPr>
          <w:t>人类哮喘中小细胞外囊泡信号传导和线粒体转移重编程 T 辅助细胞功能</w:t>
        </w:r>
      </w:hyperlink>
    </w:p>
    <w:p>
      <w:pPr>
        <w:spacing w:before="0" w:after="80"/>
      </w:pPr>
      <w:r>
        <w:rPr>
          <w:i/>
          <w:sz w:val="20"/>
        </w:rPr>
        <w:t>EN: Small extracellular vesicle signaling and mitochondrial transfer reprogram T helper cell function in human asthma</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小细胞外囊泡 (sEV) 协调细胞间通讯，但 sEV 信号通过线粒体在持续哮喘气道炎症中的作用尚不清楚。骨髓源性调节细胞 (MDRC) 控制哮喘中的 CD4+ T 细胞反应。我们证明，来自哮喘患者的气道 MDRC 衍生的 sEV 介导 T 细胞受体接合和线粒体转移，从而诱导 Th17 和 Th2 细胞的抗原特异性激活和极化。 sEV 依赖性 T 细胞激活和 Th 极化是由线粒体氧化剂依赖性 NF-κB 信号传导介导的，当该信号被阻断时，会减轻 CD4+ T 细胞的激活。线粒体裂变调节剂 DRP-1 促进 MDRC-sEV 内的线粒体包装。内化的 sEV 与受体 T 细胞中的极化细胞骨架和线粒体网络共定位。线粒体包装的 sEV 的鼻内转移增强了小鼠哮喘模型中的过敏性气道炎症和 Th 极化。我们的研究表明，线粒体裂变和 sEV 线粒体介导的信号传导在 T 细胞激活失调、Th 极化和哮喘病理学中发挥着先前未被认识的作用。</w:t>
      </w:r>
    </w:p>
    <w:p>
      <w:pPr>
        <w:spacing w:before="0" w:after="200" w:lineRule="auto" w:line="276"/>
      </w:pPr>
      <w:r>
        <w:rPr>
          <w:b/>
        </w:rPr>
        <w:t xml:space="preserve">Abstract (EN): </w:t>
      </w:r>
      <w:r>
        <w:t>Small extracellular vesicles (sEVs) orchestrate cell-cell communication, but the role of sEV signaling via mitochondria in perpetuating asthmatic airway inflammation is unknown. Myeloid-derived regulatory cells (MDRCs) control CD4+ T cell responses in asthma. We demonstrate that airway MDRC-derived sEVs from asthmatics mediate T cell receptor engagement and transfer of mitochondria that induce antigen-specific activation and polarization of Th17 and Th2 cells. sEV-dependent T cell activation and Th polarization were mediated by mitochondrial oxidant-dependent NF-κB signaling, which, when blocked, mitigated CD4+ T cell activation. Mitochondrial fission regulator, DRP-1, promoted mitochondrial packaging within MDRC-sEVs. Internalized sEVs co-localized with the polarized cytoskeleton and mitochondrial networks in recipient T cells. Intranasal transfer of mitochondria packaged sEVs enhanced allergic airway inflammation and Th polarization in a murine asthma model. Our studies indicate a previously unrecognized role for mitochondrial fission and sEV- mitochondria-mediated signaling in dysregulated T cell activation, Th polarization, and pathology in asthma.</w:t>
      </w:r>
    </w:p>
    <w:p>
      <w:pPr>
        <w:spacing w:before="120" w:after="120"/>
      </w:pPr>
      <w:r>
        <w:rPr>
          <w:sz w:val="18"/>
        </w:rPr>
        <w:t>——————————————————————————————————————————————————————————————————————</w:t>
      </w:r>
    </w:p>
    <w:p>
      <w:pPr>
        <w:spacing w:before="160" w:after="40" w:line="240" w:lineRule="auto"/>
      </w:pPr>
      <w:r>
        <w:rPr>
          <w:b/>
        </w:rPr>
        <w:t xml:space="preserve">[145] </w:t>
      </w:r>
      <w:hyperlink r:id="rId541">
        <w:r>
          <w:rPr>
            <w:color w:val="1155CC"/>
            <w:u w:val="single"/>
          </w:rPr>
          <w:t>人类皮质层的预测声学处理</w:t>
        </w:r>
      </w:hyperlink>
    </w:p>
    <w:p>
      <w:pPr>
        <w:spacing w:before="0" w:after="80"/>
      </w:pPr>
      <w:r>
        <w:rPr>
          <w:i/>
          <w:sz w:val="20"/>
        </w:rPr>
        <w:t>EN: Predictive acoustical processing in human cortical layers</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在我们的动态环境中，预测处理对于听觉感知及其相关行为至关重要。预测编码通过将推理过程实现为跨皮质层和区域的信息交换来形式化推理过程。通过层流特异性血氧水平依赖成像，我们测量了对级联奇怪范式的反应，以及对介观人类皮质结构的基础预测听觉过程的反应。使用建模方法，我们推导出神经动力学的假定变化，同时考虑消耗效应。我们表明，违反预测可能是分层组织的，并且与平面极浅层和外侧颞叶皮层中层的反应相关。此外，我们将大脑内部模型的更新与深层的变化联系起来。我们的结果支持了颞叶皮质结构在预测编码实施中的作用，并强调了层流功能磁共振成像研究大范围颞区介观过程的能力。</w:t>
      </w:r>
    </w:p>
    <w:p>
      <w:pPr>
        <w:spacing w:before="0" w:after="200" w:lineRule="auto" w:line="276"/>
      </w:pPr>
      <w:r>
        <w:rPr>
          <w:b/>
        </w:rPr>
        <w:t xml:space="preserve">Abstract (EN): </w:t>
      </w:r>
      <w:r>
        <w:t>In our dynamic environments, predictive processing is vital for auditory perception and its associated behaviors. Predictive coding formalizes inferential processes by implementing them as information exchange across cortical layers and areas. With laminar-specific blood oxygenation level-dependent imaging we measured responses to a cascading oddball paradigm, to ground predictive auditory processes on the mesoscopic human cortical architecture. Using a modeling approach, we derive putative changes in neural dynamics while accounting for draining effects. We show that the violations of predictions are potentially hierarchically organized and associated with responses in superficial layers of the planum polare and middle layers of the lateral temporal cortex. Moreover, we relate the updating of the brain’s internal model to changes in deep layers. Our results support the role of temporal cortical architecture in the implementation of predictive coding and highlight the ability of laminar fMRI to investigate mesoscopic processes in a large extent of temporal areas.</w:t>
      </w:r>
    </w:p>
    <w:p>
      <w:pPr>
        <w:spacing w:before="120" w:after="120"/>
      </w:pPr>
      <w:r>
        <w:rPr>
          <w:sz w:val="18"/>
        </w:rPr>
        <w:t>——————————————————————————————————————————————————————————————————————</w:t>
      </w:r>
    </w:p>
    <w:p>
      <w:pPr>
        <w:spacing w:before="160" w:after="40" w:line="240" w:lineRule="auto"/>
      </w:pPr>
      <w:r>
        <w:rPr>
          <w:b/>
        </w:rPr>
        <w:t xml:space="preserve">[146] </w:t>
      </w:r>
      <w:hyperlink r:id="rId542">
        <w:r>
          <w:rPr>
            <w:color w:val="1155CC"/>
            <w:u w:val="single"/>
          </w:rPr>
          <w:t>多级协同优化构建的位并行二硫化钼计算机</w:t>
        </w:r>
      </w:hyperlink>
    </w:p>
    <w:p>
      <w:pPr>
        <w:spacing w:before="0" w:after="80"/>
      </w:pPr>
      <w:r>
        <w:rPr>
          <w:i/>
          <w:sz w:val="20"/>
        </w:rPr>
        <w:t>EN: A bit-parallel molybdenum disulfide computer built through multi-level co-optimization</w:t>
      </w:r>
    </w:p>
    <w:p>
      <w:pPr>
        <w:spacing w:before="0" w:after="120"/>
      </w:pPr>
      <w:r>
        <w:rPr>
          <w:b/>
        </w:rPr>
        <w:t xml:space="preserve">Source: </w:t>
      </w:r>
      <w:r>
        <w:t>Nature Electronics</w:t>
      </w:r>
      <w:r>
        <w:t xml:space="preserve">    </w:t>
      </w:r>
      <w:r>
        <w:rPr>
          <w:b/>
        </w:rPr>
        <w:t xml:space="preserve">Pub date: </w:t>
      </w:r>
      <w:r>
        <w:t>2026-05-26 00:00:00+00:00</w:t>
      </w:r>
      <w:r>
        <w:t xml:space="preserve">    </w:t>
      </w:r>
      <w:r>
        <w:rPr>
          <w:b/>
        </w:rPr>
        <w:t xml:space="preserve">DOI: </w:t>
      </w:r>
      <w:hyperlink r:id="rId543">
        <w:r>
          <w:rPr>
            <w:color w:val="1155CC"/>
            <w:u w:val="single"/>
          </w:rPr>
          <w:t>10.1038/s41928-026-01641-0</w:t>
        </w:r>
      </w:hyperlink>
    </w:p>
    <w:p>
      <w:pPr>
        <w:spacing w:before="0" w:after="120"/>
      </w:pPr>
      <w:r>
        <w:rPr>
          <w:b/>
        </w:rPr>
        <w:t xml:space="preserve">Notes: </w:t>
      </w:r>
      <w:r>
        <w:t>abstract_source=nature_html</w:t>
      </w:r>
    </w:p>
    <w:p>
      <w:pPr>
        <w:spacing w:before="0" w:after="80" w:lineRule="auto" w:line="276"/>
      </w:pPr>
      <w:r>
        <w:rPr>
          <w:b/>
        </w:rPr>
        <w:t xml:space="preserve">摘要（ZH）: </w:t>
      </w:r>
      <w:r>
        <w:t>人工智能的可持续发展需要高效节能的计算技术。二维半导体数字电子器件有可能提供这种能力，并且已经开发出有前景的单一器件和小型电路。然而，由于无法控制原子级缺陷和介观器件变化，以及缺乏宏观变化感知的设计方法，超大规模集成仍然具有挑战性。在这里，我们报告了一种二硫化钼计算机，它结合了 0.5μm 工业制造工艺和后端集成学术实验室工艺。该计算机由 1,433 个晶体​​管组成，这些晶体管在紧凑的占地面积内通过四个金属层互连，提供每平方毫米约 9,336 个晶体管的集成密度。计算机可以将片内数据存储在寄存器文件中，并以 1kHz 时钟频率并行地对多位数据进行算术运算。该系统开发的关键是涵盖晶体管、标准单元、逻辑综合和互连设计的多级协同优化方法。</w:t>
      </w:r>
    </w:p>
    <w:p>
      <w:pPr>
        <w:spacing w:before="0" w:after="200" w:lineRule="auto" w:line="276"/>
      </w:pPr>
      <w:r>
        <w:rPr>
          <w:b/>
        </w:rPr>
        <w:t xml:space="preserve">Abstract (EN): </w:t>
      </w:r>
      <w:r>
        <w:t>The sustainable development of artificial intelligence requires energy-efficient computing technology. Two-dimensional semiconductor digital electronics could potentially provide such capabilities, and promising single devices and small circuits have been developed. However, very large-scale integration remains challenging due to the inability to control atomic-scale defects and mesoscopic device variations, as well as the lack of macroscopic variation-aware design methodology. Here we report a molybdenum disulfide computer that combines a 0.5-μm industrial fabrication process and a back-end-of-line-integrated academia laboratory process. The computer comprises 1,433 transistors interconnected by four metal layers within a compact footprint, offering an integration density of around 9,336 transistors per square millimetre. The computer can store data on-chip in the register file and perform arithmetic operations on multiple-bit data parallelly at a 1-kHz clock frequency. Key to the development of this system is a multi-level co-optimization methodology that spans transistor, standard cell, logic synthesis and interconnect design.</w:t>
      </w:r>
    </w:p>
    <w:p>
      <w:pPr>
        <w:spacing w:before="120" w:after="120"/>
      </w:pPr>
      <w:r>
        <w:rPr>
          <w:sz w:val="18"/>
        </w:rPr>
        <w:t>——————————————————————————————————————————————————————————————————————</w:t>
      </w:r>
    </w:p>
    <w:p>
      <w:pPr>
        <w:spacing w:before="160" w:after="40" w:line="240" w:lineRule="auto"/>
      </w:pPr>
      <w:r>
        <w:rPr>
          <w:b/>
        </w:rPr>
        <w:t xml:space="preserve">[147] </w:t>
      </w:r>
      <w:hyperlink r:id="rId544">
        <w:r>
          <w:rPr>
            <w:color w:val="1155CC"/>
            <w:u w:val="single"/>
          </w:rPr>
          <w:t>基因内基因编码产生双亚型 Fha 缩合物来控制 VI 型分泌系统组装</w:t>
        </w:r>
      </w:hyperlink>
    </w:p>
    <w:p>
      <w:pPr>
        <w:spacing w:before="0" w:after="80"/>
      </w:pPr>
      <w:r>
        <w:rPr>
          <w:i/>
          <w:sz w:val="20"/>
        </w:rPr>
        <w:t>EN: Gene-in-gene coding generates dual-isoform Fha condensates to control type VI secretion system assembly</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虽然真核生物利用选择性剪接来使蛋白质功能多样化，但细菌中的类似策略仍未得到充分探索。在这里，我们鉴定了霍乱弧菌中保守的基因内编码机制，该机制产生必需支架Fha的两种亚型，并表明这些亚型通过液-液相分离协同促进VI型分泌系统（T6SS）的组装。全长亚型 FhaL 通过与膜复合物接合来组装种子，而内部翻译的亚型 FhaS 通过加强与底板成分的特异性相互作用来提高分泌效率。这种异构体的划分在生态学上是至关重要的。仅产生 FhaL 的突变体在细菌竞争中受到损害，容易受到真核生物的捕食，并且在宿主定植方面存在缺陷。两种异构体均形成缩合物，C 末端螺旋内的单个残基变化可消除缩合物形成并显着降低 T6SS 活性。内部翻译和缩合形成残基在超过 10,000 个霍乱弧菌分离株中严格保守，并且在多种弧菌物种中具有活性。这些发现定义了一种转化生物物理机制，可以调整广泛的收缩蛋白纳米机器以实现生态成功。</w:t>
      </w:r>
    </w:p>
    <w:p>
      <w:pPr>
        <w:spacing w:before="0" w:after="200" w:lineRule="auto" w:line="276"/>
      </w:pPr>
      <w:r>
        <w:rPr>
          <w:b/>
        </w:rPr>
        <w:t xml:space="preserve">Abstract (EN): </w:t>
      </w:r>
      <w:r>
        <w:t>While eukaryotes employ alternative splicing to diversify protein functions, analogous strategies in bacteria remain underexplored. Here we identify a conserved intragenic coding mechanism in Vibrio cholerae that generates two isoforms of the essential scaffold Fha and show that these isoforms cooperate through liquid–liquid phase separation to promote the assembly of the type VI secretion system (T6SS). The full-length isoform, FhaL, seeds assembly by engaging the membrane complex, whereas an internally translated isoform, FhaS, enhances secretion efficiency by strengthening specific interactions with baseplate components. This isoform partitioning is ecologically critical; a mutant producing only FhaL is impaired in bacterial competition, susceptible to eukaryotic predation, and defective in host colonization. Both isoforms form condensates, and a single residue change within a C-terminal helix abolishes condensate formation and significantly reduces T6SS activities. The internal translation and condensate-forming residues are strictly conserved across &gt;10,000 V. cholerae isolates and active in diverse Vibrio species. These findings define a translational–biophysical mechanism that tunes a widespread contractile protein nanomachine for ecological success.</w:t>
      </w:r>
    </w:p>
    <w:p>
      <w:pPr>
        <w:spacing w:before="120" w:after="120"/>
      </w:pPr>
      <w:r>
        <w:rPr>
          <w:sz w:val="18"/>
        </w:rPr>
        <w:t>——————————————————————————————————————————————————————————————————————</w:t>
      </w:r>
    </w:p>
    <w:p>
      <w:pPr>
        <w:spacing w:before="160" w:after="40" w:line="240" w:lineRule="auto"/>
      </w:pPr>
      <w:r>
        <w:rPr>
          <w:b/>
        </w:rPr>
        <w:t xml:space="preserve">[148] </w:t>
      </w:r>
      <w:hyperlink r:id="rId545">
        <w:r>
          <w:rPr>
            <w:color w:val="1155CC"/>
            <w:u w:val="single"/>
          </w:rPr>
          <w:t>基于仿皮肤生物凝胶的离子电子传感器，具有分层仿生耦合，用于灵巧的触觉电子皮肤</w:t>
        </w:r>
      </w:hyperlink>
    </w:p>
    <w:p>
      <w:pPr>
        <w:spacing w:before="0" w:after="80"/>
      </w:pPr>
      <w:r>
        <w:rPr>
          <w:i/>
          <w:sz w:val="20"/>
        </w:rPr>
        <w:t>EN: Skin-mimicking biogel-based iontronic sensor with hierarchical bionic coupling for dexterous tactile e-skin</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人类指尖皮肤具有交错的表皮-真皮结构和密集的触觉感受器，可实现独特的感知并激发创新电子皮肤（e-skin）的设计。然而，大多数电子皮肤材料无法复制天然皮肤中成分、结构和功能的层次整合。直接从真皮细胞外基质（一种由胶原蛋白透明质酸增强的复合水凝胶）中汲取灵感，我们在此报告了一种模仿人类皮肤关键成分和结构特征的电子皮肤。通过将乳酸钠和蒙脱石纳米片融入明胶基质中，我们通过动态离子交联和氢键网络设计了一种仿生凝胶，其机械和水合特性与天然皮肤相似。类似于真皮乳头的微观结构是使用砂纸模板策略设计的。由此产生的离子电子传感器实现了高灵敏度（466.3 kPa−1）、快速响应（47 ms）和宽压力检测范围（20 Pa–2000 kPa）。我们进一步开发了一种可拉伸、超薄、手形离子电子传感器阵列，它与灵巧的机械手无缝集成，实现精确、无损的抓取和高保真、多通道压力映射。</w:t>
      </w:r>
    </w:p>
    <w:p>
      <w:pPr>
        <w:spacing w:before="0" w:after="200" w:lineRule="auto" w:line="276"/>
      </w:pPr>
      <w:r>
        <w:rPr>
          <w:b/>
        </w:rPr>
        <w:t xml:space="preserve">Abstract (EN): </w:t>
      </w:r>
      <w:r>
        <w:t>The human fingertip skin, with its interlocked epidermal-dermal architecture and dense tactile receptors, enables unique perception and inspires the design of innovative electronic skin (e-skin). However, most e-skin materials fail to replicate the hierarchical integration of composition, structure, and function found in natural skin. Drawing direct inspiration from the dermal extracellular matrix–a composite hydrogel reinforced by a collagen-hyaluronic acid, here we report an e-skin that mimics key composition and architectural features of human skin. By incorporating sodium lactate and montmorillonite nanosheets into a gelatin matrix, we engineer a biomimic gel with mechanical and hydration properties similar to those of natural skin through dynamic ionic crosslinking and hydrogen bond networks. The microstructure resembling the dermal papillae is designed using a sandpaper-templating strategy. The resulting iontronic sensor achieves high sensitivity (466.3 kPa−1), rapid response (47 ms), and a wide pressure detection range (20 Pa–2000 kPa). We further develop a stretchable, ultrathin, hand-shaped iontronic sensor array that integrates seamlessly with a dexterous robotic hand, achieving precise, nondestructive grasping and high-fidelity, multichannel pressure mapping.</w:t>
      </w:r>
    </w:p>
    <w:p>
      <w:pPr>
        <w:spacing w:before="120" w:after="120"/>
      </w:pPr>
      <w:r>
        <w:rPr>
          <w:sz w:val="18"/>
        </w:rPr>
        <w:t>——————————————————————————————————————————————————————————————————————</w:t>
      </w:r>
    </w:p>
    <w:p>
      <w:pPr>
        <w:spacing w:before="160" w:after="40" w:line="240" w:lineRule="auto"/>
      </w:pPr>
      <w:r>
        <w:rPr>
          <w:b/>
        </w:rPr>
        <w:t xml:space="preserve">[149] </w:t>
      </w:r>
      <w:hyperlink r:id="rId546">
        <w:r>
          <w:rPr>
            <w:color w:val="1155CC"/>
            <w:u w:val="single"/>
          </w:rPr>
          <w:t>粘连蛋白的环挤出在分化早期增强子激活的基因表达中发挥作用</w:t>
        </w:r>
      </w:hyperlink>
    </w:p>
    <w:p>
      <w:pPr>
        <w:spacing w:before="0" w:after="80"/>
      </w:pPr>
      <w:r>
        <w:rPr>
          <w:i/>
          <w:sz w:val="20"/>
        </w:rPr>
        <w:t>EN: Loop extrusion by cohesin plays a role in enhancer-activated gene expression early in differentiation</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增强子及其目标启动子在被激活时通常在物理上非常接近。这可以通过多种机制来解释，包括粘连蛋白介导的染色质环挤出。然而，粘连蛋白的急性消耗不会引起基因表达的广泛变化。我们测试了粘连蛋白介导的环挤压在红细胞生成过程中小鼠α珠蛋白位点基因表达中的作用。粘连蛋白的急性消耗会破坏分化早期而非晚期的α-珠蛋白表达。此外，当将单个或多个已知可阻断粘连蛋白的 CTCF 位点置于 α 珠蛋白增强子和启动子之间时，α 基因表达会受到破坏。重要的是，CTCF 位点的方向至关重要，这表明在定型红细胞中，在这个激活的结构域内，粘连蛋白主要（但不完全）从增强子易位到启动子。我们发现环挤出确实在分化过程中建立增强子-启动子邻近性和诱导基因的后续表达中发挥重要作用。</w:t>
      </w:r>
    </w:p>
    <w:p>
      <w:pPr>
        <w:spacing w:before="0" w:after="200" w:lineRule="auto" w:line="276"/>
      </w:pPr>
      <w:r>
        <w:rPr>
          <w:b/>
        </w:rPr>
        <w:t xml:space="preserve">Abstract (EN): </w:t>
      </w:r>
      <w:r>
        <w:t>Enhancers and their target promoters often come into close physical proximity when activated. This may be explained by a variety of mechanisms, including cohesin-mediated chromatin loop extrusion. However, acute depletion of cohesin does not cause widespread changes in gene expression. We have tested the role of cohesin-mediated loop extrusion in gene expression at the mouse alpha-globin locus during erythropoiesis. Acute depletion of cohesin disrupts alpha-globin expression at early but not late stages of differentiation. Furthermore, when single or multiple CTCF sites, known to block cohesin, are placed between the alpha-globin enhancers and promoters, alpha-gene expression is disrupted. Importantly, the CTCF site’s orientation is critical, suggesting that within this activated domain, in definitive erythroid cells, cohesin predominantly but not exclusively, translocates from the enhancers to the promoters. We find that loop extrusion does play an important role in establishing enhancer-promoter proximity and consequent expression of inducible genes during differentiation.</w:t>
      </w:r>
    </w:p>
    <w:p>
      <w:pPr>
        <w:spacing w:before="120" w:after="120"/>
      </w:pPr>
      <w:r>
        <w:rPr>
          <w:sz w:val="18"/>
        </w:rPr>
        <w:t>——————————————————————————————————————————————————————————————————————</w:t>
      </w:r>
    </w:p>
    <w:p>
      <w:pPr>
        <w:spacing w:before="160" w:after="40" w:line="240" w:lineRule="auto"/>
      </w:pPr>
      <w:r>
        <w:rPr>
          <w:b/>
        </w:rPr>
        <w:t xml:space="preserve">[150] </w:t>
      </w:r>
      <w:hyperlink r:id="rId547">
        <w:r>
          <w:rPr>
            <w:color w:val="1155CC"/>
            <w:u w:val="single"/>
          </w:rPr>
          <w:t>通过磁隧道结增强巨型自旋轨道磁状态读数</w:t>
        </w:r>
      </w:hyperlink>
    </w:p>
    <w:p>
      <w:pPr>
        <w:spacing w:before="0" w:after="80"/>
      </w:pPr>
      <w:r>
        <w:rPr>
          <w:i/>
          <w:sz w:val="20"/>
        </w:rPr>
        <w:t>EN: Giant spin-orbit magnetic state readout enhanced by a magnetic tunnel junction</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磁电自旋轨道（MESO）逻辑由压控磁电写入模块和自旋轨道读出模块组成，有望取代硅基晶体管并实现节能和可扩展计算。然而，基于自旋电荷转换的读出模块的输出电压远小于最小磁电写入电压，这极大地限制了MESO逻辑的级联功能。在这里，我们首先提出了一种磁隧道结（MTJ）增强型 MESO 逻辑来实现巨大的读出信号。获得了高达 1.5 mV 的输出电压，与之前的发现相比，显着提高了大约两个数量级。我们将结电阻的显着增强归因于基于 MgO 的 MTJ 的自旋过滤效应。此外，自然集成的MTJ和MESO可实现计算模块和外部单元之间的即时且非易失性的数据交换。我们的工作不仅增强了读出模块的输出信号以实现MESO逻辑的直接级联，而且还完善了设计架构，标志着推动MESO技术走向实际应用的关键一步。</w:t>
      </w:r>
    </w:p>
    <w:p>
      <w:pPr>
        <w:spacing w:before="0" w:after="200" w:lineRule="auto" w:line="276"/>
      </w:pPr>
      <w:r>
        <w:rPr>
          <w:b/>
        </w:rPr>
        <w:t xml:space="preserve">Abstract (EN): </w:t>
      </w:r>
      <w:r>
        <w:t>Magnetoelectric spin-orbit (MESO) logic, composed of a voltage-controlled magnetoelectric writing module and a spin-orbit readout module, is highly expected to substitute the silicon-based transistors and enable energy-efficient and scalable computing. Nevertheless, the output voltage of readout module based on spin-to-charge conversion is far less than the minimum magnetoelectric writing voltage, which greatly restricts the cascading function of MESO logic. Here, we first propose a magnetic tunnel junction (MTJ)-enhanced MESO logic to implement giant readout signal. Up to 1.5 mV output voltage is obtained, marking a significant improvement of approximately two orders of magnitude compared to previous findings. We ascribe the substantial enhancement to current modulation by junction resistance and the spin filtering effect of MgO-based MTJ. Moreover, the naturally integrated MTJ and MESO enables instantaneous and nonvolatile data exchange between computing module and external unit. Our work not only enhances output signal of readout module for direct cascading of MESO logic but also refines the design architecture, marking a pivotal stride forward in propelling MESO technology toward practical applications.</w:t>
      </w:r>
    </w:p>
    <w:p>
      <w:pPr>
        <w:spacing w:before="120" w:after="120"/>
      </w:pPr>
      <w:r>
        <w:rPr>
          <w:sz w:val="18"/>
        </w:rPr>
        <w:t>——————————————————————————————————————————————————————————————————————</w:t>
      </w:r>
    </w:p>
    <w:p>
      <w:pPr>
        <w:spacing w:before="160" w:after="40" w:line="240" w:lineRule="auto"/>
      </w:pPr>
      <w:r>
        <w:rPr>
          <w:b/>
        </w:rPr>
        <w:t xml:space="preserve">[151] </w:t>
      </w:r>
      <w:hyperlink r:id="rId548">
        <w:r>
          <w:rPr>
            <w:color w:val="1155CC"/>
            <w:u w:val="single"/>
          </w:rPr>
          <w:t>通过减少脱靶相互作用来优化 DNA 折纸组装</w:t>
        </w:r>
      </w:hyperlink>
    </w:p>
    <w:p>
      <w:pPr>
        <w:spacing w:before="0" w:after="80"/>
      </w:pPr>
      <w:r>
        <w:rPr>
          <w:i/>
          <w:sz w:val="20"/>
        </w:rPr>
        <w:t>EN: Optimising DNA origami assembly by reducing off-target interactions</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DNA折纸技术能够将核酸可编程地自组装成精确定义的纳米结构，但初级碱基序列对折叠可靠性的影响仍不完全清楚。特别是，即使保留了预期的沃森-克里克互补性，支架和主链之间的脱靶相互作用也可能会引入动力学陷阱并降低组装产量。在这里，我们表明支架序列通过所选碱基序列中隐含的脱靶结合反应的普遍性强烈影响 DNA 折纸组装。我们开发了一个多目标计算框架，根据四类脱靶相互作用对候选支架序列进行评分，并选择预测可最大程度地减少给定折纸设计的这些影响的变体。使用这种方法，我们从生物和合成序列中识别出有利和不利的支架区域，并在 2D 和 3D DNA 折纸结构中对它们进行实验测试。原子力显微镜显示，预测脱靶相互作用较少的支架始终以较高的产率折叠，而尽管具有完全互补的订书钉组，但易于脱靶的支架在很大程度上失败了。单分子光镊进一步揭示，预测脱靶相互作用较少的支架变体可以组装成机械上更均匀的折纸结构。这些结果确立了脱靶序列效应作为折纸折叠的主要决定因素，我们提供了一个软件工具来选择支架序列，以最大限度地减少脱靶反应</w:t>
      </w:r>
    </w:p>
    <w:p>
      <w:pPr>
        <w:spacing w:before="0" w:after="200" w:lineRule="auto" w:line="276"/>
      </w:pPr>
      <w:r>
        <w:rPr>
          <w:b/>
        </w:rPr>
        <w:t xml:space="preserve">Abstract (EN): </w:t>
      </w:r>
      <w:r>
        <w:t>DNA origami enables the programmable self-assembly of nucleic acids into precisely defined nanostructures, yet the influence of primary base sequence on folding reliability remains incompletely understood. In particular, off-target interactions between scaffold and staple strands may introduce kinetic traps and reduce assembly yield, even when the intended Watson-Crick complementarity is preserved. Here we show that scaffold sequence strongly affects DNA origami assembly through the prevalence of off-target binding reactions implicit in the chosen base sequence. We developed a multi-objective computational framework that scores candidate scaffold sequences according to four classes of off-target interactions and selects variants predicted to minimise these effects for a given origami design. Using this approach, we identified both favourable and unfavourable scaffold regions from biological and synthetic sequences and tested them experimentally across 2D and 3D DNA origami structures. Atomic force microscopy showed that scaffolds predicted to have fewer off-target interactions consistently folded with higher yield, whereas off-target-prone scaffolds largely failed despite having fully complementary staple sets. Single-molecule optical tweezers further revealed that scaffold variants with fewer predicted off-target interactions assemble into more mechanically uniform origami structures. These results establish off-target sequence effects as a major determinant of origami folding and we provide a software tool to select scaffold sequences that minimise off-target reactions for any DNA origami design.</w:t>
      </w:r>
    </w:p>
    <w:p>
      <w:pPr>
        <w:spacing w:before="120" w:after="120"/>
      </w:pPr>
      <w:r>
        <w:rPr>
          <w:sz w:val="18"/>
        </w:rPr>
        <w:t>——————————————————————————————————————————————————————————————————————</w:t>
      </w:r>
    </w:p>
    <w:p>
      <w:pPr>
        <w:spacing w:before="160" w:after="40" w:line="240" w:lineRule="auto"/>
      </w:pPr>
      <w:r>
        <w:rPr>
          <w:b/>
        </w:rPr>
        <w:t xml:space="preserve">[152] </w:t>
      </w:r>
      <w:hyperlink r:id="rId549">
        <w:r>
          <w:rPr>
            <w:color w:val="1155CC"/>
            <w:u w:val="single"/>
          </w:rPr>
          <w:t>用于源受限无人机的自供电球形复眼，具有 8 ns 运动响应</w:t>
        </w:r>
      </w:hyperlink>
    </w:p>
    <w:p>
      <w:pPr>
        <w:spacing w:before="0" w:after="80"/>
      </w:pPr>
      <w:r>
        <w:rPr>
          <w:i/>
          <w:sz w:val="20"/>
        </w:rPr>
        <w:t>EN: A self-powered spherical compound eye with 8 ns-motion response for source-constrained drones</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超快动态视觉仍然是无人机等自主系统的主要挑战，特别是考虑到其严格的功率和计算限制。在这里，我们提出了一种人工球形复眼（ASCE），它能够在全景视场（294°）内实现纳秒级、事件驱动的运动检测。每个像素都是自供电的，专门响应动态光线变化，从而以最少的处理实现实时传感。在飞秒激光激发下可实现 8 ns 响应时间，并且具有超过 10⁸ 开关周期的卓越稳定性。此外，ASCE 具有简单的结构，具有原位生长的纳米线和介电层。一步制造工艺允许在球形和其他三维表面上进行共形像素集成。我们展示了其在多尺度应用中的多功能性，包括基于无人机的激光报警和实时运动跟踪。这些结果使 ASCE 成为自主机器人和智能监控领域高效节能、高速视觉的一个有前途的平台。</w:t>
      </w:r>
    </w:p>
    <w:p>
      <w:pPr>
        <w:spacing w:before="0" w:after="200" w:lineRule="auto" w:line="276"/>
      </w:pPr>
      <w:r>
        <w:rPr>
          <w:b/>
        </w:rPr>
        <w:t xml:space="preserve">Abstract (EN): </w:t>
      </w:r>
      <w:r>
        <w:t>Ultrafast dynamic vision remains a major challenge for autonomous systems like drones, particularly considering their strict power and computational constraints. Here, we present an artificial spherical compound eye (ASCE) that enables nanosecond-scale, event-driven motion detection across a panoramic field of view (294°). Each pixel is self-powered and responds exclusively to dynamic light changes, enabling real-time sensing with minimal processing. An 8 ns response time is achieved under femtosecond laser excitation, alongside exceptional stability exceeding 10⁸ switching cycles. In addition, the ASCE features a simple structure with in situ grown nanowires and dielectric layer. The one-step fabrication process allows for conformal pixel integration on spherical and other three-dimensional surfaces. We demonstrate its versatility across multi-scale applications, including drone-based laser alarming and real-time motion tracking. These results establish ASCE as a promising platform for energy-efficient, high-speed vision in autonomous robotics and intelligent surveillance.</w:t>
      </w:r>
    </w:p>
    <w:p>
      <w:pPr>
        <w:spacing w:before="120" w:after="120"/>
      </w:pPr>
      <w:r>
        <w:rPr>
          <w:sz w:val="18"/>
        </w:rPr>
        <w:t>——————————————————————————————————————————————————————————————————————</w:t>
      </w:r>
    </w:p>
    <w:p>
      <w:pPr>
        <w:spacing w:before="160" w:after="40" w:line="240" w:lineRule="auto"/>
      </w:pPr>
      <w:r>
        <w:rPr>
          <w:b/>
        </w:rPr>
        <w:t xml:space="preserve">[153] </w:t>
      </w:r>
      <w:hyperlink r:id="rId550">
        <w:r>
          <w:rPr>
            <w:color w:val="1155CC"/>
            <w:u w:val="single"/>
          </w:rPr>
          <w:t>通过将高光谱荧光显微镜与系综手性光谱相关联，对分选碳纳米管的对映体纯度进行绝对定量</w:t>
        </w:r>
      </w:hyperlink>
    </w:p>
    <w:p>
      <w:pPr>
        <w:spacing w:before="0" w:after="80"/>
      </w:pPr>
      <w:r>
        <w:rPr>
          <w:i/>
          <w:sz w:val="20"/>
        </w:rPr>
        <w:t>EN: Absolute quantification of enantiomeric purity of sorted carbon nanotubes by correlating hyperspectral fluorescence microscopy with ensemble chiroptical spectroscopy</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准确测定对映体纯度对于推进纳米技术、光电子学和量子信息科学中的手性材料至关重要。手性光学光谱技术可对对映体过量 (ee) 进行快速、无损测量，但由于缺乏用于校准的对映体纯参考，其在单壁碳纳米管 (SWCNT) 等复杂系统中的使用受到限制。在这里，我们展示了一种将高光谱成像 (HSI) 与单纳米管计数统计和整体手性光谱（例如电子圆二色性 (ECD) 和拉曼旋光性 (ROA)）相结合的绝对方法，无需此类标准即可量化 ee。对数千个单独纳米管的分析揭示了 HSI 和手性光学响应对合成、纯化和单壁碳纳米管浓度的敏感性，突出了明显的来源依赖性不均匀性。尽管如此，ECD 和 ROA 强度的通用校准曲线是根据最纯净、最均匀的对映体分类样品建立的。该方法可扩展到其他单壁碳纳米管手性和手性光学技术，从而实现定量对映体分类以及手性相关特性和应用的系统研究。</w:t>
      </w:r>
    </w:p>
    <w:p>
      <w:pPr>
        <w:spacing w:before="0" w:after="200" w:lineRule="auto" w:line="276"/>
      </w:pPr>
      <w:r>
        <w:rPr>
          <w:b/>
        </w:rPr>
        <w:t xml:space="preserve">Abstract (EN): </w:t>
      </w:r>
      <w:r>
        <w:t>Accurate determination of enantiomeric purity is essential for advancing chiral materials in nanotechnology, optoelectronics, and quantum information science. Chiroptical spectroscopic techniques provide rapid, non-destructive measurements of enantiomeric excess (ee), but their use for complex systems like single-walled carbon nanotubes (SWCNTs) is limited by the lack of enantiopure references for calibration. Here we demonstrate an absolute approach combining hyperspectral imaging (HSI) with single-nanotube counting statistics and ensemble chiroptical spectroscopy such as electronic circular dichroism (ECD) and Raman optical activity (ROA) to quantify ee without requiring such standards. Analysis of thousands of individual nanotubes reveals sensitivity of HSI and chiroptical responses to synthesis, purification, and SWCNT concentration, highlighting pronounced source-dependent inhomogeneity. Nevertheless, universal calibration curves for ECD and ROA intensities are established from the purest, most uniform enantiomer-sorted samples. This methodology is extendable to other SWCNT chiralities and chiroptical techniques, enabling quantitative enantiomer sorting and systematic investigations of chirality-dependent properties and applications.</w:t>
      </w:r>
    </w:p>
    <w:p>
      <w:pPr>
        <w:spacing w:before="120" w:after="120"/>
      </w:pPr>
      <w:r>
        <w:rPr>
          <w:sz w:val="18"/>
        </w:rPr>
        <w:t>——————————————————————————————————————————————————————————————————————</w:t>
      </w:r>
    </w:p>
    <w:p>
      <w:pPr>
        <w:spacing w:before="160" w:after="40" w:line="240" w:lineRule="auto"/>
      </w:pPr>
      <w:r>
        <w:rPr>
          <w:b/>
        </w:rPr>
        <w:t xml:space="preserve">[154] </w:t>
      </w:r>
      <w:hyperlink r:id="rId551">
        <w:r>
          <w:rPr>
            <w:color w:val="1155CC"/>
            <w:u w:val="single"/>
          </w:rPr>
          <w:t>双三层黑磷异质结构的电可重构偏振控制</w:t>
        </w:r>
      </w:hyperlink>
    </w:p>
    <w:p>
      <w:pPr>
        <w:spacing w:before="0" w:after="80"/>
      </w:pPr>
      <w:r>
        <w:rPr>
          <w:i/>
          <w:sz w:val="20"/>
        </w:rPr>
        <w:t>EN: Electrically reconfigurable polarization control with double tri-layer black phosphorus heterostructures</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在光通信、生物成像和量子信息处理中，通过电控制访问庞加莱球上的不同偏振态是非常理想的，其中快速连续切换、紧凑性和易于集成到光子电路中是至关重要的。分层各向异性二维材料能够以快速、紧凑的方式进行偏振调制，从而克服基于液晶的空间光调制器和电光普克尔斯盒调制器的速度和尺寸限制。在这里，我们报告了一个法布里-珀罗腔，它集成了两个交叉排列的黑磷层，每个层都被独立地门控以访问庞加莱球表面固有的二维范围的偏振态。我们的异质结构设计预测，在其 S 波段工作波长下，电子可以访问 86% 的庞加莱球。我们通过在反射中制造和测试此类设备来实验验证设计，其中我们演示了输出偏振的独立、二参数电子控制。</w:t>
      </w:r>
    </w:p>
    <w:p>
      <w:pPr>
        <w:spacing w:before="0" w:after="200" w:lineRule="auto" w:line="276"/>
      </w:pPr>
      <w:r>
        <w:rPr>
          <w:b/>
        </w:rPr>
        <w:t xml:space="preserve">Abstract (EN): </w:t>
      </w:r>
      <w:r>
        <w:t>Accessing diverse polarization states across the Poincaré sphere via electrical control is highly desirable in optical communications, bio-imaging and quantum information processing, where fast continuous switching, compactness, and ease of integration into photonikic circuits are essential. Layered anisotropic 2D materials enable polarization modulation in a fast and compact manner, thereby overcoming the speed and size limitations of liquid-crystal based spatial light modulators and electro-optic Pockels cell modulators. Here, we report a Fabry-Perot cavity that integrates two cross-aligned black phosphorus layers, with each layer being independently gated to access the inherently two-dimensional range of polarization states across the Poincaré sphere surface. Our heterostructure design predicts electronic access to 86% of the Poincaré sphere at its S-band operating wavelength. We experimentally validate the design by fabricating and testing such a device in reflection, where we demonstrate independent, two-parameter electronic control of the output polarization.</w:t>
      </w:r>
    </w:p>
    <w:p>
      <w:pPr>
        <w:spacing w:before="120" w:after="120"/>
      </w:pPr>
      <w:r>
        <w:rPr>
          <w:sz w:val="18"/>
        </w:rPr>
        <w:t>——————————————————————————————————————————————————————————————————————</w:t>
      </w:r>
    </w:p>
    <w:p>
      <w:pPr>
        <w:spacing w:before="160" w:after="40" w:line="240" w:lineRule="auto"/>
      </w:pPr>
      <w:r>
        <w:rPr>
          <w:b/>
        </w:rPr>
        <w:t xml:space="preserve">[155] </w:t>
      </w:r>
      <w:hyperlink r:id="rId552">
        <w:r>
          <w:rPr>
            <w:color w:val="1155CC"/>
            <w:u w:val="single"/>
          </w:rPr>
          <w:t>作者更正：挥发性吸收加速了大型硅质系统的喷发</w:t>
        </w:r>
      </w:hyperlink>
    </w:p>
    <w:p>
      <w:pPr>
        <w:spacing w:before="0" w:after="80"/>
      </w:pPr>
      <w:r>
        <w:rPr>
          <w:i/>
          <w:sz w:val="20"/>
        </w:rPr>
        <w:t>EN: Author Correction: Volatile resorption expedites eruption onset in large silicic systems</w:t>
      </w:r>
    </w:p>
    <w:p>
      <w:pPr>
        <w:spacing w:before="0" w:after="120"/>
      </w:pPr>
      <w:r>
        <w:rPr>
          <w:b/>
        </w:rPr>
        <w:t xml:space="preserve">Source: </w:t>
      </w:r>
      <w:r>
        <w:t>Earth and environmental sciences : Nature Communications subject feeds</w:t>
      </w:r>
      <w:r>
        <w:t xml:space="preserve">    </w:t>
      </w:r>
      <w:r>
        <w:rPr>
          <w:b/>
        </w:rPr>
        <w:t xml:space="preserve">Pub date: </w:t>
      </w:r>
      <w:r>
        <w:t>2026-05-26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553">
        <w:r>
          <w:rPr>
            <w:color w:val="1155CC"/>
            <w:u w:val="single"/>
          </w:rPr>
          <w:t>肠道细菌通过植物介导的反馈启动并增强甲虫成熟叶的产卵偏好</w:t>
        </w:r>
      </w:hyperlink>
    </w:p>
    <w:p>
      <w:pPr>
        <w:spacing w:before="0" w:after="80"/>
      </w:pPr>
      <w:r>
        <w:rPr>
          <w:i/>
          <w:sz w:val="20"/>
        </w:rPr>
        <w:t>EN: Gut bacteria prime and reinforce mature leaf oviposition preference in beetles via plant mediated feedback</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肠道微生物群可以深刻影响宿主行为，但微生物群驱动的行为适应的潜在机制仍然难以捉摸。我们之前观察到雌性花斑叶甲虫尽管以新叶为食，但仍优先在成熟的叶子上产卵。在这里，我们证明这种产卵偏好是肠道微生物群依赖性的，因为它会被微生物群耗竭所消除，并通过微生物群移植来恢复。肠道恶臭假单胞菌成为关键驱动因素，其丰度与成熟叶偏好呈正相关。进一步的研究表明，甲虫取食会导致吲哚-3-乙酸（IAA）水平升高，促进细菌从取食地点转移到新叶。这种定植促进了细菌传播，同时降低了幼虫进食期间 F1 的适应性。比较转录组学表明外带基因 (TO1) 参与调节产卵偏好，而 TO1 敲除消除了这种行为。此外，补充恶臭假单胞菌可以恢复无菌雌性中的 TO1 表达和成熟叶偏好。这些发现揭示了驱动微生物相关行为适应的昆虫-微生物-植物反馈回路。</w:t>
      </w:r>
    </w:p>
    <w:p>
      <w:pPr>
        <w:spacing w:before="0" w:after="200" w:lineRule="auto" w:line="276"/>
      </w:pPr>
      <w:r>
        <w:rPr>
          <w:b/>
        </w:rPr>
        <w:t xml:space="preserve">Abstract (EN): </w:t>
      </w:r>
      <w:r>
        <w:t>The gut microbiota can profoundly influence host behavior, yet underlying mechanisms for microbiota-driven behavioral adaptation remain elusive. We previously observed that female Plagiodera versicolora leaf beetles preferentially oviposit on mature leaves despite feeding on new leaves. Here, we demonstrate that this oviposition preference is gut microbiota-dependent, as it is abolished by microbiota depletion and restored by microbiota transplantation. Gut Pseudomonas putida emerges as the key driver, with its abundance positively correlating with mature-leaf preference. Further investigation reveals that beetle feeding induces elevated indole-3-acetic acid (IAA) levels, promoting bacterial translocation from feeding sites to new leaves. This colonization facilitates bacterial dissemination while reducing F1 fitness during larval feeding. Comparative transcriptomics implicates the takeout gene (TO1) in regulating oviposition preference, and TO1 knockdown abolishes this behavior. Moreover, P. putida supplementation restores TO1 expression and mature-leaf preference in germ-free females. These findings reveal an insect–microbe–plant feedback loop driving microbiota-associated behavioral adaptation.</w:t>
      </w:r>
    </w:p>
    <w:p>
      <w:pPr>
        <w:spacing w:before="120" w:after="120"/>
      </w:pPr>
      <w:r>
        <w:rPr>
          <w:sz w:val="18"/>
        </w:rPr>
        <w:t>——————————————————————————————————————————————————————————————————————</w:t>
      </w:r>
    </w:p>
    <w:p>
      <w:pPr>
        <w:spacing w:before="160" w:after="40" w:line="240" w:lineRule="auto"/>
      </w:pPr>
      <w:r>
        <w:rPr>
          <w:b/>
        </w:rPr>
        <w:t xml:space="preserve">[157] </w:t>
      </w:r>
      <w:hyperlink r:id="rId554">
        <w:r>
          <w:rPr>
            <w:color w:val="1155CC"/>
            <w:u w:val="single"/>
          </w:rPr>
          <w:t>测量活体斑马鱼胚胎在多个空间尺度上的形态发生素运输</w:t>
        </w:r>
      </w:hyperlink>
    </w:p>
    <w:p>
      <w:pPr>
        <w:spacing w:before="0" w:after="80"/>
      </w:pPr>
      <w:r>
        <w:rPr>
          <w:i/>
          <w:sz w:val="20"/>
        </w:rPr>
        <w:t>EN: Measuring morphogen transport over multiple spatial scales in live zebrafish embryos</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形态发生，即多细胞生物体的发育，是由形态发生素（一种小信号分子）控制的，它们在胚胎中形成梯度。虽然这种梯度可以通过多种机制出现，但稳定梯度的建立需要将形态发生素扩散减少至少一个数量级，这一过程尚未被直接观察到。在这里，我们开发了基于单平面照明显微镜的空间荧光互相关光谱（SPIM-sFCCS）来直接测量早期斑马鱼胚胎中形态发生素斜视的扩散系数作为地形和长度尺度的函数。 Squint 的扩散系数是其分子大小、间隙空间内的粘度以及可能的拥挤的函数。在这里，我们表明，除了这些一般参数之外，Squint 的扩散系数在与胚胎中细胞间隙的直径相称的长度尺度上发生变化，并且其减慢受到受体结合的调节，这对于梯度形成和胚胎模式至关重要。</w:t>
      </w:r>
    </w:p>
    <w:p>
      <w:pPr>
        <w:spacing w:before="0" w:after="200" w:lineRule="auto" w:line="276"/>
      </w:pPr>
      <w:r>
        <w:rPr>
          <w:b/>
        </w:rPr>
        <w:t xml:space="preserve">Abstract (EN): </w:t>
      </w:r>
      <w:r>
        <w:t>Morphogenesis, the development of multicellular organisms, is controlled by morphogens, small signalling molecules, that form gradients across the embryo. While such gradients can emerge through several mechanisms, the establishment of stable gradients requires the reduction of morphogen diffusion by at least one order of magnitude, a process that has not been directly observed. Here, we develop Single-Plane Illumination Microscopy-based spatial Fluorescence Cross-Correlation Spectroscopy (SPIM- sFCCS) to directly measure the diffusion coefficient of the morphogen Squint in early zebrafish embryos as a function of topography and length scale. The diffusion coefficient of Squint is a function of its molecular size, the viscosity within the interstitial spaces, and possible crowding. Here, we show that beyond these general parameters, Squint’s diffusion coefficient changes on length scales that are commensurate with the diameter of the intercellular spaces in the embryo and that its slowdown is regulated by receptor binding, which is crucial for gradient formation and embryonic patterning.</w:t>
      </w:r>
    </w:p>
    <w:p>
      <w:pPr>
        <w:spacing w:before="120" w:after="120"/>
      </w:pPr>
      <w:r>
        <w:rPr>
          <w:sz w:val="18"/>
        </w:rPr>
        <w:t>——————————————————————————————————————————————————————————————————————</w:t>
      </w:r>
    </w:p>
    <w:p>
      <w:pPr>
        <w:spacing w:before="160" w:after="40" w:line="240" w:lineRule="auto"/>
      </w:pPr>
      <w:r>
        <w:rPr>
          <w:b/>
        </w:rPr>
        <w:t xml:space="preserve">[158] </w:t>
      </w:r>
      <w:hyperlink r:id="rId555">
        <w:r>
          <w:rPr>
            <w:color w:val="1155CC"/>
            <w:u w:val="single"/>
          </w:rPr>
          <w:t>回复：“在预测即将到来的刺激期间，没有证据表明神经功能特定的预激活”</w:t>
        </w:r>
      </w:hyperlink>
    </w:p>
    <w:p>
      <w:pPr>
        <w:spacing w:before="0" w:after="80"/>
      </w:pPr>
      <w:r>
        <w:rPr>
          <w:i/>
          <w:sz w:val="20"/>
        </w:rPr>
        <w:t>EN: Reply to: “No evidence of neural feature-specific pre-activation during the prediction of an upcoming stimulus”</w:t>
      </w:r>
    </w:p>
    <w:p>
      <w:pPr>
        <w:spacing w:before="0" w:after="120"/>
      </w:pPr>
      <w:r>
        <w:rPr>
          <w:b/>
        </w:rPr>
        <w:t xml:space="preserve">Source: </w:t>
      </w:r>
      <w:r>
        <w:t>Scientific community and society : Nature Communications subject feeds</w:t>
      </w:r>
      <w:r>
        <w:t xml:space="preserve">    </w:t>
      </w:r>
      <w:r>
        <w:rPr>
          <w:b/>
        </w:rPr>
        <w:t xml:space="preserve">Pub date: </w:t>
      </w:r>
      <w:r>
        <w:t>2026-05-26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[159] </w:t>
      </w:r>
      <w:hyperlink r:id="rId556">
        <w:r>
          <w:rPr>
            <w:color w:val="1155CC"/>
            <w:u w:val="single"/>
          </w:rPr>
          <w:t>靶向精氨酸代谢可逆转 ARID1A 缺陷型三阴性乳腺癌的骨免疫抑制微环境和转移</w:t>
        </w:r>
      </w:hyperlink>
    </w:p>
    <w:p>
      <w:pPr>
        <w:spacing w:before="0" w:after="80"/>
      </w:pPr>
      <w:r>
        <w:rPr>
          <w:i/>
          <w:sz w:val="20"/>
        </w:rPr>
        <w:t>EN: Targeting arginine metabolism reverses bone immunosuppressive microenvironment and metastasis in ARID1A-deficient triple negative breast cancer</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骨转移是乳腺癌的致命后果。富含 AT 的相互作用域 1 A 基因 (ARID1A) 是开关/蔗糖不可发酵 (SWI/SNF) 复合物的一个亚基，可调节免疫抑制肿瘤微环境。然而，其在骨转移中的具体作用仍不清楚。在这里，我们发现患有 ARID1A 突变的三阴性乳腺癌 (TNBC) 的女性患者表现出更高的骨转移发生率。大多数 ARID1A 突变会导致蛋白质表达丧失。 ARID1A缺陷会上调精氨酸代谢途径，增加鸟氨酸和精胺水平，促进骨髓内多形核骨髓源性抑制细胞（PMN-MDSC）的扩张，从而促进骨转移。靶向精氨酸代谢途径中的关键酶精氨酸酶 2 (ARG2) 和鸟氨酸脱羧酶 1 (ODC1) 可有效减少 ARID1A 缺陷模型中的骨转移。总的来说，这些研究结果表明，ARID1A 缺陷通过激活精氨酸代谢来扩增 PMN-MDSC，从而促进骨转移，并可能为预防 ARID1A 缺陷女性 TNBC 患者的骨转移提供治疗策略。</w:t>
      </w:r>
    </w:p>
    <w:p>
      <w:pPr>
        <w:spacing w:before="0" w:after="200" w:lineRule="auto" w:line="276"/>
      </w:pPr>
      <w:r>
        <w:rPr>
          <w:b/>
        </w:rPr>
        <w:t xml:space="preserve">Abstract (EN): </w:t>
      </w:r>
      <w:r>
        <w:t>Bone metastasis is a lethal consequence of breast cancer. AT-rich interaction domain 1 A gene (ARID1A), a subunit of the switch/sucrose non-fermentable (SWI/SNF) complex, regulates immunosuppressive tumor microenvironment. However, its specific role in bone metastasis remains unclear. Here, we show that female patients with ARID1A‑mutated triple negative breast cancer (TNBC) exhibit a higher bone metastasis incidence. Most ARID1A mutations result in loss of protein expression. ARID1A deficiency upregulates the arginine metabolic pathway, increasing ornithine and spermine levels that promote the expansion of polymorphonuclear myeloid-derived suppressor cells (PMN-MDSCs) within the bone marrow, thereby facilitating bone metastasis. Targeting key enzymes of arginase 2 (ARG2) and ornithine decarboxylase 1 (ODC1) in arginine metabolic pathway effectively reduces bone metastasis in ARID1A-deficient models. Collectively, these findings reveal that ARID1A deficiency promotes bone metastasis by activating arginine metabolism to expand PMN-MDSCs and potentially offers therapeutic strategies for preventing bone metastasis in female patients with ARID1A-deficient TNBC.</w:t>
      </w:r>
    </w:p>
    <w:p>
      <w:pPr>
        <w:spacing w:before="120" w:after="120"/>
      </w:pPr>
      <w:r>
        <w:rPr>
          <w:sz w:val="18"/>
        </w:rPr>
        <w:t>——————————————————————————————————————————————————————————————————————</w:t>
      </w:r>
    </w:p>
    <w:p>
      <w:pPr>
        <w:spacing w:before="160" w:after="40" w:line="240" w:lineRule="auto"/>
      </w:pPr>
      <w:r>
        <w:rPr>
          <w:b/>
        </w:rPr>
        <w:t xml:space="preserve">[160] </w:t>
      </w:r>
      <w:hyperlink r:id="rId557">
        <w:r>
          <w:rPr>
            <w:color w:val="1155CC"/>
            <w:u w:val="single"/>
          </w:rPr>
          <w:t>在预测即将到来的刺激期间，没有证据表明神经功能特定的预激活</w:t>
        </w:r>
      </w:hyperlink>
    </w:p>
    <w:p>
      <w:pPr>
        <w:spacing w:before="0" w:after="80"/>
      </w:pPr>
      <w:r>
        <w:rPr>
          <w:i/>
          <w:sz w:val="20"/>
        </w:rPr>
        <w:t>EN: No evidence of neural feature-specific pre-activation during the prediction of an upcoming stimulus</w:t>
      </w:r>
    </w:p>
    <w:p>
      <w:pPr>
        <w:spacing w:before="0" w:after="120"/>
      </w:pPr>
      <w:r>
        <w:rPr>
          <w:b/>
        </w:rPr>
        <w:t xml:space="preserve">Source: </w:t>
      </w:r>
      <w:r>
        <w:t>Biological sciences : Nature Communications subject feeds</w:t>
      </w:r>
      <w:r>
        <w:t xml:space="preserve">    </w:t>
      </w:r>
      <w:r>
        <w:rPr>
          <w:b/>
        </w:rPr>
        <w:t xml:space="preserve">Pub date: </w:t>
      </w:r>
      <w:r>
        <w:t>2026-05-26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558">
        <w:r>
          <w:rPr>
            <w:color w:val="1155CC"/>
            <w:u w:val="single"/>
          </w:rPr>
          <w:t>CsPbI3 钙钛矿纳米晶体中激子极化子的量子拍</w:t>
        </w:r>
      </w:hyperlink>
    </w:p>
    <w:p>
      <w:pPr>
        <w:spacing w:before="0" w:after="80"/>
      </w:pPr>
      <w:r>
        <w:rPr>
          <w:i/>
          <w:sz w:val="20"/>
        </w:rPr>
        <w:t>EN: Quantum beats of exciton-polarons in CsPbI3 perovskite nanocrystals</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半导体的光学响应由耦合的电子和振动激励控制。在卤化铅钙钛矿纳米晶体中，强激子-声子相互作用形成飞秒激光脉冲可访问的激子-极化子态阶梯。我们在嵌入玻璃的 CsPbI3 纳米晶体中展示了具有长光学相干时间 (T2 ≈ 300 ps) 的激子-极化子动力学的完全相干机制。使用 2 K 温度下的瞬态双脉冲光子回波，我们观察到激子-极化子态之间的量子拍，其衰减由 5-15 ps 的光学声子寿命决定。在四能级模型中，我们通过分别为 3.2 和 5.1 meV 能量的低能光学声子的 0.05 − 0.12 和 0.02 − 0.04 的 Huang-Rhys 因子直接量化激子-声子耦合强度。耦合强度和声子寿命的明显尺寸依赖性提供了一种调节激子-极化子态之间的光学跃迁并为固态量子技术定制钙钛矿半导体中的相干光学动力学的途径。</w:t>
      </w:r>
    </w:p>
    <w:p>
      <w:pPr>
        <w:spacing w:before="0" w:after="200" w:lineRule="auto" w:line="276"/>
      </w:pPr>
      <w:r>
        <w:rPr>
          <w:b/>
        </w:rPr>
        <w:t xml:space="preserve">Abstract (EN): </w:t>
      </w:r>
      <w:r>
        <w:t>The optical response of semiconductors is governed by coupled electronic and vibrational excitations. In lead-halide perovskite nanocrystals, strong exciton–phonon interaction forms a ladder of exciton-polaron states accessible by femtosecond laser pulses. We demonstrate a fully coherent regime of exciton-polaron dynamics with long optical coherence times (T2 ≈ 300 ps) in CsPbI3 nanocrystals embedded in glass. Using transient two-pulse photon echo at a temperature of 2 K, we observe quantum beats between exciton-polaron states, with decay determined by optical phonon lifetimes of 5-15 ps. Within a four-level model, we directly quantify the exciton–phonon coupling strength through Huang–Rhys factors of 0.05 − 0.12 and 0.02 − 0.04 for low-energy optical phonons with energies of 3.2 and 5.1 meV, respectively. The pronounced size dependence of both coupling strengths and phonon lifetimes offers a route to tune the optical transitions between exciton-polaron states and tailor the coherent optical dynamics in perovskite semiconductors for solid-state quantum technologies.</w:t>
      </w:r>
    </w:p>
    <w:p>
      <w:pPr>
        <w:spacing w:before="120" w:after="120"/>
      </w:pPr>
      <w:r>
        <w:rPr>
          <w:sz w:val="18"/>
        </w:rPr>
        <w:t>——————————————————————————————————————————————————————————————————————</w:t>
      </w:r>
    </w:p>
    <w:p>
      <w:pPr>
        <w:spacing w:before="160" w:after="40" w:line="240" w:lineRule="auto"/>
      </w:pPr>
      <w:r>
        <w:rPr>
          <w:b/>
        </w:rPr>
        <w:t xml:space="preserve">[162] </w:t>
      </w:r>
      <w:hyperlink r:id="rId559">
        <w:r>
          <w:rPr>
            <w:color w:val="1155CC"/>
            <w:u w:val="single"/>
          </w:rPr>
          <w:t>通过场调制相互作用使用磁性颗粒的动态组装跨液-液界面传输酶活性</w:t>
        </w:r>
      </w:hyperlink>
    </w:p>
    <w:p>
      <w:pPr>
        <w:spacing w:before="0" w:after="80"/>
      </w:pPr>
      <w:r>
        <w:rPr>
          <w:i/>
          <w:sz w:val="20"/>
        </w:rPr>
        <w:t>EN: Transport of enzymatic activity across liquid-liquid interfaces using dynamic assemblies of magnetic particles via field-modulated interactions</w:t>
      </w:r>
    </w:p>
    <w:p>
      <w:pPr>
        <w:spacing w:before="0" w:after="120"/>
      </w:pPr>
      <w:r>
        <w:rPr>
          <w:b/>
        </w:rPr>
        <w:t xml:space="preserve">Source: </w:t>
      </w:r>
      <w:r>
        <w:t>Physical sciences : Nature Communications subject feeds</w:t>
      </w:r>
      <w:r>
        <w:t xml:space="preserve">    </w:t>
      </w:r>
      <w:r>
        <w:rPr>
          <w:b/>
        </w:rPr>
        <w:t xml:space="preserve">Pub date: </w:t>
      </w:r>
      <w:r>
        <w:t>2026-05-26 00:00:00+00:00</w:t>
      </w:r>
    </w:p>
    <w:p>
      <w:pPr>
        <w:spacing w:before="0" w:after="120"/>
      </w:pPr>
      <w:r>
        <w:rPr>
          <w:b/>
        </w:rPr>
        <w:t xml:space="preserve">Notes: </w:t>
      </w:r>
      <w:r>
        <w:t>abstract_source=nature_html</w:t>
      </w:r>
    </w:p>
    <w:p>
      <w:pPr>
        <w:spacing w:before="0" w:after="80" w:lineRule="auto" w:line="276"/>
      </w:pPr>
      <w:r>
        <w:rPr>
          <w:b/>
        </w:rPr>
        <w:t xml:space="preserve">摘要（ZH）: </w:t>
      </w:r>
      <w:r>
        <w:t>生物系统从一个位点动态地生长高纵横比架构，从而实现相边界的遍历和功能执行。在合成系统中模拟这种增长策略可以产生跨界面操作的功能微系统。然而，设计这种仿生生长以从合成胶体组件中的基底进行平面外仍然具有挑战性，因为它需要克服重力塌陷，同时在延伸过程中保持结构的连贯性。在这里，我们提出了一种场驱动的粒子系统，该系统通过调频磁力和流体动力相互作用实现高纵横比结构的抗重力生长。这种生长是通过结合静态和振荡磁场来实现的，它引导磁性颗粒组装成动态结构，表现出独特的分段、海藻状形态。这些架构是可重构的、可稳定的、可编程驱动的，并且能够穿透全氟己烷-水界面。当用酶进行功能化时，生长的结构充当微转运体，在界面上传递催化活性，并在本体两相和微流控芯片系统中触发可检测的反应。这项工作建立了一种场驱动的组装到功能的方法，集成了结构生长、相边界渗透和触发功能，使主动微系统能够进行界面传输和功能执行。</w:t>
      </w:r>
    </w:p>
    <w:p>
      <w:pPr>
        <w:spacing w:before="0" w:after="200" w:lineRule="auto" w:line="276"/>
      </w:pPr>
      <w:r>
        <w:rPr>
          <w:b/>
        </w:rPr>
        <w:t xml:space="preserve">Abstract (EN): </w:t>
      </w:r>
      <w:r>
        <w:t>Biological systems dynamically grow high-aspect-ratio architectures from a site, enabling traversal of phase boundaries and functional execution. Emulating this growth strategy in synthetic systems could yield functional microsystems for operation across interfaces. However, engineering such bio-inspired growth to proceed out of plane from a substrate in synthetic colloidal assemblies remains challenging, as it requires overcoming gravitational collapse while maintaining structural coherence during extension. Here, we present a field-driven particle system that achieves gravity-resisting growth of high-aspect-ratio structures via frequency-modulated magnetic and hydrodynamic interactions. This growth is enabled by combining static and oscillating magnetic fields, which guide the assembly of magnetic particles into dynamic structures exhibiting a distinct segmented, seaweed-like morphology. These architectures are reconfigurable, stabilizable, programmably actuatable, and capable of penetrating a perfluorohexane–water interface. When functionalized with enzymes, the growing structures act as micro-transporters, delivering catalytic activity across the interface and triggering detectable reactions in both bulk two-phase and microfluidic chip systems. This work establishes a field-driven assembly-to-function approach that integrates structural growth, phase-boundary penetration, and triggered functionality, enabling active microsystems capable of interfacial transport and functional execution.</w:t>
      </w:r>
    </w:p>
    <w:p>
      <w:pPr>
        <w:spacing w:before="120" w:after="120"/>
      </w:pPr>
      <w:r>
        <w:rPr>
          <w:sz w:val="18"/>
        </w:rPr>
        <w:t>——————————————————————————————————————————————————————————————————————</w:t>
      </w:r>
    </w:p>
    <w:p>
      <w:pPr>
        <w:spacing w:before="160" w:after="40" w:line="240" w:lineRule="auto"/>
      </w:pPr>
      <w:r>
        <w:rPr>
          <w:b/>
        </w:rPr>
        <w:t xml:space="preserve">[163] </w:t>
      </w:r>
      <w:hyperlink r:id="rId560">
        <w:r>
          <w:rPr>
            <w:color w:val="1155CC"/>
            <w:u w:val="single"/>
          </w:rPr>
          <w:t>具有可定制品质因数和圆二色性的光子本征手性平带</w:t>
        </w:r>
      </w:hyperlink>
    </w:p>
    <w:p>
      <w:pPr>
        <w:spacing w:before="0" w:after="80"/>
      </w:pPr>
      <w:r>
        <w:rPr>
          <w:i/>
          <w:sz w:val="20"/>
        </w:rPr>
        <w:t>EN: Photonic Intrinsic Chiral Flatband With Tailorable Quality Factor and Circular Dichroism</w:t>
      </w:r>
    </w:p>
    <w:p>
      <w:pPr>
        <w:spacing w:before="0" w:after="120"/>
      </w:pPr>
      <w:r>
        <w:rPr>
          <w:b/>
        </w:rPr>
        <w:t xml:space="preserve">Source: </w:t>
      </w:r>
      <w:r>
        <w:t>Wiley: Advanced Materials: Table of Contents</w:t>
      </w:r>
      <w:r>
        <w:t xml:space="preserve">    </w:t>
      </w:r>
      <w:r>
        <w:rPr>
          <w:b/>
        </w:rPr>
        <w:t xml:space="preserve">Pub date: </w:t>
      </w:r>
      <w:r>
        <w:t>2026-05-26 06:27:27+00:00</w:t>
      </w:r>
      <w:r>
        <w:t xml:space="preserve">    </w:t>
      </w:r>
      <w:r>
        <w:rPr>
          <w:b/>
        </w:rPr>
        <w:t xml:space="preserve">DOI: </w:t>
      </w:r>
      <w:hyperlink r:id="rId561">
        <w:r>
          <w:rPr>
            <w:color w:val="1155CC"/>
            <w:u w:val="single"/>
          </w:rPr>
          <w:t>10.1002/adma.73492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子系统中的工程自旋选择性光与物质相互作用需要精确控制辐射损耗、光学手性和谐振模式的色散；然而，这些特性错综复杂地依赖于结构参数，使得它们的独立调整具有挑战性。在此，提出了一种支持具有平带色散的本征手性准引导模式（QGM）的部分蚀刻介电超表面，其质量（Q）因子和圆二色性（CD）可以独立调制。 QGM 通过布里渊区折叠生成，其平带色散在一定范围内对结构变化保持稳健。 QGM 的辐射损耗和自旋相关耦合强度可以通过调整单个纳米结构的缩放比和旋转角度来独立设计，从而在保持平带色散的同时实现 Q 因子和 CD 的解耦控制。手性 QGM 的实验测量证实了 Q 因子和 CD 的独立可调性，证明了角度不敏感的线性和非线性 CD。我们的工作建立了一种通用的物理机制，用于实现具有独立可调的 Q 因子和 CD 的平带 QGM，为下一代功能性手性超表面提供了一个通用平台，在手性发射、谐波生成和超灵敏光学传感方面具有潜在的应用。</w:t>
      </w:r>
    </w:p>
    <w:p>
      <w:pPr>
        <w:spacing w:before="0" w:after="200" w:lineRule="auto" w:line="276"/>
      </w:pPr>
      <w:r>
        <w:rPr>
          <w:b/>
        </w:rPr>
        <w:t xml:space="preserve">Abstract (EN): </w:t>
      </w:r>
      <w:r>
        <w:t>Engineering spin‐selective light‐matter interactions in photonic systems requires precise control of the radiative loss, optical chirality, and dispersion of resonant modes; however, these properties are intricately dependent on the structural parameters, making their independent tuning challenging. Herein, a partially etched dielectric metasurface supporting an intrinsic chiral quasi‐guided mode (QGM) with flatband dispersion is proposed, for which the quality (Q) factor and circular dichroism (CD) can be independently modulated. The QGM is generated via Brillouin zone folding, with its flatband dispersion remaining robust against structural variations within a certain range. The radiative loss and spin‐dependent coupling strength of the QGM can be independently engineered by adjusting the scaling ratio and rotation angle of individual nanostructures, enabling decoupled control of Q factor and CD while maintaining the flatband dispersion. Experimental measurements of the chiral QGM confirm the independent tunability of Q factor and CD, demonstrating angle‐insensitive linear and nonlinear CD. Our work establishes a general physical mechanism for realizing flatband QGMs with independently tunable Q factor and CD, providing a versatile platform for next‐generation functional chiral metasurfaces with potential applications in chiral emission, harmonic generation, and ultrasensitive optical sensing.</w:t>
      </w:r>
    </w:p>
    <w:p>
      <w:pPr>
        <w:spacing w:before="120" w:after="120"/>
      </w:pPr>
      <w:r>
        <w:rPr>
          <w:sz w:val="18"/>
        </w:rPr>
        <w:t>——————————————————————————————————————————————————————————————————————</w:t>
      </w:r>
    </w:p>
    <w:p>
      <w:pPr>
        <w:spacing w:before="160" w:after="40" w:line="240" w:lineRule="auto"/>
      </w:pPr>
      <w:r>
        <w:rPr>
          <w:b/>
        </w:rPr>
        <w:t xml:space="preserve">[164] </w:t>
      </w:r>
      <w:hyperlink r:id="rId562">
        <w:r>
          <w:rPr>
            <w:color w:val="1155CC"/>
            <w:u w:val="single"/>
          </w:rPr>
          <w:t>超表面光驱动液晶弹性体致动器</w:t>
        </w:r>
      </w:hyperlink>
    </w:p>
    <w:p>
      <w:pPr>
        <w:spacing w:before="0" w:after="80"/>
      </w:pPr>
      <w:r>
        <w:rPr>
          <w:i/>
          <w:sz w:val="20"/>
        </w:rPr>
        <w:t>EN: Metasurface‐Enabled Light‐Driven Liquid Crystal Elastomer Actuators</w:t>
      </w:r>
    </w:p>
    <w:p>
      <w:pPr>
        <w:spacing w:before="0" w:after="120"/>
      </w:pPr>
      <w:r>
        <w:rPr>
          <w:b/>
        </w:rPr>
        <w:t xml:space="preserve">Source: </w:t>
      </w:r>
      <w:r>
        <w:t>Wiley: Advanced Materials: Table of Contents</w:t>
      </w:r>
      <w:r>
        <w:t xml:space="preserve">    </w:t>
      </w:r>
      <w:r>
        <w:rPr>
          <w:b/>
        </w:rPr>
        <w:t xml:space="preserve">Pub date: </w:t>
      </w:r>
      <w:r>
        <w:t>2026-05-26 06:28:32+00:00</w:t>
      </w:r>
      <w:r>
        <w:t xml:space="preserve">    </w:t>
      </w:r>
      <w:r>
        <w:rPr>
          <w:b/>
        </w:rPr>
        <w:t xml:space="preserve">DOI: </w:t>
      </w:r>
      <w:hyperlink r:id="rId563">
        <w:r>
          <w:rPr>
            <w:color w:val="1155CC"/>
            <w:u w:val="single"/>
          </w:rPr>
          <w:t>10.1002/adma.73491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基于液晶弹性体 (LCE) 的软执行器为生物医学设备和微型机器人提供可编程形状变形功能。然而，传统的光热 LCE 驱动器缺乏驱动的空间选择性，光热转换效率低，波长通用性差，这严重限制了它们的性能，特别是在具有挑战性的 980 nm 窗口。在这里，我们引入了一种等离子体超表面策略，可以实现空间选择性、高效的光热驱动。通过将设计的金纳米结构图案化到 LCE 上，我们创建了可编程“热点”，可在近红外照明下驱动局部变形。该平台在 980 nm 处实现了前所未有的综合性能，包括高光热转换效率、低驱动功率和具有竞争力的响应时间，同时实现图案化驱动。此外，我们采用光致发光热成像技术来直接可视化和量化 LCE 薄膜上产生的热梯度，为时空热动力学提供重要的见解。我们还提供从纳米级等离子体加热到宏观传热的全面分析。通过将超表面图案化与光对准相结合，我们展示了多种驱动模式，从简单的 2D 弯曲到复杂的 3D 变形。 这项工作为高性能软执行器建立了新的范例，为软机器人、自适应光学和智能响应系统的高级应用开辟了途径。</w:t>
      </w:r>
    </w:p>
    <w:p>
      <w:pPr>
        <w:spacing w:before="0" w:after="200" w:lineRule="auto" w:line="276"/>
      </w:pPr>
      <w:r>
        <w:rPr>
          <w:b/>
        </w:rPr>
        <w:t xml:space="preserve">Abstract (EN): </w:t>
      </w:r>
      <w:r>
        <w:t>Soft actuators based on liquid crystal elastomers (LCEs) offer programmable shape‐morphing capabilities for biomedical devices and microrobotics. However, conventional photothermal LCE actuators lack spatial selectivity in actuation, suffer from low photothermal conversion efficiency and poor wavelength versatility, which severely limit their performance, especially at the challenging 980 nm window. Here, we introduce a plasmonic metasurface strategy that enables spatially selective, high‐efficiency photothermal actuation. By patterning designed gold nanostructures onto LCEs, we create programmable “hot spots” that drive localized deformations under NIR illumination. This platform achieves unprecedented combined performance at 980 nm, including high photothermal conversion efficiency, low driving power, and competitive response times, while enabling patterned actuation. Moreover, we employ photoluminescence thermography to directly visualize and quantify thermal gradients generated across the LCE film, providing crucial insights into the spatiotemporal thermal dynamics. We also provide a comprehensive analysis from nanoscale plasmonic heating to macroscopic heat transfer. By integrating metasurface patterning with photoalignment, we demonstrate diverse actuation modes, from simple 2D bending to complex 3D morphing. This work establishes a new paradigm for high‐performance soft actuators, opening avenues for advanced applications in soft robotics, adaptive optics, and intelligent responsive systems.</w:t>
      </w:r>
    </w:p>
    <w:p>
      <w:pPr>
        <w:spacing w:before="120" w:after="120"/>
      </w:pPr>
      <w:r>
        <w:rPr>
          <w:sz w:val="18"/>
        </w:rPr>
        <w:t>——————————————————————————————————————————————————————————————————————</w:t>
      </w:r>
    </w:p>
    <w:p>
      <w:pPr>
        <w:spacing w:before="160" w:after="40" w:line="240" w:lineRule="auto"/>
      </w:pPr>
      <w:r>
        <w:rPr>
          <w:b/>
        </w:rPr>
        <w:t xml:space="preserve">[165] </w:t>
      </w:r>
      <w:hyperlink r:id="rId564">
        <w:r>
          <w:rPr>
            <w:color w:val="1155CC"/>
            <w:u w:val="single"/>
          </w:rPr>
          <w:t>阳离子空位通过轨道反键调制促进单线态氧介导的压电催化 H2O2 合成</w:t>
        </w:r>
      </w:hyperlink>
    </w:p>
    <w:p>
      <w:pPr>
        <w:spacing w:before="0" w:after="80"/>
      </w:pPr>
      <w:r>
        <w:rPr>
          <w:i/>
          <w:sz w:val="20"/>
        </w:rPr>
        <w:t>EN: Cation Vacancies Promote Singlet Oxygen–Mediated Piezo‐Catalytic H2O2 Synthesis via Orbital Antibonding Modulation</w:t>
      </w:r>
    </w:p>
    <w:p>
      <w:pPr>
        <w:spacing w:before="0" w:after="120"/>
      </w:pPr>
      <w:r>
        <w:rPr>
          <w:b/>
        </w:rPr>
        <w:t xml:space="preserve">Source: </w:t>
      </w:r>
      <w:r>
        <w:t>Wiley: Advanced Energy Materials: Table of Contents</w:t>
      </w:r>
      <w:r>
        <w:t xml:space="preserve">    </w:t>
      </w:r>
      <w:r>
        <w:rPr>
          <w:b/>
        </w:rPr>
        <w:t xml:space="preserve">Pub date: </w:t>
      </w:r>
      <w:r>
        <w:t>2026-05-26 06:42:04+00:00</w:t>
      </w:r>
      <w:r>
        <w:t xml:space="preserve">    </w:t>
      </w:r>
      <w:r>
        <w:rPr>
          <w:b/>
        </w:rPr>
        <w:t xml:space="preserve">DOI: </w:t>
      </w:r>
      <w:hyperlink r:id="rId565">
        <w:r>
          <w:rPr>
            <w:color w:val="1155CC"/>
            <w:u w:val="single"/>
          </w:rPr>
          <w:t>10.1002/aenm.71114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压电催化过氧化氢（H</w:t>
      </w:r>
      <w:r>
        <w:rPr>
          <w:vertAlign w:val="subscript"/>
        </w:rPr>
        <w:t>2</w:t>
      </w:r>
      <w:r>
        <w:t>氧</w:t>
      </w:r>
      <w:r>
        <w:rPr>
          <w:vertAlign w:val="subscript"/>
        </w:rPr>
        <w:t>2</w:t>
      </w:r>
      <w:r>
        <w:t>）合成提供了利用机械能驱动化学转化的可持续途径；然而，其效率和选择性从根本上受到强金属-氧相互作用的限制，这种相互作用阻碍超氧化物解吸并使氧还原偏向不希望的途径。一个核心但很大程度上尚未探索的问题是金属-氧中间体反键态的电子占据如何控制这些反应结果。在这里，我们表明，调节反键轨道占据提供了一个决定性的杠杆，可以削弱超氧化物结合并将压电催化氧还原转向单线态氧（</w:t>
      </w:r>
      <w:r>
        <w:rPr>
          <w:vertAlign w:val="subscript"/>
        </w:rPr>
        <w:t>1</w:t>
      </w:r>
      <w:r>
        <w:t>氧</w:t>
      </w:r>
      <w:r>
        <w:rPr>
          <w:vertAlign w:val="subscript"/>
        </w:rPr>
        <w:t>2</w:t>
      </w:r>
      <w:r>
        <w:t>)–介导的双电子途径。这一原理是通过引入钛阳离子空位在钛酸铋中实现的，钛空位改变了表面电子结构和极化行为。光谱分析和密度泛函理论计算表明，Ti d 带中心的向下移动增加了反键轨道填充，促进超氧化物解吸和后续</w:t>
      </w:r>
      <w:r>
        <w:rPr>
          <w:vertAlign w:val="subscript"/>
        </w:rPr>
        <w:t>1</w:t>
      </w:r>
      <w:r>
        <w:t>氧</w:t>
      </w:r>
      <w:r>
        <w:rPr>
          <w:vertAlign w:val="subscript"/>
        </w:rPr>
        <w:t>2</w:t>
      </w:r>
      <w:r>
        <w:t>形成。结果，H</w:t>
      </w:r>
      <w:r>
        <w:rPr>
          <w:vertAlign w:val="subscript"/>
        </w:rPr>
        <w:t>2</w:t>
      </w:r>
      <w:r>
        <w:t>氧</w:t>
      </w:r>
      <w:r>
        <w:rPr>
          <w:vertAlign w:val="subscript"/>
        </w:rPr>
        <w:t>2</w:t>
      </w:r>
      <w:r>
        <w:t>生成量显着增加，生产率达到 1516 µmol g</w:t>
      </w:r>
    </w:p>
    <w:p>
      <w:pPr>
        <w:spacing w:before="0" w:after="200" w:lineRule="auto" w:line="276"/>
      </w:pPr>
      <w:r>
        <w:rPr>
          <w:b/>
        </w:rPr>
        <w:t xml:space="preserve">Abstract (EN): </w:t>
      </w:r>
      <w:r>
        <w:t>Piezo‐catalytic hydrogen peroxide (H</w:t>
      </w:r>
      <w:r>
        <w:rPr>
          <w:vertAlign w:val="subscript"/>
        </w:rPr>
        <w:t>2</w:t>
      </w:r>
      <w:r>
        <w:t>O</w:t>
      </w:r>
      <w:r>
        <w:rPr>
          <w:vertAlign w:val="subscript"/>
        </w:rPr>
        <w:t>2</w:t>
      </w:r>
      <w:r>
        <w:t>) synthesis offers a sustainable route for harnessing mechanical energy to drive chemical transformations; however, its efficiency and selectivity are fundamentally constrained by strong metal–oxygen interactions that hinder superoxide desorption and bias oxygen reduction toward undesired pathways. A central but largely unexplored question is how the electronic occupancy of antibonding states at metal–oxygen intermediates govern these reaction outcomes. Here, we show that regulating antibonding orbital occupancy provides a decisive lever to weaken superoxide binding and redirect piezo‐catalytic oxygen reduction toward a singlet oxygen (</w:t>
      </w:r>
      <w:r>
        <w:rPr>
          <w:vertAlign w:val="subscript"/>
        </w:rPr>
        <w:t>1</w:t>
      </w:r>
      <w:r>
        <w:t>O</w:t>
      </w:r>
      <w:r>
        <w:rPr>
          <w:vertAlign w:val="subscript"/>
        </w:rPr>
        <w:t>2</w:t>
      </w:r>
      <w:r>
        <w:t>)–mediated two‐electron pathway. This principle is realized in bismuth titanate through the introduction of Ti cation vacancies, which modify the surface electronic structure and polarization behavior. Spectroscopic analyses and density functional theory calculations reveal that a downward shift of the Ti d‐band center increases antibonding orbital filling, facilitating superoxide desorption and subsequent</w:t>
      </w:r>
      <w:r>
        <w:rPr>
          <w:vertAlign w:val="subscript"/>
        </w:rPr>
        <w:t>1</w:t>
      </w:r>
      <w:r>
        <w:t>O</w:t>
      </w:r>
      <w:r>
        <w:rPr>
          <w:vertAlign w:val="subscript"/>
        </w:rPr>
        <w:t>2</w:t>
      </w:r>
      <w:r>
        <w:t>formation. As a result, H</w:t>
      </w:r>
      <w:r>
        <w:rPr>
          <w:vertAlign w:val="subscript"/>
        </w:rPr>
        <w:t>2</w:t>
      </w:r>
      <w:r>
        <w:t>O</w:t>
      </w:r>
      <w:r>
        <w:rPr>
          <w:vertAlign w:val="subscript"/>
        </w:rPr>
        <w:t>2</w:t>
      </w:r>
      <w:r>
        <w:t>generation is significantly increased, reaching a production rate of 1516 µmol g</w:t>
      </w:r>
      <w:r>
        <w:t xml:space="preserve"> </w:t>
      </w:r>
      <w:r>
        <w:t>−</w:t>
      </w:r>
      <w:r>
        <w:rPr>
          <w:vertAlign w:val="subscript"/>
        </w:rPr>
        <w:t>1</w:t>
      </w:r>
      <w:r>
        <w:t>h</w:t>
      </w:r>
      <w:r>
        <w:t xml:space="preserve"> </w:t>
      </w:r>
      <w:r>
        <w:t>−</w:t>
      </w:r>
      <w:r>
        <w:rPr>
          <w:vertAlign w:val="subscript"/>
        </w:rPr>
        <w:t>1</w:t>
      </w:r>
      <w:r>
        <w:t>under ambient conditions, together with stable performance and demonstrate applicability in antimicrobial and pollutant degradation processes. These results establish antibonding orbital regulation as a mechanistic design principle for steering piezo‐catalytic reaction pathways toward non‐radical H</w:t>
      </w:r>
      <w:r>
        <w:rPr>
          <w:vertAlign w:val="subscript"/>
        </w:rPr>
        <w:t>2</w:t>
      </w:r>
      <w:r>
        <w:t>O</w:t>
      </w:r>
      <w:r>
        <w:rPr>
          <w:vertAlign w:val="subscript"/>
        </w:rPr>
        <w:t>2</w:t>
      </w:r>
      <w:r>
        <w:t>synthesis.</w:t>
      </w:r>
    </w:p>
    <w:p>
      <w:pPr>
        <w:spacing w:before="120" w:after="120"/>
      </w:pPr>
      <w:r>
        <w:rPr>
          <w:sz w:val="18"/>
        </w:rPr>
        <w:t>——————————————————————————————————————————————————————————————————————</w:t>
      </w:r>
    </w:p>
    <w:p>
      <w:pPr>
        <w:spacing w:before="160" w:after="40" w:line="240" w:lineRule="auto"/>
      </w:pPr>
      <w:r>
        <w:rPr>
          <w:b/>
        </w:rPr>
        <w:t xml:space="preserve">[166] </w:t>
      </w:r>
      <w:hyperlink r:id="rId566">
        <w:r>
          <w:rPr>
            <w:color w:val="1155CC"/>
            <w:u w:val="single"/>
          </w:rPr>
          <w:t>性染色体和性腺类型对皮质纹状体脑区应激敏感性的影响</w:t>
        </w:r>
      </w:hyperlink>
    </w:p>
    <w:p>
      <w:pPr>
        <w:spacing w:before="0" w:after="80"/>
      </w:pPr>
      <w:r>
        <w:rPr>
          <w:i/>
          <w:sz w:val="20"/>
        </w:rPr>
        <w:t>EN: Impact of sex chromosomes and gonad type in stress susceptibility in corticostriatal brain regions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67">
        <w:r>
          <w:rPr>
            <w:color w:val="1155CC"/>
            <w:u w:val="single"/>
          </w:rPr>
          <w:t>10.1073/pnas.2531920123</w:t>
        </w:r>
      </w:hyperlink>
    </w:p>
    <w:p>
      <w:pPr>
        <w:spacing w:before="0" w:after="120"/>
      </w:pPr>
      <w:r>
        <w:rPr>
          <w:b/>
        </w:rPr>
        <w:t xml:space="preserve">Notes: </w:t>
      </w:r>
      <w:r>
        <w:t>abstract_source=crossref</w:t>
      </w:r>
    </w:p>
    <w:p>
      <w:pPr>
        <w:spacing w:before="0" w:after="80" w:lineRule="auto" w:line="276"/>
      </w:pPr>
      <w:r>
        <w:rPr>
          <w:b/>
        </w:rPr>
        <w:t xml:space="preserve">摘要（ZH）: </w:t>
      </w:r>
      <w:r>
        <w:t>重度抑郁症（MDD）的特点是症状异质性和患病率的性别差异。为了深入了解这些性别差异，我们利用了亚慢性可变应激范式（SCVS），其中雌性小鼠易受影响，而雄性小鼠则具有行为弹性。我们使用四核心基因型小鼠来区分应激易感性中的性染色体补体（XX 与 XY）和性腺类型（卵巢与睾丸），通过从 Y 染色体上去除决定睾丸的 SRY 基因来解耦这些因素。对小鼠进行 SCVS，然后进行评估焦虑/抑郁样行为的分析。无论性腺如何，XX 小鼠都对应激敏感，而 XY 小鼠则具有应激恢复能力，这强调了性染色体效应对 SCVS 易感性性别差异的重要性，与性腺类型无关。然后我们对前额皮质 (PFC) 和伏核 (NAc) 进行了 RNA 测序。与人类 MDD 和之前的啮齿动物 SCVS 发现一致，不同性别的 SCVS 改变的基因几乎没有重叠。在对压力敏感的 XX 小鼠中，压力暴露改变了与免疫功能相关的通路，而在有弹性的 XY 小鼠中，压力暴露改变了与神经元功能相关的通路。性染色体补体和性腺类型如何导致性别特异性压力效应存在大脑区域特异性。在 NAc 中，性染色体补体是应激诱导基因表达的主要贡献者，而在 PFC 中，性染色体补体和性腺类型都有贡献。这些发现强调了一个复杂的关系</w:t>
      </w:r>
    </w:p>
    <w:p>
      <w:pPr>
        <w:spacing w:before="0" w:after="200" w:lineRule="auto" w:line="276"/>
      </w:pPr>
      <w:r>
        <w:rPr>
          <w:b/>
        </w:rPr>
        <w:t xml:space="preserve">Abstract (EN): </w:t>
      </w:r>
      <w:r>
        <w:t>Major depressive disorder (MDD) is characterized by symptom heterogeneity and sex differences in prevalence. To gain insight into these sex differences, we utilized the subchronic variable stress paradigm (SCVS) in which female mice are susceptible, while males are behaviorally resilient. We used the Four Core Genotypes mice to differentiate between sex chromosome complement (XX vs. XY) and gonad type (ovaries vs. testes) in stress susceptibility, uncoupling these factors by removing the testes-determining SRY gene from the Y chromosome. Mice were subjected to SCVS followed by assays to assess anxiety-/depressive-like behaviors. Regardless of gonads, XX mice were stress susceptible, while XY mice were stress resilient, underscoring the importance of sex chromosome effects to sex differences in susceptibility to SCVS, independent of gonad type. We then performed RNA-sequencing of the prefrontal cortex (PFC) and nucleus accumbens (NAc). Consistent with human MDD and previous rodent SCVS findings, there was little overlap in genes altered by SCVS across sex. In stress susceptible XX mice, stress exposure altered pathways related to immune function, while in resilient XY mice, stress exposure altered pathways involved in neuronal function. There was brain region specificity to how sex chromosome complement and gonad type contributed to sex-specific stress effects. In the NAc, sex chromosome complement was the primary contributor to stress-induced gene expression, while in the PFC, both sex chromosome complement and gonad type contributed. These findings underscore a complex relationship between sex chromosome complement and gonadal factors in shaping stress vulnerability, partly through immune-related pathways.</w:t>
      </w:r>
    </w:p>
    <w:p>
      <w:pPr>
        <w:spacing w:before="120" w:after="120"/>
      </w:pPr>
      <w:r>
        <w:rPr>
          <w:sz w:val="18"/>
        </w:rPr>
        <w:t>——————————————————————————————————————————————————————————————————————</w:t>
      </w:r>
    </w:p>
    <w:p>
      <w:pPr>
        <w:spacing w:before="160" w:after="40" w:line="240" w:lineRule="auto"/>
      </w:pPr>
      <w:r>
        <w:rPr>
          <w:b/>
        </w:rPr>
        <w:t xml:space="preserve">[167] </w:t>
      </w:r>
      <w:hyperlink r:id="rId568">
        <w:r>
          <w:rPr>
            <w:color w:val="1155CC"/>
            <w:u w:val="single"/>
          </w:rPr>
          <w:t>淀粉样蛋白预测和 LLPS 预测：预测本质上无序的蛋白质组中的相分离倾向</w:t>
        </w:r>
      </w:hyperlink>
    </w:p>
    <w:p>
      <w:pPr>
        <w:spacing w:before="0" w:after="80"/>
      </w:pPr>
      <w:r>
        <w:rPr>
          <w:i/>
          <w:sz w:val="20"/>
        </w:rPr>
        <w:t>EN: amyloid-predict and LLPS-predict: Predicting phase separation propensities in the intrinsically disordered proteome</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69">
        <w:r>
          <w:rPr>
            <w:color w:val="1155CC"/>
            <w:u w:val="single"/>
          </w:rPr>
          <w:t>10.1073/pnas.2531932123</w:t>
        </w:r>
      </w:hyperlink>
    </w:p>
    <w:p>
      <w:pPr>
        <w:spacing w:before="0" w:after="120"/>
      </w:pPr>
      <w:r>
        <w:rPr>
          <w:b/>
        </w:rPr>
        <w:t xml:space="preserve">Notes: </w:t>
      </w:r>
      <w:r>
        <w:t>abstract_source=crossref</w:t>
      </w:r>
    </w:p>
    <w:p>
      <w:pPr>
        <w:spacing w:before="0" w:after="80" w:lineRule="auto" w:line="276"/>
      </w:pPr>
      <w:r>
        <w:rPr>
          <w:b/>
        </w:rPr>
        <w:t xml:space="preserve">摘要（ZH）: </w:t>
      </w:r>
      <w:r>
        <w:t>淀粉样蛋白形成和液-液相分离（LLPS）是细胞生物学中的两个重要现象，与正常生理功能和各种病理相关。在这里，我们提出了一个计算框架，可以根据蛋白质语言模型嵌入对淀粉样蛋白倾向（淀粉样蛋白预测）或 LLPS 倾向（LLPS 预测）进行评分，从而实现肽和残基的快速蛋白质组范围注释。淀粉样蛋白预测在六肽基准上实现了超过现有人工智能和基于物理的工具的分类性能，同时实现了更快的高通量筛选；值得注意的是，淀粉样蛋白预测对微妙的突变效应敏感，并且受到序列模式和背景的影响，而不仅仅是氨基酸组成的影响。我们将这些蛋白质语言模型分类器应用于人类蛋白质组中的所有 IDR，并发现了几种淀粉样蛋白和/或 LLPS 倾向显着增强的蛋白质类别，这表明对这些蛋白质类别的生物学作用的深入了解。例如，信号传导受体、碳水化合物结合蛋白和 Ca</w:t>
      </w:r>
      <w:r>
        <w:t xml:space="preserve"> </w:t>
      </w:r>
      <w:r>
        <w:t>2+</w:t>
      </w:r>
      <w:r>
        <w:t xml:space="preserve"> </w:t>
      </w:r>
      <w:r>
        <w:t>结合蛋白在聚集倾向上富集，而mRNA结合蛋白、核糖核蛋白复合物和核基质蛋白在LLPS倾向上富集。有趣的是，我们在几种淀粉样蛋白形成蛋白和朊病毒蛋白中观察到高淀粉样蛋白和 LLPS 倾向的模式。总之，这些结果提供了无序人类蛋白质组中 LLPS 和淀粉样蛋白潜力的并排景观，同时提供了快速筛选</w:t>
      </w:r>
    </w:p>
    <w:p>
      <w:pPr>
        <w:spacing w:before="0" w:after="200" w:lineRule="auto" w:line="276"/>
      </w:pPr>
      <w:r>
        <w:rPr>
          <w:b/>
        </w:rPr>
        <w:t xml:space="preserve">Abstract (EN): </w:t>
      </w:r>
      <w:r>
        <w:t>Amyloid formation and liquid–liquid phase separation (LLPS) are two important phenomena in cellular biology, linked to both normal physiological functions and various pathologies. Here, we present a computational framework that scores amyloid propensities (amyloid-predict) or LLPS propensities (LLPS-predict) from protein language model embeddings, enabling rapid proteome-wide annotation of peptides and residues. amyloid-predict achieves classification performance that exceeds existing AI and physics-based tools on a hexapeptide benchmark while enabling substantially faster high-throughput screening; notably, amyloid-predict is sensitive to subtle mutational effects and is influenced by sequence patterning and context rather than amino acid composition alone. We apply these protein language model classifiers to all the IDRs in the human proteome and uncover several protein categories with significant enhancement in amyloid and/or LLPS propensity, suggesting insights into the biological roles of these protein categories. For example, signaling receptors, carbohydrate-binding proteins, and Ca</w:t>
      </w:r>
      <w:r>
        <w:t xml:space="preserve"> </w:t>
      </w:r>
      <w:r>
        <w:t>2+</w:t>
      </w:r>
      <w:r>
        <w:t xml:space="preserve"> </w:t>
      </w:r>
      <w:r>
        <w:t>binding proteins are enriched in aggregation propensity, while mRNA-binding proteins, ribonucleoprotein complex, and nuclear matrix proteins are enriched in LLPS propensity. Interestingly, we observe patterns of both high amyloid and LLPS propensity in several amyloid-forming and prionic proteins. Together, these results provide side-by-side landscapes of LLPS and amyloid potential across the disordered human proteome while offering a rapid screening tool for basic biology, disease-mechanism studies, and rational design of peptide therapeutics.</w:t>
      </w:r>
    </w:p>
    <w:p>
      <w:pPr>
        <w:spacing w:before="120" w:after="120"/>
      </w:pPr>
      <w:r>
        <w:rPr>
          <w:sz w:val="18"/>
        </w:rPr>
        <w:t>——————————————————————————————————————————————————————————————————————</w:t>
      </w:r>
    </w:p>
    <w:p>
      <w:pPr>
        <w:spacing w:before="160" w:after="40" w:line="240" w:lineRule="auto"/>
      </w:pPr>
      <w:r>
        <w:rPr>
          <w:b/>
        </w:rPr>
        <w:t xml:space="preserve">[168] </w:t>
      </w:r>
      <w:hyperlink r:id="rId570">
        <w:r>
          <w:rPr>
            <w:color w:val="1155CC"/>
            <w:u w:val="single"/>
          </w:rPr>
          <w:t>自加速浊流的现场证据</w:t>
        </w:r>
      </w:hyperlink>
    </w:p>
    <w:p>
      <w:pPr>
        <w:spacing w:before="0" w:after="80"/>
      </w:pPr>
      <w:r>
        <w:rPr>
          <w:i/>
          <w:sz w:val="20"/>
        </w:rPr>
        <w:t>EN: In situ evidence of self-accelerating turbidity currents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71">
        <w:r>
          <w:rPr>
            <w:color w:val="1155CC"/>
            <w:u w:val="single"/>
          </w:rPr>
          <w:t>10.1073/pnas.2601534123</w:t>
        </w:r>
      </w:hyperlink>
    </w:p>
    <w:p>
      <w:pPr>
        <w:spacing w:before="0" w:after="120"/>
      </w:pPr>
      <w:r>
        <w:rPr>
          <w:b/>
        </w:rPr>
        <w:t xml:space="preserve">Notes: </w:t>
      </w:r>
      <w:r>
        <w:t>abstract_source=crossref</w:t>
      </w:r>
    </w:p>
    <w:p>
      <w:pPr>
        <w:spacing w:before="0" w:after="80" w:lineRule="auto" w:line="276"/>
      </w:pPr>
      <w:r>
        <w:rPr>
          <w:b/>
        </w:rPr>
        <w:t xml:space="preserve">摘要（ZH）: </w:t>
      </w:r>
      <w:r>
        <w:t>据推测，自加速浊流（SATC）是将大量沉积物输送到深海的主要机制。然而，SATC 的理论预测早于现场观测数十年，这使得我们对这种长距离传输过程的理解存在严重差距。在这里，我们展示了对世界上沉积物最多的河流——黄河（中国）小浪底水库浊流和水深演变进行的四年现场调查的结果。我们提供了 SATC 的明确现场证据，其特征是沉积物质量和水流动量同步向下河道增加，以及事件规模的大规模河道切口。值得注意的是，这些 SATC 发生在低梯度湖泊环境中，挑战了这种现象仅限于陡峭海底通道或高速条件的普遍假设。我们确定了一个无量纲阈值，结合了水流速度、河道坡度和沉积物沉降速度，控制着湖底和海洋环境中 SATC 的形成。该阈值为预测 SATC 的发生提供了一个强大的框架，并为维持水库容量和恢复拦河系统中沉积物连通性的工程策略提供了信息。</w:t>
      </w:r>
    </w:p>
    <w:p>
      <w:pPr>
        <w:spacing w:before="0" w:after="200" w:lineRule="auto" w:line="276"/>
      </w:pPr>
      <w:r>
        <w:rPr>
          <w:b/>
        </w:rPr>
        <w:t xml:space="preserve">Abstract (EN): </w:t>
      </w:r>
      <w:r>
        <w:t>Self-accelerating turbidity currents (SATCs) are hypothesized to be the primary mechanism for transporting vast amounts of sediment to the deep ocean. However, theoretical predictions of SATCs have preceded field observations by decades, leaving a critical gap in our understanding of this long-distance delivery process. Here, we present results from a four-year field survey of turbidity currents and bathymetric evolution in the Xiaolangdi Reservoir on the Yellow River (China), the world’s most sediment-laden river. We provide definitive in situ evidence of SATCs, characterized by synchronous down-channel increases in sediment mass and current momentum, alongside massive channel incision at the event scale. Notably, these SATCs occur in a low-gradient lacustrine setting, challenging the prevailing hypothesis that such phenomena are restricted to steep submarine channels or high velocity conditions. We identify a dimensionless threshold, incorporating current velocity, channel slope, and sediment settling velocity, that governs SATC formation across sublacustrine and marine environments. This threshold provides a robust framework for predicting SATC occurrence and informs engineering strategies to sustain reservoir capacity and restore sediment connectivity in dammed river systems.</w:t>
      </w:r>
    </w:p>
    <w:p>
      <w:pPr>
        <w:spacing w:before="120" w:after="120"/>
      </w:pPr>
      <w:r>
        <w:rPr>
          <w:sz w:val="18"/>
        </w:rPr>
        <w:t>——————————————————————————————————————————————————————————————————————</w:t>
      </w:r>
    </w:p>
    <w:p>
      <w:pPr>
        <w:spacing w:before="160" w:after="40" w:line="240" w:lineRule="auto"/>
      </w:pPr>
      <w:r>
        <w:rPr>
          <w:b/>
        </w:rPr>
        <w:t xml:space="preserve">[169] </w:t>
      </w:r>
      <w:hyperlink r:id="rId572">
        <w:r>
          <w:rPr>
            <w:color w:val="1155CC"/>
            <w:u w:val="single"/>
          </w:rPr>
          <w:t>遥感使我们能够扩大对河流宽度和活跃洪泛区控制的了解</w:t>
        </w:r>
      </w:hyperlink>
    </w:p>
    <w:p>
      <w:pPr>
        <w:spacing w:before="0" w:after="80"/>
      </w:pPr>
      <w:r>
        <w:rPr>
          <w:i/>
          <w:sz w:val="20"/>
        </w:rPr>
        <w:t>EN: Remote sensing enables expansion of our understanding of controls on river width and active floodplain</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73">
        <w:r>
          <w:rPr>
            <w:color w:val="1155CC"/>
            <w:u w:val="single"/>
          </w:rPr>
          <w:t>10.1073/pnas.2610121123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574">
        <w:r>
          <w:rPr>
            <w:color w:val="1155CC"/>
            <w:u w:val="single"/>
          </w:rPr>
          <w:t>多倍体和应激</w:t>
        </w:r>
      </w:hyperlink>
    </w:p>
    <w:p>
      <w:pPr>
        <w:spacing w:before="0" w:after="80"/>
      </w:pPr>
      <w:r>
        <w:rPr>
          <w:i/>
          <w:sz w:val="20"/>
        </w:rPr>
        <w:t>EN: Polyploidy and stress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75">
        <w:r>
          <w:rPr>
            <w:color w:val="1155CC"/>
            <w:u w:val="single"/>
          </w:rPr>
          <w:t>10.1073/pnas.2607049123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576">
        <w:r>
          <w:rPr>
            <w:color w:val="1155CC"/>
            <w:u w:val="single"/>
          </w:rPr>
          <w:t>Acoel 全身再生始于 neregulin-1 下游扩散的多组织 ERK 信号传导</w:t>
        </w:r>
      </w:hyperlink>
    </w:p>
    <w:p>
      <w:pPr>
        <w:spacing w:before="0" w:after="80"/>
      </w:pPr>
      <w:r>
        <w:rPr>
          <w:i/>
          <w:sz w:val="20"/>
        </w:rPr>
        <w:t>EN: Acoel whole-body regeneration begins with spreading, multi-tissue ERK signaling downstream of neuregulin-1</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77">
        <w:r>
          <w:rPr>
            <w:color w:val="1155CC"/>
            <w:u w:val="single"/>
          </w:rPr>
          <w:t>10.1073/pnas.2606868123</w:t>
        </w:r>
      </w:hyperlink>
    </w:p>
    <w:p>
      <w:pPr>
        <w:spacing w:before="0" w:after="120"/>
      </w:pPr>
      <w:r>
        <w:rPr>
          <w:b/>
        </w:rPr>
        <w:t xml:space="preserve">Notes: </w:t>
      </w:r>
      <w:r>
        <w:t>abstract_source=crossref</w:t>
      </w:r>
    </w:p>
    <w:p>
      <w:pPr>
        <w:spacing w:before="0" w:after="80" w:lineRule="auto" w:line="276"/>
      </w:pPr>
      <w:r>
        <w:rPr>
          <w:b/>
        </w:rPr>
        <w:t xml:space="preserve">摘要（ZH）: </w:t>
      </w:r>
      <w:r>
        <w:t>ERK（细胞外信号调节激酶）信号的快速激活可驱动后生动物对损伤的转录反应。然而，目前尚不清楚 ERK 作为伤口信号的关键方面（其上游输入、激活细胞类型和时空模式）是否保守。为了便于彻底比较，我们在 acoel 中检查了全身再生过程中伤口诱导的 ERK</w:t>
      </w:r>
      <w:r>
        <w:t xml:space="preserve"> </w:t>
      </w:r>
      <w:r>
        <w:t>迈阿密霍夫斯泰尼亚</w:t>
      </w:r>
      <w:r>
        <w:t xml:space="preserve"> </w:t>
      </w:r>
      <w:r>
        <w:t>。受伤会触发 ERK 快速激活，这种激活从最靠近伤口的细胞开始，但随着时间的推移，在干细胞和肌肉细胞中向远端扩展。 ERK 驱动两种细胞类型对损伤的转录反应，抑制 ERK 激活会扰乱再生进程。最后，</w:t>
      </w:r>
      <w:r>
        <w:t xml:space="preserve"> </w:t>
      </w:r>
      <w:r>
        <w:t>神经调节蛋白-1</w:t>
      </w:r>
      <w:r>
        <w:t xml:space="preserve"> </w:t>
      </w:r>
      <w:r>
        <w:t>，一种仅由肌肉细胞产生的配体，及其假定的受体</w:t>
      </w:r>
      <w:r>
        <w:t xml:space="preserve"> </w:t>
      </w:r>
      <w:r>
        <w:t>表皮生长因子受体-1</w:t>
      </w:r>
      <w:r>
        <w:t xml:space="preserve"> </w:t>
      </w:r>
      <w:r>
        <w:t>（表皮生长因子受体-1）在受伤时作用于 ERK 激活的上游。我们的数据确定了肌肉细胞在损伤后驱动 ERK 激活中的关键信号作用，并揭示了一种空间扩散现象，与其他系统中的动态 ERK 模式既有相似之处，也有区别。</w:t>
      </w:r>
    </w:p>
    <w:p>
      <w:pPr>
        <w:spacing w:before="0" w:after="200" w:lineRule="auto" w:line="276"/>
      </w:pPr>
      <w:r>
        <w:rPr>
          <w:b/>
        </w:rPr>
        <w:t xml:space="preserve">Abstract (EN): </w:t>
      </w:r>
      <w:r>
        <w:t>Rapid activation of ERK (extracellular signal-regulated kinase) signaling drives transcriptional responses to injury across metazoans. Yet, it is unclear whether key aspects of ERK as a wound signal—its upstream inputs, activating cell type(s), and spatiotemporal pattern—are conserved. To facilitate thorough comparisons, we examined wound-induced ERK during whole-body regeneration in the acoel</w:t>
      </w:r>
      <w:r>
        <w:t xml:space="preserve"> </w:t>
      </w:r>
      <w:r>
        <w:t>Hofstenia miamia</w:t>
      </w:r>
      <w:r>
        <w:t xml:space="preserve"> </w:t>
      </w:r>
      <w:r>
        <w:t>. Wounding triggers rapid ERK activation, which begins in the most wound-proximal cells but expands distally over time among stem cells and muscle cells. ERK drives transcriptional responses to wounding in both cell types, and inhibiting ERK activation perturbs the progress of regeneration. Finally,</w:t>
      </w:r>
      <w:r>
        <w:t xml:space="preserve"> </w:t>
      </w:r>
      <w:r>
        <w:t>neuregulin-1</w:t>
      </w:r>
      <w:r>
        <w:t xml:space="preserve"> </w:t>
      </w:r>
      <w:r>
        <w:t>, a ligand produced exclusively by muscle cells, and its putative receptor</w:t>
      </w:r>
      <w:r>
        <w:t xml:space="preserve"> </w:t>
      </w:r>
      <w:r>
        <w:t>egfr-1</w:t>
      </w:r>
      <w:r>
        <w:t xml:space="preserve"> </w:t>
      </w:r>
      <w:r>
        <w:t>(epidermal growth factor receptor-1) act upstream of ERK activation upon wounding. Our data identify a key signaling role of muscle cells in driving ERK activation following injury and reveal a spatial spreading phenomenon with both parallels to and distinctions from dynamic ERK patterns in other systems.</w:t>
      </w:r>
    </w:p>
    <w:p>
      <w:pPr>
        <w:spacing w:before="120" w:after="120"/>
      </w:pPr>
      <w:r>
        <w:rPr>
          <w:sz w:val="18"/>
        </w:rPr>
        <w:t>——————————————————————————————————————————————————————————————————————</w:t>
      </w:r>
    </w:p>
    <w:p>
      <w:pPr>
        <w:spacing w:before="160" w:after="40" w:line="240" w:lineRule="auto"/>
      </w:pPr>
      <w:r>
        <w:rPr>
          <w:b/>
        </w:rPr>
        <w:t xml:space="preserve">[172] </w:t>
      </w:r>
      <w:hyperlink r:id="rId578">
        <w:r>
          <w:rPr>
            <w:color w:val="1155CC"/>
            <w:u w:val="single"/>
          </w:rPr>
          <w:t>痘病毒感染期间 RNA 稳态的扰动通过过量 RNA 积累损害线粒体呼吸</w:t>
        </w:r>
      </w:hyperlink>
    </w:p>
    <w:p>
      <w:pPr>
        <w:spacing w:before="0" w:after="80"/>
      </w:pPr>
      <w:r>
        <w:rPr>
          <w:i/>
          <w:sz w:val="20"/>
        </w:rPr>
        <w:t>EN: Perturbation of RNA homeostasis impairs mitochondrial respiration during poxvirus infection through excess RNA accumulation</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79">
        <w:r>
          <w:rPr>
            <w:color w:val="1155CC"/>
            <w:u w:val="single"/>
          </w:rPr>
          <w:t>10.1073/pnas.2605194123</w:t>
        </w:r>
      </w:hyperlink>
    </w:p>
    <w:p>
      <w:pPr>
        <w:spacing w:before="0" w:after="120"/>
      </w:pPr>
      <w:r>
        <w:rPr>
          <w:b/>
        </w:rPr>
        <w:t xml:space="preserve">Notes: </w:t>
      </w:r>
      <w:r>
        <w:t>abstract_source=crossref</w:t>
      </w:r>
    </w:p>
    <w:p>
      <w:pPr>
        <w:spacing w:before="0" w:after="80" w:lineRule="auto" w:line="276"/>
      </w:pPr>
      <w:r>
        <w:rPr>
          <w:b/>
        </w:rPr>
        <w:t xml:space="preserve">摘要（ZH）: </w:t>
      </w:r>
      <w:r>
        <w:t>在受感染的细胞中诱导 RNA 降解是许多病毒用来促进有效复制的策略。痘苗病毒是痘病毒的原型，也是天花和痘痘的疫苗平台，它编码两种脱帽酶，通过与宿主细胞 RNA 核酸外切酶的功能协调，加速感染过程中 mRNA 和双链 RNA (dsRNA) 的降解。之前的研究主要集中在RNA降解作为调节病毒基因表达和逃避先天免疫感应的机制。在这里，我们发现，由于病毒脱帽酶或细胞核酸外切酶的消耗，痘苗病毒感染的细胞中 RNA 降解受损，严重损害了线粒体呼吸和完整性。我们进一步证明，过量的 dsRNA 和 mRNA（包括假尿苷修饰的 RNA）的积累足以诱发线粒体呼吸和完整性的严重缺陷。值得注意的是，这种损伤的发生独立于干扰素诱导和 dsRNA 先天免疫传感器蛋白激酶 R。此外，过量的 RNA 会抑制纯化的无细胞线粒体中的呼吸，并与无细胞和细胞环境中的线粒体物理结合，支持免疫独立机制。过量的 mRNA 和 dsRNA 会降低细胞和纯化线粒体中的线粒体膜电位，表明质子梯度的破坏是线粒体呼吸和完整性受损的机制。总之，这些发现确定过量的 mRNA 和 dsRNA 是功能障碍细胞中线粒体稳态的干扰物。</w:t>
      </w:r>
    </w:p>
    <w:p>
      <w:pPr>
        <w:spacing w:before="0" w:after="200" w:lineRule="auto" w:line="276"/>
      </w:pPr>
      <w:r>
        <w:rPr>
          <w:b/>
        </w:rPr>
        <w:t xml:space="preserve">Abstract (EN): </w:t>
      </w:r>
      <w:r>
        <w:t>Induction of RNA degradation in infected cells is a strategy used by many viruses to promote efficient replication. Vaccinia virus, the prototype poxvirus and the vaccine platform for smallpox and mpox, encodes two decapping enzymes to accelerate mRNA and double-stranded RNA (dsRNA) degradation during infection, through functional coordination with host cell RNA exonuclease. Previous studies have largely focused on RNA degradation as a mechanism for regulating viral gene expression and evading innate immune sensing. Here, we show that impaired RNA degradation in vaccinia virus–infected cells, due to either depletion of viral decapping enzymes or cellular exonuclease, severely compromises mitochondrial respiration and integrity. We further demonstrated that accumulation of excess dsRNA and mRNA, including pseudouridine-modified RNAs, is sufficient to induce profound defects in mitochondrial respiration and integrity. Notably, this impairment occurs independently of interferon induction and dsRNA innate immune sensor Protein Kinase R. Moreover, excess RNA suppresses respiration in purified cell-free mitochondria and physically associates with mitochondria in cell-free and cellular contexts, supporting an immune-independent mechanism. Excess mRNA and dsRNA reduce mitochondrial membrane potential in both cells and purified mitochondria, indicating disruption of the proton gradient as the mechanism underlying impaired mitochondrial respiration and integrity. Together, these findings identify excess mRNA and dsRNA as perturbants of mitochondrial homeostasis in cells with dysfunctional RNA degradation during vaccinia virus infection, revealing a paradigm-shift concept linking RNA metabolism to mitochondrial function. The finding carries broad implications for understanding RNA and mitochondrial biology and RNA-based therapeutics and vaccines.</w:t>
      </w:r>
    </w:p>
    <w:p>
      <w:pPr>
        <w:spacing w:before="120" w:after="120"/>
      </w:pPr>
      <w:r>
        <w:rPr>
          <w:sz w:val="18"/>
        </w:rPr>
        <w:t>——————————————————————————————————————————————————————————————————————</w:t>
      </w:r>
    </w:p>
    <w:p>
      <w:pPr>
        <w:spacing w:before="160" w:after="40" w:line="240" w:lineRule="auto"/>
      </w:pPr>
      <w:r>
        <w:rPr>
          <w:b/>
        </w:rPr>
        <w:t xml:space="preserve">[173] </w:t>
      </w:r>
      <w:hyperlink r:id="rId580">
        <w:r>
          <w:rPr>
            <w:color w:val="1155CC"/>
            <w:u w:val="single"/>
          </w:rPr>
          <w:t>植物-绿僵菌-昆虫相互作用中的挥发性信号：对氮循环的影响</w:t>
        </w:r>
      </w:hyperlink>
    </w:p>
    <w:p>
      <w:pPr>
        <w:spacing w:before="0" w:after="80"/>
      </w:pPr>
      <w:r>
        <w:rPr>
          <w:i/>
          <w:sz w:val="20"/>
        </w:rPr>
        <w:t>EN: Volatile signaling in plant–Metarhizium–insect interactions: Implications for nitrogen cycling</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81">
        <w:r>
          <w:rPr>
            <w:color w:val="1155CC"/>
            <w:u w:val="single"/>
          </w:rPr>
          <w:t>10.1073/pnas.2603282123</w:t>
        </w:r>
      </w:hyperlink>
    </w:p>
    <w:p>
      <w:pPr>
        <w:spacing w:before="0" w:after="120"/>
      </w:pPr>
      <w:r>
        <w:rPr>
          <w:b/>
        </w:rPr>
        <w:t xml:space="preserve">Notes: </w:t>
      </w:r>
      <w:r>
        <w:t>abstract_source=crossref</w:t>
      </w:r>
    </w:p>
    <w:p>
      <w:pPr>
        <w:spacing w:before="0" w:after="80" w:lineRule="auto" w:line="276"/>
      </w:pPr>
      <w:r>
        <w:rPr>
          <w:b/>
        </w:rPr>
        <w:t xml:space="preserve">摘要（ZH）: </w:t>
      </w:r>
      <w:r>
        <w:t>植物和昆虫之间的氮交换是生态系统氮循环的主要组成部分。内生昆虫病原真菌通过真菌菌丝体介导的共生关联将昆虫来源的氮转移到植物中，使植物即使在昆虫失去氮后也能茁壮成长。然而，这一过程背后的机制仍未被探索。在这里，我们表明广泛的内生昆虫病原体</w:t>
      </w:r>
      <w:r>
        <w:t xml:space="preserve"> </w:t>
      </w:r>
      <w:r>
        <w:t>罗氏绿僵菌</w:t>
      </w:r>
      <w:r>
        <w:t xml:space="preserve"> </w:t>
      </w:r>
      <w:r>
        <w:t>降解常见的根源抗真菌化合物 caulilexin C，产生挥发性 1-甲氧基吲哚。该化合物可被 Or74a 嗅觉受体识别</w:t>
      </w:r>
      <w:r>
        <w:t xml:space="preserve"> </w:t>
      </w:r>
      <w:r>
        <w:t>黑腹果蝇</w:t>
      </w:r>
      <w:r>
        <w:t xml:space="preserve"> </w:t>
      </w:r>
      <w:r>
        <w:t>幼虫并吸引多种双翅目物种到植物上–</w:t>
      </w:r>
      <w:r>
        <w:t xml:space="preserve"> </w:t>
      </w:r>
      <w:r>
        <w:t>绿僵菌属</w:t>
      </w:r>
      <w:r>
        <w:t xml:space="preserve"> </w:t>
      </w:r>
      <w:r>
        <w:t>财团。招募的昆虫随后被感染和消耗，从而增强了昆虫来源的氮向植物的转移。这种自我强化机制加强了植物-真菌共生，并揭示了一条有助于生态系统氮通量的途径。</w:t>
      </w:r>
    </w:p>
    <w:p>
      <w:pPr>
        <w:spacing w:before="0" w:after="200" w:lineRule="auto" w:line="276"/>
      </w:pPr>
      <w:r>
        <w:rPr>
          <w:b/>
        </w:rPr>
        <w:t xml:space="preserve">Abstract (EN): </w:t>
      </w:r>
      <w:r>
        <w:t>Nitrogen exchange between plants and insects is a major component of ecosystem nitrogen cycling. Endophytic insect pathogenic fungi transfer insect-derived nitrogen to plants through symbiotic associations mediated by fungal mycelia, enabling plants to thrive even after losing nitrogen to insects. However, the mechanisms underlying this process remain unexplored. Here, we show that the widespread endophytic entomopathogen</w:t>
      </w:r>
      <w:r>
        <w:t xml:space="preserve"> </w:t>
      </w:r>
      <w:r>
        <w:t>Metarhizium robertsii</w:t>
      </w:r>
      <w:r>
        <w:t xml:space="preserve"> </w:t>
      </w:r>
      <w:r>
        <w:t>degrades the common root-derived antifungal compound caulilexin C to produce the volatile 1-methoxyindole. This compound is recognized by the Or74a olfactory receptor in</w:t>
      </w:r>
      <w:r>
        <w:t xml:space="preserve"> </w:t>
      </w:r>
      <w:r>
        <w:t>Drosophila melanogaster</w:t>
      </w:r>
      <w:r>
        <w:t xml:space="preserve"> </w:t>
      </w:r>
      <w:r>
        <w:t>larvae and attracts multiple Dipteran species to the plant–</w:t>
      </w:r>
      <w:r>
        <w:t xml:space="preserve"> </w:t>
      </w:r>
      <w:r>
        <w:t>Metarhizium</w:t>
      </w:r>
      <w:r>
        <w:t xml:space="preserve"> </w:t>
      </w:r>
      <w:r>
        <w:t>consortium. The recruited insects are subsequently infected and consumed, resulting in enhanced insect-derived nitrogen transfer to the plants. This self-reinforcing mechanism strengthens the plant–fungus symbiosis and reveals a pathway contributing to ecosystem nitrogen flux.</w:t>
      </w:r>
    </w:p>
    <w:p>
      <w:pPr>
        <w:spacing w:before="120" w:after="120"/>
      </w:pPr>
      <w:r>
        <w:rPr>
          <w:sz w:val="18"/>
        </w:rPr>
        <w:t>——————————————————————————————————————————————————————————————————————</w:t>
      </w:r>
    </w:p>
    <w:p>
      <w:pPr>
        <w:spacing w:before="160" w:after="40" w:line="240" w:lineRule="auto"/>
      </w:pPr>
      <w:r>
        <w:rPr>
          <w:b/>
        </w:rPr>
        <w:t xml:space="preserve">[174] </w:t>
      </w:r>
      <w:hyperlink r:id="rId582">
        <w:r>
          <w:rPr>
            <w:color w:val="1155CC"/>
            <w:u w:val="single"/>
          </w:rPr>
          <w:t>突触和神经通路冗余使感觉运动反射更加稳健，并促进秀丽隐杆线虫的捕食逃脱</w:t>
        </w:r>
      </w:hyperlink>
    </w:p>
    <w:p>
      <w:pPr>
        <w:spacing w:before="0" w:after="80"/>
      </w:pPr>
      <w:r>
        <w:rPr>
          <w:i/>
          <w:sz w:val="20"/>
        </w:rPr>
        <w:t>EN: Synaptic and neural pathway redundancy enables the robustness of a sensory-motor reflex and promotes predation escape in Caenorhabditis elegans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83">
        <w:r>
          <w:rPr>
            <w:color w:val="1155CC"/>
            <w:u w:val="single"/>
          </w:rPr>
          <w:t>10.1073/pnas.2531407123</w:t>
        </w:r>
      </w:hyperlink>
    </w:p>
    <w:p>
      <w:pPr>
        <w:spacing w:before="0" w:after="120"/>
      </w:pPr>
      <w:r>
        <w:rPr>
          <w:b/>
        </w:rPr>
        <w:t xml:space="preserve">Notes: </w:t>
      </w:r>
      <w:r>
        <w:t>abstract_source=crossref</w:t>
      </w:r>
    </w:p>
    <w:p>
      <w:pPr>
        <w:spacing w:before="0" w:after="80" w:lineRule="auto" w:line="276"/>
      </w:pPr>
      <w:r>
        <w:rPr>
          <w:b/>
        </w:rPr>
        <w:t xml:space="preserve">摘要（ZH）: </w:t>
      </w:r>
      <w:r>
        <w:t>作为神经系统的基本单位，感觉运动反射回路快速而强大。然而，鉴于各种遗传扰动可以改变感觉神经元的功能，目前还不完全清楚如何实现这种鲁棒性。通过绘制触摸响应电路中神经元连接的分子基础</w:t>
      </w:r>
      <w:r>
        <w:t xml:space="preserve"> </w:t>
      </w:r>
      <w:r>
        <w:t>秀丽隐杆线虫</w:t>
      </w:r>
      <w:r>
        <w:t xml:space="preserve"> </w:t>
      </w:r>
      <w:r>
        <w:t>，我们发现神经通路、突触和分子水平上普遍存在遗传冗余，这确保了感觉信号可以传递到控制运动输出的命令中间神经元。我们还发现前回路的发育重塑，这导致幼虫突触的修剪、激活额外中间神经元的第二条通路的建立以及回路的侧化。最后，我们发现在简单的触摸测定中似乎功能冗余的突触以累加的方式有助于逆转反应的程度，这可能有助于生物体逃离捕食者。</w:t>
      </w:r>
    </w:p>
    <w:p>
      <w:pPr>
        <w:spacing w:before="0" w:after="200" w:lineRule="auto" w:line="276"/>
      </w:pPr>
      <w:r>
        <w:rPr>
          <w:b/>
        </w:rPr>
        <w:t xml:space="preserve">Abstract (EN): </w:t>
      </w:r>
      <w:r>
        <w:t>As a basic unit of the nervous system, the sensory-motor reflex circuit is fast and robust. However, it is not entirely clear how this robustness is achieved, given that various genetic perturbations can alter the function of the sensory neurons. By mapping the molecular basis of neuronal connections in the touch response circuit of</w:t>
      </w:r>
      <w:r>
        <w:t xml:space="preserve"> </w:t>
      </w:r>
      <w:r>
        <w:t>Caenorhabditis elegans</w:t>
      </w:r>
      <w:r>
        <w:t xml:space="preserve"> </w:t>
      </w:r>
      <w:r>
        <w:t>, we found prevalent genetic redundancy at neural pathway, synaptic, and molecular levels, which ensures that sensory signals can be relayed to command interneurons that control motor output. We also found developmental remodeling of the anterior circuit, which leads to the pruning of larval synapses, establishment of a second pathway that activates additional interneurons, and lateralization of the circuit. Finally, we found that the synapses that appeared to be functionally redundant in a simple touch assay contribute to the extent of reversal response in an additive manner, which may help the organism escape from predators.</w:t>
      </w:r>
    </w:p>
    <w:p>
      <w:pPr>
        <w:spacing w:before="120" w:after="120"/>
      </w:pPr>
      <w:r>
        <w:rPr>
          <w:sz w:val="18"/>
        </w:rPr>
        <w:t>——————————————————————————————————————————————————————————————————————</w:t>
      </w:r>
    </w:p>
    <w:p>
      <w:pPr>
        <w:spacing w:before="160" w:after="40" w:line="240" w:lineRule="auto"/>
      </w:pPr>
      <w:r>
        <w:rPr>
          <w:b/>
        </w:rPr>
        <w:t xml:space="preserve">[175] </w:t>
      </w:r>
      <w:hyperlink r:id="rId584">
        <w:r>
          <w:rPr>
            <w:color w:val="1155CC"/>
            <w:u w:val="single"/>
          </w:rPr>
          <w:t>有意识和无意识思维：决策神经科学的见解</w:t>
        </w:r>
      </w:hyperlink>
    </w:p>
    <w:p>
      <w:pPr>
        <w:spacing w:before="0" w:after="80"/>
      </w:pPr>
      <w:r>
        <w:rPr>
          <w:i/>
          <w:sz w:val="20"/>
        </w:rPr>
        <w:t>EN: Conscious and nonconscious thought: Insights from the neuroscience of decision-making</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85">
        <w:r>
          <w:rPr>
            <w:color w:val="1155CC"/>
            <w:u w:val="single"/>
          </w:rPr>
          <w:t>10.1073/pnas.2601239123</w:t>
        </w:r>
      </w:hyperlink>
    </w:p>
    <w:p>
      <w:pPr>
        <w:spacing w:before="0" w:after="120"/>
      </w:pPr>
      <w:r>
        <w:rPr>
          <w:b/>
        </w:rPr>
        <w:t xml:space="preserve">Notes: </w:t>
      </w:r>
      <w:r>
        <w:t>abstract_source=crossref</w:t>
      </w:r>
    </w:p>
    <w:p>
      <w:pPr>
        <w:spacing w:before="0" w:after="80" w:lineRule="auto" w:line="276"/>
      </w:pPr>
      <w:r>
        <w:rPr>
          <w:b/>
        </w:rPr>
        <w:t xml:space="preserve">摘要（ZH）: </w:t>
      </w:r>
      <w:r>
        <w:t>有意识的思维通常被视为一类特殊的神经处理，与指导大多数行为的无意识计算不同。在这里，我提供了一种基于决策神经科学的不同观点。我认为，有意识的思维并非源于独特的机制，而是源于对已经参与无意识思维的神经表征的独特使用。无意识的想法被构造为产生临时意图的审讯——类似决策的承诺，指导行动或询问而不进入意识。通过使用感知决策和神经生理学的例子，我认为这种想法依赖于持久的神经表征，这些表征不仅编码潜在的动作，还编码赋予它们意义的问题。这些知识状态还可以保留源敏感结构，即使它们保持无意识，也支持最小的体验组织。因此，当这种状态被重新格式化以向另一个思想或自己进行潜在报告时，意识思想就会出现，吸收思想理论和叙事结构并将其内容放置在假定共享的空间中。该提议确定了从无意识决策机制到现象意识的易于处理的桥梁，从而将部分难题置于经验范围内。</w:t>
      </w:r>
    </w:p>
    <w:p>
      <w:pPr>
        <w:spacing w:before="0" w:after="200" w:lineRule="auto" w:line="276"/>
      </w:pPr>
      <w:r>
        <w:rPr>
          <w:b/>
        </w:rPr>
        <w:t xml:space="preserve">Abstract (EN): </w:t>
      </w:r>
      <w:r>
        <w:t>Conscious thought is often treated as a special class of neural processing, distinct from the nonconscious computations that guide most behavior. Here I offer a different perspective, grounded in the neuroscience of decision-making. I argue that conscious thought arises not from a unique mechanism but from a distinctive use of neural representations already engaged in nonconscious thought. Nonconscious thoughts are structured as interrogations that yield provisional intentions—decision-like commitments that guide action or inquiry without entering awareness. Using examples from perceptual decision-making and neurophysiology, I suggest that such thoughts depend on persistent neural representations that encode not only potential actions but the questions that give them meaning. These knowledge states may also preserve source-sensitive structure that supports a minimal experiential organization even when they remain nonconscious. Conscious thought, on this account, emerges when such a state is reformatted for potential report to another mind, or to oneself, recruiting theory of mind and narrative structure and placing its content in a space presumed to be shared. This proposal identifies a tractable bridge from nonconscious decision mechanisms to phenomenal consciousness, thereby placing part of the hard problem within empirical reach.</w:t>
      </w:r>
    </w:p>
    <w:p>
      <w:pPr>
        <w:spacing w:before="120" w:after="120"/>
      </w:pPr>
      <w:r>
        <w:rPr>
          <w:sz w:val="18"/>
        </w:rPr>
        <w:t>——————————————————————————————————————————————————————————————————————</w:t>
      </w:r>
    </w:p>
    <w:p>
      <w:pPr>
        <w:spacing w:before="160" w:after="40" w:line="240" w:lineRule="auto"/>
      </w:pPr>
      <w:r>
        <w:rPr>
          <w:b/>
        </w:rPr>
        <w:t xml:space="preserve">[176] </w:t>
      </w:r>
      <w:hyperlink r:id="rId586">
        <w:r>
          <w:rPr>
            <w:color w:val="1155CC"/>
            <w:u w:val="single"/>
          </w:rPr>
          <w:t>土地保护领域环境、经济和公平成功的新兴设计原则</w:t>
        </w:r>
      </w:hyperlink>
    </w:p>
    <w:p>
      <w:pPr>
        <w:spacing w:before="0" w:after="80"/>
      </w:pPr>
      <w:r>
        <w:rPr>
          <w:i/>
          <w:sz w:val="20"/>
        </w:rPr>
        <w:t>EN: Emerging design principles for environmental, economic, and equity successes in land conservation</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87">
        <w:r>
          <w:rPr>
            <w:color w:val="1155CC"/>
            <w:u w:val="single"/>
          </w:rPr>
          <w:t>10.1073/pnas.2421731122</w:t>
        </w:r>
      </w:hyperlink>
    </w:p>
    <w:p>
      <w:pPr>
        <w:spacing w:before="0" w:after="120"/>
      </w:pPr>
      <w:r>
        <w:rPr>
          <w:b/>
        </w:rPr>
        <w:t xml:space="preserve">Notes: </w:t>
      </w:r>
      <w:r>
        <w:t>abstract_source=crossref</w:t>
      </w:r>
    </w:p>
    <w:p>
      <w:pPr>
        <w:spacing w:before="0" w:after="80" w:lineRule="auto" w:line="276"/>
      </w:pPr>
      <w:r>
        <w:rPr>
          <w:b/>
        </w:rPr>
        <w:t xml:space="preserve">摘要（ZH）: </w:t>
      </w:r>
      <w:r>
        <w:t>世界范围内的土地保护举措将继续快速增长。这些努力的规模、范围和机制包括分区保护、激励保护和社区集体管理。现在来自各个领域的证据表明，土地保护可以共同改善环境条件，产生积极的当地净经济效益，并支持社会公平。然而，能够带来这种多层面成功的关键政策要素尚不清楚。在这里，我们回顾了大量现有的土地保护研究，并提出八项新兴设计原则，保护行动者可以采用这些原则来支持“三赢”的结果：1）确定和支持可靠的变革途径，2）为所有结果设定目标，认识到它们的相互依赖性，3）通过空间或特定地点的差异适应多种需求和用途，4）通过多样化和限制促进时间弹性，5）促进嵌套治理，6）整合环境和社会结果的信息结构，7）评估使用基于反事实的分析和适应性管理的政策，8) 建立持久的机构和筹资机制。尽管这些设计原则可能会发生变化和发展，但它们提供了一个以证据为基础的框架，以支持当前和未来管理全球土地的努力。</w:t>
      </w:r>
    </w:p>
    <w:p>
      <w:pPr>
        <w:spacing w:before="0" w:after="200" w:lineRule="auto" w:line="276"/>
      </w:pPr>
      <w:r>
        <w:rPr>
          <w:b/>
        </w:rPr>
        <w:t xml:space="preserve">Abstract (EN): </w:t>
      </w:r>
      <w:r>
        <w:t>Land conservation initiatives worldwide are poised to continue rapid growth. Ranging in scale, scope, and mechanisms, these efforts include area-based conservation, incentive-based protection, and community collective management. Evidence from across fields now indicates that it is possible for land conservation to jointly improve environmental conditions, generate positive net local economic benefits, and support social equity. Yet the key policy elements that can lead to this type of multidimensional success are not well understood. Here, we review the considerable body of existing research on land conservation and propose eight emerging design principles that conservation actors can employ to support “win-win-win” outcomes: 1) identify and support credible pathways of change, 2) set goals for all outcomes, recognizing their interdependencies, 3) accommodate multiple needs and uses through spatial or place-specific differentiation, 4) facilitate temporal resilience through diversification and limits, 5) foster nested governance, 6) integrate information structures for environmental and social outcomes, 7) assess policies using counterfactual-based analysis and adaptive management, 8) establish lasting institutions and funding mechanisms. Although these design principles will likely change and evolve, they provide an evidence-grounded framework to support current and future efforts to steward global lands.</w:t>
      </w:r>
    </w:p>
    <w:p>
      <w:pPr>
        <w:spacing w:before="120" w:after="120"/>
      </w:pPr>
      <w:r>
        <w:rPr>
          <w:sz w:val="18"/>
        </w:rPr>
        <w:t>——————————————————————————————————————————————————————————————————————</w:t>
      </w:r>
    </w:p>
    <w:p>
      <w:pPr>
        <w:spacing w:before="160" w:after="40" w:line="240" w:lineRule="auto"/>
      </w:pPr>
      <w:r>
        <w:rPr>
          <w:b/>
        </w:rPr>
        <w:t xml:space="preserve">[177] </w:t>
      </w:r>
      <w:hyperlink r:id="rId588">
        <w:r>
          <w:rPr>
            <w:color w:val="1155CC"/>
            <w:u w:val="single"/>
          </w:rPr>
          <w:t>理性的阿谀奉承与灾难性的风险</w:t>
        </w:r>
      </w:hyperlink>
    </w:p>
    <w:p>
      <w:pPr>
        <w:spacing w:before="0" w:after="80"/>
      </w:pPr>
      <w:r>
        <w:rPr>
          <w:i/>
          <w:sz w:val="20"/>
        </w:rPr>
        <w:t>EN: Rational sycophants and catastrophic risks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89">
        <w:r>
          <w:rPr>
            <w:color w:val="1155CC"/>
            <w:u w:val="single"/>
          </w:rPr>
          <w:t>10.1073/pnas.2537944123</w:t>
        </w:r>
      </w:hyperlink>
    </w:p>
    <w:p>
      <w:pPr>
        <w:spacing w:before="0" w:after="120"/>
      </w:pPr>
      <w:r>
        <w:rPr>
          <w:b/>
        </w:rPr>
        <w:t xml:space="preserve">Notes: </w:t>
      </w:r>
      <w:r>
        <w:t>abstract_source=crossref</w:t>
      </w:r>
    </w:p>
    <w:p>
      <w:pPr>
        <w:spacing w:before="0" w:after="80" w:lineRule="auto" w:line="276"/>
      </w:pPr>
      <w:r>
        <w:rPr>
          <w:b/>
        </w:rPr>
        <w:t xml:space="preserve">摘要（ZH）: </w:t>
      </w:r>
      <w:r>
        <w:t>阿谀奉承者赞扬并支持领导人的建议，以获得个人和职业优势。理性的阿谀奉承者是一位顾问，即使对好的建议和坏的建议的奖励和惩罚程度相同，他也会支持他们认为有害的行为。当所提议的行动的结果分布具有负的预期值但正的中位数（结果不对称）时，就会出现理性的阿谀奉承。当一小部分但有意义的结果是灾难性的时，风险最大，这种情况发生在长尾分布中。鉴于长尾分布的单一认识几乎无法揭示潜在的分布，即使在观察到结果之后，领导者也可能无法区分理性的阿谀奉承和明智的建议。结果，理性的阿谀奉承者可能会获得影响力，并增加灾难性政策结果的可能性。</w:t>
      </w:r>
    </w:p>
    <w:p>
      <w:pPr>
        <w:spacing w:before="0" w:after="200" w:lineRule="auto" w:line="276"/>
      </w:pPr>
      <w:r>
        <w:rPr>
          <w:b/>
        </w:rPr>
        <w:t xml:space="preserve">Abstract (EN): </w:t>
      </w:r>
      <w:r>
        <w:t>Sycophants praise and support leaders’ proposals to gain personal and professional advantage. A rational sycophant is an advisor who supports actions they expect to be harmful even when rewards and punishments for good and bad advice are equal in magnitude. Rational sycophancy arises when the outcome distribution of a proposed action has a negative expected value but a positive median (outcome asymmetry). The risk is greatest when a small yet meaningful fraction of outcomes are catastrophic, which occurs in long-tailed distributions. Given that single realizations from long-tailed distributions reveal little about the underlying distribution, even after outcomes are observed, a leader may be unable to distinguish rational sycophancy from wise counsel. As a result, rational sycophants may gain influence and increase the likelihood of catastrophic policy outcomes.</w:t>
      </w:r>
    </w:p>
    <w:p>
      <w:pPr>
        <w:spacing w:before="120" w:after="120"/>
      </w:pPr>
      <w:r>
        <w:rPr>
          <w:sz w:val="18"/>
        </w:rPr>
        <w:t>——————————————————————————————————————————————————————————————————————</w:t>
      </w:r>
    </w:p>
    <w:p>
      <w:pPr>
        <w:spacing w:before="160" w:after="40" w:line="240" w:lineRule="auto"/>
      </w:pPr>
      <w:r>
        <w:rPr>
          <w:b/>
        </w:rPr>
        <w:t xml:space="preserve">[178] </w:t>
      </w:r>
      <w:hyperlink r:id="rId590">
        <w:r>
          <w:rPr>
            <w:color w:val="1155CC"/>
            <w:u w:val="single"/>
          </w:rPr>
          <w:t>人类细胞中抗 CRISPR 介导的 CRISPR-Cas9 连续定向进化</w:t>
        </w:r>
      </w:hyperlink>
    </w:p>
    <w:p>
      <w:pPr>
        <w:spacing w:before="0" w:after="80"/>
      </w:pPr>
      <w:r>
        <w:rPr>
          <w:i/>
          <w:sz w:val="20"/>
        </w:rPr>
        <w:t>EN: Anti-CRISPR-mediated continuous directed evolution of CRISPR-Cas9 in human cells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91">
        <w:r>
          <w:rPr>
            <w:color w:val="1155CC"/>
            <w:u w:val="single"/>
          </w:rPr>
          <w:t>10.1073/pnas.2536003123</w:t>
        </w:r>
      </w:hyperlink>
    </w:p>
    <w:p>
      <w:pPr>
        <w:spacing w:before="0" w:after="120"/>
      </w:pPr>
      <w:r>
        <w:rPr>
          <w:b/>
        </w:rPr>
        <w:t xml:space="preserve">Notes: </w:t>
      </w:r>
      <w:r>
        <w:t>abstract_source=crossref</w:t>
      </w:r>
    </w:p>
    <w:p>
      <w:pPr>
        <w:spacing w:before="0" w:after="80" w:lineRule="auto" w:line="276"/>
      </w:pPr>
      <w:r>
        <w:rPr>
          <w:b/>
        </w:rPr>
        <w:t xml:space="preserve">摘要（ZH）: </w:t>
      </w:r>
      <w:r>
        <w:t>设计 CRISPR-Cas 系统以改善或改变功能对于研究和治疗应用都至关重要。不幸的是，大多数优化，尤其是细菌宿主中的定向进化，未能捕获复杂的哺乳动物细胞环境的功能需求，而复杂的哺乳动物细胞环境通常需要活动。目前仍然缺乏能够直接在人类细胞中连续定向进化基因组靶向剂的稳健策略。在这里，我们介绍 CRISPR-MACE（哺乳动物细胞腺病毒辅助连续进化）作为满足这一需求的基础技术。 CRISPR-MACE将基于病毒的持续进化与基于抗CRISPR的可调选择相结合，产生</w:t>
      </w:r>
      <w:r>
        <w:t xml:space="preserve"> </w:t>
      </w:r>
      <w:r>
        <w:t>化脓性链球菌</w:t>
      </w:r>
      <w:r>
        <w:t xml:space="preserve"> </w:t>
      </w:r>
      <w:r>
        <w:t>Cas9 变体具有增加和减少 DNA 结合能力，并且对 AcrIIA4（已知最强的 SpCas9 抑制剂）的抵抗力增强了近 1,000 倍。值得注意的是，在独立的进化活动中，相同的 Cas9 看门人突变首先重复出现，从而沿着 Cas9 功能的两个相互依赖的轴实现后续的自适应步骤。除了推进 CRISPR 技术之外，这项工作还为直接在人类细胞中不断进化的 CRISPR-Cas 系统建立了关键原理和合成电路。</w:t>
      </w:r>
    </w:p>
    <w:p>
      <w:pPr>
        <w:spacing w:before="0" w:after="200" w:lineRule="auto" w:line="276"/>
      </w:pPr>
      <w:r>
        <w:rPr>
          <w:b/>
        </w:rPr>
        <w:t xml:space="preserve">Abstract (EN): </w:t>
      </w:r>
      <w:r>
        <w:t>Engineering CRISPR-Cas systems for improved or altered function is critical to both research and therapeutic applications. Unfortunately, most optimization, especially directed evolution in bacterial hosts, fails to capture the functional requirements of the complex mammalian cellular milieu, where activity is usually required. Robust strategies to enable continuous directed evolution of genome-targeting agents directly in human cells remain lacking. Here, we introduce CRISPR-MACE (Mammalian cell-enabled Adenovirus-assisted Continuous Evolution) as a foundational technology to address this need. CRISPR-MACE integrates virus-based continuous evolution with anti-CRISPR-based tunable selection to generate</w:t>
      </w:r>
      <w:r>
        <w:t xml:space="preserve"> </w:t>
      </w:r>
      <w:r>
        <w:t>Streptococcus pyogenes</w:t>
      </w:r>
      <w:r>
        <w:t xml:space="preserve"> </w:t>
      </w:r>
      <w:r>
        <w:t>Cas9 variants with both increased and decreased DNA binding capacity and nearly 1,000-fold-enhanced resistance to AcrIIA4, the strongest known inhibitor of SpCas9. Notably, across independent evolution campaigns, the same Cas9 gatekeeper mutation reproducibly emerged first, enabling subsequent adaptive steps along two interdependent axes of Cas9 function. In addition to advancing CRISPR technologies, this work establishes key principles and synthetic circuits for continuously evolving CRISPR-Cas systems directly in human cells.</w:t>
      </w:r>
    </w:p>
    <w:p>
      <w:pPr>
        <w:spacing w:before="120" w:after="120"/>
      </w:pPr>
      <w:r>
        <w:rPr>
          <w:sz w:val="18"/>
        </w:rPr>
        <w:t>——————————————————————————————————————————————————————————————————————</w:t>
      </w:r>
    </w:p>
    <w:p>
      <w:pPr>
        <w:spacing w:before="160" w:after="40" w:line="240" w:lineRule="auto"/>
      </w:pPr>
      <w:r>
        <w:rPr>
          <w:b/>
        </w:rPr>
        <w:t xml:space="preserve">[179] </w:t>
      </w:r>
      <w:hyperlink r:id="rId592">
        <w:r>
          <w:rPr>
            <w:color w:val="1155CC"/>
            <w:u w:val="single"/>
          </w:rPr>
          <w:t>城市蓝色和绿色空间的可达性-平等动态重塑人类福祉</w:t>
        </w:r>
      </w:hyperlink>
    </w:p>
    <w:p>
      <w:pPr>
        <w:spacing w:before="0" w:after="80"/>
      </w:pPr>
      <w:r>
        <w:rPr>
          <w:i/>
          <w:sz w:val="20"/>
        </w:rPr>
        <w:t>EN: Accessibility–equality dynamics in urban blue and green spaces reshape human well-being</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93">
        <w:r>
          <w:rPr>
            <w:color w:val="1155CC"/>
            <w:u w:val="single"/>
          </w:rPr>
          <w:t>10.1073/pnas.2535714123</w:t>
        </w:r>
      </w:hyperlink>
    </w:p>
    <w:p>
      <w:pPr>
        <w:spacing w:before="0" w:after="120"/>
      </w:pPr>
      <w:r>
        <w:rPr>
          <w:b/>
        </w:rPr>
        <w:t xml:space="preserve">Notes: </w:t>
      </w:r>
      <w:r>
        <w:t>abstract_source=crossref</w:t>
      </w:r>
    </w:p>
    <w:p>
      <w:pPr>
        <w:spacing w:before="0" w:after="80" w:lineRule="auto" w:line="276"/>
      </w:pPr>
      <w:r>
        <w:rPr>
          <w:b/>
        </w:rPr>
        <w:t xml:space="preserve">摘要（ZH）: </w:t>
      </w:r>
      <w:r>
        <w:t>随着城市化进程的加快，城市蓝色和绿色空间越来越被认为是增强人类福祉、提供气候、环境和心理效益的重要的基于自然的解决方案。然而，在可持续城市治理的背景下，人们对这些自然空间的获取以及不同居住地点的城市居民平等获取福祉的机制仍然知之甚少。在这里，我们系统地评估了 2000 年至 2100 年中国 279 个城市蓝色和绿色空间可达性和平等性的时空动态，并评估了它们对福祉的综合影响。我们发现，可达性对幸福感有显着的积极影响，但遵循倒 U 形模式，具有不同的最佳阈值。相比之下，平等与幸福感呈现出一致的、积极的线性关系。尽管预计未来的可达性将会改善，但城市不同群体人口之间持续存在的巨大差异凸显了对城市蓝色和绿色空间进行以公平为中心的治理的迫切需要。这一观点扩展了当前环境正义的方法，同时揭示了资源丰富性与公平分配之间的结构性不匹配。为了解决这种不匹配问题，我们提出了一个优先框架，强调针对具体情况的、有针对性的空间干预措施，以四个关键驱动因素为指导：自然空间与建成区的比例、城市人口规模、高可达性自然空间的比例以及城市景观连通性。通过操作</w:t>
      </w:r>
    </w:p>
    <w:p>
      <w:pPr>
        <w:spacing w:before="0" w:after="200" w:lineRule="auto" w:line="276"/>
      </w:pPr>
      <w:r>
        <w:rPr>
          <w:b/>
        </w:rPr>
        <w:t xml:space="preserve">Abstract (EN): </w:t>
      </w:r>
      <w:r>
        <w:t>As urbanization accelerates, urban blue and green spaces are increasingly recognized as critical nature-based solutions for enhancing human well-being, delivering climate, environmental, and psychological benefits. Yet, the mechanisms by which access to these natural spaces and the equality of access by urbanites in diverse residential locations shape well-being remain poorly understood in the context of sustainable urban governance. Here, we systematically evaluated the spatiotemporal dynamics of urban blue and green space accessibility and equality across 279 Chinese cities from 2000–2100 and assessed their combined effects on well-being. We found that accessibility has a significant positive influence on well-being but follows an inverted-U-shaped pattern with distinct optimal thresholds. By contrast, equality shows a consistent, positive linear relationship with well-being. Although future accessibility is projected to improve, persistently high disparities among different segments of urban populations highlight the urgent need for equity-centered governance of blue and green spaces in cities. This perspective extends current approaches to environmental justice while revealing a structural mismatch between resource abundance and equitable distribution. To address this mismatch, we propose a prioritization framework that emphasizes context-specific, spatially targeted interventions, guided by four key drivers: the natural space to built-up area ratio, urban population size, the proportion of natural spaces with high accessibility, and urban landscape connectivity. By operationalizing these insights in an online toolkit for local governments, this work advances the fields of sustainable urban governance and equitable environmental planning.</w:t>
      </w:r>
    </w:p>
    <w:p>
      <w:pPr>
        <w:spacing w:before="120" w:after="120"/>
      </w:pPr>
      <w:r>
        <w:rPr>
          <w:sz w:val="18"/>
        </w:rPr>
        <w:t>——————————————————————————————————————————————————————————————————————</w:t>
      </w:r>
    </w:p>
    <w:p>
      <w:pPr>
        <w:spacing w:before="160" w:after="40" w:line="240" w:lineRule="auto"/>
      </w:pPr>
      <w:r>
        <w:rPr>
          <w:b/>
        </w:rPr>
        <w:t xml:space="preserve">[180] </w:t>
      </w:r>
      <w:hyperlink r:id="rId594">
        <w:r>
          <w:rPr>
            <w:color w:val="1155CC"/>
            <w:u w:val="single"/>
          </w:rPr>
          <w:t>失聪和听力正常的成年人的阅读能力与源自视觉言语的抽象音系的神经表征有关</w:t>
        </w:r>
      </w:hyperlink>
    </w:p>
    <w:p>
      <w:pPr>
        <w:spacing w:before="0" w:after="80"/>
      </w:pPr>
      <w:r>
        <w:rPr>
          <w:i/>
          <w:sz w:val="20"/>
        </w:rPr>
        <w:t>EN: Reading ability in both deaf and hearing adults is linked to neural representations of abstract phonology derived from visual speech</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95">
        <w:r>
          <w:rPr>
            <w:color w:val="1155CC"/>
            <w:u w:val="single"/>
          </w:rPr>
          <w:t>10.1073/pnas.2535704123</w:t>
        </w:r>
      </w:hyperlink>
    </w:p>
    <w:p>
      <w:pPr>
        <w:spacing w:before="0" w:after="120"/>
      </w:pPr>
      <w:r>
        <w:rPr>
          <w:b/>
        </w:rPr>
        <w:t xml:space="preserve">Notes: </w:t>
      </w:r>
      <w:r>
        <w:t>abstract_source=crossref</w:t>
      </w:r>
    </w:p>
    <w:p>
      <w:pPr>
        <w:spacing w:before="0" w:after="80" w:lineRule="auto" w:line="276"/>
      </w:pPr>
      <w:r>
        <w:rPr>
          <w:b/>
        </w:rPr>
        <w:t xml:space="preserve">摘要（ZH）: </w:t>
      </w:r>
      <w:r>
        <w:t>阅读对于学术和职业成功至关重要。由于接触口语或手语的机会有限，一些聋哑儿童面临阅读挑战。强大的语音表征是听力正常儿童阅读发展的关键。口语音系可能是聋哑儿童阅读能力发展的众多因素之一。事实上，语音阅读能力与聋哑人和听力正常的人的阅读技能相关，这表明无论听力状况如何，它都与阅读发展相关。证据表明语音音系的类似神经表征是由视觉语音和其他语言形式（听觉语音和文本）引起的，并且这些神经表征与阅读能力相关，这将进一步支持这一假设。我们使用功能磁共振成像和表征相似性分析（RSA）来识别口语语音结构的共享神经表征。一组具有手语和口语背景和阅读能力的聋哑成人参与者（N = 22）被呈现为视觉语音和动态文本（草书文本，逐个字母地显示以促进语音阅读策略）等单一词汇项目。成人听力参与者（N = 25）被呈现相同的单词，但作为视觉言语和听觉言语。在每组的上颞叶皮层和中颞叶皮层（STC/MTC）中都发现了英语单词语音结构的共享神经表征，并且这些抽象表征在不同语言形式的更好阅读者中更加相似。我们的d</w:t>
      </w:r>
    </w:p>
    <w:p>
      <w:pPr>
        <w:spacing w:before="0" w:after="200" w:lineRule="auto" w:line="276"/>
      </w:pPr>
      <w:r>
        <w:rPr>
          <w:b/>
        </w:rPr>
        <w:t xml:space="preserve">Abstract (EN): </w:t>
      </w:r>
      <w:r>
        <w:t>Reading is central to academic and vocational success. Some deaf children face reading challenges due to limited access to spoken or signed language. Robust phonological representations are key to reading development in hearing children. Spoken language phonology may be one of many contributors to reading development in deaf children. Indeed, speechreading ability correlates with reading skill in both deaf and hearing individuals, suggesting it is linked to reading development regardless of hearing status. Further support for this hypothesis would be provided by evidence that similar neural representations of speech phonology are evoked by visual speech and other language forms (auditory speech and text) and that these neural representations are related to reading proficiency. We used fMRI and representational similarity analysis (RSA) to identify shared neural representations of spoken language phonological structure. A group of deaf adult participants (N = 22), with a mixture of sign language and spoken language backgrounds and reading abilities, were presented with single lexical items as visual speech and dynamic text (cursive text, revealed letter-by-letter to promote a phonological reading strategy). Adult hearing participants (N = 25) were presented with the same words, but as visual speech and auditory speech. Shared neural representations of phonological structure of English words were found in each group in the superior and middle temporal cortex (STC/MTC) and these abstract representations were more similar across different language forms in better readers. Our data provide neurobiological evidence of the contribution of visual speech to abstract phonological representations of spoken language, that relate to reading proficiency, in both deaf and hearing adults.</w:t>
      </w:r>
    </w:p>
    <w:p>
      <w:pPr>
        <w:spacing w:before="120" w:after="120"/>
      </w:pPr>
      <w:r>
        <w:rPr>
          <w:sz w:val="18"/>
        </w:rPr>
        <w:t>——————————————————————————————————————————————————————————————————————</w:t>
      </w:r>
    </w:p>
    <w:p>
      <w:pPr>
        <w:spacing w:before="160" w:after="40" w:line="240" w:lineRule="auto"/>
      </w:pPr>
      <w:r>
        <w:rPr>
          <w:b/>
        </w:rPr>
        <w:t xml:space="preserve">[181] </w:t>
      </w:r>
      <w:hyperlink r:id="rId596">
        <w:r>
          <w:rPr>
            <w:color w:val="1155CC"/>
            <w:u w:val="single"/>
          </w:rPr>
          <w:t>磷酸乙醇胺胞苷酰转移酶2整合DAG代谢和TBK1激活来调节抗病毒先天免疫</w:t>
        </w:r>
      </w:hyperlink>
    </w:p>
    <w:p>
      <w:pPr>
        <w:spacing w:before="0" w:after="80"/>
      </w:pPr>
      <w:r>
        <w:rPr>
          <w:i/>
          <w:sz w:val="20"/>
        </w:rPr>
        <w:t>EN: Phosphoethanolamine cytidylyltransferase 2 integrates DAG metabolism and TBK1 activation to regulate antiviral innate immunity</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97">
        <w:r>
          <w:rPr>
            <w:color w:val="1155CC"/>
            <w:u w:val="single"/>
          </w:rPr>
          <w:t>10.1073/pnas.2535412123</w:t>
        </w:r>
      </w:hyperlink>
    </w:p>
    <w:p>
      <w:pPr>
        <w:spacing w:before="0" w:after="120"/>
      </w:pPr>
      <w:r>
        <w:rPr>
          <w:b/>
        </w:rPr>
        <w:t xml:space="preserve">Notes: </w:t>
      </w:r>
      <w:r>
        <w:t>abstract_source=crossref</w:t>
      </w:r>
    </w:p>
    <w:p>
      <w:pPr>
        <w:spacing w:before="0" w:after="80" w:lineRule="auto" w:line="276"/>
      </w:pPr>
      <w:r>
        <w:rPr>
          <w:b/>
        </w:rPr>
        <w:t xml:space="preserve">摘要（ZH）: </w:t>
      </w:r>
      <w:r>
        <w:t>磷脂酰乙醇胺 (PE) 生物合成对于膜生物学和细胞稳态至关重要。然而，其在抗病毒先天免疫中的具体作用仍知之甚少。在此，我们证明，磷酸乙醇胺胞苷酰转移酶 2 (PCYT2)（PE 生物合成中的关键酶）的抑制可促进 TBK1 激活，从而增强抗病毒先天免疫反应。从机制上讲，PCYT2 缺陷会导致二酰甘油的积累，从而激活蛋白激酶 C-δ (PKCδ)。我们将 PKCδ 确定为 TBK1 的直接激酶，并证明它在 Ser716 位点上结合并磷酸化 TBK1。 Ser716 磷酸化促进了 TBK1 Ser172 随后的经典磷酸化，导致 TBK1-IRF3 轴过度激活。我们的研究结果揭示了 PE 代谢与抗病毒先天免疫之间的联系，表明针对 PE 生物合成途径可能是对抗病毒感染的潜在治疗策略。</w:t>
      </w:r>
    </w:p>
    <w:p>
      <w:pPr>
        <w:spacing w:before="0" w:after="200" w:lineRule="auto" w:line="276"/>
      </w:pPr>
      <w:r>
        <w:rPr>
          <w:b/>
        </w:rPr>
        <w:t xml:space="preserve">Abstract (EN): </w:t>
      </w:r>
      <w:r>
        <w:t>Phosphatidylethanolamine (PE) biosynthesis is critical for membrane biology and cellular homeostasis. However, its specific role in antiviral innate immunity remains poorly understood. Here, we demonstrate that inhibition of phosphoethanolamine cytidylyltransferase 2 (PCYT2), a key enzyme in PE biosynthesis, promotes TBK1 activation to enhance the antiviral innate immune response. Mechanistically, PCYT2 deficiency leads to the accumulation of diacylglycerol, which activates protein kinase C-δ (PKCδ). We identify PKCδ as a direct kinase for TBK1 and demonstrate that it binds to and phosphorylates TBK1 at Ser716. This Ser716 phosphorylation facilitates the subsequent canonical phosphorylation of TBK1 at Ser172, resulting in hyperactivation of the TBK1–IRF3 axis. Our findings uncover a link between PE metabolism and antiviral innate immunity, suggesting that targeting the PE biosynthesis pathway could be a potential therapeutic strategy against viral infections.</w:t>
      </w:r>
    </w:p>
    <w:p>
      <w:pPr>
        <w:spacing w:before="120" w:after="120"/>
      </w:pPr>
      <w:r>
        <w:rPr>
          <w:sz w:val="18"/>
        </w:rPr>
        <w:t>——————————————————————————————————————————————————————————————————————</w:t>
      </w:r>
    </w:p>
    <w:p>
      <w:pPr>
        <w:spacing w:before="160" w:after="40" w:line="240" w:lineRule="auto"/>
      </w:pPr>
      <w:r>
        <w:rPr>
          <w:b/>
        </w:rPr>
        <w:t xml:space="preserve">[182] </w:t>
      </w:r>
      <w:hyperlink r:id="rId598">
        <w:r>
          <w:rPr>
            <w:color w:val="1155CC"/>
            <w:u w:val="single"/>
          </w:rPr>
          <w:t>人工智能协助少数群体突出性辩论中的对抗性合作</w:t>
        </w:r>
      </w:hyperlink>
    </w:p>
    <w:p>
      <w:pPr>
        <w:spacing w:before="0" w:after="80"/>
      </w:pPr>
      <w:r>
        <w:rPr>
          <w:i/>
          <w:sz w:val="20"/>
        </w:rPr>
        <w:t>EN: AI assists adversarial collaboration in debate on minority salience</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599">
        <w:r>
          <w:rPr>
            <w:color w:val="1155CC"/>
            <w:u w:val="single"/>
          </w:rPr>
          <w:t>10.1073/pnas.2535311123</w:t>
        </w:r>
      </w:hyperlink>
    </w:p>
    <w:p>
      <w:pPr>
        <w:spacing w:before="0" w:after="120"/>
      </w:pPr>
      <w:r>
        <w:rPr>
          <w:b/>
        </w:rPr>
        <w:t xml:space="preserve">Notes: </w:t>
      </w:r>
      <w:r>
        <w:t>abstract_source=crossref</w:t>
      </w:r>
    </w:p>
    <w:p>
      <w:pPr>
        <w:spacing w:before="0" w:after="80" w:lineRule="auto" w:line="276"/>
      </w:pPr>
      <w:r>
        <w:rPr>
          <w:b/>
        </w:rPr>
        <w:t xml:space="preserve">摘要（ZH）: </w:t>
      </w:r>
      <w:r>
        <w:t>科学的进步取决于对相互竞争的假设的严格测试，但许多争议尚未得到解决。对抗性合作——反对的科学家共同设计决定性的测试——是一种提议的解决方案。我们研究大型语言模型（LLM）是否可以通过组织信息、构建辩论和生成候选实验设计来发挥作用。本文报道了一项人工智能辅助的对抗性合作，旨在解决《美国国家科学院院刊》中关于少数族裔显着性的争论——高估了视觉显示中少数族裔面孔的百分比。争论的焦点是，当展示中的少数群体与参与者所在社区（或社会环境）中的少数群体相同时，是否会进一步高估。使用法学硕士来提取和组织相互竞争的命题，我们确定了中心分歧并生成了初步的实验设计来测试主张。人类合作者改进了设计，并创建了两个预先注册的实验，分别操纵少数族裔面孔的种族和参与者社区的种族。数据显示，人们夸大了面部表情中少数族裔的比例。此外，当面部展示中的少数群体也是参与者社区中的少数群体时，高估的程度甚至更大。当两个阵营的研究人员看到结果时，他们对关键假设的信心趋于一致。相对于传统的对抗性协作或其他形式的争议解决，我们不会通过实验测试人工智能辅助的对抗性协作。相反，我们的研究表明</w:t>
      </w:r>
    </w:p>
    <w:p>
      <w:pPr>
        <w:spacing w:before="0" w:after="200" w:lineRule="auto" w:line="276"/>
      </w:pPr>
      <w:r>
        <w:rPr>
          <w:b/>
        </w:rPr>
        <w:t xml:space="preserve">Abstract (EN): </w:t>
      </w:r>
      <w:r>
        <w:t>The advancement of science depends on rigorous tests of competing hypotheses, yet many disputes are left unresolved. Adversarial collaboration—where opposing scientists jointly design decisive tests—is one proposed solution. We examine whether large language models (LLMs) can play a role by organizing information, structuring the debate and generating candidate experimental designs. This article reports an AI-assisted adversarial collaboration designed to resolve a debate in PNAS on minority salience—an overestimation of the percentage of minority faces in a visual display. The debate focused on whether there would be further overestimation when minorities in the displays were the same minorities in participants’ communities (or social environments). Using LLMs to extract and organize competing propositions, we identified central disagreements and generated initial experimental designs to test claims. Human collaborators refined the designs and created two preregistered experiments that factorially manipulated the ethnicity of minority faces and the ethnicity of participants’ communities. Data showed that people exaggerated the percentage of minorities in facial displays. Furthermore, overestimation was even greater when minorities in facial displays were also minorities in participants’ communities. When the two camps of researchers saw the results, their confidence in key hypotheses converged. We do not experimentally test AI-assisted adversarial collaboration relative to traditional adversarial collaboration or other forms of dispute resolution. Rather, our study illustrates how an AI tool can be used with adversarial collaboration to formalize claims, structure disagreements, lower barriers to collaboration, and serve as an impartial observer to strengthen perceptions of fairness.</w:t>
      </w:r>
    </w:p>
    <w:p>
      <w:pPr>
        <w:spacing w:before="120" w:after="120"/>
      </w:pPr>
      <w:r>
        <w:rPr>
          <w:sz w:val="18"/>
        </w:rPr>
        <w:t>——————————————————————————————————————————————————————————————————————</w:t>
      </w:r>
    </w:p>
    <w:p>
      <w:pPr>
        <w:spacing w:before="160" w:after="40" w:line="240" w:lineRule="auto"/>
      </w:pPr>
      <w:r>
        <w:rPr>
          <w:b/>
        </w:rPr>
        <w:t xml:space="preserve">[183] </w:t>
      </w:r>
      <w:hyperlink r:id="rId600">
        <w:r>
          <w:rPr>
            <w:color w:val="1155CC"/>
            <w:u w:val="single"/>
          </w:rPr>
          <w:t>大果植物的威胁状况升高与加勒比群岛大型食果动物的灭绝有关</w:t>
        </w:r>
      </w:hyperlink>
    </w:p>
    <w:p>
      <w:pPr>
        <w:spacing w:before="0" w:after="80"/>
      </w:pPr>
      <w:r>
        <w:rPr>
          <w:i/>
          <w:sz w:val="20"/>
        </w:rPr>
        <w:t>EN: Elevated threat status of large-fruited plants is associated with the extinction of large frugivores in the Caribbean islands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01">
        <w:r>
          <w:rPr>
            <w:color w:val="1155CC"/>
            <w:u w:val="single"/>
          </w:rPr>
          <w:t>10.1073/pnas.2535192123</w:t>
        </w:r>
      </w:hyperlink>
    </w:p>
    <w:p>
      <w:pPr>
        <w:spacing w:before="0" w:after="120"/>
      </w:pPr>
      <w:r>
        <w:rPr>
          <w:b/>
        </w:rPr>
        <w:t xml:space="preserve">Notes: </w:t>
      </w:r>
      <w:r>
        <w:t>abstract_source=crossref</w:t>
      </w:r>
    </w:p>
    <w:p>
      <w:pPr>
        <w:spacing w:before="0" w:after="80" w:lineRule="auto" w:line="276"/>
      </w:pPr>
      <w:r>
        <w:rPr>
          <w:b/>
        </w:rPr>
        <w:t xml:space="preserve">摘要（ZH）: </w:t>
      </w:r>
      <w:r>
        <w:t>人类活动严重损害生物多样性和生态系统功能。一个典型的例子是，由于动物区系丧失（动物数量减少），食果动物及其相应的种子传播服务丧失，最终影响了缺乏生态伙伴的植物物种的持续存在。由于岛屿与世隔绝且面积相对较小，而岛屿上的食果动物及其生物相互作用的损失可能特别严重，而这通常与功能冗余度较低有关。通过对加勒比维尔京群岛的实地观察，我们发现只有 1% 有记录的种子传播事件发生在大果植物中，传播概率与最大的未受威胁食果动物的果实宽度和张口大小之间的重叠密切相关。利用水果-食果动物性状匹配将这种模式外推到加勒比海其他地区，我们发现，由于缺乏动物传播者，大型水果植物物种实际上是“孤儿”，导致岛屿上的濒危率升高。与人类使用等其他压力相比，性状匹配可以更好地解释植物物种的威胁状态，这表明大型食果动物的灭绝或丰度减少正在损害植物互利共生的持续能力。这些结果强烈表明需要恢复整个加勒比地区大型食果动物的数量，要么通过增加目前濒危物种的数量，要么通过灭绝物种的近亲重新野化。</w:t>
      </w:r>
    </w:p>
    <w:p>
      <w:pPr>
        <w:spacing w:before="0" w:after="200" w:lineRule="auto" w:line="276"/>
      </w:pPr>
      <w:r>
        <w:rPr>
          <w:b/>
        </w:rPr>
        <w:t xml:space="preserve">Abstract (EN): </w:t>
      </w:r>
      <w:r>
        <w:t>Anthropogenic activities severely impair biodiversity and ecosystem functionality. A prime example is the loss of frugivores and their corresponding seed dispersal services due to defaunation (the decline of animal populations), ultimately affecting the continued persistence of plant species that lack their ecological partners. Loss of frugivores and their biotic interactions can be particularly severe on islands due to their isolation and relatively small area, which is often associated with low functional redundancy. From field observations on the Caribbean Virgin Islands, we found that only 1% of documented seed dispersal events occurred in large-fruited plants, with dispersal probability closely tied to overlap between fruit width and gape size of the largest nonthreatened frugivore. Using fruit–frugivore trait matching to extrapolate this pattern to the rest of the Caribbean, we found that large-fruited plant species are effectively “orphaned” due to the absence of animal dispersers, resulting in elevated rates of endangerment across islands. Threat status of plant species was better explained by trait matching than other pressures such as human use, suggesting that extinction or reduced abundance of large-bodied frugivores is compromising their plant mutualists’ ability to persist. These results argue strongly for the need to restore populations of large-bodied frugivores across the Caribbean, either through population enhancement of currently endangered species or rewilding with close relatives of extinct species.</w:t>
      </w:r>
    </w:p>
    <w:p>
      <w:pPr>
        <w:spacing w:before="120" w:after="120"/>
      </w:pPr>
      <w:r>
        <w:rPr>
          <w:sz w:val="18"/>
        </w:rPr>
        <w:t>——————————————————————————————————————————————————————————————————————</w:t>
      </w:r>
    </w:p>
    <w:p>
      <w:pPr>
        <w:spacing w:before="160" w:after="40" w:line="240" w:lineRule="auto"/>
      </w:pPr>
      <w:r>
        <w:rPr>
          <w:b/>
        </w:rPr>
        <w:t xml:space="preserve">[184] </w:t>
      </w:r>
      <w:hyperlink r:id="rId602">
        <w:r>
          <w:rPr>
            <w:color w:val="1155CC"/>
            <w:u w:val="single"/>
          </w:rPr>
          <w:t>估算 1985-2023 年土壤碳、氮、pH 和盐度动态的大型框架</w:t>
        </w:r>
      </w:hyperlink>
    </w:p>
    <w:p>
      <w:pPr>
        <w:spacing w:before="0" w:after="80"/>
      </w:pPr>
      <w:r>
        <w:rPr>
          <w:i/>
          <w:sz w:val="20"/>
        </w:rPr>
        <w:t>EN: A large-scale framework for estimating soil carbon, nitrogen, pH, and salinity dynamics for 1985–2023</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03">
        <w:r>
          <w:rPr>
            <w:color w:val="1155CC"/>
            <w:u w:val="single"/>
          </w:rPr>
          <w:t>10.1073/pnas.2534913123</w:t>
        </w:r>
      </w:hyperlink>
    </w:p>
    <w:p>
      <w:pPr>
        <w:spacing w:before="0" w:after="120"/>
      </w:pPr>
      <w:r>
        <w:rPr>
          <w:b/>
        </w:rPr>
        <w:t xml:space="preserve">Notes: </w:t>
      </w:r>
      <w:r>
        <w:t>abstract_source=crossref</w:t>
      </w:r>
    </w:p>
    <w:p>
      <w:pPr>
        <w:spacing w:before="0" w:after="80" w:lineRule="auto" w:line="276"/>
      </w:pPr>
      <w:r>
        <w:rPr>
          <w:b/>
        </w:rPr>
        <w:t xml:space="preserve">摘要（ZH）: </w:t>
      </w:r>
      <w:r>
        <w:t>土壤对于维持地球生命、提供生态系统服务、调节气候以及在全球粮食系统中发挥核心作用至关重要。在过去的几十年中，由于人类活动和气候变化，全世界土壤的主要特性发生了巨大变化，导致其功能发生改变。在这种背景下，全球土壤测绘对于确定退化趋势和为有效的适应战略提供信息至关重要。为了应对这些挑战，这项工作利用机器学习和云计算的进步来开发 HUMERIS，这是一个涵盖 1985 年至 2023 年的全球数据集，涵盖四个关键土壤属性：盐度（EC</w:t>
      </w:r>
      <w:r>
        <w:t xml:space="preserve"> </w:t>
      </w:r>
      <w:r>
        <w:t>e</w:t>
      </w:r>
      <w:r>
        <w:t xml:space="preserve"> </w:t>
      </w:r>
      <w:r>
        <w:t>全球天然无冰陆地表面的 pH 值、氮 (N) 和有机碳 (OC)。 HUMERIS 的目标是创建一个能够预测跨空间尺度、时间和深度的长期土壤动态的框架。对于参考期内的表土，分析表明 N（每年+0.4%）和 OC（每年+0.5%）增加，与 EC 减少相关</w:t>
      </w:r>
      <w:r>
        <w:t xml:space="preserve"> </w:t>
      </w:r>
      <w:r>
        <w:t>e</w:t>
      </w:r>
      <w:r>
        <w:t xml:space="preserve"> </w:t>
      </w:r>
      <w:r>
        <w:t>（每年 -0.2%）和稳定的 pH 值。观察生物群落和土地覆盖类别，出现了两种截然不同的动态。与温暖地区相比，寒冷地区的预测 OC 和 N 有所增加，而土地利用分析显示，从自然土地转变为农田的面积相对减少了 -0.2%。这些结果表明全球土壤特性的变化对农业生态模型、社会经济分析和可持续土地管理具有影响</w:t>
      </w:r>
    </w:p>
    <w:p>
      <w:pPr>
        <w:spacing w:before="0" w:after="200" w:lineRule="auto" w:line="276"/>
      </w:pPr>
      <w:r>
        <w:rPr>
          <w:b/>
        </w:rPr>
        <w:t xml:space="preserve">Abstract (EN): </w:t>
      </w:r>
      <w:r>
        <w:t>Soil is fundamental to sustaining life on Earth, providing ecosystem services, regulating climate, and playing a central role in global food systems. In the last decades, due to human activities and climate change, soils worldwide have experienced substantial changes in their key properties, resulting in alterations to their functions. In this context, global soil mapping is crucial for identifying degradation trends and informing effective adaptation strategies. To address these challenges, this work leverages advances in machine learning and cloud computing to develop HUMERIS, a global dataset spanning 1985 to 2023 and covering four key soil properties: salinity (EC</w:t>
      </w:r>
      <w:r>
        <w:t xml:space="preserve"> </w:t>
      </w:r>
      <w:r>
        <w:t>e</w:t>
      </w:r>
      <w:r>
        <w:t xml:space="preserve"> </w:t>
      </w:r>
      <w:r>
        <w:t>), pH, nitrogen (N), and organic carbon (OC) across natural ice-free land surfaces globally. The goal of HUMERIS is to create a framework able to predict long-term soil dynamics across spatial scales, time, and depth. For topsoil over the reference period, the analysis suggests an increase in N (+0.4% per year) and OC (+0.5% per year), associated with a decrease of EC</w:t>
      </w:r>
      <w:r>
        <w:t xml:space="preserve"> </w:t>
      </w:r>
      <w:r>
        <w:t>e</w:t>
      </w:r>
      <w:r>
        <w:t xml:space="preserve"> </w:t>
      </w:r>
      <w:r>
        <w:t>(−0.2% per year) and stable values of pH. Looking at biomes and land cover classes two contrasting dynamics emerge. Colder regions show an increase in predicted OC and N compared to warmer ones, while land-use analysis reveals that areas converted from natural to cropland exhibit a relative decrease of −0.2%. These results suggest shifts in global soil properties with implications for agroecological modeling, socioeconomic analysis, and sustainable land management.</w:t>
      </w:r>
    </w:p>
    <w:p>
      <w:pPr>
        <w:spacing w:before="120" w:after="120"/>
      </w:pPr>
      <w:r>
        <w:rPr>
          <w:sz w:val="18"/>
        </w:rPr>
        <w:t>——————————————————————————————————————————————————————————————————————</w:t>
      </w:r>
    </w:p>
    <w:p>
      <w:pPr>
        <w:spacing w:before="160" w:after="40" w:line="240" w:lineRule="auto"/>
      </w:pPr>
      <w:r>
        <w:rPr>
          <w:b/>
        </w:rPr>
        <w:t xml:space="preserve">[185] </w:t>
      </w:r>
      <w:hyperlink r:id="rId604">
        <w:r>
          <w:rPr>
            <w:color w:val="1155CC"/>
            <w:u w:val="single"/>
          </w:rPr>
          <w:t>更正了 Gau 等人的观点，胶原纤维的交联导致体外优先间隙区矿化</w:t>
        </w:r>
      </w:hyperlink>
    </w:p>
    <w:p>
      <w:pPr>
        <w:spacing w:before="0" w:after="80"/>
      </w:pPr>
      <w:r>
        <w:rPr>
          <w:i/>
          <w:sz w:val="20"/>
        </w:rPr>
        <w:t>EN: Correction for Gao et al., Cross-linking of collagen fibrils leads to preferential gap zone mineralization in vitro</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05">
        <w:r>
          <w:rPr>
            <w:color w:val="1155CC"/>
            <w:u w:val="single"/>
          </w:rPr>
          <w:t>10.1073/pnas.2616031123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[186] </w:t>
      </w:r>
      <w:hyperlink r:id="rId606">
        <w:r>
          <w:rPr>
            <w:color w:val="1155CC"/>
            <w:u w:val="single"/>
          </w:rPr>
          <w:t>解释生物热反应的普遍性</w:t>
        </w:r>
      </w:hyperlink>
    </w:p>
    <w:p>
      <w:pPr>
        <w:spacing w:before="0" w:after="80"/>
      </w:pPr>
      <w:r>
        <w:rPr>
          <w:i/>
          <w:sz w:val="20"/>
        </w:rPr>
        <w:t>EN: Explaining the universality of biological thermal responses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07">
        <w:r>
          <w:rPr>
            <w:color w:val="1155CC"/>
            <w:u w:val="single"/>
          </w:rPr>
          <w:t>10.1073/pnas.2610187123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[187] </w:t>
      </w:r>
      <w:hyperlink r:id="rId608">
        <w:r>
          <w:rPr>
            <w:color w:val="1155CC"/>
            <w:u w:val="single"/>
          </w:rPr>
          <w:t>3D 洞察月球表面纳米相 Fe0 的多来源</w:t>
        </w:r>
      </w:hyperlink>
    </w:p>
    <w:p>
      <w:pPr>
        <w:spacing w:before="0" w:after="80"/>
      </w:pPr>
      <w:r>
        <w:rPr>
          <w:i/>
          <w:sz w:val="20"/>
        </w:rPr>
        <w:t>EN: 3D insights into the multiorigins of nanophase Fe0 in the Moon surface</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09">
        <w:r>
          <w:rPr>
            <w:color w:val="1155CC"/>
            <w:u w:val="single"/>
          </w:rPr>
          <w:t>10.1073/pnas.2528977123</w:t>
        </w:r>
      </w:hyperlink>
    </w:p>
    <w:p>
      <w:pPr>
        <w:spacing w:before="0" w:after="120"/>
      </w:pPr>
      <w:r>
        <w:rPr>
          <w:b/>
        </w:rPr>
        <w:t xml:space="preserve">Notes: </w:t>
      </w:r>
      <w:r>
        <w:t>abstract_source=crossref</w:t>
      </w:r>
    </w:p>
    <w:p>
      <w:pPr>
        <w:spacing w:before="0" w:after="80" w:lineRule="auto" w:line="276"/>
      </w:pPr>
      <w:r>
        <w:rPr>
          <w:b/>
        </w:rPr>
        <w:t xml:space="preserve">摘要（ZH）: </w:t>
      </w:r>
      <w:r>
        <w:t>纳米相金属铁（npFe</w:t>
      </w:r>
      <w:r>
        <w:rPr>
          <w:vertAlign w:val="subscript"/>
        </w:rPr>
        <w:t>0</w:t>
      </w:r>
      <w:r>
        <w:t>）在月球土壤中是了解无空气天体空间风化机制的关键指标。然而，层状纳米铁的详细三维（3D）空间拓扑和分布</w:t>
      </w:r>
      <w:r>
        <w:rPr>
          <w:vertAlign w:val="subscript"/>
        </w:rPr>
        <w:t>0</w:t>
      </w:r>
      <w:r>
        <w:t>月球土壤样本中很少有记录。在这里，我们揭示了 npFe 独特的 3D 空间多层分布和形态</w:t>
      </w:r>
      <w:r>
        <w:rPr>
          <w:vertAlign w:val="subscript"/>
        </w:rPr>
        <w:t>0</w:t>
      </w:r>
      <w:r>
        <w:t>结合电子断层扫描和光谱技术，在嫦娥五号撞击玻璃中证明了 npFe</w:t>
      </w:r>
      <w:r>
        <w:rPr>
          <w:vertAlign w:val="subscript"/>
        </w:rPr>
        <w:t>0</w:t>
      </w:r>
      <w:r>
        <w:t>源自硫化铁分解、Fe(II)歧化和太阳风照射等多种效应。我们为硫化铁分解产生不规则形状的 npFe 提供了直接证据</w:t>
      </w:r>
      <w:r>
        <w:rPr>
          <w:vertAlign w:val="subscript"/>
        </w:rPr>
        <w:t>0</w:t>
      </w:r>
      <w:r>
        <w:t>。这项研究量化了 npFe 的 3D 丰度</w:t>
      </w:r>
      <w:r>
        <w:rPr>
          <w:vertAlign w:val="subscript"/>
        </w:rPr>
        <w:t>0</w:t>
      </w:r>
      <w:r>
        <w:t>在一块月球撞击玻璃中，揭示了局部铁</w:t>
      </w:r>
      <w:r>
        <w:rPr>
          <w:vertAlign w:val="subscript"/>
        </w:rPr>
        <w:t>0</w:t>
      </w:r>
      <w:r>
        <w:t>累积量高达 7.1 wt%。我们的结果为 npFe 的多种共存形成机制提供了 3D 纳米级分析</w:t>
      </w:r>
      <w:r>
        <w:rPr>
          <w:vertAlign w:val="subscript"/>
        </w:rPr>
        <w:t>0</w:t>
      </w:r>
      <w:r>
        <w:t>，阐明月球表面复杂的空间风化过程。</w:t>
      </w:r>
    </w:p>
    <w:p>
      <w:pPr>
        <w:spacing w:before="0" w:after="200" w:lineRule="auto" w:line="276"/>
      </w:pPr>
      <w:r>
        <w:rPr>
          <w:b/>
        </w:rPr>
        <w:t xml:space="preserve">Abstract (EN): </w:t>
      </w:r>
      <w:r>
        <w:t>Nanophase metallic iron (npFe</w:t>
      </w:r>
      <w:r>
        <w:rPr>
          <w:vertAlign w:val="subscript"/>
        </w:rPr>
        <w:t>0</w:t>
      </w:r>
      <w:r>
        <w:t>) in lunar soils is a key indicator for understanding the space weathering mechanisms of airless bodies. However, the detailed three-dimensional (3D) spatial topology and distribution of layered npFe</w:t>
      </w:r>
      <w:r>
        <w:rPr>
          <w:vertAlign w:val="subscript"/>
        </w:rPr>
        <w:t>0</w:t>
      </w:r>
      <w:r>
        <w:t>have rarely been documented in lunar soil samples. Here, we reveal the unique 3D spatial multilayered distributions and morphologies of npFe</w:t>
      </w:r>
      <w:r>
        <w:rPr>
          <w:vertAlign w:val="subscript"/>
        </w:rPr>
        <w:t>0</w:t>
      </w:r>
      <w:r>
        <w:t>in the Chang’e-5 impact glass using a combination of electron tomography and spectroscopic techniques, demonstrating that npFe</w:t>
      </w:r>
      <w:r>
        <w:rPr>
          <w:vertAlign w:val="subscript"/>
        </w:rPr>
        <w:t>0</w:t>
      </w:r>
      <w:r>
        <w:t>originates from multiple effects including iron sulfide decomposition, Fe(II) disproportionation, and solar wind irradiation. We provide direct evidence for the decomposition of iron sulfide to produce irregularly shaped npFe</w:t>
      </w:r>
      <w:r>
        <w:rPr>
          <w:vertAlign w:val="subscript"/>
        </w:rPr>
        <w:t>0</w:t>
      </w:r>
      <w:r>
        <w:t>. This study quantifies the 3D abundance of npFe</w:t>
      </w:r>
      <w:r>
        <w:rPr>
          <w:vertAlign w:val="subscript"/>
        </w:rPr>
        <w:t>0</w:t>
      </w:r>
      <w:r>
        <w:t>in a piece of lunar impact glass, revealing localized Fe</w:t>
      </w:r>
      <w:r>
        <w:rPr>
          <w:vertAlign w:val="subscript"/>
        </w:rPr>
        <w:t>0</w:t>
      </w:r>
      <w:r>
        <w:t>accumulation up to 7.1 wt%. Our results provide 3D nanoscale analysis for multiple coexisting formation mechanisms of npFe</w:t>
      </w:r>
      <w:r>
        <w:rPr>
          <w:vertAlign w:val="subscript"/>
        </w:rPr>
        <w:t>0</w:t>
      </w:r>
      <w:r>
        <w:t>, elucidating the complex space weathering processes in the lunar surface.</w:t>
      </w:r>
    </w:p>
    <w:p>
      <w:pPr>
        <w:spacing w:before="120" w:after="120"/>
      </w:pPr>
      <w:r>
        <w:rPr>
          <w:sz w:val="18"/>
        </w:rPr>
        <w:t>——————————————————————————————————————————————————————————————————————</w:t>
      </w:r>
    </w:p>
    <w:p>
      <w:pPr>
        <w:spacing w:before="160" w:after="40" w:line="240" w:lineRule="auto"/>
      </w:pPr>
      <w:r>
        <w:rPr>
          <w:b/>
        </w:rPr>
        <w:t xml:space="preserve">[188] </w:t>
      </w:r>
      <w:hyperlink r:id="rId610">
        <w:r>
          <w:rPr>
            <w:color w:val="1155CC"/>
            <w:u w:val="single"/>
          </w:rPr>
          <w:t>并非所有肠道细胞昼夜节律振荡器都可以通过食物夹带</w:t>
        </w:r>
      </w:hyperlink>
    </w:p>
    <w:p>
      <w:pPr>
        <w:spacing w:before="0" w:after="80"/>
      </w:pPr>
      <w:r>
        <w:rPr>
          <w:i/>
          <w:sz w:val="20"/>
        </w:rPr>
        <w:t>EN: Not all gut cellular circadian oscillators are food entrainable</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11">
        <w:r>
          <w:rPr>
            <w:color w:val="1155CC"/>
            <w:u w:val="single"/>
          </w:rPr>
          <w:t>10.1073/pnas.2601012123</w:t>
        </w:r>
      </w:hyperlink>
    </w:p>
    <w:p>
      <w:pPr>
        <w:spacing w:before="0" w:after="120"/>
      </w:pPr>
      <w:r>
        <w:rPr>
          <w:b/>
        </w:rPr>
        <w:t xml:space="preserve">Notes: </w:t>
      </w:r>
      <w:r>
        <w:t>abstract_source=crossref</w:t>
      </w:r>
    </w:p>
    <w:p>
      <w:pPr>
        <w:spacing w:before="0" w:after="80" w:lineRule="auto" w:line="276"/>
      </w:pPr>
      <w:r>
        <w:rPr>
          <w:b/>
        </w:rPr>
        <w:t xml:space="preserve">摘要（ZH）: </w:t>
      </w:r>
      <w:r>
        <w:t>昼夜节律无处不在，体内大多数器官都含有昼夜节律振荡器。肠道包含具有不同发育起源和生理功能的多种细胞类型。然而，哪些肠道细胞含有细胞自主昼夜节律振荡器，以及不同肠道细胞类型中的昼夜节律振荡器如何彼此同步以及与环境日常周期同步，仍然知之甚少。为了解决这些问题，我们构建了一种 Cre 依赖性 PER2::LUCIFERASE 报告基因敲入小鼠，能够对特定细胞群中的昼夜节律振荡进行离体测量。在外肌层五种主要细胞类型（肠神经元（EN）、肠神经胶质细胞（EGC）、卡哈尔间质细胞（ICC）、平滑肌细胞（SMC）和肌层巨噬细胞（MM））中表达报告基因的小鼠的离体肠道外植体表现出强大的、自我维持的昼夜生物发光节律，证明这些细胞类型中的每一种都具有细胞自主性昼夜节律振荡器。重要的是，EN、EGC、SMC 和 MM 中的昼夜节律振荡器受到进食-禁食周期的影响，而 ICC 中的昼夜节律振荡器仍然对食物夹带具有抵抗力。这些发现表明，不同的肠道细胞类型具有独特的夹带特性，并且在不活动期间进食会引起肠道昼夜节律振荡器的异质相移，导致肠道内的时间昼夜节律失调。由于昼夜节律紊乱（例如与轮班工作相关的昼夜节律紊乱）会导致肠道疾病，包括</w:t>
      </w:r>
    </w:p>
    <w:p>
      <w:pPr>
        <w:spacing w:before="0" w:after="200" w:lineRule="auto" w:line="276"/>
      </w:pPr>
      <w:r>
        <w:rPr>
          <w:b/>
        </w:rPr>
        <w:t xml:space="preserve">Abstract (EN): </w:t>
      </w:r>
      <w:r>
        <w:t>Circadian rhythms are ubiquitous, and most of the organs in the body contain circadian oscillators. The intestine comprises diverse cell types with distinct developmental origins and physiological functions. However, which intestinal cells contain cell-autonomous circadian oscillators and how circadian oscillators in distinct intestinal cell types synchronize with one another and with environmental daily cycles remain poorly understood. To address these questions, we generated a Cre-dependent PER2::LUCIFERASE reporter knock-in mouse that enables ex vivo measurement of circadian oscillations in defined cell populations. Ex vivo gut explants from mice expressing the reporter in one of five major cell types of the muscularis externa—enteric neurons (ENs), enteric glial cells (EGCs), interstitial cells of Cajal (ICCs), smooth muscle cells (SMCs), and muscularis macrophages (MMs)—exhibited robust, self-sustained circadian bioluminescence rhythms, demonstrating that each of these cell types harbors a cell-autonomous circadian oscillator. Importantly, circadian oscillators in ENs, EGCs, SMCs, and MMs entrained to feeding-fasting cycles, whereas circadian oscillators in ICCs remained resistant to food entrainment. These findings reveal that distinct intestinal cell types possess unique entrainment properties, and feeding during inactive time induces heterogeneous phase shifts across gut circadian oscillators, leading to temporal circadian misalignment within the intestine. As circadian disruptions, such as those associated with shift work, contribute to intestinal disorders, including inflammatory bowel disease and disorders of the gut–brain interaction, studying how intercellular circadian desynchrony influences intestinal homeostasis should provide chronobiology-based therapeutic strategies to combat these diseases.</w:t>
      </w:r>
    </w:p>
    <w:p>
      <w:pPr>
        <w:spacing w:before="120" w:after="120"/>
      </w:pPr>
      <w:r>
        <w:rPr>
          <w:sz w:val="18"/>
        </w:rPr>
        <w:t>——————————————————————————————————————————————————————————————————————</w:t>
      </w:r>
    </w:p>
    <w:p>
      <w:pPr>
        <w:spacing w:before="160" w:after="40" w:line="240" w:lineRule="auto"/>
      </w:pPr>
      <w:r>
        <w:rPr>
          <w:b/>
        </w:rPr>
        <w:t xml:space="preserve">[189] </w:t>
      </w:r>
      <w:hyperlink r:id="rId612">
        <w:r>
          <w:rPr>
            <w:color w:val="1155CC"/>
            <w:u w:val="single"/>
          </w:rPr>
          <w:t>引进物种无法拯救加勒比珊瑚礁</w:t>
        </w:r>
      </w:hyperlink>
    </w:p>
    <w:p>
      <w:pPr>
        <w:spacing w:before="0" w:after="80"/>
      </w:pPr>
      <w:r>
        <w:rPr>
          <w:i/>
          <w:sz w:val="20"/>
        </w:rPr>
        <w:t>EN: Introduced species will not save Caribbean coral reefs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13">
        <w:r>
          <w:rPr>
            <w:color w:val="1155CC"/>
            <w:u w:val="single"/>
          </w:rPr>
          <w:t>10.1073/pnas.2610820123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[190] </w:t>
      </w:r>
      <w:hyperlink r:id="rId614">
        <w:r>
          <w:rPr>
            <w:color w:val="1155CC"/>
            <w:u w:val="single"/>
          </w:rPr>
          <w:t>spastin 诱导的纳米损伤位点的微管蛋白通量调节微管救援频率和 EB1 寿命</w:t>
        </w:r>
      </w:hyperlink>
    </w:p>
    <w:p>
      <w:pPr>
        <w:spacing w:before="0" w:after="80"/>
      </w:pPr>
      <w:r>
        <w:rPr>
          <w:i/>
          <w:sz w:val="20"/>
        </w:rPr>
        <w:t>EN: Tubulin flux at spastin-induced nanodamage sites regulates microtubule rescue frequency and EB1 lifetimes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15">
        <w:r>
          <w:rPr>
            <w:color w:val="1155CC"/>
            <w:u w:val="single"/>
          </w:rPr>
          <w:t>10.1073/pnas.2517683123</w:t>
        </w:r>
      </w:hyperlink>
    </w:p>
    <w:p>
      <w:pPr>
        <w:spacing w:before="0" w:after="120"/>
      </w:pPr>
      <w:r>
        <w:rPr>
          <w:b/>
        </w:rPr>
        <w:t xml:space="preserve">Notes: </w:t>
      </w:r>
      <w:r>
        <w:t>abstract_source=crossref</w:t>
      </w:r>
    </w:p>
    <w:p>
      <w:pPr>
        <w:spacing w:before="0" w:after="80" w:lineRule="auto" w:line="276"/>
      </w:pPr>
      <w:r>
        <w:rPr>
          <w:b/>
        </w:rPr>
        <w:t xml:space="preserve">摘要（ZH）: </w:t>
      </w:r>
      <w:r>
        <w:t>通过提取微管蛋白亚基来切断酶纳米损伤微管。这种提取伴随着可溶性微管蛋白的自发修复。在这里，我们表明 GTP-，而不是 GDP-微管蛋白，优先掺入纳米损伤位点，在那里招募末端结合蛋白 1 (EB1)。使用 GTP 水解缺陷的重组微管蛋白突变体，我们发现微管蛋白 GTP 酶是修复位点 EB1 关联的计时器。微管蛋白的结合率控制着 spastin 催化的 GTP 岛的大小和寿命，从而促进救援。与此一致的是，首先，与不存在修复的情况不同，修复存在下的挽救率随微管蛋白浓度变化很大；其次，spastin催化的晶格重塑，而不是单独的酶的被动结合，增加了挽救率。此外，我们发现，当细胞中低水平过度表达时，spastin 会催化微管修复并影响微管生长。因此，在体外和细胞内，微管切断都是通过 GTP-微管蛋白修复中间体进行的。我们的工作表明，切断酶通过微管蛋白提取和修复对微管功能发挥作用，并通过沿着晶格的微管蛋白二聚体交换有力地支持微管动力学调节。</w:t>
      </w:r>
    </w:p>
    <w:p>
      <w:pPr>
        <w:spacing w:before="0" w:after="200" w:lineRule="auto" w:line="276"/>
      </w:pPr>
      <w:r>
        <w:rPr>
          <w:b/>
        </w:rPr>
        <w:t xml:space="preserve">Abstract (EN): </w:t>
      </w:r>
      <w:r>
        <w:t>Severing enzymes nanodamage microtubules by extracting tubulin subunits. This extraction is accompanied by spontaneous repair with soluble tubulin. Here, we show that GTP-, and not GDP–tubulin, incorporates preferentially at nanodamage sites where it recruits end binding protein-1 (EB1). Using GTP hydrolysis-defective recombinant tubulin mutants we show that the tubulin GTPase is a timer for EB1 association at repair sites. Tubulin on-rate controls both the size and lifetime of the spastin-catalyzed GTP-islands which promote rescues. Consistent with this, first, rescue rates in the presence of repair vary steeply with tubulin concentration, unlike in the absence of repair, and second, spastin-catalyzed lattice remodeling, and not passive binding of the enzyme alone, increases rescue rates. Furthermore, we show that, when overexpressed at low levels in cells, spastin catalyzes microtubule repair and affects microtubule growth. Thus, microtubule severing proceeds through GTP–tubulin repair intermediates both in vitro and in cells. Our work demonstrates that severing enzymes exert their effects on microtubule function through tubulin extraction and repair and strongly supports microtubule dynamics regulation through tubulin dimer exchange along the lattice.</w:t>
      </w:r>
    </w:p>
    <w:p>
      <w:pPr>
        <w:spacing w:before="120" w:after="120"/>
      </w:pPr>
      <w:r>
        <w:rPr>
          <w:sz w:val="18"/>
        </w:rPr>
        <w:t>——————————————————————————————————————————————————————————————————————</w:t>
      </w:r>
    </w:p>
    <w:p>
      <w:pPr>
        <w:spacing w:before="160" w:after="40" w:line="240" w:lineRule="auto"/>
      </w:pPr>
      <w:r>
        <w:rPr>
          <w:b/>
        </w:rPr>
        <w:t xml:space="preserve">[191] </w:t>
      </w:r>
      <w:hyperlink r:id="rId616">
        <w:r>
          <w:rPr>
            <w:color w:val="1155CC"/>
            <w:u w:val="single"/>
          </w:rPr>
          <w:t>物种形成和过去的灭绝速度影响大陆范围内的食物网</w:t>
        </w:r>
      </w:hyperlink>
    </w:p>
    <w:p>
      <w:pPr>
        <w:spacing w:before="0" w:after="80"/>
      </w:pPr>
      <w:r>
        <w:rPr>
          <w:i/>
          <w:sz w:val="20"/>
        </w:rPr>
        <w:t>EN: Rates of speciation and past extinctions affect food webs on continental scales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17">
        <w:r>
          <w:rPr>
            <w:color w:val="1155CC"/>
            <w:u w:val="single"/>
          </w:rPr>
          <w:t>10.1073/pnas.2611973123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[192] </w:t>
      </w:r>
      <w:hyperlink r:id="rId618">
        <w:r>
          <w:rPr>
            <w:color w:val="1155CC"/>
            <w:u w:val="single"/>
          </w:rPr>
          <w:t>HHIP 在上皮伤口愈合中的动态作用揭示了 COPD 易感性的潜在机制</w:t>
        </w:r>
      </w:hyperlink>
    </w:p>
    <w:p>
      <w:pPr>
        <w:spacing w:before="0" w:after="80"/>
      </w:pPr>
      <w:r>
        <w:rPr>
          <w:i/>
          <w:sz w:val="20"/>
        </w:rPr>
        <w:t>EN: HHIP’s dynamic role in epithelial wound healing reveals a potential mechanism of COPD susceptibility</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19">
        <w:r>
          <w:rPr>
            <w:color w:val="1155CC"/>
            <w:u w:val="single"/>
          </w:rPr>
          <w:t>10.1073/pnas.2424377123</w:t>
        </w:r>
      </w:hyperlink>
    </w:p>
    <w:p>
      <w:pPr>
        <w:spacing w:before="0" w:after="120"/>
      </w:pPr>
      <w:r>
        <w:rPr>
          <w:b/>
        </w:rPr>
        <w:t xml:space="preserve">Notes: </w:t>
      </w:r>
      <w:r>
        <w:t>abstract_source=crossref</w:t>
      </w:r>
    </w:p>
    <w:p>
      <w:pPr>
        <w:spacing w:before="0" w:after="80" w:lineRule="auto" w:line="276"/>
      </w:pPr>
      <w:r>
        <w:rPr>
          <w:b/>
        </w:rPr>
        <w:t xml:space="preserve">摘要（ZH）: </w:t>
      </w:r>
      <w:r>
        <w:t>Hedgehog 相互作用蛋白附近的遗传变异（</w:t>
      </w:r>
      <w:r>
        <w:t xml:space="preserve"> </w:t>
      </w:r>
      <w:r>
        <w:t>健康促进计划</w:t>
      </w:r>
      <w:r>
        <w:t xml:space="preserve"> </w:t>
      </w:r>
      <w:r>
        <w:t>）一直与慢性阻塞性肺病（COPD）风险增加相关，慢性阻塞性肺病是全球第三大死因。然而，</w:t>
      </w:r>
      <w:r>
        <w:t xml:space="preserve"> </w:t>
      </w:r>
      <w:r>
        <w:t>健康促进计划</w:t>
      </w:r>
      <w:r>
        <w:t xml:space="preserve"> </w:t>
      </w:r>
      <w:r>
        <w:t>在 COPD 发病机制中的作用仍然难以捉摸。通常，HHIP 是 Hedgehog 通路及其下游的负调节因子</w:t>
      </w:r>
      <w:r>
        <w:t xml:space="preserve"> </w:t>
      </w:r>
      <w:r>
        <w:t>GLI1</w:t>
      </w:r>
      <w:r>
        <w:t xml:space="preserve"> </w:t>
      </w:r>
      <w:r>
        <w:t>和</w:t>
      </w:r>
      <w:r>
        <w:t xml:space="preserve"> </w:t>
      </w:r>
      <w:r>
        <w:t>GLI2</w:t>
      </w:r>
      <w:r>
        <w:t xml:space="preserve"> </w:t>
      </w:r>
      <w:r>
        <w:t>激活。 Hedgehog 通路在伤口愈合中发挥着重要作用，特别是在激活驱动上皮间质转化 (EMT) 的转录因子方面发挥着重要作用，而处于中间状态（部分 EMT）的转录因子对于闭合伤口的细胞的集体运动是必需的。在此，我们使用系统生物学方法提出了一种机制来解释 HHIP 在上皮伤口愈合不良中的作用，这可能导致肺气肿的发展，这是慢性阻塞性肺病的一个关键特征。使用两种不同的布尔模型，我们发现功能失调的 HHIP 会导致 GLI 缺乏负反馈，从而触发完整的 EMT，其中细胞变成间质并且不能正确闭合伤口。我们使用从已发表的科学文献中收集的实验证据来验证这些布尔模型。最后，我们展示了来自不同 COPD 队列的单细胞和单核 RNA-Seq 数据支持我们假设的证据，</w:t>
      </w:r>
      <w:r>
        <w:t xml:space="preserve"> </w:t>
      </w:r>
      <w:r>
        <w:t>时髦</w:t>
      </w:r>
      <w:r>
        <w:t xml:space="preserve"> </w:t>
      </w:r>
      <w:r>
        <w:t>杂合基因敲除小鼠。总体而言，我们的分析表明，由于营养不良导致的伤口愈合异常</w:t>
      </w:r>
    </w:p>
    <w:p>
      <w:pPr>
        <w:spacing w:before="0" w:after="200" w:lineRule="auto" w:line="276"/>
      </w:pPr>
      <w:r>
        <w:rPr>
          <w:b/>
        </w:rPr>
        <w:t xml:space="preserve">Abstract (EN): </w:t>
      </w:r>
      <w:r>
        <w:t>Genetic variants near Hedgehog interacting protein (</w:t>
      </w:r>
      <w:r>
        <w:t xml:space="preserve"> </w:t>
      </w:r>
      <w:r>
        <w:t>HHIP</w:t>
      </w:r>
      <w:r>
        <w:t xml:space="preserve"> </w:t>
      </w:r>
      <w:r>
        <w:t>) have been consistently associated with increased risk for chronic obstructive pulmonary disease (COPD), the third leading cause of death worldwide. However,</w:t>
      </w:r>
      <w:r>
        <w:t xml:space="preserve"> </w:t>
      </w:r>
      <w:r>
        <w:t>HHIP</w:t>
      </w:r>
      <w:r>
        <w:t xml:space="preserve"> </w:t>
      </w:r>
      <w:r>
        <w:t>’s role in COPD pathogenesis remains elusive. Canonically, HHIP is a negative regulator of the Hedgehog pathway and downstream</w:t>
      </w:r>
      <w:r>
        <w:t xml:space="preserve"> </w:t>
      </w:r>
      <w:r>
        <w:t>GLI1</w:t>
      </w:r>
      <w:r>
        <w:t xml:space="preserve"> </w:t>
      </w:r>
      <w:r>
        <w:t>and</w:t>
      </w:r>
      <w:r>
        <w:t xml:space="preserve"> </w:t>
      </w:r>
      <w:r>
        <w:t>GLI2</w:t>
      </w:r>
      <w:r>
        <w:t xml:space="preserve"> </w:t>
      </w:r>
      <w:r>
        <w:t>activation. The Hedgehog pathway plays an important role in wound healing, specifically in activating transcription factors that drive the epithelial–mesenchymal transition (EMT), which in its intermediate state (partial EMT) is necessary for the collective movement of cells closing a wound. Herein, we use a systems biology approach to propose a mechanism to explain HHIP’s role in faulty epithelial wound healing, which could contribute to the development of emphysema, a key feature of COPD. Using two different Boolean models, we show dysfunctional HHIP results in a lack of negative feedback on GLI, triggering a full EMT, where cells become mesenchymal and do not properly close the wound. We validate these Boolean models with experimental evidence gathered from published scientific literature. Finally, we show evidence supporting our hypothesis in single-cell and single-nucleus RNA-Seq data from different COPD cohorts and</w:t>
      </w:r>
      <w:r>
        <w:t xml:space="preserve"> </w:t>
      </w:r>
      <w:r>
        <w:t>Hhip</w:t>
      </w:r>
      <w:r>
        <w:t xml:space="preserve"> </w:t>
      </w:r>
      <w:r>
        <w:t>heterozygous knockout mice. Overall, our analyses suggest that aberrant wound healing due to dysfunctional HHIP, combined with chronic epithelial damage through cigarette smoke exposure, may be a primary cause of COPD-associated emphysema.</w:t>
      </w:r>
    </w:p>
    <w:p>
      <w:pPr>
        <w:spacing w:before="120" w:after="120"/>
      </w:pPr>
      <w:r>
        <w:rPr>
          <w:sz w:val="18"/>
        </w:rPr>
        <w:t>——————————————————————————————————————————————————————————————————————</w:t>
      </w:r>
    </w:p>
    <w:p>
      <w:pPr>
        <w:spacing w:before="160" w:after="40" w:line="240" w:lineRule="auto"/>
      </w:pPr>
      <w:r>
        <w:rPr>
          <w:b/>
        </w:rPr>
        <w:t xml:space="preserve">[193] </w:t>
      </w:r>
      <w:hyperlink r:id="rId620">
        <w:r>
          <w:rPr>
            <w:color w:val="1155CC"/>
            <w:u w:val="single"/>
          </w:rPr>
          <w:t>减数分裂特异性基因在新型隐球菌泰坦细胞倍性减少中发挥作用</w:t>
        </w:r>
      </w:hyperlink>
    </w:p>
    <w:p>
      <w:pPr>
        <w:spacing w:before="0" w:after="80"/>
      </w:pPr>
      <w:r>
        <w:rPr>
          <w:i/>
          <w:sz w:val="20"/>
        </w:rPr>
        <w:t>EN: Meiosis-specific genes play roles in ploidy reduction in Cryptococcus neoformans titan cells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21">
        <w:r>
          <w:rPr>
            <w:color w:val="1155CC"/>
            <w:u w:val="single"/>
          </w:rPr>
          <w:t>10.1073/pnas.2522069123</w:t>
        </w:r>
      </w:hyperlink>
    </w:p>
    <w:p>
      <w:pPr>
        <w:spacing w:before="0" w:after="120"/>
      </w:pPr>
      <w:r>
        <w:rPr>
          <w:b/>
        </w:rPr>
        <w:t xml:space="preserve">Notes: </w:t>
      </w:r>
      <w:r>
        <w:t>abstract_source=crossref</w:t>
      </w:r>
    </w:p>
    <w:p>
      <w:pPr>
        <w:spacing w:before="0" w:after="80" w:lineRule="auto" w:line="276"/>
      </w:pPr>
      <w:r>
        <w:rPr>
          <w:b/>
        </w:rPr>
        <w:t xml:space="preserve">摘要（ZH）: </w:t>
      </w:r>
      <w:r>
        <w:t>新型隐球菌</w:t>
      </w:r>
      <w:r>
        <w:t xml:space="preserve"> </w:t>
      </w:r>
      <w:r>
        <w:t>是一种人类真菌病原体，可引起危及生命的脑膜脑炎。在感染过程中，会产生增大的多倍体泰坦细胞，部分通过抵抗吞噬作用来促进在宿主体内的持久存在；在应激条件下，例如接触抗真菌药物氟康唑，泰坦细胞可以产生非整倍体或二倍体的耐药子细胞。然而，这种倍性减少的机制仍然知之甚少。有趣的是，减数分裂相关基因已被证明在减数分裂过程中被激活</w:t>
      </w:r>
      <w:r>
        <w:t xml:space="preserve"> </w:t>
      </w:r>
      <w:r>
        <w:t>隐球菌属</w:t>
      </w:r>
      <w:r>
        <w:t xml:space="preserve"> </w:t>
      </w:r>
      <w:r>
        <w:t>感染，使我们假设去多倍化</w:t>
      </w:r>
      <w:r>
        <w:t xml:space="preserve"> </w:t>
      </w:r>
      <w:r>
        <w:t>新型隐球菌</w:t>
      </w:r>
      <w:r>
        <w:t xml:space="preserve"> </w:t>
      </w:r>
      <w:r>
        <w:t>泰坦细胞可能通过类似于减数分裂期间倍性减少的过程发生。在这项研究中，我们表明，从二倍体菌株发育而来的泰坦细胞主要产生二倍体子细胞，而单倍体子细胞很少观察到。我们进一步证明减数分裂特异性基因，包括</w:t>
      </w:r>
      <w:r>
        <w:t xml:space="preserve"> </w:t>
      </w:r>
      <w:r>
        <w:t>DMC1</w:t>
      </w:r>
      <w:r>
        <w:t xml:space="preserve"> </w:t>
      </w:r>
      <w:r>
        <w:t>和</w:t>
      </w:r>
      <w:r>
        <w:t xml:space="preserve"> </w:t>
      </w:r>
      <w:r>
        <w:t>SPO11</w:t>
      </w:r>
      <w:r>
        <w:t xml:space="preserve"> </w:t>
      </w:r>
      <w:r>
        <w:t>，对于子细胞中二倍体基因组的稳定遗传至关重要。具体来说，在杂合二倍体背景中删除这些基因会导致：1）泰坦细胞产生子细胞的能力显着降低； 2) 泰坦细胞产生的子细胞之间的表型变异增加，包括可能与细胞生长和活力相关的性状； 3) 山雀产生的子细胞</w:t>
      </w:r>
    </w:p>
    <w:p>
      <w:pPr>
        <w:spacing w:before="0" w:after="200" w:lineRule="auto" w:line="276"/>
      </w:pPr>
      <w:r>
        <w:rPr>
          <w:b/>
        </w:rPr>
        <w:t xml:space="preserve">Abstract (EN): </w:t>
      </w:r>
      <w:r>
        <w:t>Cryptococcus neoformans</w:t>
      </w:r>
      <w:r>
        <w:t xml:space="preserve"> </w:t>
      </w:r>
      <w:r>
        <w:t>is a fungal pathogen of humans that causes life-threatening meningoencephalitis. During infection, enlarged, polyploid titan cells are produced that promote persistence in the host, in part by resisting phagocytosis; under stress conditions, such as exposure to the antifungal drug fluconazole, titan cells can produce aneuploid or diploid, drug-resistant daughter cells. However, the mechanism underlying this ploidy reduction remains poorly understood. Interestingly, meiosis-related genes have been shown to be activated during</w:t>
      </w:r>
      <w:r>
        <w:t xml:space="preserve"> </w:t>
      </w:r>
      <w:r>
        <w:t>Cryptococcus</w:t>
      </w:r>
      <w:r>
        <w:t xml:space="preserve"> </w:t>
      </w:r>
      <w:r>
        <w:t>infection, leading us to hypothesize that the depolyploidization of</w:t>
      </w:r>
      <w:r>
        <w:t xml:space="preserve"> </w:t>
      </w:r>
      <w:r>
        <w:t>C. neoformans</w:t>
      </w:r>
      <w:r>
        <w:t xml:space="preserve"> </w:t>
      </w:r>
      <w:r>
        <w:t>titan cells may occur through a process resembling the ploidy reduction during meiosis. In this study, we show that titan cells developed from diploid strains predominantly produce diploid daughter cells with haploid daughters observed infrequently. We further demonstrate that meiosis-specific genes, including</w:t>
      </w:r>
      <w:r>
        <w:t xml:space="preserve"> </w:t>
      </w:r>
      <w:r>
        <w:t>DMC1</w:t>
      </w:r>
      <w:r>
        <w:t xml:space="preserve"> </w:t>
      </w:r>
      <w:r>
        <w:t>and</w:t>
      </w:r>
      <w:r>
        <w:t xml:space="preserve"> </w:t>
      </w:r>
      <w:r>
        <w:t>SPO11</w:t>
      </w:r>
      <w:r>
        <w:t xml:space="preserve"> </w:t>
      </w:r>
      <w:r>
        <w:t>, are critical for stable inheritance of a diploid genome in the daughter cells. Specifically, deletion of these genes in a heterozygous diploid background resulted in 1) titan cells with a significantly reduced capacity to produce daughter cells; 2) increased phenotypic variation among daughter cells produced by the titan cells, including traits that could be relevant to cell growth and viability; and 3) daughter cells produced by the titan cells exhibiting high levels of loss of heterozygosity (LOH) and aneuploidy, suggesting elevated genome instability. Taken together, these findings demonstrate the importance of meiosis-specific genes in the ploidy reduction process of titan cells derived from a heterozygous diploid background in an important human fungal pathogen.</w:t>
      </w:r>
    </w:p>
    <w:p>
      <w:pPr>
        <w:spacing w:before="120" w:after="120"/>
      </w:pPr>
      <w:r>
        <w:rPr>
          <w:sz w:val="18"/>
        </w:rPr>
        <w:t>——————————————————————————————————————————————————————————————————————</w:t>
      </w:r>
    </w:p>
    <w:p>
      <w:pPr>
        <w:spacing w:before="160" w:after="40" w:line="240" w:lineRule="auto"/>
      </w:pPr>
      <w:r>
        <w:rPr>
          <w:b/>
        </w:rPr>
        <w:t xml:space="preserve">[194] </w:t>
      </w:r>
      <w:hyperlink r:id="rId622">
        <w:r>
          <w:rPr>
            <w:color w:val="1155CC"/>
            <w:u w:val="single"/>
          </w:rPr>
          <w:t>生态机遇和多倍体生态位扩张浪潮的开始</w:t>
        </w:r>
      </w:hyperlink>
    </w:p>
    <w:p>
      <w:pPr>
        <w:spacing w:before="0" w:after="80"/>
      </w:pPr>
      <w:r>
        <w:rPr>
          <w:i/>
          <w:sz w:val="20"/>
        </w:rPr>
        <w:t>EN: Ecological opportunity and the onset of polyploid niche expansion waves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23">
        <w:r>
          <w:rPr>
            <w:color w:val="1155CC"/>
            <w:u w:val="single"/>
          </w:rPr>
          <w:t>10.1073/pnas.2522071123</w:t>
        </w:r>
      </w:hyperlink>
    </w:p>
    <w:p>
      <w:pPr>
        <w:spacing w:before="0" w:after="120"/>
      </w:pPr>
      <w:r>
        <w:rPr>
          <w:b/>
        </w:rPr>
        <w:t xml:space="preserve">Notes: </w:t>
      </w:r>
      <w:r>
        <w:t>abstract_source=crossref</w:t>
      </w:r>
    </w:p>
    <w:p>
      <w:pPr>
        <w:spacing w:before="0" w:after="80" w:lineRule="auto" w:line="276"/>
      </w:pPr>
      <w:r>
        <w:rPr>
          <w:b/>
        </w:rPr>
        <w:t xml:space="preserve">摘要（ZH）: </w:t>
      </w:r>
      <w:r>
        <w:t>多倍体，即存在两组以上染色体的现象，在生命树中已经进化了很多次，但我们仍然不知道为什么一些多倍体谱系得以存在，而大多数却灭绝了。据报道，多倍体种群的建立通常与恶劣的环境条件有关，特别是与胁迫耐受性有关，这导致人们普遍认为多倍体特定的生态位要求是其在生态和进化时间尺度上持续存在的关键。在这里，我们使用多倍体建立的经典数学模型重新评估这一观点，提供分析和数值结果以及实证案例研究。我们表明，二倍体范围扩张波边缘的简单生态进化过程，更具体地说是生态漂移和扩散限制，足以让多倍体种群开拓出自己的空间，而不需要比其二倍体祖先有任何先验的适应性优势。我们的建模工作揭示了三个关键见解。首先，多倍体最容易在二倍体范围扩张波的低密度前沿站稳脚跟，那里的生态漂移最强。其次，有限的扩散通过选型交配加速了多倍体生物的空间聚集。第三，一旦沿着梯度在空间上分离，二倍体和多倍体种群预计将经历不同的环境，从而使自然选择驱动生态位分化。我们通过模拟有据可查的同源多倍体 c 的系统发育历史来说明这些相互关联的原理。</w:t>
      </w:r>
    </w:p>
    <w:p>
      <w:pPr>
        <w:spacing w:before="0" w:after="200" w:lineRule="auto" w:line="276"/>
      </w:pPr>
      <w:r>
        <w:rPr>
          <w:b/>
        </w:rPr>
        <w:t xml:space="preserve">Abstract (EN): </w:t>
      </w:r>
      <w:r>
        <w:t>Polyploidy, the presence of more than two sets of chromosomes, has evolved many times across the tree of life, yet we still do not know why some polyploid lineages persist while most go extinct. The establishment of polyploid populations is often reported to be associated with harsh environmental conditions, and stress tolerance in particular, which has led to the widespread view that polyploidy-specific niche requirements are key to their persistence at ecological and evolutionary timescales. Here, we reevaluate this perspective using a classical mathematical model of polyploid establishment, presenting analytical and numerical results, along with an empirical case study. We show that simple eco-evolutionary processes at the margins of diploid range-expansion waves, more specifically ecological drift and dispersal limitation, can be sufficient to allow polyploid populations to carve out their own space, without any a priori adaptive advantage over their diploid ancestors. Our modeling effort reveals three key insights. First, polyploids most readily gain a foothold at the low-density front of a diploid range expansion wave, where ecological drift is strongest. Second, limited dispersal accelerates spatial clustering of polyploid organisms through assortative mating. Third, once spatially segregated along gradients, diploid and polyploid populations are expected to experience distinct environments, allowing natural selection to drive niche divergence. We illustrate these interconnected principles by simulating the phylogeographic history of a well-documented autopolyploid complex of</w:t>
      </w:r>
      <w:r>
        <w:t xml:space="preserve"> </w:t>
      </w:r>
      <w:r>
        <w:t>Neobatrachus,</w:t>
      </w:r>
      <w:r>
        <w:t xml:space="preserve"> </w:t>
      </w:r>
      <w:r>
        <w:t>Australian burrowing frogs. Altogether, our results provide a neutral baseline against which the ecological consequences of polyploidization can be more easily inferred within natural populations.</w:t>
      </w:r>
    </w:p>
    <w:p>
      <w:pPr>
        <w:spacing w:before="120" w:after="120"/>
      </w:pPr>
      <w:r>
        <w:rPr>
          <w:sz w:val="18"/>
        </w:rPr>
        <w:t>——————————————————————————————————————————————————————————————————————</w:t>
      </w:r>
    </w:p>
    <w:p>
      <w:pPr>
        <w:spacing w:before="160" w:after="40" w:line="240" w:lineRule="auto"/>
      </w:pPr>
      <w:r>
        <w:rPr>
          <w:b/>
        </w:rPr>
        <w:t xml:space="preserve">[195] </w:t>
      </w:r>
      <w:hyperlink r:id="rId624">
        <w:r>
          <w:rPr>
            <w:color w:val="1155CC"/>
            <w:u w:val="single"/>
          </w:rPr>
          <w:t>EB 病毒 (EBV) 感染在没有 EBNA2 表达的情况下会导致人类生发中心 B 细胞来源的淋巴瘤</w:t>
        </w:r>
      </w:hyperlink>
    </w:p>
    <w:p>
      <w:pPr>
        <w:spacing w:before="0" w:after="80"/>
      </w:pPr>
      <w:r>
        <w:rPr>
          <w:i/>
          <w:sz w:val="20"/>
        </w:rPr>
        <w:t>EN: Epstein–Barr virus (EBV) infection causes human germinal center B cell–derived lymphomas in the absence of EBNA2 expression</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25">
        <w:r>
          <w:rPr>
            <w:color w:val="1155CC"/>
            <w:u w:val="single"/>
          </w:rPr>
          <w:t>10.1073/pnas.2525164123</w:t>
        </w:r>
      </w:hyperlink>
    </w:p>
    <w:p>
      <w:pPr>
        <w:spacing w:before="0" w:after="120"/>
      </w:pPr>
      <w:r>
        <w:rPr>
          <w:b/>
        </w:rPr>
        <w:t xml:space="preserve">Notes: </w:t>
      </w:r>
      <w:r>
        <w:t>abstract_source=crossref</w:t>
      </w:r>
    </w:p>
    <w:p>
      <w:pPr>
        <w:spacing w:before="0" w:after="80" w:lineRule="auto" w:line="276"/>
      </w:pPr>
      <w:r>
        <w:rPr>
          <w:b/>
        </w:rPr>
        <w:t xml:space="preserve">摘要（ZH）: </w:t>
      </w:r>
      <w:r>
        <w:t>EBV 与人类 B 细胞淋巴瘤相关，包括伯基特淋巴瘤 (BL)、弥漫性大 B 细胞淋巴瘤 (DLBCL)、霍奇金淋巴瘤 (HL) 和浆母细胞淋巴瘤 (PL)。免疫功能正常的人类中的 EBV+ 淋巴瘤通常源自生发中心 (GC) 经历的 B 细胞，并且具有不表达病毒转化蛋白 EBNA2 的严格潜伏形式。缺乏 EBNA2 表达的人类 EBV+ 淋巴瘤很大程度上是由病毒 LMP1 和 LMP2A 蛋白驱动的，它们分别激活 NF-κB 和 B 细胞受体样信号传导，或由 Myc 易位驱动。然而，EBV 介导的 B 细胞体外转化需要 EBNA2，目前还没有模型系统来研究 EBV 如何在没有 EBNA2 表达或 Myc 易位的情况下将人 GC 衍生的 B 细胞体内转化为淋巴瘤。在这里，我们发现感染了 EBNA2 缺失的 EBV 突变体的人扁桃体 GCB 细胞 (GCB) 在表达 CD40L/IL21 的饲养层上增殖，并在 NSG 小鼠中形成类似于人 DLBCL（ABC 和 GCB 亚型）和 PL 的淋巴瘤。这些 EBV 诱导的淋巴瘤在 Myc 过度表达不存在的情况下发生，通常具有正常的核型，并且不包含未感染的人类 DLBCL 中常见的细胞基因突变（包括 p53）。使用该模型系统，我们证明LMP2A诱导浆母细胞分化，增加参与淋巴细胞迁移和运输的基因表达，并增强体内肿瘤侵袭性。因此，这个新的模型系统可用于定义病毒和细胞蛋白在 EBV 诱导的人类 GCB-d 中的作用</w:t>
      </w:r>
    </w:p>
    <w:p>
      <w:pPr>
        <w:spacing w:before="0" w:after="200" w:lineRule="auto" w:line="276"/>
      </w:pPr>
      <w:r>
        <w:rPr>
          <w:b/>
        </w:rPr>
        <w:t xml:space="preserve">Abstract (EN): </w:t>
      </w:r>
      <w:r>
        <w:t>EBV is associated with human B cell lymphomas, including Burkitt lymphomas (BLs), diffuse large B cell lymphomas (DLBCLs), Hodgkin lymphomas (HLs), and Plasmablastic lymphomas (PLs). EBV+ lymphomas in immunocompetent humans are usually derived from germinal center (GC)-experienced B cells and have stringent latency forms that do not express the viral transforming protein, EBNA2. Human EBV+ lymphomas that lack EBNA2 expression are largely driven by the viral LMP1 and LMP2A proteins, which activate NF-κB and B cell receptor-like signaling, respectively, or by Myc translocations. However, EBNA2 is required for EBV-mediated transformation of B cells in vitro and there is currently no model system for studying how EBV transforms human GC-derived B cells into lymphomas in vivo in the absence of EBNA2 expression or Myc translocation. Here, we show that human tonsil GC B cells (GCBs) infected with an EBNA2-deleted EBV mutant proliferate on a CD40L/IL21-expressing feeder layer and form lymphomas in NSG mice that resemble human DLBCLs (both ABC and GCB subtypes) and PLs. These EBV-induced lymphomas occur in the absence of Myc overexpression, often have normal karyotypes, and do not contain mutations in cellular genes (including p53) commonly mutated in uninfected human DLBCLs. Using this model system, we show that LMP2A induces plasmablast differentiation, increases expression of genes involved in lymphocyte mobility and trafficking and enhances tumor invasiveness in vivo. This new model system can thus be used to define roles of viral and cellular proteins in EBV-induced human GCB-derived lymphomas that lack EBNA2 expression.</w:t>
      </w:r>
    </w:p>
    <w:p>
      <w:pPr>
        <w:spacing w:before="120" w:after="120"/>
      </w:pPr>
      <w:r>
        <w:rPr>
          <w:sz w:val="18"/>
        </w:rPr>
        <w:t>——————————————————————————————————————————————————————————————————————</w:t>
      </w:r>
    </w:p>
    <w:p>
      <w:pPr>
        <w:spacing w:before="160" w:after="40" w:line="240" w:lineRule="auto"/>
      </w:pPr>
      <w:r>
        <w:rPr>
          <w:b/>
        </w:rPr>
        <w:t xml:space="preserve">[196] </w:t>
      </w:r>
      <w:hyperlink r:id="rId626">
        <w:r>
          <w:rPr>
            <w:color w:val="1155CC"/>
            <w:u w:val="single"/>
          </w:rPr>
          <w:t>利用多倍体培育气候适应型作物：进化模型的教训，异源四倍体棉花</w:t>
        </w:r>
      </w:hyperlink>
    </w:p>
    <w:p>
      <w:pPr>
        <w:spacing w:before="0" w:after="80"/>
      </w:pPr>
      <w:r>
        <w:rPr>
          <w:i/>
          <w:sz w:val="20"/>
        </w:rPr>
        <w:t>EN: Harnessing polyploidy for climate-resilient crops: Lessons from the evolutionary model, allotetraploid cotton</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27">
        <w:r>
          <w:rPr>
            <w:color w:val="1155CC"/>
            <w:u w:val="single"/>
          </w:rPr>
          <w:t>10.1073/pnas.2522073123</w:t>
        </w:r>
      </w:hyperlink>
    </w:p>
    <w:p>
      <w:pPr>
        <w:spacing w:before="0" w:after="120"/>
      </w:pPr>
      <w:r>
        <w:rPr>
          <w:b/>
        </w:rPr>
        <w:t xml:space="preserve">Notes: </w:t>
      </w:r>
      <w:r>
        <w:t>abstract_source=crossref</w:t>
      </w:r>
    </w:p>
    <w:p>
      <w:pPr>
        <w:spacing w:before="0" w:after="80" w:lineRule="auto" w:line="276"/>
      </w:pPr>
      <w:r>
        <w:rPr>
          <w:b/>
        </w:rPr>
        <w:t xml:space="preserve">摘要（ZH）: </w:t>
      </w:r>
      <w:r>
        <w:t>全球气候变化压力不断升级，需要开发具有更强抵御能力的农业系统和作物品种。多倍体是指拥有由全基因组复制 (WGD) 产生的多套完整染色体的状态，是植物的主要进化力量，通常赋予新的遗传和调节能力，以促进适应。异源四倍体棉（</w:t>
      </w:r>
      <w:r>
        <w:t xml:space="preserve"> </w:t>
      </w:r>
      <w:r>
        <w:t>棉属</w:t>
      </w:r>
      <w:r>
        <w:t xml:space="preserve"> </w:t>
      </w:r>
      <w:r>
        <w:t>spp.）是通过大约 1 至 1.6 Mya 的不同 A 和 D 亚基因组合并而形成的，是阐明多倍体基因组进化和应激适应分子机制的示例性模型。虽然组合不同的基因组引入了遗传新颖性和混合活力，但长期的适应性成功和增强的弹性依赖于合并事件后复杂的监管重编程。在棉花以及其他多倍体中，这种重编程涉及动态结构基因组重排、重复基因的功能多样化以及表观遗传景观的普遍改变。这些过程重塑转录网络，导致同源表达偏差和新的调控相互作用。这些多倍体特异性现象支撑了不同亚基因组对关键发育过程的贡献以及对主要非生物胁迫（包括干旱、盐度和极端温度）的适应性反应。对这些相互关联的遗传和表观遗传控制机制的全面理解，由此产生的亚基因组协调或独立的景观，</w:t>
      </w:r>
    </w:p>
    <w:p>
      <w:pPr>
        <w:spacing w:before="0" w:after="200" w:lineRule="auto" w:line="276"/>
      </w:pPr>
      <w:r>
        <w:rPr>
          <w:b/>
        </w:rPr>
        <w:t xml:space="preserve">Abstract (EN): </w:t>
      </w:r>
      <w:r>
        <w:t>Escalating pressures of global climate change necessitate developing agricultural systems and crop varieties with enhanced resilience. Polyploidy, the state of possessing multiple complete sets of chromosomes arising from whole genome duplication (WGD), is a major evolutionary force in plants, often conferring novel genetic and regulatory capacities that facilitate adaptation. Allotetraploid cotton (</w:t>
      </w:r>
      <w:r>
        <w:t xml:space="preserve"> </w:t>
      </w:r>
      <w:r>
        <w:t>Gossypium</w:t>
      </w:r>
      <w:r>
        <w:t xml:space="preserve"> </w:t>
      </w:r>
      <w:r>
        <w:t>spp.), which formed through the merger of distinct A and D subgenomes approximately 1 to 1.6 Mya, is an exemplary model for elucidating polyploid genome evolution and molecular mechanisms underlying stress adaptation. Whereas combining divergent genomes introduces genetic novelty and hybrid vigor, long-term adaptive success and enhanced resilience rely on complex regulatory reprogramming subsequent to the merger event. In cotton, and by extension other polyploids, this reprogramming involves dynamic structural genomic rearrangements, functional diversification of duplicated genes, and pervasive alterations in epigenetic landscapes. These processes reshape transcriptional networks, leading to homoeologous expression bias and novel regulatory interactions. These polyploidy-specific phenomena underpin differential subgenome contributions to key developmental processes and adaptive responses to major abiotic stresses including drought, salinity, and extreme temperature. A comprehensive understanding of these interconnected genetic and epigenetic control mechanisms, the resulting landscape of subgenome coordination or independence, and associated physiological consequences, are essential for designing effective strategies to breed climate-resilient crops. Here, we synthesize current insights from cotton, emphasizing their broader significance for harnessing polyploidy as a tool for future crop improvement amid global environmental change.</w:t>
      </w:r>
    </w:p>
    <w:p>
      <w:pPr>
        <w:spacing w:before="120" w:after="120"/>
      </w:pPr>
      <w:r>
        <w:rPr>
          <w:sz w:val="18"/>
        </w:rPr>
        <w:t>——————————————————————————————————————————————————————————————————————</w:t>
      </w:r>
    </w:p>
    <w:p>
      <w:pPr>
        <w:spacing w:before="160" w:after="40" w:line="240" w:lineRule="auto"/>
      </w:pPr>
      <w:r>
        <w:rPr>
          <w:b/>
        </w:rPr>
        <w:t xml:space="preserve">[197] </w:t>
      </w:r>
      <w:hyperlink r:id="rId628">
        <w:r>
          <w:rPr>
            <w:color w:val="1155CC"/>
            <w:u w:val="single"/>
          </w:rPr>
          <w:t>语义知识引导创新、驱动文化演进</w:t>
        </w:r>
      </w:hyperlink>
    </w:p>
    <w:p>
      <w:pPr>
        <w:spacing w:before="0" w:after="80"/>
      </w:pPr>
      <w:r>
        <w:rPr>
          <w:i/>
          <w:sz w:val="20"/>
        </w:rPr>
        <w:t>EN: Semantic knowledge guides innovation and drives cultural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29">
        <w:r>
          <w:rPr>
            <w:color w:val="1155CC"/>
            <w:u w:val="single"/>
          </w:rPr>
          <w:t>10.1073/pnas.2530750123</w:t>
        </w:r>
      </w:hyperlink>
    </w:p>
    <w:p>
      <w:pPr>
        <w:spacing w:before="0" w:after="120"/>
      </w:pPr>
      <w:r>
        <w:rPr>
          <w:b/>
        </w:rPr>
        <w:t xml:space="preserve">Notes: </w:t>
      </w:r>
      <w:r>
        <w:t>abstract_source=crossref</w:t>
      </w:r>
    </w:p>
    <w:p>
      <w:pPr>
        <w:spacing w:before="0" w:after="80" w:lineRule="auto" w:line="276"/>
      </w:pPr>
      <w:r>
        <w:rPr>
          <w:b/>
        </w:rPr>
        <w:t xml:space="preserve">摘要（ZH）: </w:t>
      </w:r>
      <w:r>
        <w:t>文化进化使得思想和技术能够代代相传，在人类中达到最复杂和开放的形式。虽然社会学习能够传播此类创新，但产生这些创新的认知过程仍然知之甚少。经典理论通常将创新视为随机变异，这种简化不足以解释人类文化进化的复杂性。我们提出语义知识——将概念与其属性和功能联系起来的关联——引导人类创新并驱动累积文化。为了测试这一点，我们将基于代理的模型与大规模行为实验（N = 1,243）结合起来，该模型检查语义知识如何塑造文化进化动态，以测试其在人类创新中的作用。在这两种方法中，我们发现语义知识将探索引导到有意义的解决方案，增强了创新的成功，并能够从先前的发现中进行概括。此外，语义知识与社会学习协同相互作用，以放大创新并加速累积的文化变革。相比之下，缺乏语义知识的实验参与者的表现并不比机会好，即使社会学习是可能的，并且依赖于浅层探索策略进行创新。总之，这些发现表明语义知识是支撑人类累积文化的关键认知过程。</w:t>
      </w:r>
    </w:p>
    <w:p>
      <w:pPr>
        <w:spacing w:before="0" w:after="200" w:lineRule="auto" w:line="276"/>
      </w:pPr>
      <w:r>
        <w:rPr>
          <w:b/>
        </w:rPr>
        <w:t xml:space="preserve">Abstract (EN): </w:t>
      </w:r>
      <w:r>
        <w:t>Cultural evolution allows ideas and technologies to accumulate across generations, reaching their most complex and open-ended form in humans. While social learning enables the transmission of such innovations, the cognitive processes that generate them remain poorly understood. Classical theories typically treat innovation as random variation, a simplification insufficient for explaining the complexity of human cultural evolution. We propose that semantic knowledge—the associations linking concepts to their properties and functions—guides human innovation and drives cumulative culture. To test this, we combined an agent-based model, which examines how semantic knowledge shapes cultural evolutionary dynamics, with a large-scale behavioral experiment (N = 1,243) testing its role in human innovation. Across both approaches, we found that semantic knowledge directed exploration toward meaningful solutions, enhanced innovation success, and enabled generalization from prior discoveries. Moreover, semantic knowledge interacted synergistically with social learning to amplify innovation and accelerate cumulative cultural change. In contrast, experimental participants lacking access to semantic knowledge performed no better than chance, even when social learning was possible, and relied on shallow exploration strategies for innovation. Together, these findings suggest that semantic knowledge is a key cognitive process underpinning human cumulative culture.</w:t>
      </w:r>
    </w:p>
    <w:p>
      <w:pPr>
        <w:spacing w:before="120" w:after="120"/>
      </w:pPr>
      <w:r>
        <w:rPr>
          <w:sz w:val="18"/>
        </w:rPr>
        <w:t>——————————————————————————————————————————————————————————————————————</w:t>
      </w:r>
    </w:p>
    <w:p>
      <w:pPr>
        <w:spacing w:before="160" w:after="40" w:line="240" w:lineRule="auto"/>
      </w:pPr>
      <w:r>
        <w:rPr>
          <w:b/>
        </w:rPr>
        <w:t xml:space="preserve">[198] </w:t>
      </w:r>
      <w:hyperlink r:id="rId630">
        <w:r>
          <w:rPr>
            <w:color w:val="1155CC"/>
            <w:u w:val="single"/>
          </w:rPr>
          <w:t>长时程增强期间突触前囊泡簇从致密组织向分散组织的转变</w:t>
        </w:r>
      </w:hyperlink>
    </w:p>
    <w:p>
      <w:pPr>
        <w:spacing w:before="0" w:after="80"/>
      </w:pPr>
      <w:r>
        <w:rPr>
          <w:i/>
          <w:sz w:val="20"/>
        </w:rPr>
        <w:t>EN: Transition of the presynaptic vesicle cluster from a compact to dispersed organization during long-term potentiation</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31">
        <w:r>
          <w:rPr>
            <w:color w:val="1155CC"/>
            <w:u w:val="single"/>
          </w:rPr>
          <w:t>10.1073/pnas.2522754123</w:t>
        </w:r>
      </w:hyperlink>
    </w:p>
    <w:p>
      <w:pPr>
        <w:spacing w:before="0" w:after="120"/>
      </w:pPr>
      <w:r>
        <w:rPr>
          <w:b/>
        </w:rPr>
        <w:t xml:space="preserve">Notes: </w:t>
      </w:r>
      <w:r>
        <w:t>abstract_source=crossref</w:t>
      </w:r>
    </w:p>
    <w:p>
      <w:pPr>
        <w:spacing w:before="0" w:after="80" w:lineRule="auto" w:line="276"/>
      </w:pPr>
      <w:r>
        <w:rPr>
          <w:b/>
        </w:rPr>
        <w:t xml:space="preserve">摘要（ZH）: </w:t>
      </w:r>
      <w:r>
        <w:t>长时程增强（LTP）是突触可塑性的一种持久形式，可以持续数小时甚至数天。它与突触前末梢和突触后棘的结构变化有关。突触前，突触小泡（SV）的数量和分布影响突触功效。诱导 LTP 后突触功效的功能变化如何通过 SV 簇中可识别的结构变化来反映尚不完全清楚。在这里，我们在 3DEM 重建中询问了从 CA3 到 CA1 突触的突触前末梢</w:t>
      </w:r>
      <w:r>
        <w:t xml:space="preserve"> </w:t>
      </w:r>
      <w:r>
        <w:t>辐射层</w:t>
      </w:r>
      <w:r>
        <w:t xml:space="preserve"> </w:t>
      </w:r>
      <w:r>
        <w:t>成年大鼠接受控制刺激或 θ 爆发刺激以产生 LTP。 LTP 诱导后 2 小时观察到 SV 分散度增加。这种分散导致相邻 SV 之间的距离更大，到 SV 簇中心的距离更长，并且 SV 位置相对于簇中心的方差增加。对 SV 簇的分析根据其分散程度、与相邻 SV 的距离以及 SV 簇密度来区分增强的终端。我们的分析表明，SV 的密度是一个独立于 bouton 或 SV 簇体积的属性，并且受到严格的监管。将 SV 的空间分布与随机分布进行比较表明，LTP 诱导后 SV 的移动性增加。此外，根据测量的 SV 簇密度进行的理论计算表明，LTP 期间簇内 SV 的移动性有所增加</w:t>
      </w:r>
    </w:p>
    <w:p>
      <w:pPr>
        <w:spacing w:before="0" w:after="200" w:lineRule="auto" w:line="276"/>
      </w:pPr>
      <w:r>
        <w:rPr>
          <w:b/>
        </w:rPr>
        <w:t xml:space="preserve">Abstract (EN): </w:t>
      </w:r>
      <w:r>
        <w:t>Long-term potentiation (LTP) is a lasting form of synaptic plasticity that can persist for hours or even days. It is associated with structural changes in both the presynaptic terminal and the postsynaptic spine. Presynaptically, the number and distribution of synaptic vesicles (SVs) affect synaptic efficacy. How the functional changes in synaptic efficacy after the induction of LTP are mirrored by identifiable structural alterations in the SV cluster is not fully understood. Here, we interrogated presynaptic terminals in 3DEM reconstructions from CA3-to-CA1 synapses in</w:t>
      </w:r>
      <w:r>
        <w:t xml:space="preserve"> </w:t>
      </w:r>
      <w:r>
        <w:t>stratum radiatum</w:t>
      </w:r>
      <w:r>
        <w:t xml:space="preserve"> </w:t>
      </w:r>
      <w:r>
        <w:t>of adult rats that had undergone control stimulation, or theta-burst stimulation to produce LTP. An increase was observed in the dispersion of SVs at 2 h after LTP induction. This dispersion resulted in greater distances between neighboring SVs, longer distances to the center of the SV cluster, and an increased variance in SV position relative to the cluster’s center. Analysis of the SV clusters distinguished terminals that were potentiated based on their degree of dispersion, distances to neighboring SVs, and SV cluster densities. Our analysis demonstrates that the density of SVs is a property independent of the bouton or SV cluster volumes and is subject to strong regulation. Comparing the spatial distribution of SVs to randomized distributions revealed increased SV mobility following LTP induction. Moreover, theoretical calculations informed by the measured SV cluster densities suggest an increase in the mobility of SVs within the cluster during LTP. These findings provide evidence that the SV cluster undergoes a transition from tight to dispersed, making SVs more mobile during LTP.</w:t>
      </w:r>
    </w:p>
    <w:p>
      <w:pPr>
        <w:spacing w:before="120" w:after="120"/>
      </w:pPr>
      <w:r>
        <w:rPr>
          <w:sz w:val="18"/>
        </w:rPr>
        <w:t>——————————————————————————————————————————————————————————————————————</w:t>
      </w:r>
    </w:p>
    <w:p>
      <w:pPr>
        <w:spacing w:before="160" w:after="40" w:line="240" w:lineRule="auto"/>
      </w:pPr>
      <w:r>
        <w:rPr>
          <w:b/>
        </w:rPr>
        <w:t xml:space="preserve">[199] </w:t>
      </w:r>
      <w:hyperlink r:id="rId632">
        <w:r>
          <w:rPr>
            <w:color w:val="1155CC"/>
            <w:u w:val="single"/>
          </w:rPr>
          <w:t>全基因组关联图谱和靶向功能丧失研究确定 Shroom3 是超多倍体和心室扩张的驱动因素</w:t>
        </w:r>
      </w:hyperlink>
    </w:p>
    <w:p>
      <w:pPr>
        <w:spacing w:before="0" w:after="80"/>
      </w:pPr>
      <w:r>
        <w:rPr>
          <w:i/>
          <w:sz w:val="20"/>
        </w:rPr>
        <w:t>EN: Genome-wide association mapping and targeted loss of function studies identify Shroom3 as a driver of hyperpolyploidy and ventricular dilation</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33">
        <w:r>
          <w:rPr>
            <w:color w:val="1155CC"/>
            <w:u w:val="single"/>
          </w:rPr>
          <w:t>10.1073/pnas.2522068123</w:t>
        </w:r>
      </w:hyperlink>
    </w:p>
    <w:p>
      <w:pPr>
        <w:spacing w:before="0" w:after="120"/>
      </w:pPr>
      <w:r>
        <w:rPr>
          <w:b/>
        </w:rPr>
        <w:t xml:space="preserve">Notes: </w:t>
      </w:r>
      <w:r>
        <w:t>abstract_source=crossref</w:t>
      </w:r>
    </w:p>
    <w:p>
      <w:pPr>
        <w:spacing w:before="0" w:after="80" w:lineRule="auto" w:line="276"/>
      </w:pPr>
      <w:r>
        <w:rPr>
          <w:b/>
        </w:rPr>
        <w:t xml:space="preserve">摘要（ZH）: </w:t>
      </w:r>
      <w:r>
        <w:t>心肌细胞（CM）多倍体的各种状态与心脏损伤反应相关，包括再生和心力衰竭。然而，我们对控制 CM 倍性的综合机制及其与心脏生理学的关系的理解是有限的。为了解决这个问题并揭示遗传调节因子，我们调查了一种称为杂交大鼠多样性面板 (HRDP) 的新遗传资源中的 CM 倍性，并发现整个面板中倍性表型的显着变化。使用具有不同 CM 倍性表现的精选大鼠品系，我们发现 CM 超多倍化（≥8 N）与各种生理参数（即左心室扩张和射血分数降低）呈正相关。全基因组关联图谱确定了几个与超多倍体 CM 频率显着相关的位点。对这些位点内含有破坏性蛋白质编码变异的基因的研究发现了细胞结构基因的富集，其中肌动蛋白结合蛋白，</w:t>
      </w:r>
      <w:r>
        <w:t xml:space="preserve"> </w:t>
      </w:r>
      <w:r>
        <w:t>蘑菇3</w:t>
      </w:r>
      <w:r>
        <w:t xml:space="preserve"> </w:t>
      </w:r>
      <w:r>
        <w:t>，被发现在 CM 中强烈且特异地表达，并含有 7 种破坏性的蛋白质编码变体。 CM 特定的删除</w:t>
      </w:r>
      <w:r>
        <w:t xml:space="preserve"> </w:t>
      </w:r>
      <w:r>
        <w:t>蘑菇3</w:t>
      </w:r>
      <w:r>
        <w:t xml:space="preserve"> </w:t>
      </w:r>
      <w:r>
        <w:t>导致超多倍化增加和左心室扩张，射血分数降低。此外，导致SHROOM3内氨基酸变化的单核苷酸变体的功能表征证实了两种蛋白质编码变体破坏了SHROOM3-肌动蛋白相互作用并导致相关基因表达的改变</w:t>
      </w:r>
    </w:p>
    <w:p>
      <w:pPr>
        <w:spacing w:before="0" w:after="200" w:lineRule="auto" w:line="276"/>
      </w:pPr>
      <w:r>
        <w:rPr>
          <w:b/>
        </w:rPr>
        <w:t xml:space="preserve">Abstract (EN): </w:t>
      </w:r>
      <w:r>
        <w:t>Various states of cardiomyocyte (CM) polyploidy have been associated with cardiac injury responses, including regeneration and heart failure. However, our understanding of the comprehensive mechanisms governing CM ploidy and its relationship with heart physiology is limited. To address this issue and uncover genetic regulators, we surveyed CM ploidy across a new genetic resource known as the Hybrid Rat Diversity Panel (HRDP) and found significant variation in ploidy phenotypes across the panel. Using select rat strains with divergent displays of CM ploidy, we found that CM hyperpolyploidization (≥8 N) positively correlates with various physiological parameters, namely left ventricular dilation and reduced ejection fraction. Genome-wide association mapping identified several loci significantly associated with frequency of hyperpolyploid CMs. Investigation of genes harboring damaging protein coding variants within these loci identified enrichment of cytoarchitectural genes, of which the ACTIN-binding protein,</w:t>
      </w:r>
      <w:r>
        <w:t xml:space="preserve"> </w:t>
      </w:r>
      <w:r>
        <w:t>Shroom3</w:t>
      </w:r>
      <w:r>
        <w:t xml:space="preserve"> </w:t>
      </w:r>
      <w:r>
        <w:t>, was found to be strongly and specifically expressed in CMs and harbors 7 damaging protein coding variants. CM-specific deletion of</w:t>
      </w:r>
      <w:r>
        <w:t xml:space="preserve"> </w:t>
      </w:r>
      <w:r>
        <w:t>Shroom3</w:t>
      </w:r>
      <w:r>
        <w:t xml:space="preserve"> </w:t>
      </w:r>
      <w:r>
        <w:t>resulted in increased hyperpolyploidization and left ventricular dilation with reduced ejection fraction. Furthermore, functional characterization of single-nucleotide variants resulting in amino acid changes within SHROOM3 confirmed two protein coding variants that disrupted SHROOM3–ACTIN interaction and led to altered expression of genes involved in DNA replication. This study elucidates the genetic determinants of CM ploidy phenotypes and solidifies a correlative relationship between CM ploidy and left ventricular function. Importantly, CM intrinsic expression of at least one gene mapped in this study,</w:t>
      </w:r>
      <w:r>
        <w:t xml:space="preserve"> </w:t>
      </w:r>
      <w:r>
        <w:t>Shroom3</w:t>
      </w:r>
      <w:r>
        <w:t xml:space="preserve"> </w:t>
      </w:r>
      <w:r>
        <w:t>, is confirmed to regulate CM hyperpolyploidization and cardiac function.</w:t>
      </w:r>
    </w:p>
    <w:p>
      <w:pPr>
        <w:spacing w:before="120" w:after="120"/>
      </w:pPr>
      <w:r>
        <w:rPr>
          <w:sz w:val="18"/>
        </w:rPr>
        <w:t>——————————————————————————————————————————————————————————————————————</w:t>
      </w:r>
    </w:p>
    <w:p>
      <w:pPr>
        <w:spacing w:before="160" w:after="40" w:line="240" w:lineRule="auto"/>
      </w:pPr>
      <w:r>
        <w:rPr>
          <w:b/>
        </w:rPr>
        <w:t xml:space="preserve">[200] </w:t>
      </w:r>
      <w:hyperlink r:id="rId634">
        <w:r>
          <w:rPr>
            <w:color w:val="1155CC"/>
            <w:u w:val="single"/>
          </w:rPr>
          <w:t>通过定向进化轨迹的深度学习探索高阶蛋白质适应性景观</w:t>
        </w:r>
      </w:hyperlink>
    </w:p>
    <w:p>
      <w:pPr>
        <w:spacing w:before="0" w:after="80"/>
      </w:pPr>
      <w:r>
        <w:rPr>
          <w:i/>
          <w:sz w:val="20"/>
        </w:rPr>
        <w:t>EN: Navigating high-order protein fitness landscapes via deep learning on directed evolution trajectories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35">
        <w:r>
          <w:rPr>
            <w:color w:val="1155CC"/>
            <w:u w:val="single"/>
          </w:rPr>
          <w:t>10.1073/pnas.2520561123</w:t>
        </w:r>
      </w:hyperlink>
    </w:p>
    <w:p>
      <w:pPr>
        <w:spacing w:before="0" w:after="120"/>
      </w:pPr>
      <w:r>
        <w:rPr>
          <w:b/>
        </w:rPr>
        <w:t xml:space="preserve">Notes: </w:t>
      </w:r>
      <w:r>
        <w:t>abstract_source=crossref</w:t>
      </w:r>
    </w:p>
    <w:p>
      <w:pPr>
        <w:spacing w:before="0" w:after="80" w:lineRule="auto" w:line="276"/>
      </w:pPr>
      <w:r>
        <w:rPr>
          <w:b/>
        </w:rPr>
        <w:t xml:space="preserve">摘要（ZH）: </w:t>
      </w:r>
      <w:r>
        <w:t>准确预测高阶突变的适应性效应是理解和工程蛋白质的巨大挑战。现有模型，包括预训练的蛋白质语言模型，很难捕获控制这些效应的多残基相互作用。在这里，我们介绍 DENet，这是一个深度学习框架，它利用定向进化 (DE) 轨迹内丰富的交换信息来重建高分辨率的适应度景观，以破译和设计复杂的蛋白质变体。应用于癌症靶标 KRAS 时，DENet 引导的筛选系统地鉴定了具有有效活性的高阶突变体，并揭示了隐藏的变构机制。对于 MEK1，DENet 提名了耐药性增加超过 1,000 倍的复杂变异，揭示了协同尾部突变，并回顾性鉴定了超过 75% 的已知临床突变，很大程度上优于现有模型。为了扩大该框架的适用性，我们开发了一种计算机策略，该策略模拟定向进化，以从广泛可用的单突变数据集中推断交换信息。 DENet 为导航复杂的适应性景观提供了一个定量框架，将多突变蛋白的合理工程与其机制和临床意义的阐明结合起来。</w:t>
      </w:r>
    </w:p>
    <w:p>
      <w:pPr>
        <w:spacing w:before="0" w:after="200" w:lineRule="auto" w:line="276"/>
      </w:pPr>
      <w:r>
        <w:rPr>
          <w:b/>
        </w:rPr>
        <w:t xml:space="preserve">Abstract (EN): </w:t>
      </w:r>
      <w:r>
        <w:t>Accurately predicting the fitness effects of high-order mutations is a grand challenge in understanding and engineering proteins. Existing models, including pretrained protein language models, struggle to capture the multiresidue interactions that govern these effects. Here, we introduce DENet, a deep learning framework that harnesses the rich comutation information within directed evolution (DE) trajectories to reconstruct high-resolution fitness landscapes for deciphering and engineering of complex protein variants. Applied to the cancer target KRAS, DENet-guided screening systematically identified high-order mutants with potent activities and uncovered hidden allosteric mechanisms. For MEK1, DENet nominated complex variants with &amp;gt;1,000-fold increased drug resistance, revealed synergistic tail mutations, and retrospectively identified over 75% of known clinical mutations, largely outperforming existing models. To broaden the framework’s applicability, we developed an in silico strategy that simulates directed evolution to infer comutation information from widely available single-mutant datasets. DENet provides a quantitative framework for navigating complex fitness landscapes, uniting the rational engineering of multimutation proteins with the elucidation of their mechanisms and clinical implications.</w:t>
      </w:r>
    </w:p>
    <w:p>
      <w:pPr>
        <w:spacing w:before="120" w:after="120"/>
      </w:pPr>
      <w:r>
        <w:rPr>
          <w:sz w:val="18"/>
        </w:rPr>
        <w:t>——————————————————————————————————————————————————————————————————————</w:t>
      </w:r>
    </w:p>
    <w:p>
      <w:pPr>
        <w:spacing w:before="160" w:after="40" w:line="240" w:lineRule="auto"/>
      </w:pPr>
      <w:r>
        <w:rPr>
          <w:b/>
        </w:rPr>
        <w:t xml:space="preserve">[201] </w:t>
      </w:r>
      <w:hyperlink r:id="rId636">
        <w:r>
          <w:rPr>
            <w:color w:val="1155CC"/>
            <w:u w:val="single"/>
          </w:rPr>
          <w:t>UV-A 照射后组织修复需要上皮细胞融合</w:t>
        </w:r>
      </w:hyperlink>
    </w:p>
    <w:p>
      <w:pPr>
        <w:spacing w:before="0" w:after="80"/>
      </w:pPr>
      <w:r>
        <w:rPr>
          <w:i/>
          <w:sz w:val="20"/>
        </w:rPr>
        <w:t>EN: Epithelial cell fusion is required for tissue repair following UV-A irradiation</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37">
        <w:r>
          <w:rPr>
            <w:color w:val="1155CC"/>
            <w:u w:val="single"/>
          </w:rPr>
          <w:t>10.1073/pnas.2522067123</w:t>
        </w:r>
      </w:hyperlink>
    </w:p>
    <w:p>
      <w:pPr>
        <w:spacing w:before="0" w:after="120"/>
      </w:pPr>
      <w:r>
        <w:rPr>
          <w:b/>
        </w:rPr>
        <w:t xml:space="preserve">Notes: </w:t>
      </w:r>
      <w:r>
        <w:t>abstract_source=crossref</w:t>
      </w:r>
    </w:p>
    <w:p>
      <w:pPr>
        <w:spacing w:before="0" w:after="80" w:lineRule="auto" w:line="276"/>
      </w:pPr>
      <w:r>
        <w:rPr>
          <w:b/>
        </w:rPr>
        <w:t xml:space="preserve">摘要（ZH）: </w:t>
      </w:r>
      <w:r>
        <w:t>细胞周期依赖性和独立机制导致单核和多核多倍体细胞的产生。人们发现，细胞核基因组通过内复制而增加一倍以上是对基因毒性应激的适应，使细胞在 DNA 损伤的情况下仍能存活。然而，目前尚不清楚通过多核增加倍性的细胞是否也会响应基因毒性应激而出现。在这里，我们使用紫外线 A (UV-A) 来诱导成年果蝇上皮细胞内的永久性 DNA 损伤。 UV-A 照射会引起类似损伤的反应，细胞死亡后会出现巨大的多核、多倍体细胞。上皮细胞进行内复制，这是补偿细胞损失所必需的，但令人惊讶的是，这对于组织修复来说是可有可无的。 UV-A 照射还会诱导细胞融合，从而产生多核细胞，几乎覆盖损伤后的整个上皮区域。显性失活 Rac 或 Cdc42 GTPase 的表达可抑制细胞融合，从而阻止辐射后上皮组织修复。在细胞连接破坏的部位检测到凋亡细胞核，表明该模型中的多倍体化需要细胞凋亡本身或细胞凋亡信号。效应 caspase 抑制剂 p35 的表达导致 UV-A 后细胞凋亡、内循环和细胞融合的抑制。因此，我们发现半胱天冬酶激活对于损伤后的多倍化是必要的，并且通过多核增强细胞倍性是使细胞存活和组织修复的另一种策略</w:t>
      </w:r>
    </w:p>
    <w:p>
      <w:pPr>
        <w:spacing w:before="0" w:after="200" w:lineRule="auto" w:line="276"/>
      </w:pPr>
      <w:r>
        <w:rPr>
          <w:b/>
        </w:rPr>
        <w:t xml:space="preserve">Abstract (EN): </w:t>
      </w:r>
      <w:r>
        <w:t>Cell cycle–dependent and independent mechanisms lead to the generation of mononucleated and multinucleated polyploid cells. The more than doubling of a cell’s nuclear genome by endoreplication has been found to be an adaptation to genotoxic stress, enabling cell survival despite DNA damage. However, it remains unknown whether cells that increase ploidy via multinucleation also arise in response to genotoxic stress. Here, we use ultraviolet light A (UV-A) to induce permanent DNA damage in cells within the adult fruit fly epithelium. UV-A irradiation causes an injury-like response where giant multinucleated, polyploid cells arise following cell death. The epithelial cells undergo endoreplication, which is required to compensate for cell loss, but is surprisingly dispensable for tissue repair. UV-A irradiation also induces cell fusion, which generates multinucleated cells that encompass almost the entire epithelial area post injury. Cell fusion can be inhibited by expression of a dominant negative Rac or Cdc42 GTPase, which then blocks epithelial tissue repair postirradiation. Apoptotic nuclei were detected at the site of cell junction breakdown, suggesting that apoptosis itself or an apoptotic signal is required for polyploidization in this model. Expression of the effector caspase inhibitor, p35, led to inhibition of apoptosis, the endocycle, and cell fusion post UV-A. Therefore, we have found that caspase activation is necessary for polyploidization post injury and enhancing cell ploidy via multinucleation is another strategy to enable cell survival and tissue repair following genotoxic stress.</w:t>
      </w:r>
    </w:p>
    <w:p>
      <w:pPr>
        <w:spacing w:before="120" w:after="120"/>
      </w:pPr>
      <w:r>
        <w:rPr>
          <w:sz w:val="18"/>
        </w:rPr>
        <w:t>——————————————————————————————————————————————————————————————————————</w:t>
      </w:r>
    </w:p>
    <w:p>
      <w:pPr>
        <w:spacing w:before="160" w:after="40" w:line="240" w:lineRule="auto"/>
      </w:pPr>
      <w:r>
        <w:rPr>
          <w:b/>
        </w:rPr>
        <w:t xml:space="preserve">[202] </w:t>
      </w:r>
      <w:hyperlink r:id="rId638">
        <w:r>
          <w:rPr>
            <w:color w:val="1155CC"/>
            <w:u w:val="single"/>
          </w:rPr>
          <w:t>多倍体：推动生物经济发展的宏观突变力量</w:t>
        </w:r>
      </w:hyperlink>
    </w:p>
    <w:p>
      <w:pPr>
        <w:spacing w:before="0" w:after="80"/>
      </w:pPr>
      <w:r>
        <w:rPr>
          <w:i/>
          <w:sz w:val="20"/>
        </w:rPr>
        <w:t>EN: Polyploidy: A macromutational force pushing bioeconomic developments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39">
        <w:r>
          <w:rPr>
            <w:color w:val="1155CC"/>
            <w:u w:val="single"/>
          </w:rPr>
          <w:t>10.1073/pnas.2522065123</w:t>
        </w:r>
      </w:hyperlink>
    </w:p>
    <w:p>
      <w:pPr>
        <w:spacing w:before="0" w:after="120"/>
      </w:pPr>
      <w:r>
        <w:rPr>
          <w:b/>
        </w:rPr>
        <w:t xml:space="preserve">Notes: </w:t>
      </w:r>
      <w:r>
        <w:t>abstract_source=crossref</w:t>
      </w:r>
    </w:p>
    <w:p>
      <w:pPr>
        <w:spacing w:before="0" w:after="80" w:lineRule="auto" w:line="276"/>
      </w:pPr>
      <w:r>
        <w:rPr>
          <w:b/>
        </w:rPr>
        <w:t xml:space="preserve">摘要（ZH）: </w:t>
      </w:r>
      <w:r>
        <w:t>多倍化是基因组加倍的结果，是一种重塑基因组、表型和生态相互作用的大突变。多倍化通常会产生新的表型，包括大小、生理学、生物化学的改变和增强的应激耐受性。在这里，我们讨论如何战略性地利用多倍体在现代生物经济中提供重大进步，致力于通过生物资源的可持续生产和使用来减少我们的生态足迹。生物经济跨越多个领域，包括农业、健康科学和生物技术。通过阐明和利用多倍化的直接或短期影响，例如利用遗传多样性、广泛的生物量生产、代谢物多样化和提高抗压能力，我们强调了这一过程如何释放巨大的、尚未开发的生物经济机会。这包括加快探索新的育种技术，加快本地新品种或药用植物的驯化，并为改进生物燃料生产、生物修复策略、疗法以及生物活性化合物的生产和发现提供可能性。跨部门共享的多倍体化的多层效应可以促进跨学科交流，对于推进更可持续的生物经济至关重要。</w:t>
      </w:r>
    </w:p>
    <w:p>
      <w:pPr>
        <w:spacing w:before="0" w:after="200" w:lineRule="auto" w:line="276"/>
      </w:pPr>
      <w:r>
        <w:rPr>
          <w:b/>
        </w:rPr>
        <w:t xml:space="preserve">Abstract (EN): </w:t>
      </w:r>
      <w:r>
        <w:t>Polyploidization, the consequence of genome doubling, is a macromutation that reshapes genomes, phenotypes, and ecological interactions. Polyploidization often results in novel phenotypes, including alterations in size, physiology, biochemistry, and enhanced stress tolerance. Here, we discuss how strategically leveraging polyploidy can provide significant advancements within the modern bioeconomy committed to reducing our ecological footprint through the sustainable production and use of biological resources. The bioeconomy spans diverse sectors, including agriculture, health sciences, and biotechnology. By elucidating and leveraging the immediate, or short-term, effects of polyploidization, such as harnessing genetic diversity, extensive biomass production, diversification of metabolites, and improved stress resilience, we highlight how this process unlocks vast, underexplored bioeconomic opportunities. This includes accelerating the exploration of new breeding techniques, speeding up the domestication of new local varieties or medicinal plants, and offering possibilities for improved biofuel production, bioremediation strategies, therapies, and production and discovery of bioactive compounds. The multilayered effects of polyploidization shared across sectors can foster interdisciplinary exchange and are essential for advancing toward a more sustainable bioeconomy.</w:t>
      </w:r>
    </w:p>
    <w:p>
      <w:pPr>
        <w:spacing w:before="120" w:after="120"/>
      </w:pPr>
      <w:r>
        <w:rPr>
          <w:sz w:val="18"/>
        </w:rPr>
        <w:t>——————————————————————————————————————————————————————————————————————</w:t>
      </w:r>
    </w:p>
    <w:p>
      <w:pPr>
        <w:spacing w:before="160" w:after="40" w:line="240" w:lineRule="auto"/>
      </w:pPr>
      <w:r>
        <w:rPr>
          <w:b/>
        </w:rPr>
        <w:t xml:space="preserve">[203] </w:t>
      </w:r>
      <w:hyperlink r:id="rId640">
        <w:r>
          <w:rPr>
            <w:color w:val="1155CC"/>
            <w:u w:val="single"/>
          </w:rPr>
          <w:t>通过多倍体进行基因组进化：增强农业中植物的抗逆能力</w:t>
        </w:r>
      </w:hyperlink>
    </w:p>
    <w:p>
      <w:pPr>
        <w:spacing w:before="0" w:after="80"/>
      </w:pPr>
      <w:r>
        <w:rPr>
          <w:i/>
          <w:sz w:val="20"/>
        </w:rPr>
        <w:t>EN: Genome evolution through polyploidy: Enhancing plant stress resilience in agriculture</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41">
        <w:r>
          <w:rPr>
            <w:color w:val="1155CC"/>
            <w:u w:val="single"/>
          </w:rPr>
          <w:t>10.1073/pnas.2522064123</w:t>
        </w:r>
      </w:hyperlink>
    </w:p>
    <w:p>
      <w:pPr>
        <w:spacing w:before="0" w:after="120"/>
      </w:pPr>
      <w:r>
        <w:rPr>
          <w:b/>
        </w:rPr>
        <w:t xml:space="preserve">Notes: </w:t>
      </w:r>
      <w:r>
        <w:t>abstract_source=crossref</w:t>
      </w:r>
    </w:p>
    <w:p>
      <w:pPr>
        <w:spacing w:before="0" w:after="80" w:lineRule="auto" w:line="276"/>
      </w:pPr>
      <w:r>
        <w:rPr>
          <w:b/>
        </w:rPr>
        <w:t xml:space="preserve">摘要（ZH）: </w:t>
      </w:r>
      <w:r>
        <w:t>多倍体，也称为全基因组复制，是植物的主要进化力量，推动多样化和新表型变异的产生，包括卓越的非生物和生物胁迫耐受性。假设在某些多倍体中观察到的应激恢复能力增强是由于多倍体化后出现的动态表观遗传和遗传变化，包括基因内容和顺式调控元件（CRE）的变化。这些变化直接影响与应激反应和适应相关的各种调节、信号传导和代谢途径。在多倍体群体中，基因复制、分级分离和同源交换等过程积极塑造新的基因内容变异，同时，CRE（控制基因表达的 DNA 序列）的改变导致不同的调控模式。基因内容变化和调控之间的这种动态相互作用进一步扩大了表型变异，包括增强的应激恢复能力。我们讨论如何使用先进的基因组和表观基因组技术（例如泛基因组学和转座酶可及染色质测序的单细胞测定）来揭示这些变异，并概述新的生物信息学方法来揭示应激恢复和适应的潜在遗传学。最后，我们总结了仍知之甚少的内容，以指导未来的研究，目标是释放增强多倍体作物恢复能力的全部潜力。</w:t>
      </w:r>
    </w:p>
    <w:p>
      <w:pPr>
        <w:spacing w:before="0" w:after="200" w:lineRule="auto" w:line="276"/>
      </w:pPr>
      <w:r>
        <w:rPr>
          <w:b/>
        </w:rPr>
        <w:t xml:space="preserve">Abstract (EN): </w:t>
      </w:r>
      <w:r>
        <w:t>Polyploidy, also known as whole genome duplication, is a major evolutionary force in plants, driving diversification and the generation of novel phenotypic variation, including superior abiotic and biotic stress tolerance. The enhanced stress resilience observed in certain polyploids is hypothesized to arise from dynamic epigenetic and genetic changes, including variations in gene content and cis-regulatory elements (CREs), that emerge following polyploidization. These changes directly impact various regulatory, signaling, and metabolic pathways associated with stress response and adaptation. Within polyploid populations, processes like gene duplications, fractionation, and homoeologous exchanges actively shape novel gene content variation, while, simultaneously, alterations in CREs (DNA sequences controlling gene expression) lead to diverse regulatory patterns. This dynamic interplay between changes in gene content and regulation further contributes to expanded phenotypic variation, including enhanced stress resilience. We discuss how advanced genomic and epigenomic techniques, such as pangenomics and single-cell assay for transposase-accessible chromatin with sequencing, are used to uncover these variations and outline new bioinformatic approaches to reveal the underlying genetics of stress resilience and adaptation. Finally, we summarize what remains poorly understood to guide future research, with the goal of unlocking the full potential for enhancing resilience in polyploid crops.</w:t>
      </w:r>
    </w:p>
    <w:p>
      <w:pPr>
        <w:spacing w:before="120" w:after="120"/>
      </w:pPr>
      <w:r>
        <w:rPr>
          <w:sz w:val="18"/>
        </w:rPr>
        <w:t>——————————————————————————————————————————————————————————————————————</w:t>
      </w:r>
    </w:p>
    <w:p>
      <w:pPr>
        <w:spacing w:before="160" w:after="40" w:line="240" w:lineRule="auto"/>
      </w:pPr>
      <w:r>
        <w:rPr>
          <w:b/>
        </w:rPr>
        <w:t xml:space="preserve">[204] </w:t>
      </w:r>
      <w:hyperlink r:id="rId642">
        <w:r>
          <w:rPr>
            <w:color w:val="1155CC"/>
            <w:u w:val="single"/>
          </w:rPr>
          <w:t>压力下的生长：压力诱导的多倍体的利与弊</w:t>
        </w:r>
      </w:hyperlink>
    </w:p>
    <w:p>
      <w:pPr>
        <w:spacing w:before="0" w:after="80"/>
      </w:pPr>
      <w:r>
        <w:rPr>
          <w:i/>
          <w:sz w:val="20"/>
        </w:rPr>
        <w:t>EN: Growth under pressure: The pros and cons of polyploidy induced by stress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43">
        <w:r>
          <w:rPr>
            <w:color w:val="1155CC"/>
            <w:u w:val="single"/>
          </w:rPr>
          <w:t>10.1073/pnas.2522063123</w:t>
        </w:r>
      </w:hyperlink>
    </w:p>
    <w:p>
      <w:pPr>
        <w:spacing w:before="0" w:after="120"/>
      </w:pPr>
      <w:r>
        <w:rPr>
          <w:b/>
        </w:rPr>
        <w:t xml:space="preserve">Notes: </w:t>
      </w:r>
      <w:r>
        <w:t>abstract_source=crossref</w:t>
      </w:r>
    </w:p>
    <w:p>
      <w:pPr>
        <w:spacing w:before="0" w:after="80" w:lineRule="auto" w:line="276"/>
      </w:pPr>
      <w:r>
        <w:rPr>
          <w:b/>
        </w:rPr>
        <w:t xml:space="preserve">摘要（ZH）: </w:t>
      </w:r>
      <w:r>
        <w:t>在原生环境中，生物体面临着一系列急性或慢性应激。这些压力包括毒素、病原体和身体伤害。越来越多的人认识到对不同压力的反应是全基因组加倍或多倍体。这种变革性的细胞特性改变了基因组完整性、细胞结构和组织结构。多倍体是否是应激的积极、消极或中性结果是当前在许多情况下研究的主题，包括植物和动物的真菌感染过程中、受伤组织的再生过程中以及癌症等人类疾病中。在这篇综述中，我们强调了在真菌、植物和动物环境中促进多倍体的广泛胁迫。具体来说，我们强调了通过细胞周期的改变导致体细胞或种系组织内应激诱导的多倍体的主要机制。我们讨论了这种应激诱导的多倍体对基因组、细胞和组织的影响，并强调了生物体和生物尺度上的共性。出现的一个共同主题是，多倍体在突然的应激后促进了许多后续的基因组和细胞变化，并且这些变化可以影响组织结构和功能。</w:t>
      </w:r>
    </w:p>
    <w:p>
      <w:pPr>
        <w:spacing w:before="0" w:after="200" w:lineRule="auto" w:line="276"/>
      </w:pPr>
      <w:r>
        <w:rPr>
          <w:b/>
        </w:rPr>
        <w:t xml:space="preserve">Abstract (EN): </w:t>
      </w:r>
      <w:r>
        <w:t>In native environments, organisms are faced with an array of acute or chronic stresses. These stresses include toxins, pathogens, and physical injury. An increasingly recognized response to diverse stresses is whole genome doubling or polyploidy. This transformative cellular property alters genome integrity, cellular structure, and tissue architecture. Whether polyploidy is a positive, negative, or neutral outcome of a stress is a current topic of investigation in numerous contexts including during fungal infection of plants and animals, during regeneration of wounded tissues, and in human diseases such as cancer. In this review, we highlight the wide range of stresses that promote polyploidy in fungal, plant, and animal contexts. Specifically, we highlight major mechanisms that lead to stress-induced polyploidy within somatic or germline tissues through alteration of the cell cycle. We discuss the impact of such stress-induced polyploidy on genomes, cells, and tissues and emphasize commonalities across organisms and biological scales. A common theme that has emerged is that polyploidy facilitates numerous subsequent genomic and cellular changes following abrupt stresses, and these changes can impact tissue architecture and function.</w:t>
      </w:r>
    </w:p>
    <w:p>
      <w:pPr>
        <w:spacing w:before="120" w:after="120"/>
      </w:pPr>
      <w:r>
        <w:rPr>
          <w:sz w:val="18"/>
        </w:rPr>
        <w:t>——————————————————————————————————————————————————————————————————————</w:t>
      </w:r>
    </w:p>
    <w:p>
      <w:pPr>
        <w:spacing w:before="160" w:after="40" w:line="240" w:lineRule="auto"/>
      </w:pPr>
      <w:r>
        <w:rPr>
          <w:b/>
        </w:rPr>
        <w:t xml:space="preserve">[205] </w:t>
      </w:r>
      <w:hyperlink r:id="rId644">
        <w:r>
          <w:rPr>
            <w:color w:val="1155CC"/>
            <w:u w:val="single"/>
          </w:rPr>
          <w:t>Hv1 通道活跃状态下显示出负水合收缩区</w:t>
        </w:r>
      </w:hyperlink>
    </w:p>
    <w:p>
      <w:pPr>
        <w:spacing w:before="0" w:after="80"/>
      </w:pPr>
      <w:r>
        <w:rPr>
          <w:i/>
          <w:sz w:val="20"/>
        </w:rPr>
        <w:t>EN: A negative-hydrated constriction zone is revealed in the active state of the Hv1 channel</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45">
        <w:r>
          <w:rPr>
            <w:color w:val="1155CC"/>
            <w:u w:val="single"/>
          </w:rPr>
          <w:t>10.1073/pnas.2518376123</w:t>
        </w:r>
      </w:hyperlink>
    </w:p>
    <w:p>
      <w:pPr>
        <w:spacing w:before="0" w:after="120"/>
      </w:pPr>
      <w:r>
        <w:rPr>
          <w:b/>
        </w:rPr>
        <w:t xml:space="preserve">Notes: </w:t>
      </w:r>
      <w:r>
        <w:t>abstract_source=crossref</w:t>
      </w:r>
    </w:p>
    <w:p>
      <w:pPr>
        <w:spacing w:before="0" w:after="80" w:lineRule="auto" w:line="276"/>
      </w:pPr>
      <w:r>
        <w:rPr>
          <w:b/>
        </w:rPr>
        <w:t xml:space="preserve">摘要（ZH）: </w:t>
      </w:r>
      <w:r>
        <w:t>电压门控质子 (H</w:t>
      </w:r>
      <w:r>
        <w:t xml:space="preserve"> </w:t>
      </w:r>
      <w:r>
        <w:t>v</w:t>
      </w:r>
      <w:r>
        <w:t xml:space="preserve"> </w:t>
      </w:r>
      <w:r>
        <w:t>1) 通道对于调节细胞 pH 值至关重要，但质子渗透的机制仍存在争议。更深入地了解通道的活动状态和静止状态之间的差异对于阐明其导电特性至关重要。在这项研究中，我们结合了分子动力学模拟、定点诱变和电生理记录来研究活性 H 中发生的变化。</w:t>
      </w:r>
      <w:r>
        <w:t xml:space="preserve"> </w:t>
      </w:r>
      <w:r>
        <w:t>v</w:t>
      </w:r>
      <w:r>
        <w:t xml:space="preserve"> </w:t>
      </w:r>
      <w:r>
        <w:t>1 通道以及这些变化如何影响野生型 (WT) 通道、低导 N264R 突变体和超导 N264E 突变体的传导特性。我们的研究结果表明，在活性状态下，选择性过滤器、天冬氨酸 D160 和 S4 跨膜片段中的第三个精氨酸之间的相互作用减弱。这导致了带更多负电荷和水合的环境，从而使得质子能够在 WT 和 N264E 通道中传输。值得注意的是，N264R 突变体中不存在这些构象变化。此外，我们的模拟预测——并且卵母细胞渗透压休克实验证实——活性 H</w:t>
      </w:r>
      <w:r>
        <w:t xml:space="preserve"> </w:t>
      </w:r>
      <w:r>
        <w:t>v</w:t>
      </w:r>
      <w:r>
        <w:t xml:space="preserve"> </w:t>
      </w:r>
      <w:r>
        <w:t>1个通道可以促进水渗透。这些观察结果表明，水传导是更扩张和水合通路的副产品。我们介绍一种研究 H 的方法论方法</w:t>
      </w:r>
      <w:r>
        <w:t xml:space="preserve"> </w:t>
      </w:r>
      <w:r>
        <w:t>v</w:t>
      </w:r>
      <w:r>
        <w:t xml:space="preserve"> </w:t>
      </w:r>
      <w:r>
        <w:t>1 利用水渗透作为功能读数。总的来说，我们的结果提供了对</w:t>
      </w:r>
    </w:p>
    <w:p>
      <w:pPr>
        <w:spacing w:before="0" w:after="200" w:lineRule="auto" w:line="276"/>
      </w:pPr>
      <w:r>
        <w:rPr>
          <w:b/>
        </w:rPr>
        <w:t xml:space="preserve">Abstract (EN): </w:t>
      </w:r>
      <w:r>
        <w:t>The voltage-gated proton (H</w:t>
      </w:r>
      <w:r>
        <w:t xml:space="preserve"> </w:t>
      </w:r>
      <w:r>
        <w:t>v</w:t>
      </w:r>
      <w:r>
        <w:t xml:space="preserve"> </w:t>
      </w:r>
      <w:r>
        <w:t>1) channel is crucial in regulating cellular pH, yet the mechanism underlying proton permeation remains controversial. A deeper understanding of the differences between the channel’s active and resting states is essential for clarifying its conductive properties. In this study, we employ a combination of molecular dynamics simulations, site-directed mutagenesis, and electrophysiological recordings to investigate what changes occur in an active H</w:t>
      </w:r>
      <w:r>
        <w:t xml:space="preserve"> </w:t>
      </w:r>
      <w:r>
        <w:t>v</w:t>
      </w:r>
      <w:r>
        <w:t xml:space="preserve"> </w:t>
      </w:r>
      <w:r>
        <w:t>1 channel and how these changes influence conduction properties in the wild-type (WT) channel, a low-conducting N264R mutant, and a superconductive N264E mutant. Our findings reveal that in the active state, interactions are weakened between the selectivity filter, aspartate D160, and the third arginine in the S4 transmembrane segment. This results in a more negatively charged and hydrated environment, which enables proton transport in the WT and N264E channels. Notably, these conformational changes are absent in the N264R mutant. Additionally, our simulations predict—and osmotic shock experiments in oocytes confirm—that an active H</w:t>
      </w:r>
      <w:r>
        <w:t xml:space="preserve"> </w:t>
      </w:r>
      <w:r>
        <w:t>v</w:t>
      </w:r>
      <w:r>
        <w:t xml:space="preserve"> </w:t>
      </w:r>
      <w:r>
        <w:t>1 channel can facilitate water permeation. These observations suggest that water conduction occurs as a byproduct of a more dilated and hydrated pathway. We introduce a methodological approach to studying H</w:t>
      </w:r>
      <w:r>
        <w:t xml:space="preserve"> </w:t>
      </w:r>
      <w:r>
        <w:t>v</w:t>
      </w:r>
      <w:r>
        <w:t xml:space="preserve"> </w:t>
      </w:r>
      <w:r>
        <w:t>1 by utilizing water permeation as a functional readout. Collectively, our results provide insights into the structural rearrangements of the H</w:t>
      </w:r>
      <w:r>
        <w:t xml:space="preserve"> </w:t>
      </w:r>
      <w:r>
        <w:t>v</w:t>
      </w:r>
      <w:r>
        <w:t xml:space="preserve"> </w:t>
      </w:r>
      <w:r>
        <w:t>1 constriction zone, shedding light on how its resting and active configurations govern proton conduction.</w:t>
      </w:r>
    </w:p>
    <w:p>
      <w:pPr>
        <w:spacing w:before="120" w:after="120"/>
      </w:pPr>
      <w:r>
        <w:rPr>
          <w:sz w:val="18"/>
        </w:rPr>
        <w:t>——————————————————————————————————————————————————————————————————————</w:t>
      </w:r>
    </w:p>
    <w:p>
      <w:pPr>
        <w:spacing w:before="160" w:after="40" w:line="240" w:lineRule="auto"/>
      </w:pPr>
      <w:r>
        <w:rPr>
          <w:b/>
        </w:rPr>
        <w:t xml:space="preserve">[206] </w:t>
      </w:r>
      <w:hyperlink r:id="rId646">
        <w:r>
          <w:rPr>
            <w:color w:val="1155CC"/>
            <w:u w:val="single"/>
          </w:rPr>
          <w:t>孤立、有限和极端环境中的社交互动：使用可穿戴传感器对南极冬季团队进行的研究</w:t>
        </w:r>
      </w:hyperlink>
    </w:p>
    <w:p>
      <w:pPr>
        <w:spacing w:before="0" w:after="80"/>
      </w:pPr>
      <w:r>
        <w:rPr>
          <w:i/>
          <w:sz w:val="20"/>
        </w:rPr>
        <w:t>EN: Social interactions in isolated, confined, and extreme environments: A study of Antarctic winter teams using wearable sensors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47">
        <w:r>
          <w:rPr>
            <w:color w:val="1155CC"/>
            <w:u w:val="single"/>
          </w:rPr>
          <w:t>10.1073/pnas.2533420123</w:t>
        </w:r>
      </w:hyperlink>
    </w:p>
    <w:p>
      <w:pPr>
        <w:spacing w:before="0" w:after="120"/>
      </w:pPr>
      <w:r>
        <w:rPr>
          <w:b/>
        </w:rPr>
        <w:t xml:space="preserve">Notes: </w:t>
      </w:r>
      <w:r>
        <w:t>abstract_source=crossref</w:t>
      </w:r>
    </w:p>
    <w:p>
      <w:pPr>
        <w:spacing w:before="0" w:after="80" w:lineRule="auto" w:line="276"/>
      </w:pPr>
      <w:r>
        <w:rPr>
          <w:b/>
        </w:rPr>
        <w:t xml:space="preserve">摘要（ZH）: </w:t>
      </w:r>
      <w:r>
        <w:t>由于长期的隔离和限制，长时间的太空任务使宇航员面临极端的心理和社会压力。为了研究这些条件如何影响个人和团队的运作，我们使用自我报告测量和可穿戴接近传感器，研究了康科迪亚站（Concordia Station）为期 10 个月的南极越冬任务，该站是太空飞行的模拟。十二名船员在四个时间点接受了评估。结果显示，孤独感和冲突感逐渐增加，而凝聚力和个人表现则下降。近距离互动与冲突和偏执想法呈正相关，与个人表现呈负相关，这表明更频繁的接触并不等于社会支持。社会互动日益集中在国家群体内，凸显了社会分裂和船员两极分化的风险。事实证明，可穿戴传感器的使用在极端环境下长期使用是可行的。这些发现强调了在长期执行任务期间监测心理社会功能的重要性，并表明封闭的监禁而不是单独的隔离可能会引发人际紧张。</w:t>
      </w:r>
    </w:p>
    <w:p>
      <w:pPr>
        <w:spacing w:before="0" w:after="200" w:lineRule="auto" w:line="276"/>
      </w:pPr>
      <w:r>
        <w:rPr>
          <w:b/>
        </w:rPr>
        <w:t xml:space="preserve">Abstract (EN): </w:t>
      </w:r>
      <w:r>
        <w:t>Long-duration space missions expose crews to extreme psychological and social stressors due to prolonged isolation and confinement. To examine how such conditions impact individual and team functioning, we studied a 10-mo Antarctic overwintering mission at Concordia Station, an analog for spaceflight, using self-report measures and wearable proximity sensors. Twelve crew members were assessed at four time-points. Results revealed a progressive increase in feelings of loneliness and conflict, while cohesion and individual performance declined. Close-range interactions were positively associated with conflicts and paranoid thoughts and negatively related with individual performance, suggesting that more frequent contact did not equate to social support. Social interactions became increasingly clustered within national groups, highlighting the risk of social fragmentation and crew polarization. The use of wearable sensors proved feasible for long-term use in extreme environments. These findings underscore the importance of monitoring psychosocial functioning during extended missions and suggest that close confinement, rather than isolation alone, may trigger interpersonal strain.</w:t>
      </w:r>
    </w:p>
    <w:p>
      <w:pPr>
        <w:spacing w:before="120" w:after="120"/>
      </w:pPr>
      <w:r>
        <w:rPr>
          <w:sz w:val="18"/>
        </w:rPr>
        <w:t>——————————————————————————————————————————————————————————————————————</w:t>
      </w:r>
    </w:p>
    <w:p>
      <w:pPr>
        <w:spacing w:before="160" w:after="40" w:line="240" w:lineRule="auto"/>
      </w:pPr>
      <w:r>
        <w:rPr>
          <w:b/>
        </w:rPr>
        <w:t xml:space="preserve">[207] </w:t>
      </w:r>
      <w:hyperlink r:id="rId648">
        <w:r>
          <w:rPr>
            <w:color w:val="1155CC"/>
            <w:u w:val="single"/>
          </w:rPr>
          <w:t>对少数群体缺席视而不见</w:t>
        </w:r>
      </w:hyperlink>
    </w:p>
    <w:p>
      <w:pPr>
        <w:spacing w:before="0" w:after="80"/>
      </w:pPr>
      <w:r>
        <w:rPr>
          <w:i/>
          <w:sz w:val="20"/>
        </w:rPr>
        <w:t>EN: Blindness to minority absence</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49">
        <w:r>
          <w:rPr>
            <w:color w:val="1155CC"/>
            <w:u w:val="single"/>
          </w:rPr>
          <w:t>10.1073/pnas.2516655123</w:t>
        </w:r>
      </w:hyperlink>
    </w:p>
    <w:p>
      <w:pPr>
        <w:spacing w:before="0" w:after="120"/>
      </w:pPr>
      <w:r>
        <w:rPr>
          <w:b/>
        </w:rPr>
        <w:t xml:space="preserve">Notes: </w:t>
      </w:r>
      <w:r>
        <w:t>abstract_source=crossref</w:t>
      </w:r>
    </w:p>
    <w:p>
      <w:pPr>
        <w:spacing w:before="0" w:after="80" w:lineRule="auto" w:line="276"/>
      </w:pPr>
      <w:r>
        <w:rPr>
          <w:b/>
        </w:rPr>
        <w:t xml:space="preserve">摘要（ZH）: </w:t>
      </w:r>
      <w:r>
        <w:t>我们的认知过程很大程度上取决于我们环境中存在的事物，而缺席的事物常常被忽视。人类思维的这种基本倾向可能会导致严重的社会偏见：个人经常无法注意到少数群体的缺席，即使是在这种缺席是有意义和后果性的情况下（例如，教育环境、工作场所）。在跨两种文化进行的三项预先登记的实地研究中，我们发现了对少数族裔缺席视而不见的有力证据。我们的研究结果表明，这种失明现象可能会持续数年，即使是在那些一旦被指出这种失明、承认其重要性并需要解决它的人中也是如此。八项预先注册的实验室实验证实，人们不太可能察觉到少数群体的存在。正如我们的结果表明，人们更有可能注意到单个少数族裔成员的存在，而不是该群体的完全缺席。相比之下，多数群体成员的缺席更为明显。即使为了准确性而引入金钱激励，这些模式也会出现，无论参与者的意识形态或社会态度如何，甚至在少数群体的个体中也很明显。最终的实验表明，强调被忽视的少数群体缺席会导致对促进多样性政策的更高程度的支持。综上所述，我们的研究结果表明，基本的认知限制会影响人们在社会环境中自发注意到的事物：少数人的缺席常常被忽视，而大多数人的缺席和少数人的存在更容易被注意到</w:t>
      </w:r>
    </w:p>
    <w:p>
      <w:pPr>
        <w:spacing w:before="0" w:after="200" w:lineRule="auto" w:line="276"/>
      </w:pPr>
      <w:r>
        <w:rPr>
          <w:b/>
        </w:rPr>
        <w:t xml:space="preserve">Abstract (EN): </w:t>
      </w:r>
      <w:r>
        <w:t>Our cognitive processes are largely shaped by what is present in our environment, while absences are often overlooked. This fundamental tendency of the human mind can lead to a significant social bias: individuals frequently fail to notice the absence of minority groups, even in situations where that absence is meaningful and consequential (e.g., educational settings, workplaces). In three preregistered field studies conducted across two cultures, we found robust evidence for blindness to minority absence. Our findings reveal that this blindness can persist for years, even among individuals who, once the absence is pointed out, acknowledge its significance and the need to address it. Eight preregistered laboratory experiments confirm that people are unlikely to detect the absence of a minority group. As our results indicate, people are more likely to notice the presence of a single minority member than the group’s complete absence. In contrast, the absence of majority group members is far more noticeable. These patterns emerge even when monetary incentives for accuracy are introduced, regardless of participants’ ideologies or social attitudes, and are evident even among individuals from minority groups. The final experiment suggests that highlighting an overlooked minority absence leads to higher stated support for diversity-promoting policies. Taken together, our findings suggest that basic cognitive constraints bias what people spontaneously notice in social environments: minority absences often go unnoticed, while majority absences and minority presences are more readily perceived. We propose that this bias may present a significant barrier to fostering inclusive social environments.</w:t>
      </w:r>
    </w:p>
    <w:p>
      <w:pPr>
        <w:spacing w:before="120" w:after="120"/>
      </w:pPr>
      <w:r>
        <w:rPr>
          <w:sz w:val="18"/>
        </w:rPr>
        <w:t>——————————————————————————————————————————————————————————————————————</w:t>
      </w:r>
    </w:p>
    <w:p>
      <w:pPr>
        <w:spacing w:before="160" w:after="40" w:line="240" w:lineRule="auto"/>
      </w:pPr>
      <w:r>
        <w:rPr>
          <w:b/>
        </w:rPr>
        <w:t xml:space="preserve">[208] </w:t>
      </w:r>
      <w:hyperlink r:id="rId650">
        <w:r>
          <w:rPr>
            <w:color w:val="1155CC"/>
            <w:u w:val="single"/>
          </w:rPr>
          <w:t>衰老增加了分配给静态平衡维持的皮质资源</w:t>
        </w:r>
      </w:hyperlink>
    </w:p>
    <w:p>
      <w:pPr>
        <w:spacing w:before="0" w:after="80"/>
      </w:pPr>
      <w:r>
        <w:rPr>
          <w:i/>
          <w:sz w:val="20"/>
        </w:rPr>
        <w:t>EN: Aging increases the cortical resources allocated to static balance maintenance</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51">
        <w:r>
          <w:rPr>
            <w:color w:val="1155CC"/>
            <w:u w:val="single"/>
          </w:rPr>
          <w:t>10.1073/pnas.2524894123</w:t>
        </w:r>
      </w:hyperlink>
    </w:p>
    <w:p>
      <w:pPr>
        <w:spacing w:before="0" w:after="120"/>
      </w:pPr>
      <w:r>
        <w:rPr>
          <w:b/>
        </w:rPr>
        <w:t xml:space="preserve">Notes: </w:t>
      </w:r>
      <w:r>
        <w:t>abstract_source=crossref</w:t>
      </w:r>
    </w:p>
    <w:p>
      <w:pPr>
        <w:spacing w:before="0" w:after="80" w:lineRule="auto" w:line="276"/>
      </w:pPr>
      <w:r>
        <w:rPr>
          <w:b/>
        </w:rPr>
        <w:t xml:space="preserve">摘要（ZH）: </w:t>
      </w:r>
      <w:r>
        <w:t>保持平衡需要感觉和运动过程之间复杂的相互作用，这种能力随着年龄的增长而退化，损害日常生活活动并导致跌倒风险增加。重要的是，虽然认知运动干扰范式表明与衰老相关的皮质参与平衡调节的增加，但仍然缺乏直接证据。为了澄清这个问题，我们评估了衰老对基于摇摆的皮质运动相干性（CKC）的影响，CKC 是皮层电生理信号与姿势摇摆之间耦合的度量。为此，我们记录了 64 名年轻健康参与者和 67 名老年健康参与者的压力中心波动和脑电图皮层活动，这些参与者执行平衡任务，在此期间感觉信息被删除或改变。我们发现，老年人表现出增加的皮质活动，这似乎与具有挑战性的平衡条件下闭环姿势控制的不同方面有关，并且与直立姿势稳定性相关。他们还表现出皮质活动和姿势摇摆之间的延迟增加，表明中央处理速度较慢。最后，尽管老年群体表现出显着改变的前庭眼反射，但未发现与 CKC 强度的关系。总体而言，我们的结果提供了直接证据，表明皮质对平衡调节的参与随着年龄的增长而增加。他们提出了在平衡维持过程中评估传入和传出处理的可行性，为识别神经生理学决定因素的研究铺平了道路。</w:t>
      </w:r>
    </w:p>
    <w:p>
      <w:pPr>
        <w:spacing w:before="0" w:after="200" w:lineRule="auto" w:line="276"/>
      </w:pPr>
      <w:r>
        <w:rPr>
          <w:b/>
        </w:rPr>
        <w:t xml:space="preserve">Abstract (EN): </w:t>
      </w:r>
      <w:r>
        <w:t>Maintaining balance requires a complex interplay between sensory and motor processes, and this ability deteriorates with age, impairing daily life activities and contributes to increased fall risks. Importantly, while cognitive-motor interference paradigms suggest an aging-related increase in the cortical involvement in balance regulation, direct evidence remains lacking. To clarify this issue, we assessed the effect of aging on sway-based corticokinematic coherence (CKC), which is a measure of the coupling between cortical electrophysiological signals and postural sway. To that end, we recorded the center-of-pressure fluctuations and electroencephalographic cortical activity of 64 young and 67 older healthy participants performing balance tasks during which sensory information was either removed or altered. We found that older adults showed increased cortical activity that appears to relate to different aspects of closed loop postural control during challenging balance conditions, and correlates with upright stance stability. They also showed increased delays between cortical activity and postural sway, indicative of slower central processing speed. Finally, despite the older cohort displaying significantly altered vestibulo-ocular reflexes, no relationship was found with CKC strength. Overall, our results provide direct evidence that cortical involvement in balance regulation increases with aging. They suggest the feasibility of assessing afferent and efferent processing during balance maintenance, paving the way for studies identifying neurophysiological determinants of fall risks.</w:t>
      </w:r>
    </w:p>
    <w:p>
      <w:pPr>
        <w:spacing w:before="120" w:after="120"/>
      </w:pPr>
      <w:r>
        <w:rPr>
          <w:sz w:val="18"/>
        </w:rPr>
        <w:t>——————————————————————————————————————————————————————————————————————</w:t>
      </w:r>
    </w:p>
    <w:p>
      <w:pPr>
        <w:spacing w:before="160" w:after="40" w:line="240" w:lineRule="auto"/>
      </w:pPr>
      <w:r>
        <w:rPr>
          <w:b/>
        </w:rPr>
        <w:t xml:space="preserve">[209] </w:t>
      </w:r>
      <w:hyperlink r:id="rId652">
        <w:r>
          <w:rPr>
            <w:color w:val="1155CC"/>
            <w:u w:val="single"/>
          </w:rPr>
          <w:t>中国的一胎政策通过扩大生育率差异加剧了代际不平等</w:t>
        </w:r>
      </w:hyperlink>
    </w:p>
    <w:p>
      <w:pPr>
        <w:spacing w:before="0" w:after="80"/>
      </w:pPr>
      <w:r>
        <w:rPr>
          <w:i/>
          <w:sz w:val="20"/>
        </w:rPr>
        <w:t>EN: China’s one-child policy amplifies intergenerational inequality via enlarged differential fertility</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53">
        <w:r>
          <w:rPr>
            <w:color w:val="1155CC"/>
            <w:u w:val="single"/>
          </w:rPr>
          <w:t>10.1073/pnas.2525381123</w:t>
        </w:r>
      </w:hyperlink>
    </w:p>
    <w:p>
      <w:pPr>
        <w:spacing w:before="0" w:after="120"/>
      </w:pPr>
      <w:r>
        <w:rPr>
          <w:b/>
        </w:rPr>
        <w:t xml:space="preserve">Notes: </w:t>
      </w:r>
      <w:r>
        <w:t>abstract_source=crossref</w:t>
      </w:r>
    </w:p>
    <w:p>
      <w:pPr>
        <w:spacing w:before="0" w:after="80" w:lineRule="auto" w:line="276"/>
      </w:pPr>
      <w:r>
        <w:rPr>
          <w:b/>
        </w:rPr>
        <w:t xml:space="preserve">摘要（ZH）: </w:t>
      </w:r>
      <w:r>
        <w:t>我们利用中国跨省份和出生群体错开的独生子女政策（OCP）作为一项准自然实验，证明富裕家庭和贫困家庭之间的生育率差异加剧了代际收入不平等。与城市/富裕家庭相比，农村/贫困家庭受 OCP 的限制较少，往往会生育更多孩子，但对每个孩子的人力资本投资较少。流动性的减少主要是由于城市/富裕家庭所生儿童的经济地位不断提高所致。我们的估计表明，OCP 约占中国观察到的代际收入流动性下降的 25%，从而凸显了经济不平等跨代持续存在的人口渠道。</w:t>
      </w:r>
    </w:p>
    <w:p>
      <w:pPr>
        <w:spacing w:before="0" w:after="200" w:lineRule="auto" w:line="276"/>
      </w:pPr>
      <w:r>
        <w:rPr>
          <w:b/>
        </w:rPr>
        <w:t xml:space="preserve">Abstract (EN): </w:t>
      </w:r>
      <w:r>
        <w:t>Using the staggered rollout of China’s one-child policy (OCP) across provinces and birth cohorts as a quasi-natural experiment, we demonstrate that differential fertility between richer and poorer households exacerbates intergenerational income inequality. Rural/poorer families, who are less constrained by the OCP than their urban/richer counterparts, tend to have more children but invest less in each child’s human capital. This reduction in mobility is primarily driven by the rising economic status of children born to urban/wealthier families. Our estimates suggest that the OCP accounts for approximately 25% of the observed decline in intergenerational income mobility in China and thus highlight a demographic channel through which economic inequality persists across generations.</w:t>
      </w:r>
    </w:p>
    <w:p>
      <w:pPr>
        <w:spacing w:before="120" w:after="120"/>
      </w:pPr>
      <w:r>
        <w:rPr>
          <w:sz w:val="18"/>
        </w:rPr>
        <w:t>——————————————————————————————————————————————————————————————————————</w:t>
      </w:r>
    </w:p>
    <w:p>
      <w:pPr>
        <w:spacing w:before="160" w:after="40" w:line="240" w:lineRule="auto"/>
      </w:pPr>
      <w:r>
        <w:rPr>
          <w:b/>
        </w:rPr>
        <w:t xml:space="preserve">[210] </w:t>
      </w:r>
      <w:hyperlink r:id="rId654">
        <w:r>
          <w:rPr>
            <w:color w:val="1155CC"/>
            <w:u w:val="single"/>
          </w:rPr>
          <w:t>即插即用组装可生物降解的可电离脂质，用于体内有效的 mRNA 传递和基因编辑</w:t>
        </w:r>
      </w:hyperlink>
    </w:p>
    <w:p>
      <w:pPr>
        <w:spacing w:before="0" w:after="80"/>
      </w:pPr>
      <w:r>
        <w:rPr>
          <w:i/>
          <w:sz w:val="20"/>
        </w:rPr>
        <w:t>EN: Plug-and-play assembly of biodegradable ionizable lipids for potent mRNA delivery and gene editing in vivo</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55">
        <w:r>
          <w:rPr>
            <w:color w:val="1155CC"/>
            <w:u w:val="single"/>
          </w:rPr>
          <w:t>10.1073/pnas.2528144123</w:t>
        </w:r>
      </w:hyperlink>
    </w:p>
    <w:p>
      <w:pPr>
        <w:spacing w:before="0" w:after="120"/>
      </w:pPr>
      <w:r>
        <w:rPr>
          <w:b/>
        </w:rPr>
        <w:t xml:space="preserve">Notes: </w:t>
      </w:r>
      <w:r>
        <w:t>abstract_source=crossref</w:t>
      </w:r>
    </w:p>
    <w:p>
      <w:pPr>
        <w:spacing w:before="0" w:after="80" w:lineRule="auto" w:line="276"/>
      </w:pPr>
      <w:r>
        <w:rPr>
          <w:b/>
        </w:rPr>
        <w:t xml:space="preserve">摘要（ZH）: </w:t>
      </w:r>
      <w:r>
        <w:t>基于 mRNA 的基因编辑疗法提供了永久治愈疾病的潜力，但受到次优递送平台的阻碍。在这里，我们设计了一种强大的组合化学，用于即插即用地组装来自胺/硫醇和马来酸二烷基酯的结构多样的可生物降解的可电离脂质。在筛选了 500 种可电离脂质后，我们借助机器学习获得了有效体外 mRNA 传递所必需的结构-活性关系。此外，我们还发现了一种领先的可电离脂质候选物，与文献和行业基准脂质纳米颗粒相比，它可以产生有效的脂质纳米颗粒，用于在野生型和转基因小鼠中传递各种基因编辑工具。从机制上讲，我们的脂质纳米颗粒表现出良好的理化性质，这可以协同促进卓越的递送性能。这项研究强调了这种合成方法的实用性以及该平台在有效体内基因编辑方面的通用性。</w:t>
      </w:r>
    </w:p>
    <w:p>
      <w:pPr>
        <w:spacing w:before="0" w:after="200" w:lineRule="auto" w:line="276"/>
      </w:pPr>
      <w:r>
        <w:rPr>
          <w:b/>
        </w:rPr>
        <w:t xml:space="preserve">Abstract (EN): </w:t>
      </w:r>
      <w:r>
        <w:t>mRNA-based gene editing therapeutics offer the potential to permanently cure diseases but are hindered by suboptimal delivery platforms. Here, we devise a robust combinatorial chemistry for the plug-and-play assembly of structurally diverse biodegradable ionizable lipids from amines/thiols and dialkyl maleates. After screening 500 ionizable lipids, we obtained structure−activity relationships essential for effective in vitro mRNA delivery with the help of machine learning. Furthermore, we identified a lead ionizable lipid candidate that produced potent lipid nanoparticles for the delivery of various gene editing tools in wild-type and genetically modified mice compared to literature and industry benchmark lipid nanoparticles. Mechanistically, our lipid nanoparticles show favorable physicochemical properties, which could synergistically contribute to the superior delivery performance. This study highlights the utility of this synthetic method as well as the generality of this platform for potent in vivo gene editing.</w:t>
      </w:r>
    </w:p>
    <w:p>
      <w:pPr>
        <w:spacing w:before="120" w:after="120"/>
      </w:pPr>
      <w:r>
        <w:rPr>
          <w:sz w:val="18"/>
        </w:rPr>
        <w:t>——————————————————————————————————————————————————————————————————————</w:t>
      </w:r>
    </w:p>
    <w:p>
      <w:pPr>
        <w:spacing w:before="160" w:after="40" w:line="240" w:lineRule="auto"/>
      </w:pPr>
      <w:r>
        <w:rPr>
          <w:b/>
        </w:rPr>
        <w:t xml:space="preserve">[211] </w:t>
      </w:r>
      <w:hyperlink r:id="rId656">
        <w:r>
          <w:rPr>
            <w:color w:val="1155CC"/>
            <w:u w:val="single"/>
          </w:rPr>
          <w:t>一条面包和一壶葡萄酒：终极烹饪搭配的起源</w:t>
        </w:r>
      </w:hyperlink>
    </w:p>
    <w:p>
      <w:pPr>
        <w:spacing w:before="0" w:after="80"/>
      </w:pPr>
      <w:r>
        <w:rPr>
          <w:i/>
          <w:sz w:val="20"/>
        </w:rPr>
        <w:t>EN: A loaf of bread and a jug wine: The origins of the ultimate culinary pairing</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57">
        <w:r>
          <w:rPr>
            <w:color w:val="1155CC"/>
            <w:u w:val="single"/>
          </w:rPr>
          <w:t>10.1073/pnas.2612819123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[212] </w:t>
      </w:r>
      <w:hyperlink r:id="rId658">
        <w:r>
          <w:rPr>
            <w:color w:val="1155CC"/>
            <w:u w:val="single"/>
          </w:rPr>
          <w:t>回复Arroyo等人：热性能曲线的普遍性和多样性</w:t>
        </w:r>
      </w:hyperlink>
    </w:p>
    <w:p>
      <w:pPr>
        <w:spacing w:before="0" w:after="80"/>
      </w:pPr>
      <w:r>
        <w:rPr>
          <w:i/>
          <w:sz w:val="20"/>
        </w:rPr>
        <w:t>EN: Reply to Arroyo et al.: Universality and diversity in thermal performance curves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59">
        <w:r>
          <w:rPr>
            <w:color w:val="1155CC"/>
            <w:u w:val="single"/>
          </w:rPr>
          <w:t>10.1073/pnas.2612681123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[213] </w:t>
      </w:r>
      <w:hyperlink r:id="rId660">
        <w:r>
          <w:rPr>
            <w:color w:val="1155CC"/>
            <w:u w:val="single"/>
          </w:rPr>
          <w:t>回复里特森-威廉姆斯等人。 Loya 和 van Woesik：由于不确定性和前所未有的压力，珊瑚替代研究至关重要</w:t>
        </w:r>
      </w:hyperlink>
    </w:p>
    <w:p>
      <w:pPr>
        <w:spacing w:before="0" w:after="80"/>
      </w:pPr>
      <w:r>
        <w:rPr>
          <w:i/>
          <w:sz w:val="20"/>
        </w:rPr>
        <w:t>EN: Reply to Ritson-Williams et al. and Loya and van Woesik: Coral replacement research is vital due to uncertainty and unprecedented stress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61">
        <w:r>
          <w:rPr>
            <w:color w:val="1155CC"/>
            <w:u w:val="single"/>
          </w:rPr>
          <w:t>10.1073/pnas.2612489123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[214] </w:t>
      </w:r>
      <w:hyperlink r:id="rId662">
        <w:r>
          <w:rPr>
            <w:color w:val="1155CC"/>
            <w:u w:val="single"/>
          </w:rPr>
          <w:t>电刺激可促进殖民脊索动物的寿命和再生</w:t>
        </w:r>
      </w:hyperlink>
    </w:p>
    <w:p>
      <w:pPr>
        <w:spacing w:before="0" w:after="80"/>
      </w:pPr>
      <w:r>
        <w:rPr>
          <w:i/>
          <w:sz w:val="20"/>
        </w:rPr>
        <w:t>EN: Electrical stimulation promotes longevity and regeneration in a colonial chordate</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63">
        <w:r>
          <w:rPr>
            <w:color w:val="1155CC"/>
            <w:u w:val="single"/>
          </w:rPr>
          <w:t>10.1073/pnas.2610968123</w:t>
        </w:r>
      </w:hyperlink>
    </w:p>
    <w:p>
      <w:pPr>
        <w:spacing w:before="0" w:after="120"/>
      </w:pPr>
      <w:r>
        <w:rPr>
          <w:b/>
        </w:rPr>
        <w:t xml:space="preserve">Notes: </w:t>
      </w:r>
      <w:r>
        <w:t>abstract_source=crossref</w:t>
      </w:r>
    </w:p>
    <w:p>
      <w:pPr>
        <w:spacing w:before="0" w:after="80" w:lineRule="auto" w:line="276"/>
      </w:pPr>
      <w:r>
        <w:rPr>
          <w:b/>
        </w:rPr>
        <w:t xml:space="preserve">摘要（ZH）: </w:t>
      </w:r>
      <w:r>
        <w:t>内源生物电流调节发育和再生，但它们对有机体寿命和干细胞介导的修复的影响尚不清楚。我们证明，短暂的、临床上安全的电流脉冲 (PEC) 可以使殖民脊索动物产生持久的复兴</w:t>
      </w:r>
      <w:r>
        <w:t xml:space="preserve"> </w:t>
      </w:r>
      <w:r>
        <w:t>灰霉病菌</w:t>
      </w:r>
      <w:r>
        <w:t xml:space="preserve"> </w:t>
      </w:r>
      <w:r>
        <w:t>。在该物种中，所有分化组织每周更换一次，祖细胞群每周介导新器官的从头生成，有机体衰老是由前体库的改变直接驱动的。电刺激的集落表现出生长加快、繁殖活性增强、存活率显着提高，以及干细胞相关功能的改善。全转录组分析揭示了所有功能路径上的双相“重启和反弹”程序。急性 2 小时“重启”的定义是基因组引擎、线粒体呼吸链、收缩装置和细胞外基质 (ECM) 完整性的同步下调。这种系统性暂停转变为大规模的 24 小时“反弹”，其特征是这些路径的全局重新激活，包括代谢激增、细胞骨架重建和 ECM 支架合成。值得注意的是，PEC 诱导了保守的免疫代谢从促炎性到修复性的转变，模仿了在哺乳动物中观察到的运动引起的转变。我们的研究结果表明，PEC 直接作用于祖细胞驱动的途径，以恢复稳态活力，为逆转与年龄相关的衰退提供了见解</w:t>
      </w:r>
    </w:p>
    <w:p>
      <w:pPr>
        <w:spacing w:before="0" w:after="200" w:lineRule="auto" w:line="276"/>
      </w:pPr>
      <w:r>
        <w:rPr>
          <w:b/>
        </w:rPr>
        <w:t xml:space="preserve">Abstract (EN): </w:t>
      </w:r>
      <w:r>
        <w:t>Endogenous bioelectric currents regulate development and regeneration, but their influence on organismal longevity and stem cell–mediated repair is not well understood. We demonstrate that a brief, clinically safe pulse of electrical current (PEC) produces lasting rejuvenation in the colonial chordate</w:t>
      </w:r>
      <w:r>
        <w:t xml:space="preserve"> </w:t>
      </w:r>
      <w:r>
        <w:t>Botryllus schlosseri</w:t>
      </w:r>
      <w:r>
        <w:t xml:space="preserve"> </w:t>
      </w:r>
      <w:r>
        <w:t>. In this species where all differentiated tissues are replaced weekly and progenitor populations mediate the weekly de novo generation of new organs, organismal aging is directly driven by alterations of the precursor pool. Electrically stimulated colonies exhibited increased growth, enhanced reproductive activity, and significantly improved survival, along with improved stem cell associated function. Whole-transcriptome analysis revealed a biphasic “reboot and rebound” program across all functional paths. An acute 2-h “reboot” was defined by the synchronized downregulation of the genomic engine, mitochondrial respiratory chain, contractile apparatus, and extracellular matrix (ECM) integrity. This systemic pause transitioned into a massive 24-h “rebound”, characterized by the global reactivation of these paths, including a metabolic surge, cytoskeletal rebuilding, and ECM scaffold synthesis. Notably, PEC induced a conserved immunometabolic shift from a proinflammatory to a reparative signature, mimicking exercise-induced shifts observed in mammals. Our findings identify that PEC acts directly on progenitor-cell-driven pathways to restore homeostatic vitality, offering insights into the reversal of age-related decline.</w:t>
      </w:r>
    </w:p>
    <w:p>
      <w:pPr>
        <w:spacing w:before="120" w:after="120"/>
      </w:pPr>
      <w:r>
        <w:rPr>
          <w:sz w:val="18"/>
        </w:rPr>
        <w:t>——————————————————————————————————————————————————————————————————————</w:t>
      </w:r>
    </w:p>
    <w:p>
      <w:pPr>
        <w:spacing w:before="160" w:after="40" w:line="240" w:lineRule="auto"/>
      </w:pPr>
      <w:r>
        <w:rPr>
          <w:b/>
        </w:rPr>
        <w:t xml:space="preserve">[215] </w:t>
      </w:r>
      <w:hyperlink r:id="rId664">
        <w:r>
          <w:rPr>
            <w:color w:val="1155CC"/>
            <w:u w:val="single"/>
          </w:rPr>
          <w:t>氧化应激和血清剥夺影响肿瘤发生过程中新形成的四倍体细胞的进化</w:t>
        </w:r>
      </w:hyperlink>
    </w:p>
    <w:p>
      <w:pPr>
        <w:spacing w:before="0" w:after="80"/>
      </w:pPr>
      <w:r>
        <w:rPr>
          <w:i/>
          <w:sz w:val="20"/>
        </w:rPr>
        <w:t>EN: Oxidative stress and serum deprivation influence the evolution of newly formed tetraploid cells during tumorigenesis</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65">
        <w:r>
          <w:rPr>
            <w:color w:val="1155CC"/>
            <w:u w:val="single"/>
          </w:rPr>
          <w:t>10.1073/pnas.2522077123</w:t>
        </w:r>
      </w:hyperlink>
    </w:p>
    <w:p>
      <w:pPr>
        <w:spacing w:before="0" w:after="120"/>
      </w:pPr>
      <w:r>
        <w:rPr>
          <w:b/>
        </w:rPr>
        <w:t xml:space="preserve">Notes: </w:t>
      </w:r>
      <w:r>
        <w:t>abstract_source=crossref</w:t>
      </w:r>
    </w:p>
    <w:p>
      <w:pPr>
        <w:spacing w:before="0" w:after="80" w:lineRule="auto" w:line="276"/>
      </w:pPr>
      <w:r>
        <w:rPr>
          <w:b/>
        </w:rPr>
        <w:t xml:space="preserve">摘要（ZH）: </w:t>
      </w:r>
      <w:r>
        <w:t>我们最近发现，培养中新形成的四倍体（4N）细胞在全基因组加倍（WGD）后很快就会失去额外的中心体。这与人类癌症中中心体数量异常的高发生率以及来自小鼠肿瘤的 4N 细胞携带额外中心体的观察结果不一致，表明中心体数量可能受到肿瘤微环境 (TME) 中某些条件的影响。为了确定 TME 对新形成的 4N 细胞进化的影响，我们在 DLD1 结直肠癌细胞中诱导 WGD，并分析了小鼠肿瘤样本中的中心体和染色体数量。我们发现4N细胞在体内表现出增殖缺陷，它们可以增强基质细胞向肿瘤部位的募集，并且与体外进化的4N细胞群相比，它们更有可能含有额外的中心体。将跟踪不同细胞群中倍性和中心体数量共同进化的数学模型与贝叶斯推理相结合，我们确定中心体过度复制是多余中心体表型的机制。最后，通过体外进化实验，我们发现生长因子的剥夺和氧化应激可以分别解释我们在体内实验中发现的增殖缺陷和多余中心体。总体而言，我们的工作表明，氧化应激在中心体过度复制中发挥着重要作用，特别是在 4N 细胞中，这表明多余中心体和 WGD 可能在某些肿瘤中共存。此外，我们的研究结果</w:t>
      </w:r>
    </w:p>
    <w:p>
      <w:pPr>
        <w:spacing w:before="0" w:after="200" w:lineRule="auto" w:line="276"/>
      </w:pPr>
      <w:r>
        <w:rPr>
          <w:b/>
        </w:rPr>
        <w:t xml:space="preserve">Abstract (EN): </w:t>
      </w:r>
      <w:r>
        <w:t>We recently found that newly formed tetraploid (4N) cells in culture quickly lose extra centrosomes after whole genome doubling (WGD). This is inconsistent with the high incidence of centrosome number abnormalities in human cancers and with the observation that 4N cells from mouse tumors carry extra centrosomes, suggesting that centrosome numbers could be affected by certain conditions in the tumor microenvironment (TME). To determine the effect of the TME on the evolution of newly formed 4N cells, we induced WGD in DLD1 colorectal cancer cells and analyzed centrosome and chromosome numbers in mouse tumor samples. We found that the 4N cells displayed a proliferation defect in vivo, that they could enhance the recruitment of stromal cells to the tumor site, and that they were more likely to harbor extra centrosomes compared to 4N cell populations evolved in vitro. Combining a mathematical model that tracks the coevolution of ploidy and centrosome numbers in different cell populations with Bayesian inference, we identified centrosome overduplication as the mechanism underlying the supernumerary centrosome phenotype. Finally, through in vitro evolution experiments, we found that deprivation of growth factors and oxidative stress could explain, respectively, the proliferation defect and the supernumerary centrosomes identified in our in vivo experiments. Overall, our work shows that oxidative stress plays a major role in centrosome overduplication, particularly in 4N cells, suggesting that supernumerary centrosomes and WGD may coexist in certain tumors. Moreover, our findings suggest that the oncogenic effects of WGD could be due, in part, to stromal cell recruitment.</w:t>
      </w:r>
    </w:p>
    <w:p>
      <w:pPr>
        <w:spacing w:before="120" w:after="120"/>
      </w:pPr>
      <w:r>
        <w:rPr>
          <w:sz w:val="18"/>
        </w:rPr>
        <w:t>——————————————————————————————————————————————————————————————————————</w:t>
      </w:r>
    </w:p>
    <w:p>
      <w:pPr>
        <w:spacing w:before="160" w:after="40" w:line="240" w:lineRule="auto"/>
      </w:pPr>
      <w:r>
        <w:rPr>
          <w:b/>
        </w:rPr>
        <w:t xml:space="preserve">[216] </w:t>
      </w:r>
      <w:hyperlink r:id="rId666">
        <w:r>
          <w:rPr>
            <w:color w:val="1155CC"/>
            <w:u w:val="single"/>
          </w:rPr>
          <w:t>俯冲调节了地球表面的长期氧化</w:t>
        </w:r>
      </w:hyperlink>
    </w:p>
    <w:p>
      <w:pPr>
        <w:spacing w:before="0" w:after="80"/>
      </w:pPr>
      <w:r>
        <w:rPr>
          <w:i/>
          <w:sz w:val="20"/>
        </w:rPr>
        <w:t>EN: Subduction modulated the long-term oxygenation of Earth’s surface</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67">
        <w:r>
          <w:rPr>
            <w:color w:val="1155CC"/>
            <w:u w:val="single"/>
          </w:rPr>
          <w:t>10.1073/pnas.2534056123</w:t>
        </w:r>
      </w:hyperlink>
    </w:p>
    <w:p>
      <w:pPr>
        <w:spacing w:before="0" w:after="120"/>
      </w:pPr>
      <w:r>
        <w:rPr>
          <w:b/>
        </w:rPr>
        <w:t xml:space="preserve">Notes: </w:t>
      </w:r>
      <w:r>
        <w:t>abstract_source=crossref</w:t>
      </w:r>
    </w:p>
    <w:p>
      <w:pPr>
        <w:spacing w:before="0" w:after="80" w:lineRule="auto" w:line="276"/>
      </w:pPr>
      <w:r>
        <w:rPr>
          <w:b/>
        </w:rPr>
        <w:t xml:space="preserve">摘要（ZH）: </w:t>
      </w:r>
      <w:r>
        <w:t>在地球上，据推测，大气中的氧气在达到现代水平之前经历了三个主要时间间隔的上升，每个时间间隔都对生物圈的演化产生深远的影响。然而，这些逐步增长背后的主要驱动因素仍然难以捉摸。在这里，我们编制了变质温压比（</w:t>
      </w:r>
      <w:r>
        <w:t xml:space="preserve"> </w:t>
      </w:r>
      <w:r>
        <w:t>时间</w:t>
      </w:r>
      <w:r>
        <w:t xml:space="preserve"> </w:t>
      </w:r>
      <w:r>
        <w:t>/</w:t>
      </w:r>
      <w:r>
        <w:t>磷</w:t>
      </w:r>
      <w:r>
        <w:t xml:space="preserve"> </w:t>
      </w:r>
      <w:r>
        <w:t>）随着时间的推移，并将它们用作“冷”俯冲可能性的一阶概率代理（即，</w:t>
      </w:r>
      <w:r>
        <w:t xml:space="preserve"> </w:t>
      </w:r>
      <w:r>
        <w:t>时间</w:t>
      </w:r>
      <w:r>
        <w:t xml:space="preserve"> </w:t>
      </w:r>
      <w:r>
        <w:t>/</w:t>
      </w:r>
      <w:r>
        <w:t>磷</w:t>
      </w:r>
      <w:r>
        <w:t xml:space="preserve"> </w:t>
      </w:r>
      <w:r>
        <w:t>&lt;375℃GPa</w:t>
      </w:r>
      <w:r>
        <w:t xml:space="preserve"> </w:t>
      </w:r>
      <w:r>
        <w:t>–1</w:t>
      </w:r>
      <w:r>
        <w:t xml:space="preserve"> </w:t>
      </w:r>
      <w:r>
        <w:t>）在地幔长期冷却期间。然后，我们将这种构造强迫与生物地球化学模型结合起来，以测试更有效的冷俯冲是否可以增强减少的有机碳和黄铁矿向地球深处的净转移，从而减少氧汇并允许表面氧水平在地质时间尺度上增加。模拟结果表明，冷俯冲的逐渐出现可能有助于大气二氧化碳、海水硫酸盐、沉积磷和海洋氧化还原条件的长期氧化轨迹和相关长期趋势。尽管绝对量值仍不确定，但表面氧化的预测轨迹在质量上与从地球化学代理推断出的大致三步模式一致。我们认为俯冲的渐进演化可能是长期演化的关键驱动因素。</w:t>
      </w:r>
    </w:p>
    <w:p>
      <w:pPr>
        <w:spacing w:before="0" w:after="200" w:lineRule="auto" w:line="276"/>
      </w:pPr>
      <w:r>
        <w:rPr>
          <w:b/>
        </w:rPr>
        <w:t xml:space="preserve">Abstract (EN): </w:t>
      </w:r>
      <w:r>
        <w:t>On Earth, atmospheric oxygen is inferred to have risen over three major intervals before reaching modern levels, with each interval having a profound impact on the evolution of the biosphere. However, the principal driver behind these stepwise increases remains elusive. Here, we compile metamorphic thermobaric ratios (</w:t>
      </w:r>
      <w:r>
        <w:t xml:space="preserve"> </w:t>
      </w:r>
      <w:r>
        <w:t>T</w:t>
      </w:r>
      <w:r>
        <w:t xml:space="preserve"> </w:t>
      </w:r>
      <w:r>
        <w:t>/</w:t>
      </w:r>
      <w:r>
        <w:t>P</w:t>
      </w:r>
      <w:r>
        <w:t xml:space="preserve"> </w:t>
      </w:r>
      <w:r>
        <w:t>) through time and use them as a first-order, probabilistic proxy for the likelihood of “cold” subduction (i.e., with</w:t>
      </w:r>
      <w:r>
        <w:t xml:space="preserve"> </w:t>
      </w:r>
      <w:r>
        <w:t>T</w:t>
      </w:r>
      <w:r>
        <w:t xml:space="preserve"> </w:t>
      </w:r>
      <w:r>
        <w:t>/</w:t>
      </w:r>
      <w:r>
        <w:t>P</w:t>
      </w:r>
      <w:r>
        <w:t xml:space="preserve"> </w:t>
      </w:r>
      <w:r>
        <w:t>&amp;lt; 375 °C GPa</w:t>
      </w:r>
      <w:r>
        <w:t xml:space="preserve"> </w:t>
      </w:r>
      <w:r>
        <w:t>–1</w:t>
      </w:r>
      <w:r>
        <w:t xml:space="preserve"> </w:t>
      </w:r>
      <w:r>
        <w:t>) during secular cooling of Earth’s mantle. Then, we couple this tectonic forcing to biogeochemical modeling to test whether more efficient cold subduction may have enhanced the net transfer of reduced organic carbon and pyrite to Earth’s deep interior, thereby diminishing oxygen sinks and allowing surface oxygen levels to increase at geological timescales. Modeling results indicate that the progressive emergence of cold subduction could plausibly have contributed to the long-term oxygenation trajectory and associated secular trends in atmospheric carbon dioxide, seawater sulfate, sedimentary phosphorus, and marine redox conditions. Although the absolute magnitudes remain uncertain, the predicted trajectory of surface oxygenation is qualitatively consistent with the broad three-step pattern inferred from geochemical proxies. We propose that the progressive evolution of subduction may have been a key driver of long-term surface oxygenation, linking mantle cooling to the rise of conditions favorable for aerobic lifeforms.</w:t>
      </w:r>
    </w:p>
    <w:p>
      <w:pPr>
        <w:spacing w:before="120" w:after="120"/>
      </w:pPr>
      <w:r>
        <w:rPr>
          <w:sz w:val="18"/>
        </w:rPr>
        <w:t>——————————————————————————————————————————————————————————————————————</w:t>
      </w:r>
    </w:p>
    <w:p>
      <w:pPr>
        <w:spacing w:before="160" w:after="40" w:line="240" w:lineRule="auto"/>
      </w:pPr>
      <w:r>
        <w:rPr>
          <w:b/>
        </w:rPr>
        <w:t xml:space="preserve">[217] </w:t>
      </w:r>
      <w:hyperlink r:id="rId668">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2026-05-26 07:00:00+00:00</w:t>
      </w:r>
      <w:r>
        <w:t xml:space="preserve">    </w:t>
      </w:r>
      <w:r>
        <w:rPr>
          <w:b/>
        </w:rPr>
        <w:t xml:space="preserve">DOI: </w:t>
      </w:r>
      <w:hyperlink r:id="rId669">
        <w:r>
          <w:rPr>
            <w:color w:val="1155CC"/>
            <w:u w:val="single"/>
          </w:rPr>
          <w:t>10.1073/iti2126123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[218] </w:t>
      </w:r>
      <w:hyperlink r:id="rId670">
        <w:r>
          <w:rPr>
            <w:color w:val="1155CC"/>
            <w:u w:val="single"/>
          </w:rPr>
          <w:t>单原子层银光子量子点中极化子的超限制</w:t>
        </w:r>
      </w:hyperlink>
    </w:p>
    <w:p>
      <w:pPr>
        <w:spacing w:before="0" w:after="80"/>
      </w:pPr>
      <w:r>
        <w:rPr>
          <w:i/>
          <w:sz w:val="20"/>
        </w:rPr>
        <w:t>EN: Ultra‐Confinement of Polaritons in Single Atomic Layer Ag Photonic Quantum Dots</w:t>
      </w:r>
    </w:p>
    <w:p>
      <w:pPr>
        <w:spacing w:before="0" w:after="120"/>
      </w:pPr>
      <w:r>
        <w:rPr>
          <w:b/>
        </w:rPr>
        <w:t xml:space="preserve">Source: </w:t>
      </w:r>
      <w:r>
        <w:t>Wiley: Advanced Materials: Table of Contents</w:t>
      </w:r>
      <w:r>
        <w:t xml:space="preserve">    </w:t>
      </w:r>
      <w:r>
        <w:rPr>
          <w:b/>
        </w:rPr>
        <w:t xml:space="preserve">Pub date: </w:t>
      </w:r>
      <w:r>
        <w:t>2026-05-26 07:25:21+00:00</w:t>
      </w:r>
      <w:r>
        <w:t xml:space="preserve">    </w:t>
      </w:r>
      <w:r>
        <w:rPr>
          <w:b/>
        </w:rPr>
        <w:t xml:space="preserve">DOI: </w:t>
      </w:r>
      <w:hyperlink r:id="rId671">
        <w:r>
          <w:rPr>
            <w:color w:val="1155CC"/>
            <w:u w:val="single"/>
          </w:rPr>
          <w:t>10.1002/adma.202521015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二维（2D）范德华异质结构（vdWH）的光散射是巨大的，特别是考虑到它们的体积极小，从而实现了强烈的光与物质相互作用。表面二维极化子波通过垂直于其传播的垂直方向上大量集中的电磁场表现出来。通过将 vdWH 材料限制在 2D 光子形状中，人们可以在横向方向上操纵和压缩光。散射型扫描近场光学显微镜是传播极化子直接成像和研究纳米结构中受限极化子特性的完美工具。然而，到目前为止，由于无法在亚波长尺度上绘制波周期，并且难以确定要减去的足够基底的“背景”，定量分析（例如波长提取）受到了限制极化子的挑战。在这里，开发了一种分析方法来揭示上述约束下受限极化子的局部传播常数，并用亚波长分辨率将其映射。该技术应用于 SiC/2D-Ag/EG（外延石墨烯）光子纳米结构的分析，发现极化子在垂直方向（∼</w:t>
      </w:r>
      <w:r>
        <w:t xml:space="preserve"> </w:t>
      </w:r>
      <w:r>
        <w:t>λ</w:t>
      </w:r>
      <w:r>
        <w:t xml:space="preserve"> </w:t>
      </w:r>
      <w:r>
        <w:t>/50) 和横向 (∼</w:t>
      </w:r>
      <w:r>
        <w:t xml:space="preserve"> </w:t>
      </w:r>
      <w:r>
        <w:t>λ</w:t>
      </w:r>
      <w:r>
        <w:t xml:space="preserve"> </w:t>
      </w:r>
      <w:r>
        <w:t>/40) 由 2D 金属制成。</w:t>
      </w:r>
    </w:p>
    <w:p>
      <w:pPr>
        <w:spacing w:before="0" w:after="200" w:lineRule="auto" w:line="276"/>
      </w:pPr>
      <w:r>
        <w:rPr>
          <w:b/>
        </w:rPr>
        <w:t xml:space="preserve">Abstract (EN): </w:t>
      </w:r>
      <w:r>
        <w:t>Light scattering by two‐dimensional (2D) van der Waals heterostructures (vdWHs) is immense, especially given their infinitesimal volume, thus enabling strong light‐matter interactions. Surface 2D polariton waves manifest through a large concentration of electromagnetic field in the vertical direction, normal to their propagation. By confining vdWH materials into 2D photonic shapes, one can manipulate and compress light in lateral directions. Scattering‐type scanning near‐field optical microscopy is a perfect tool for direct imaging of the propagating polaritons and studying the properties of confined polaritons in nanostructures. Though, thus far, the quantitative analysis, such as the wavelength extraction, has been challenged for confined polaritons by incapability of mapping of the wave period on a sub‐wavelength scale and the difficulty of identifying an adequate substrate's “background” to subtract. Here, an analytical approach is developed to reveal the local propagation constant of confined polaritons under the above‐mentioned constraints and map it with sub‐wavelength resolution. Applied to the analysis of the SiC/2D‐Ag/EG (epitaxial graphene) photonic nanostructures, the technique uncovered that the polaritons are highly confined in both vertical (∼</w:t>
      </w:r>
      <w:r>
        <w:t xml:space="preserve"> </w:t>
      </w:r>
      <w:r>
        <w:t>λ</w:t>
      </w:r>
      <w:r>
        <w:t xml:space="preserve"> </w:t>
      </w:r>
      <w:r>
        <w:t>/50) and lateral directions (∼</w:t>
      </w:r>
      <w:r>
        <w:t xml:space="preserve"> </w:t>
      </w:r>
      <w:r>
        <w:t>λ</w:t>
      </w:r>
      <w:r>
        <w:t xml:space="preserve"> </w:t>
      </w:r>
      <w:r>
        <w:t>/40) by 2D metal.</w:t>
      </w:r>
    </w:p>
    <w:p>
      <w:pPr>
        <w:spacing w:before="120" w:after="120"/>
      </w:pPr>
      <w:r>
        <w:rPr>
          <w:sz w:val="18"/>
        </w:rPr>
        <w:t>——————————————————————————————————————————————————————————————————————</w:t>
      </w:r>
    </w:p>
    <w:p>
      <w:pPr>
        <w:spacing w:before="160" w:after="40" w:line="240" w:lineRule="auto"/>
      </w:pPr>
      <w:r>
        <w:rPr>
          <w:b/>
        </w:rPr>
        <w:t xml:space="preserve">[219] </w:t>
      </w:r>
      <w:hyperlink r:id="rId672">
        <w:r>
          <w:rPr>
            <w:color w:val="1155CC"/>
            <w:u w:val="single"/>
          </w:rPr>
          <w:t>可穿戴生物成像的进展</w:t>
        </w:r>
      </w:hyperlink>
    </w:p>
    <w:p>
      <w:pPr>
        <w:spacing w:before="0" w:after="80"/>
      </w:pPr>
      <w:r>
        <w:rPr>
          <w:i/>
          <w:sz w:val="20"/>
        </w:rPr>
        <w:t>EN: Advances in Wearable Bioimaging</w:t>
      </w:r>
    </w:p>
    <w:p>
      <w:pPr>
        <w:spacing w:before="0" w:after="120"/>
      </w:pPr>
      <w:r>
        <w:rPr>
          <w:b/>
        </w:rPr>
        <w:t xml:space="preserve">Source: </w:t>
      </w:r>
      <w:r>
        <w:t>Wiley: Advanced Materials: Table of Contents</w:t>
      </w:r>
      <w:r>
        <w:t xml:space="preserve">    </w:t>
      </w:r>
      <w:r>
        <w:rPr>
          <w:b/>
        </w:rPr>
        <w:t xml:space="preserve">Pub date: </w:t>
      </w:r>
      <w:r>
        <w:t>2026-05-26 08:10:48+00:00</w:t>
      </w:r>
      <w:r>
        <w:t xml:space="preserve">    </w:t>
      </w:r>
      <w:r>
        <w:rPr>
          <w:b/>
        </w:rPr>
        <w:t xml:space="preserve">DOI: </w:t>
      </w:r>
      <w:hyperlink r:id="rId673">
        <w:r>
          <w:rPr>
            <w:color w:val="1155CC"/>
            <w:u w:val="single"/>
          </w:rPr>
          <w:t>10.1002/adma.202522393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精准医疗时代，可穿戴生物成像平台的发展加速，解决了传统的基于设施的系统成本高昂且难以访问的局限性。在这篇综述中，我们首先概述了主要成像模式的操作原理，重点关注目标组织和影响图像质量的因素。接下来，我们调查了将这些模式小型化为可穿戴设备的进展，从电阻抗断层扫描带到灵活的超声波和光声贴片，重点介绍了提高图像质量、皮肤粘附力和功能集成的材料选择和制造策略。最后，我们讨论了为了充分发挥这些平台的潜力而必须解决的突出技术和转化挑战，包括安全性和长期使用。通过持续的研究和负责任的商业化，这些可穿戴设备可以重塑持续的生理监测，并实现更主动、预防性的健康管理。</w:t>
      </w:r>
    </w:p>
    <w:p>
      <w:pPr>
        <w:spacing w:before="0" w:after="200" w:lineRule="auto" w:line="276"/>
      </w:pPr>
      <w:r>
        <w:rPr>
          <w:b/>
        </w:rPr>
        <w:t xml:space="preserve">Abstract (EN): </w:t>
      </w:r>
      <w:r>
        <w:t>The development of wearable bioimaging platforms has accelerated in the era of precision medicine, addressing the limitations of conventional, facility‐based systems, which can be costly and difficult to access. In this review, we first outline the operating principles of major imaging modalities, with an emphasis on target tissues and factors that contribute to image quality. Next, we survey advances in miniaturizing these modalities into wearable devices, from electrical impedance tomography belts to flexible ultrasound and photoacoustic patches, highlighting materials selection and fabrication strategies that enhance image quality, skin adhesion, and functional integration. Lastly, we discuss outstanding technical and translational challenges that must be addressed to realize the full potential of these platforms, including safety and long‐term use. With sustained research and responsible commercialization, these wearable devices could reshape continuous physiological monitoring and enable more proactive, preventive health management.</w:t>
      </w:r>
    </w:p>
    <w:p>
      <w:pPr>
        <w:spacing w:before="120" w:after="120"/>
      </w:pPr>
      <w:r>
        <w:rPr>
          <w:sz w:val="18"/>
        </w:rPr>
        <w:t>——————————————————————————————————————————————————————————————————————</w:t>
      </w:r>
    </w:p>
    <w:p>
      <w:pPr>
        <w:spacing w:before="160" w:after="40" w:line="240" w:lineRule="auto"/>
      </w:pPr>
      <w:r>
        <w:rPr>
          <w:b/>
        </w:rPr>
        <w:t xml:space="preserve">[220] </w:t>
      </w:r>
      <w:hyperlink r:id="rId674">
        <w:r>
          <w:rPr>
            <w:color w:val="1155CC"/>
            <w:u w:val="single"/>
          </w:rPr>
          <w:t>三维液态金属水凝胶的数字光处理</w:t>
        </w:r>
      </w:hyperlink>
    </w:p>
    <w:p>
      <w:pPr>
        <w:spacing w:before="0" w:after="80"/>
      </w:pPr>
      <w:r>
        <w:rPr>
          <w:i/>
          <w:sz w:val="20"/>
        </w:rPr>
        <w:t>EN: Digital Light Processing of Three‐dimensional Liquid Metal Hydrogels</w:t>
      </w:r>
    </w:p>
    <w:p>
      <w:pPr>
        <w:spacing w:before="0" w:after="120"/>
      </w:pPr>
      <w:r>
        <w:rPr>
          <w:b/>
        </w:rPr>
        <w:t xml:space="preserve">Source: </w:t>
      </w:r>
      <w:r>
        <w:t>Wiley: Advanced Materials: Table of Contents</w:t>
      </w:r>
      <w:r>
        <w:t xml:space="preserve">    </w:t>
      </w:r>
      <w:r>
        <w:rPr>
          <w:b/>
        </w:rPr>
        <w:t xml:space="preserve">Pub date: </w:t>
      </w:r>
      <w:r>
        <w:t>2026-05-26 08:14:30+00:00</w:t>
      </w:r>
      <w:r>
        <w:t xml:space="preserve">    </w:t>
      </w:r>
      <w:r>
        <w:rPr>
          <w:b/>
        </w:rPr>
        <w:t xml:space="preserve">DOI: </w:t>
      </w:r>
      <w:hyperlink r:id="rId675">
        <w:r>
          <w:rPr>
            <w:color w:val="1155CC"/>
            <w:u w:val="single"/>
          </w:rPr>
          <w:t>10.1002/adma.73495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液态金属（LM）水凝胶作为柔性电子和软机器人的有前景的材料而出现，但它们面临着结构简单、精度有限和功能可设计性不足的挑战。在此，我们展示了具有微米精度 (10 µm) 和任意精细结构的三维 (3D) LM 水凝胶的首次数字光处理。通过用海藻酸钠 (SA) 封装 LM 液滴，开发了一种适用于光固化 LM 基各种树脂的通用策略。 SA涂层不仅可以通过形成氢键和离子键来防止油墨沉降和自聚合，而且可以确保油墨均匀分散并保持光固化性能。因此，光固化 3D LM 水凝胶具有增强的拉伸拉伸性 (2000%) 和循环稳定性（500% 应变下 800 次循环），其性能优于之前报道的大多数 3D 水凝胶。 3D LM 水凝胶还表现出增强的灵敏度和可调的光热响应性，在应变传感器、物体抓取机器人、远程控制设备和防伪系统中展示了有前景的应用。</w:t>
      </w:r>
    </w:p>
    <w:p>
      <w:pPr>
        <w:spacing w:before="0" w:after="200" w:lineRule="auto" w:line="276"/>
      </w:pPr>
      <w:r>
        <w:rPr>
          <w:b/>
        </w:rPr>
        <w:t xml:space="preserve">Abstract (EN): </w:t>
      </w:r>
      <w:r>
        <w:t>Liquid metal (LM) hydrogels emerge as promising materials for flexible electronics and soft robotics, but they are challenged by simplistic structure, limited precision, and insufficient functional designability. Herein, we demonstrate the first digital light processing of three‐dimensional (3D) LM hydrogels with micrometer precision (10 µm) and arbitrarily elaborated architectures. A universal strategy is developed for photo‐curable LM‐based various resins by encapsulation of LM droplets with sodium alginate (SA). The SA coating not only prevents the ink from sedimentation and self‐polymerization by forming hydrogen and ionic bonds, but also ensures uniformly dispersed ink with maintained photo‐curing properties. As a result, the photo‐cured 3D LM hydrogels illustrate enhanced tensile stretchability (2000%) and cycling stability (800 cycles at 500% strain), which outperforms most previously reported 3D hydrogels. The 3D LM hydrogel also shows enhanced sensitivity and tunable photothermal responsivity, demonstrating promising applications in strain sensors, object grasping robotics, remote‐controlled devices, and anti‐counterfeiting systems.</w:t>
      </w:r>
    </w:p>
    <w:p>
      <w:pPr>
        <w:spacing w:before="120" w:after="120"/>
      </w:pPr>
      <w:r>
        <w:rPr>
          <w:sz w:val="18"/>
        </w:rPr>
        <w:t>——————————————————————————————————————————————————————————————————————</w:t>
      </w:r>
    </w:p>
    <w:p>
      <w:pPr>
        <w:spacing w:before="160" w:after="40" w:line="240" w:lineRule="auto"/>
      </w:pPr>
      <w:r>
        <w:rPr>
          <w:b/>
        </w:rPr>
        <w:t xml:space="preserve">[221] </w:t>
      </w:r>
      <w:hyperlink r:id="rId676">
        <w:r>
          <w:rPr>
            <w:color w:val="1155CC"/>
            <w:u w:val="single"/>
          </w:rPr>
          <w:t>[ASAP] 端基选择性 Vorbrüggen 反应催化合成 C2-脱氧核苷类似物</w:t>
        </w:r>
      </w:hyperlink>
    </w:p>
    <w:p>
      <w:pPr>
        <w:spacing w:before="0" w:after="80"/>
      </w:pPr>
      <w:r>
        <w:rPr>
          <w:i/>
          <w:sz w:val="20"/>
        </w:rPr>
        <w:t>EN: [ASAP] Anomer-Selective Vorbrüggen Reaction for the Catalytic Synthesis of C2-Deoxynucleoside Analogues</w:t>
      </w:r>
    </w:p>
    <w:p>
      <w:pPr>
        <w:spacing w:before="0" w:after="120"/>
      </w:pPr>
      <w:r>
        <w:rPr>
          <w:b/>
        </w:rPr>
        <w:t xml:space="preserve">Source: </w:t>
      </w:r>
      <w:r>
        <w:t>Journal of the American Chemical Society: Latest Articles (ACS Publications)</w:t>
      </w:r>
      <w:r>
        <w:t xml:space="preserve">    </w:t>
      </w:r>
      <w:r>
        <w:rPr>
          <w:b/>
        </w:rPr>
        <w:t xml:space="preserve">Pub date: </w:t>
      </w:r>
      <w:r>
        <w:t>2026-05-26 11:58:24+00:00</w:t>
      </w:r>
      <w:r>
        <w:t xml:space="preserve">    </w:t>
      </w:r>
      <w:r>
        <w:rPr>
          <w:b/>
        </w:rPr>
        <w:t xml:space="preserve">DOI: </w:t>
      </w:r>
      <w:hyperlink r:id="rId677">
        <w:r>
          <w:rPr>
            <w:color w:val="1155CC"/>
            <w:u w:val="single"/>
          </w:rPr>
          <w:t>10.1021/jacs.5c23095</w:t>
        </w:r>
      </w:hyperlink>
    </w:p>
    <w:p>
      <w:pPr>
        <w:spacing w:before="0" w:after="120"/>
      </w:pPr>
      <w:r>
        <w:rPr>
          <w:b/>
        </w:rPr>
        <w:t xml:space="preserve">Notes: </w:t>
      </w:r>
      <w:r>
        <w:t>abstract_source=openalex</w:t>
      </w:r>
    </w:p>
    <w:p>
      <w:pPr>
        <w:spacing w:before="0" w:after="80" w:lineRule="auto" w:line="276"/>
      </w:pPr>
      <w:r>
        <w:rPr>
          <w:b/>
        </w:rPr>
        <w:t xml:space="preserve">摘要（ZH）: </w:t>
      </w:r>
      <w:r>
        <w:t>2-脱氧碳水化合物中 N-糖苷键的立体选择性形成仍然具有挑战性，与抗病毒和抗癌核苷类似物相关。在这里，我们发现亚氨基二磷酰亚胺酯 (IDPi) 硅鎓路易斯酸催化剂对于 2-脱氧和 2,6-二脱氧供体与基于 TMS-N 的受体的异头选择性、高产率偶联（高达 98%）非常有效。性能最高的催化剂是一般的糖基供体，包括2-脱氧核糖、半乳糖苷和2,6-二脱氧吡喃糖苷，以及含氮杂环，包括咔唑、吲哚和嘌呤。催化剂结构-选择性关系表明催化剂的立体化学与糖以及 IDPi 的 BINOL 支架上的缺电子芳基相匹配的重要性。包括密度泛函理论 (DFT)、VT 核磁共振波谱和 HRMS 在内的机理研究表明，IDPi-氧碳鎓共价中间体具有可行性，该中间体类似于强大的糖基三氟甲磺酸酯。如果它能够具有类似 SN2 的反应性，那么这种结构可以与经典的离子对方案 (SN1) 竞争。</w:t>
      </w:r>
    </w:p>
    <w:p>
      <w:pPr>
        <w:spacing w:before="0" w:after="200" w:lineRule="auto" w:line="276"/>
      </w:pPr>
      <w:r>
        <w:rPr>
          <w:b/>
        </w:rPr>
        <w:t xml:space="preserve">Abstract (EN): </w:t>
      </w:r>
      <w:r>
        <w:t>The stereoselective formation of N-glycoside linkages in 2-deoxycarbohydrates remains challenging, with relevance to antiviral and anticancer nucleoside analogues. Here, we identify imidodiphosphorimidate (IDPi) silylium Lewis acid catalysts as highly effective for the anomer-selective, high-yield coupling (up to 98%) of 2-deoxy and 2,6-dideoxy donors with TMS–N-based acceptors. The highest performing catalyst was general with respect to glycosyl donors, including 2-deoxyriboses, galactosides, and 2,6-dideoxypyranosides, and nitrogen-containing heterocycles, including carbazoles, indoles, and purines. Catalyst structure–selectivity relationships indicated the importance of matching the stereochemistry of the catalyst to the sugar as well as the electron-deficient aryl groups on the BINOL scaffold of IDPi. Mechanistic studies, including density functional theory (DFT), VT NMR spectroscopy, and HRMS suggested the viability of an IDPi–oxocarbenium covalent intermediate that is analogous to the powerful glycosyl triflate. Should it be capable of SN2-like reactivity, this structure could compete with the classic ion-paired scenario (SN1).</w:t>
      </w:r>
    </w:p>
    <w:p>
      <w:pPr>
        <w:spacing w:before="120" w:after="120"/>
      </w:pPr>
      <w:r>
        <w:rPr>
          <w:sz w:val="18"/>
        </w:rPr>
        <w:t>——————————————————————————————————————————————————————————————————————</w:t>
      </w:r>
    </w:p>
    <w:p>
      <w:pPr>
        <w:spacing w:before="160" w:after="40" w:line="240" w:lineRule="auto"/>
      </w:pPr>
      <w:r>
        <w:rPr>
          <w:b/>
        </w:rPr>
        <w:t xml:space="preserve">[222] </w:t>
      </w:r>
      <w:hyperlink r:id="rId678">
        <w:r>
          <w:rPr>
            <w:color w:val="1155CC"/>
            <w:u w:val="single"/>
          </w:rPr>
          <w:t>[ASAP] 扩张的卟啉类晶层 BODIPY 阵列：具有明亮近红外圆偏振发光的 π 共轭大环化合物</w:t>
        </w:r>
      </w:hyperlink>
    </w:p>
    <w:p>
      <w:pPr>
        <w:spacing w:before="0" w:after="80"/>
      </w:pPr>
      <w:r>
        <w:rPr>
          <w:i/>
          <w:sz w:val="20"/>
        </w:rPr>
        <w:t>EN: [ASAP] Lemniscular BODIPY Array of Expanded Porphyrinoids: A π-Conjugated Macrocycle Exhibiting Bright Near-Infrared Circularly Polarized Luminescence</w:t>
      </w:r>
    </w:p>
    <w:p>
      <w:pPr>
        <w:spacing w:before="0" w:after="120"/>
      </w:pPr>
      <w:r>
        <w:rPr>
          <w:b/>
        </w:rPr>
        <w:t xml:space="preserve">Source: </w:t>
      </w:r>
      <w:r>
        <w:t>Journal of the American Chemical Society: Latest Articles (ACS Publications)</w:t>
      </w:r>
      <w:r>
        <w:t xml:space="preserve">    </w:t>
      </w:r>
      <w:r>
        <w:rPr>
          <w:b/>
        </w:rPr>
        <w:t xml:space="preserve">Pub date: </w:t>
      </w:r>
      <w:r>
        <w:t>2026-05-26 12:13:37+00:00</w:t>
      </w:r>
      <w:r>
        <w:t xml:space="preserve">    </w:t>
      </w:r>
      <w:r>
        <w:rPr>
          <w:b/>
        </w:rPr>
        <w:t xml:space="preserve">DOI: </w:t>
      </w:r>
      <w:hyperlink r:id="rId679">
        <w:r>
          <w:rPr>
            <w:color w:val="1155CC"/>
            <w:u w:val="single"/>
          </w:rPr>
          <w:t>10.1021/jacs.6c04793</w:t>
        </w:r>
      </w:hyperlink>
    </w:p>
    <w:p>
      <w:pPr>
        <w:spacing w:before="0" w:after="120"/>
      </w:pPr>
      <w:r>
        <w:rPr>
          <w:b/>
        </w:rPr>
        <w:t xml:space="preserve">Notes: </w:t>
      </w:r>
      <w:r>
        <w:t>abstract_source=pubmed</w:t>
      </w:r>
    </w:p>
    <w:p>
      <w:pPr>
        <w:spacing w:before="0" w:after="80" w:lineRule="auto" w:line="276"/>
      </w:pPr>
      <w:r>
        <w:rPr>
          <w:b/>
        </w:rPr>
        <w:t xml:space="preserve">摘要（ZH）: </w:t>
      </w:r>
      <w:r>
        <w:t>基于π共轭大环化合物的圆偏振发光（CPL）在各个领域都具有广阔的前景。然而，开发结合长波长发射（例如近红外、NIR）和高 CPL 亮度（BCPL）的手性大环化合物仍然是一个重大挑战。在这项研究中，我们提出了一种通过设计具有激子耦合 BODIPY 阵列的扩展卟啉系统来实现强近红外 CPL 的新方法。该架构基于 9,9'-螺二芴嵌入的十二卡菲林，支持具有刚性、豆荚状拓扑的扩展 π-共轭大环。这种设计在远红/NIR-I 边界赋予持久的手性和卓越的 CPL 性能。具体来说，观察到以 704 nm 为中心的跨越 600-835 nm 的宽发射，最大亮度为 0.007，BCPL 在 693 nm 处高达 255.1 M-1 cm-1。因此，这项工作不仅展示了合理的结构设计如何实现高效的近红外活性 CPL，而且还强调了扩展卟啉作为下一代手性光电材料的多功能蓝图的潜力。</w:t>
      </w:r>
    </w:p>
    <w:p>
      <w:pPr>
        <w:spacing w:before="0" w:after="200" w:lineRule="auto" w:line="276"/>
      </w:pPr>
      <w:r>
        <w:rPr>
          <w:b/>
        </w:rPr>
        <w:t xml:space="preserve">Abstract (EN): </w:t>
      </w:r>
      <w:r>
        <w:t>Circularly polarized luminescence (CPL) based on π-conjugated macrocycles holds great promise in diverse fields. However, developing chiral macrocycles that combine long-wavelength emission (e.g., near-infrared, NIR) and high CPL brightness (BCPL) remains a significant challenge. In this study, we present a new approach to achieve intense NIR CPL by engineering an expanded porphyrinoid system featuring an excitonically coupled BODIPY array. This architecture is built upon a 9,9'-spirobifluorene-embedded dodecaphyrin that supports an extended π-conjugation macrocycle with a rigid, lemniscular topology. Such a design confers persistent chirality and exceptional CPL performance at the far-red/NIR-I boundary. Specifically, a broad emission spanning 600-835 nm centered at 704 nm was observed, with a maximum glum of 0.007 and a BCPL as high as 255.1 M-1 cm-1 at 693 nm. This work thus not only demonstrates how rational structural design enables efficient NIR-active CPL, but also highlights the potential of expanded porphyrinoids as a versatile blueprint for next-generation chiral optoelectronic materials.</w:t>
      </w:r>
    </w:p>
    <w:p>
      <w:pPr>
        <w:spacing w:before="120" w:after="120"/>
      </w:pPr>
      <w:r>
        <w:rPr>
          <w:sz w:val="18"/>
        </w:rPr>
        <w:t>——————————————————————————————————————————————————————————————————————</w:t>
      </w:r>
    </w:p>
    <w:p>
      <w:pPr>
        <w:spacing w:before="160" w:after="40" w:line="240" w:lineRule="auto"/>
      </w:pPr>
      <w:r>
        <w:rPr>
          <w:b/>
        </w:rPr>
        <w:t xml:space="preserve">[223] </w:t>
      </w:r>
      <w:hyperlink r:id="rId680">
        <w:r>
          <w:rPr>
            <w:color w:val="1155CC"/>
            <w:u w:val="single"/>
          </w:rPr>
          <w:t>[ASAP] 二维 TbOBr 和莫尔超晶格受控合成的时间解耦策略</w:t>
        </w:r>
      </w:hyperlink>
    </w:p>
    <w:p>
      <w:pPr>
        <w:spacing w:before="0" w:after="80"/>
      </w:pPr>
      <w:r>
        <w:rPr>
          <w:i/>
          <w:sz w:val="20"/>
        </w:rPr>
        <w:t>EN: [ASAP] A Temporal Decoupling Strategy for Controlled Synthesis of 2D TbOBr and Moiré Superlattices</w:t>
      </w:r>
    </w:p>
    <w:p>
      <w:pPr>
        <w:spacing w:before="0" w:after="120"/>
      </w:pPr>
      <w:r>
        <w:rPr>
          <w:b/>
        </w:rPr>
        <w:t xml:space="preserve">Source: </w:t>
      </w:r>
      <w:r>
        <w:t>Journal of the American Chemical Society: Latest Articles (ACS Publications)</w:t>
      </w:r>
      <w:r>
        <w:t xml:space="preserve">    </w:t>
      </w:r>
      <w:r>
        <w:rPr>
          <w:b/>
        </w:rPr>
        <w:t xml:space="preserve">Pub date: </w:t>
      </w:r>
      <w:r>
        <w:t>2026-05-26 12:55:28+00:00</w:t>
      </w:r>
      <w:r>
        <w:t xml:space="preserve">    </w:t>
      </w:r>
      <w:r>
        <w:rPr>
          <w:b/>
        </w:rPr>
        <w:t xml:space="preserve">DOI: </w:t>
      </w:r>
      <w:hyperlink r:id="rId681">
        <w:r>
          <w:rPr>
            <w:color w:val="1155CC"/>
            <w:u w:val="single"/>
          </w:rPr>
          <w:t>10.1021/jacs.6c04335</w:t>
        </w:r>
      </w:hyperlink>
    </w:p>
    <w:p>
      <w:pPr>
        <w:spacing w:before="0" w:after="120"/>
      </w:pPr>
      <w:r>
        <w:rPr>
          <w:b/>
        </w:rPr>
        <w:t xml:space="preserve">Notes: </w:t>
      </w:r>
      <w:r>
        <w:t>abstract_source=pubmed</w:t>
      </w:r>
    </w:p>
    <w:p>
      <w:pPr>
        <w:spacing w:before="0" w:after="80" w:lineRule="auto" w:line="276"/>
      </w:pPr>
      <w:r>
        <w:rPr>
          <w:b/>
        </w:rPr>
        <w:t xml:space="preserve">摘要（ZH）: </w:t>
      </w:r>
      <w:r>
        <w:t>稀土铽 (Tb3+) 离子是核自旋设备和绿光光电器件的重要组成部分。尽管最近在二维（2D）稀土氯氧化物方面取得了进展，但二维溴氧化铽（TbOBr）和基于稀土的莫尔超晶格的合成仍然具有挑战性，受到稀土前驱体极端亲氧性的阻碍。在这里，我们报告了通过时间解耦策略首次可控 CVD 合成高质量 2D TbOBr 晶体。通过将原位 H2O 生成与 TbBr3 蒸发同步，我们成功地抑制了前体过早失活。通过调节前体质量通量，可以在外延“躺下”和与衬底无关的“站立”方向之间切换生长模式。 “独立式”TbOBr 可实现无聚合物干转移，确保原子级清洁界面。 2D TbOBr 表现出窄绿光发射（5D4 → 7F5 跃迁，543 nm 处 5.0 meV）、固有的高 κ 介电行为（κ ∼ 10.1）和出色的环境稳定性。值得注意的是，我们构建了第一个基于稀土的扭转范德华结构，揭示了覆盖整个扭转角度范围（0°-45°）的均匀方形莫尔超晶格。这项工作为稀土材料合成提供了新的见解，并建立了一个强大的材料平台，用于探索二维稀土莫尔物理，将扭转电子学扩展到 f 电子系统。</w:t>
      </w:r>
    </w:p>
    <w:p>
      <w:pPr>
        <w:spacing w:before="0" w:after="200" w:lineRule="auto" w:line="276"/>
      </w:pPr>
      <w:r>
        <w:rPr>
          <w:b/>
        </w:rPr>
        <w:t xml:space="preserve">Abstract (EN): </w:t>
      </w:r>
      <w:r>
        <w:t>Rare-earth terbium (Tb3+) ions are essential building blocks for nuclear-spin-based devices and green-light optoelectronics. Despite recent progress in two-dimensional (2D) rare-earth oxychlorides, the synthesis of 2D terbium oxybromide (TbOBr) and rare-earth-based moiré superlattices remains challenging, hindered by the extreme oxophilicity of rare-earth precursors. Here, we report the first controllable CVD synthesis of high-quality 2D TbOBr crystals via a temporal decoupling strategy. By synchronizing in situ H2O generation with the vaporization of TbBr3, we successfully suppressed premature precursor deactivation. The growth mode can be switched between epitaxial "lie-down" and substrate-independent "stand-on" orientations by modulating the precursor mass flux. The "stand-on" TbOBr enables polymer-free dry transfer, ensuring atomically clean interfaces. The 2D TbOBr exhibits a narrow green emission (5D4 → 7F5 transition, 5.0 meV at 543 nm), intrinsic high-κ dielectric behavior (κ ∼ 10.1), and exceptional ambient stability. Notably, we constructed the first rare-earth-based twisted van der Waals structures, revealing uniform square moiré superlattices covering the full range of twist angles (0°-45°). This work provides new insights into rare-earth material synthesis and establishes a robust materials platform for exploring two-dimensional rare-earth moiré physics, extending twistronics into f-electron systems.</w:t>
      </w:r>
    </w:p>
    <w:p>
      <w:pPr>
        <w:spacing w:before="120" w:after="120"/>
      </w:pPr>
      <w:r>
        <w:rPr>
          <w:sz w:val="18"/>
        </w:rPr>
        <w:t>——————————————————————————————————————————————————————————————————————</w:t>
      </w:r>
    </w:p>
    <w:p>
      <w:pPr>
        <w:spacing w:before="160" w:after="40" w:line="240" w:lineRule="auto"/>
      </w:pPr>
      <w:r>
        <w:rPr>
          <w:b/>
        </w:rPr>
        <w:t xml:space="preserve">[224] </w:t>
      </w:r>
      <w:hyperlink r:id="rId682">
        <w:r>
          <w:rPr>
            <w:color w:val="1155CC"/>
            <w:u w:val="single"/>
          </w:rPr>
          <w:t>[ASAP] 靶向激活磁共振成像策略，用于肿瘤内细菌的精确成像和筛选抑制乳腺癌转移的抗生素</w:t>
        </w:r>
      </w:hyperlink>
    </w:p>
    <w:p>
      <w:pPr>
        <w:spacing w:before="0" w:after="80"/>
      </w:pPr>
      <w:r>
        <w:rPr>
          <w:i/>
          <w:sz w:val="20"/>
        </w:rPr>
        <w:t>EN: [ASAP] A Target-And-Activate Magnetic Resonance Imaging Strategy for Precision Imaging of Intratumoral Bacteria and Screening Antibiotics to Suppress Breast Cancer Metastasis</w:t>
      </w:r>
    </w:p>
    <w:p>
      <w:pPr>
        <w:spacing w:before="0" w:after="120"/>
      </w:pPr>
      <w:r>
        <w:rPr>
          <w:b/>
        </w:rPr>
        <w:t xml:space="preserve">Source: </w:t>
      </w:r>
      <w:r>
        <w:t>Journal of the American Chemical Society: Latest Articles (ACS Publications)</w:t>
      </w:r>
      <w:r>
        <w:t xml:space="preserve">    </w:t>
      </w:r>
      <w:r>
        <w:rPr>
          <w:b/>
        </w:rPr>
        <w:t xml:space="preserve">Pub date: </w:t>
      </w:r>
      <w:r>
        <w:t>2026-05-26 14:01:21+00:00</w:t>
      </w:r>
      <w:r>
        <w:t xml:space="preserve">    </w:t>
      </w:r>
      <w:r>
        <w:rPr>
          <w:b/>
        </w:rPr>
        <w:t xml:space="preserve">DOI: </w:t>
      </w:r>
      <w:hyperlink r:id="rId683">
        <w:r>
          <w:rPr>
            <w:color w:val="1155CC"/>
            <w:u w:val="single"/>
          </w:rPr>
          <w:t>10.1021/jacs.6c03081</w:t>
        </w:r>
      </w:hyperlink>
    </w:p>
    <w:p>
      <w:pPr>
        <w:spacing w:before="0" w:after="120"/>
      </w:pPr>
      <w:r>
        <w:rPr>
          <w:b/>
        </w:rPr>
        <w:t xml:space="preserve">Notes: </w:t>
      </w:r>
      <w:r>
        <w:t>abstract_source=openalex</w:t>
      </w:r>
    </w:p>
    <w:p>
      <w:pPr>
        <w:spacing w:before="0" w:after="80" w:lineRule="auto" w:line="276"/>
      </w:pPr>
      <w:r>
        <w:rPr>
          <w:b/>
        </w:rPr>
        <w:t xml:space="preserve">摘要（ZH）: </w:t>
      </w:r>
      <w:r>
        <w:t>肿瘤内细菌促进肿瘤转移，但其精确检测仍然是一个挑战，因为纳米探针非特异性积累，而小分子探针缺乏足够的灵敏度。在这里，我们报告了一种靶向并激活磁共振成像（MRI）策略，通过设计肽探针 BS-FFGd，专门可视化低丰度的肿瘤内细菌并指导抗转移治疗。该探针需要双重特异性才能激活：将脂磷壁酸靶向革兰氏阳性细菌，然后被肿瘤相关基质金属蛋白酶 2 裂解。 BS-FFGd 的设计巧妙地将超分子化学与成像机制结合起来。双重激活后，探针触发细菌原位自组装成纳米纤维，延长旋转相关时间并将 T1 弛豫率从 9.03 放大至 16.51 mM–1 s–1 (1.41 T)。在小鼠模型中，我们的探针提供了肿瘤内金黄色葡萄球菌的高度特异性可视化，其 ΔCNR 分别优于临床 Gd-DTPA 和仅靶向对照约 4.7 倍和约 2 倍。 MRI 信号强度与细菌负荷呈线性相关（R = 0.96），检测限达到 6 × 104 CFU。至关重要的是，BS-FFGd 作为筛选平台，成功地将莫西沙星鉴定为一种有效的抗生素，与无效的抗生素相比，它对转移结节的抑制效果约为 3 倍。这项工作报告了一种有前途的高保真分子成像策略，将精确诊断与有效的抗转移治疗联系起来。</w:t>
      </w:r>
    </w:p>
    <w:p>
      <w:pPr>
        <w:spacing w:before="0" w:after="200" w:lineRule="auto" w:line="276"/>
      </w:pPr>
      <w:r>
        <w:rPr>
          <w:b/>
        </w:rPr>
        <w:t xml:space="preserve">Abstract (EN): </w:t>
      </w:r>
      <w:r>
        <w:t>Intratumoral bacteria facilitate tumor metastasis, yet their precise detection remains a challenge, as nanoprobes accumulate nonspecifically and small-molecule probes lack sufficient sensitivity. Here, we report a Target-and-Activate magnetic resonance imaging (MRI) Strategy by designing a peptide probe, BS-FFGd, to specifically visualize low-abundance intratumoral bacteria and guide antimetastatic therapy. This probe requires dual-specificity for activation: targeting lipoteichoic acid on Gram-positive bacteria, then being cleaved by tumor-associated matrix metalloproteinase-2. The design of BS-FFGd ingeniously integrates supramolecular chemistry with imaging mechanisms. Upon dual activation, the probe triggers in situ self-assembly into nanofibers on bacteria, prolonging rotational correlation time and amplifying T1 relaxivity from 9.03 to 16.51 mM–1 s–1 (1.41 T). In murine models, our probe provided highly specific visualization of intratumoral Staphylococcus aureus, outperforming clinical Gd-DTPA and a targeting-only control by ∼4.7-fold and ∼2-fold in ΔCNR, respectively. MRI signal intensity showed a linear correlation with bacterial load (R = 0.96), achieving a detection limit of 6 × 104 CFU. Crucially, BS-FFGd served as a screening platform, successfully identifying moxifloxacin as an effective antibiotic, which suppressed metastatic nodules by ∼3-fold compared to an ineffective antibiotic. This work reports a promising strategy for high-fidelity molecular imaging, linking precise diagnosis to effective antimetastatic therapy.</w:t>
      </w:r>
    </w:p>
    <w:p>
      <w:pPr>
        <w:spacing w:before="120" w:after="120"/>
      </w:pPr>
      <w:r>
        <w:rPr>
          <w:sz w:val="18"/>
        </w:rPr>
        <w:t>——————————————————————————————————————————————————————————————————————</w:t>
      </w:r>
    </w:p>
    <w:p>
      <w:pPr>
        <w:spacing w:before="160" w:after="40" w:line="240" w:lineRule="auto"/>
      </w:pPr>
      <w:r>
        <w:rPr>
          <w:b/>
        </w:rPr>
        <w:t xml:space="preserve">[225] </w:t>
      </w:r>
      <w:hyperlink r:id="rId684">
        <w:r>
          <w:rPr>
            <w:color w:val="1155CC"/>
            <w:u w:val="single"/>
          </w:rPr>
          <w:t>[ASAP] 共价有机框架的溶剂调制正交释放可实现顺序多组学富集</w:t>
        </w:r>
      </w:hyperlink>
    </w:p>
    <w:p>
      <w:pPr>
        <w:spacing w:before="0" w:after="80"/>
      </w:pPr>
      <w:r>
        <w:rPr>
          <w:i/>
          <w:sz w:val="20"/>
        </w:rPr>
        <w:t>EN: [ASAP] Solvent-Modulated Orthogonal Release from Covalent Organic Frameworks Enables Sequential Multiomics Enrichment</w:t>
      </w:r>
    </w:p>
    <w:p>
      <w:pPr>
        <w:spacing w:before="0" w:after="120"/>
      </w:pPr>
      <w:r>
        <w:rPr>
          <w:b/>
        </w:rPr>
        <w:t xml:space="preserve">Source: </w:t>
      </w:r>
      <w:r>
        <w:t>Journal of the American Chemical Society: Latest Articles (ACS Publications)</w:t>
      </w:r>
      <w:r>
        <w:t xml:space="preserve">    </w:t>
      </w:r>
      <w:r>
        <w:rPr>
          <w:b/>
        </w:rPr>
        <w:t xml:space="preserve">Pub date: </w:t>
      </w:r>
      <w:r>
        <w:t>2026-05-26 15:17:01+00:00</w:t>
      </w:r>
      <w:r>
        <w:t xml:space="preserve">    </w:t>
      </w:r>
      <w:r>
        <w:rPr>
          <w:b/>
        </w:rPr>
        <w:t xml:space="preserve">DOI: </w:t>
      </w:r>
      <w:hyperlink r:id="rId685">
        <w:r>
          <w:rPr>
            <w:color w:val="1155CC"/>
            <w:u w:val="single"/>
          </w:rPr>
          <w:t>10.1021/jacs.6c03342</w:t>
        </w:r>
      </w:hyperlink>
    </w:p>
    <w:p>
      <w:pPr>
        <w:spacing w:before="0" w:after="120"/>
      </w:pPr>
      <w:r>
        <w:rPr>
          <w:b/>
        </w:rPr>
        <w:t xml:space="preserve">Notes: </w:t>
      </w:r>
      <w:r>
        <w:t>abstract_source=pubmed</w:t>
      </w:r>
    </w:p>
    <w:p>
      <w:pPr>
        <w:spacing w:before="0" w:after="80" w:lineRule="auto" w:line="276"/>
      </w:pPr>
      <w:r>
        <w:rPr>
          <w:b/>
        </w:rPr>
        <w:t xml:space="preserve">摘要（ZH）: </w:t>
      </w:r>
      <w:r>
        <w:t>目前，由于缺乏能够同时捕获和逐步分离核酸和蛋白质的材料，阻碍了基因组学、转录组学和蛋白质组学在液体活检中的有效整合。为了弥补这一差距，我们设计了一系列具有可调孔特性的共价有机框架 (COF)，从而确定了 3.9 nm 的特定孔径，可最大限度地提高对单链 DNA 和蛋白质的亲和力。结合等温滴定量热法 (ITC) 和分子动力学 (MD) 模拟的机理研究表明，单链 DNA 吸附主要是由熵驱动的，而蛋白质结合则由熵-焓协同作用驱动。这种独特的热力学特征导致强结合的蛋白质和弱结合的核酸之间存在显着的亲和力差异。利用这种机制洞察力，我们建立了一种溶剂介导的正交释放策略：通过精确调整溶剂极性和zeta电位，我们实现了核酸和蛋白质从单一界面的温和、顺序解吸。这种机械引导的COF平台已成功应用于尿液样本，在低丰度游离DNA、游离RNA和蛋白质的高保真富集方面表现出卓越的性能，从而为全面的多组学分析提供了多功能解决方案。</w:t>
      </w:r>
    </w:p>
    <w:p>
      <w:pPr>
        <w:spacing w:before="0" w:after="200" w:lineRule="auto" w:line="276"/>
      </w:pPr>
      <w:r>
        <w:rPr>
          <w:b/>
        </w:rPr>
        <w:t xml:space="preserve">Abstract (EN): </w:t>
      </w:r>
      <w:r>
        <w:t>The efficient integration of genomics, transcriptomics, and proteomics in liquid biopsy is currently impeded by the lack of materials capable of simultaneous capture and stepwise separation of nucleic acids and proteins. To bridge this gap, we designed a series of covalent organic frameworks (COFs) with tunable pore characteristics, thereby identifying a specific pore size of 3.9 nm that maximizes the affinity for both single-stranded DNA and proteins. Mechanistic investigations, integrating isothermal titration calorimetry (ITC) and molecular dynamics (MD) simulations, revealed that whereas ssDNA adsorption is predominantly entropy-driven, protein binding is driven by entropy-enthalpy synergy. This distinct thermodynamic signature results in a substantial affinity difference between strongly bound proteins and weakly bound nucleic acids. Leveraging this mechanistic insight, we established a solvent-mediated strategy for orthogonal release: by precisely tuning solvent polarity and zeta potential, we achieved mild, sequential desorption of nucleic acids and proteins from a single interface. This mechanistically guided COF platform was successfully applied to urine samples, demonstrating superior performance in the high-fidelity enrichment of low-abundance cell-free DNA, cell-free RNA, and proteins, thus offering a versatile solution for comprehensive multiomics profiling.</w:t>
      </w:r>
    </w:p>
    <w:p>
      <w:pPr>
        <w:spacing w:before="120" w:after="120"/>
      </w:pPr>
      <w:r>
        <w:rPr>
          <w:sz w:val="18"/>
        </w:rPr>
        <w:t>——————————————————————————————————————————————————————————————————————</w:t>
      </w:r>
    </w:p>
    <w:p>
      <w:pPr>
        <w:spacing w:before="160" w:after="40" w:line="240" w:lineRule="auto"/>
      </w:pPr>
      <w:r>
        <w:rPr>
          <w:b/>
        </w:rPr>
        <w:t xml:space="preserve">[226] </w:t>
      </w:r>
      <w:hyperlink r:id="rId686">
        <w:r>
          <w:rPr>
            <w:color w:val="1155CC"/>
            <w:u w:val="single"/>
          </w:rPr>
          <w:t>[ASAP] 金属有机框架走向钙钛矿：一种自修复中性X位钙钛矿铁弹晶体</w:t>
        </w:r>
      </w:hyperlink>
    </w:p>
    <w:p>
      <w:pPr>
        <w:spacing w:before="0" w:after="80"/>
      </w:pPr>
      <w:r>
        <w:rPr>
          <w:i/>
          <w:sz w:val="20"/>
        </w:rPr>
        <w:t>EN: [ASAP] Metal–Organic Framework Goes Perovskite: A Self-Healing Neutral X-Site Perovskite Ferroelastic Crystal</w:t>
      </w:r>
    </w:p>
    <w:p>
      <w:pPr>
        <w:spacing w:before="0" w:after="120"/>
      </w:pPr>
      <w:r>
        <w:rPr>
          <w:b/>
        </w:rPr>
        <w:t xml:space="preserve">Source: </w:t>
      </w:r>
      <w:r>
        <w:t>Journal of the American Chemical Society: Latest Articles (ACS Publications)</w:t>
      </w:r>
      <w:r>
        <w:t xml:space="preserve">    </w:t>
      </w:r>
      <w:r>
        <w:rPr>
          <w:b/>
        </w:rPr>
        <w:t xml:space="preserve">Pub date: </w:t>
      </w:r>
      <w:r>
        <w:t>2026-05-26 15:43:06+00:00</w:t>
      </w:r>
      <w:r>
        <w:t xml:space="preserve">    </w:t>
      </w:r>
      <w:r>
        <w:rPr>
          <w:b/>
        </w:rPr>
        <w:t xml:space="preserve">DOI: </w:t>
      </w:r>
      <w:hyperlink r:id="rId687">
        <w:r>
          <w:rPr>
            <w:color w:val="1155CC"/>
            <w:u w:val="single"/>
          </w:rPr>
          <w:t>10.1021/jacs.6c08330</w:t>
        </w:r>
      </w:hyperlink>
    </w:p>
    <w:p>
      <w:pPr>
        <w:spacing w:before="0" w:after="120"/>
      </w:pPr>
      <w:r>
        <w:rPr>
          <w:b/>
        </w:rPr>
        <w:t xml:space="preserve">Notes: </w:t>
      </w:r>
      <w:r>
        <w:t>abstract_source=pubmed</w:t>
      </w:r>
    </w:p>
    <w:p>
      <w:pPr>
        <w:spacing w:before="0" w:after="80" w:lineRule="auto" w:line="276"/>
      </w:pPr>
      <w:r>
        <w:rPr>
          <w:b/>
        </w:rPr>
        <w:t xml:space="preserve">摘要（ZH）: </w:t>
      </w:r>
      <w:r>
        <w:t>ABX3型钙钛矿和金属有机框架（MOF）由于其丰富的功能而引起了持续的科学兴趣。然而，这两个家族的融合（MOF 采用包含中性 X 位点的钙钛矿结构）在很大程度上仍未得到探索。此外，自愈以其从损伤中恢复的能力而著称，而在分子晶体中实现自愈仍然是一个重大挑战。在此，我们首次报道了一种自修复中性X位钙钛矿铁弹晶体(SbF6)Ag(pyrazine)3，其中中性吡嗪充当X位，与传统钙钛矿中的阴离子X位相反。它在163 K时经历重构mm2Fm型铁弹性相变，在322 K时经历有序无序4̅3mFmm2型铁弹性相变。有趣的是，重构相变涉及Ag+-N配位键的可逆断裂和弱Ag+·π相互作用的形成，从而解锁了自修复特性，这与之前报道的分子晶体中的自修复机制不同。低温重构转变产生的自发应变几乎是高温转变的十倍，导致晶体微裂纹，随后在可逆相恢复时愈合。我们的发现开辟了一种实现分子晶体自修复的新策略，并证明中性 X 位 ABX3 型钙钛矿是多功能材料的沃土。</w:t>
      </w:r>
    </w:p>
    <w:p>
      <w:pPr>
        <w:spacing w:before="0" w:after="200" w:lineRule="auto" w:line="276"/>
      </w:pPr>
      <w:r>
        <w:rPr>
          <w:b/>
        </w:rPr>
        <w:t xml:space="preserve">Abstract (EN): </w:t>
      </w:r>
      <w:r>
        <w:t>ABX3-type perovskites and metal-organic frameworks (MOFs) have attracted sustained scientific interest due to their rich functionalities. However, the convergence of these two families, where MOFs adopt the perovskite architecture incorporating neutral X-sites, remains largely unexplored. Moreover, self-healing is notable for its ability to recover from damage, while achieving self-healing in molecular crystals remains a significant challenge. Herein, for the first time, we report a self-healing neutral X-site perovskite ferroelastic crystal (SbF6)Ag(pyrazine)3, in which the neutral pyrazine acts as the X-site, in contrast to the anion X-site in conventional perovskites. It undergoes reconstructive mm2Fm-type ferroelastic phase transition at 163 K and order-disorder 4̅3mFmm2-type ferroelastic phase transition at 322 K. Intriguingly, the reconstructive transition involves reversible breaking of Ag+-N coordination bonds and the formation of weak Ag+···π interactions, which unlocks the self-healing property, distinct from previous reported self-healing mechanisms in molecular crystals. The low-temperature reconstructive transition generates a spontaneous strain nearly ten times larger than that of the high-temperature transition, leading to crystal microcracks that are subsequently healed upon reversible phase recovery. Our discovery opens up a novel strategy to realize self-healing in molecular crystals and demonstrates the neutral X-site ABX3-type perovskites as a fertile ground for multifunctional materials.</w:t>
      </w:r>
    </w:p>
    <w:p>
      <w:pPr>
        <w:spacing w:before="120" w:after="120"/>
      </w:pPr>
      <w:r>
        <w:rPr>
          <w:sz w:val="18"/>
        </w:rPr>
        <w:t>——————————————————————————————————————————————————————————————————————</w:t>
      </w:r>
    </w:p>
    <w:p>
      <w:pPr>
        <w:spacing w:before="160" w:after="40" w:line="240" w:lineRule="auto"/>
      </w:pPr>
      <w:r>
        <w:rPr>
          <w:b/>
        </w:rPr>
        <w:t xml:space="preserve">[227] </w:t>
      </w:r>
      <w:hyperlink r:id="rId688">
        <w:r>
          <w:rPr>
            <w:color w:val="1155CC"/>
            <w:u w:val="single"/>
          </w:rPr>
          <w:t>[ASAP] 通过深度学习增强等离子体散射显微镜对单一蛋白质和结合动力学进行无标记成像</w:t>
        </w:r>
      </w:hyperlink>
    </w:p>
    <w:p>
      <w:pPr>
        <w:spacing w:before="0" w:after="80"/>
      </w:pPr>
      <w:r>
        <w:rPr>
          <w:i/>
          <w:sz w:val="20"/>
        </w:rPr>
        <w:t>EN: [ASAP] Label-Free Imaging of Single Proteins and Binding Dynamics via Deep Learning-Enhanced Plasmonic Scattering Microscopy</w:t>
      </w:r>
    </w:p>
    <w:p>
      <w:pPr>
        <w:spacing w:before="0" w:after="120"/>
      </w:pPr>
      <w:r>
        <w:rPr>
          <w:b/>
        </w:rPr>
        <w:t xml:space="preserve">Source: </w:t>
      </w:r>
      <w:r>
        <w:t>Journal of the American Chemical Society: Latest Articles (ACS Publications)</w:t>
      </w:r>
      <w:r>
        <w:t xml:space="preserve">    </w:t>
      </w:r>
      <w:r>
        <w:rPr>
          <w:b/>
        </w:rPr>
        <w:t xml:space="preserve">Pub date: </w:t>
      </w:r>
      <w:r>
        <w:t>2026-05-26 15:52:39+00:00</w:t>
      </w:r>
      <w:r>
        <w:t xml:space="preserve">    </w:t>
      </w:r>
      <w:r>
        <w:rPr>
          <w:b/>
        </w:rPr>
        <w:t xml:space="preserve">DOI: </w:t>
      </w:r>
      <w:hyperlink r:id="rId689">
        <w:r>
          <w:rPr>
            <w:color w:val="1155CC"/>
            <w:u w:val="single"/>
          </w:rPr>
          <w:t>10.1021/jacs.6c04749</w:t>
        </w:r>
      </w:hyperlink>
    </w:p>
    <w:p>
      <w:pPr>
        <w:spacing w:before="0" w:after="120"/>
      </w:pPr>
      <w:r>
        <w:rPr>
          <w:b/>
        </w:rPr>
        <w:t xml:space="preserve">Notes: </w:t>
      </w:r>
      <w:r>
        <w:t>abstract_source=pubmed</w:t>
      </w:r>
    </w:p>
    <w:p>
      <w:pPr>
        <w:spacing w:before="0" w:after="80" w:lineRule="auto" w:line="276"/>
      </w:pPr>
      <w:r>
        <w:rPr>
          <w:b/>
        </w:rPr>
        <w:t xml:space="preserve">摘要（ZH）: </w:t>
      </w:r>
      <w:r>
        <w:t>确定蛋白质结合是破译生化机制和设计先进生物传感器的基础，但单蛋白质结合动力学的无标记成像仍然具有挑战性。在这里，我们引入了与时空深度学习框架集成的等离子体散射显微镜，该框架可以从复杂的背景中持续分离和跟踪单个未标记的蛋白质。通过利用定制的循环神经网络，我们的方法实现了对单个蛋白质的高通量、自动、无标记跟踪。通过实现无标记成像和实时轨迹分析，该系统通过停留时间测量直接区分瞬时和稳定结合事件，解析纳米级蛋白质运动，并量化结合热力学。这种多方面的分析建立了一个定量框架来区分特异性和非特异性相互作用，这是生物传感领域长期存在的挑战。我们预计该方法将为检测低丰度免疫传感中的特异性蛋白质结合建立新的基准，并将无标记单蛋白质分析扩展到日益复杂的环境，例如生物流体。</w:t>
      </w:r>
    </w:p>
    <w:p>
      <w:pPr>
        <w:spacing w:before="0" w:after="200" w:lineRule="auto" w:line="276"/>
      </w:pPr>
      <w:r>
        <w:rPr>
          <w:b/>
        </w:rPr>
        <w:t xml:space="preserve">Abstract (EN): </w:t>
      </w:r>
      <w:r>
        <w:t>Determining protein binding is fundamental to deciphering biochemical mechanisms and engineering advanced biosensors, yet label-free imaging of single-protein binding dynamics remains challenging. Here, we introduce plasmonic scattering microscopy integrated with a spatiotemporal deep-learning framework that continuously isolates and tracks single unlabeled proteins from complex backgrounds. By leveraging a tailored recurrent neural network, our approach achieves high-throughput, automatic, label-free tracking of single proteins. By enabling label-free imaging and real-time trajectory analysis, this system directly discriminates between transient and stable binding events via residence time measurements, resolves nanoscale protein motions, and quantifies the binding thermodynamics. This multifaceted analysis establishes a quantitative framework to distinguish specific from nonspecific interactions, which is a long-standing challenge in biosensing. We anticipate that this method will establish new benchmarks for detecting specific protein binding in low-abundance immunosensing and extend label-free single-protein analysis to increasingly complex environments, such as biofluids.</w:t>
      </w:r>
    </w:p>
    <w:p>
      <w:pPr>
        <w:spacing w:before="120" w:after="120"/>
      </w:pPr>
      <w:r>
        <w:rPr>
          <w:sz w:val="18"/>
        </w:rPr>
        <w:t>——————————————————————————————————————————————————————————————————————</w:t>
      </w:r>
    </w:p>
    <w:p>
      <w:pPr>
        <w:spacing w:before="160" w:after="40" w:line="240" w:lineRule="auto"/>
      </w:pPr>
      <w:r>
        <w:rPr>
          <w:b/>
        </w:rPr>
        <w:t xml:space="preserve">[228] </w:t>
      </w:r>
      <w:hyperlink r:id="rId690">
        <w:r>
          <w:rPr>
            <w:color w:val="1155CC"/>
            <w:u w:val="single"/>
          </w:rPr>
          <w:t>用于体内动态和组织特异性分泌蛋白组分析的时空分辨蛋白质标签</w:t>
        </w:r>
      </w:hyperlink>
    </w:p>
    <w:p>
      <w:pPr>
        <w:spacing w:before="0" w:after="80"/>
      </w:pPr>
      <w:r>
        <w:rPr>
          <w:i/>
          <w:sz w:val="20"/>
        </w:rPr>
        <w:t>EN: Spatiotemporally Resolved Protein Tagging for Dynamic and Tissue‐Specific Secretome Profiling In Vivo</w:t>
      </w:r>
    </w:p>
    <w:p>
      <w:pPr>
        <w:spacing w:before="0" w:after="120"/>
      </w:pPr>
      <w:r>
        <w:rPr>
          <w:b/>
        </w:rPr>
        <w:t xml:space="preserve">Source: </w:t>
      </w:r>
      <w:r>
        <w:t>Wiley: Angewandte Chemie International Edition: Table of Contents</w:t>
      </w:r>
      <w:r>
        <w:t xml:space="preserve">    </w:t>
      </w:r>
      <w:r>
        <w:rPr>
          <w:b/>
        </w:rPr>
        <w:t xml:space="preserve">Pub date: </w:t>
      </w:r>
      <w:r>
        <w:t>2026-05-26 16:11:07+00:00</w:t>
      </w:r>
      <w:r>
        <w:t xml:space="preserve">    </w:t>
      </w:r>
      <w:r>
        <w:rPr>
          <w:b/>
        </w:rPr>
        <w:t xml:space="preserve">DOI: </w:t>
      </w:r>
      <w:hyperlink r:id="rId691">
        <w:r>
          <w:rPr>
            <w:color w:val="1155CC"/>
            <w:u w:val="single"/>
          </w:rPr>
          <w:t>10.1002/anie.5498199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蛋白质分泌的动态和组织特异性是广泛的生理和病理过程的基础，但以高空间和时间分辨率分析体内分泌蛋白组的工具仍然有限。在这里，我们介绍</w:t>
      </w:r>
      <w:r>
        <w:t xml:space="preserve"> </w:t>
      </w:r>
      <w:r>
        <w:t>步骤标记</w:t>
      </w:r>
      <w:r>
        <w:t xml:space="preserve"> </w:t>
      </w:r>
      <w:r>
        <w:t>（</w:t>
      </w:r>
      <w:r>
        <w:t xml:space="preserve"> </w:t>
      </w:r>
      <w:r>
        <w:t>S</w:t>
      </w:r>
      <w:r>
        <w:t xml:space="preserve"> </w:t>
      </w:r>
      <w:r>
        <w:t>庭院-</w:t>
      </w:r>
      <w:r>
        <w:t>碲</w:t>
      </w:r>
      <w:r>
        <w:t xml:space="preserve"> </w:t>
      </w:r>
      <w:r>
        <w:t>姆波拉尔</w:t>
      </w:r>
      <w:r>
        <w:t xml:space="preserve"> </w:t>
      </w:r>
      <w:r>
        <w:t>磷</w:t>
      </w:r>
      <w:r>
        <w:t xml:space="preserve"> </w:t>
      </w:r>
      <w:r>
        <w:t>蛋白质</w:t>
      </w:r>
      <w:r>
        <w:t xml:space="preserve"> </w:t>
      </w:r>
      <w:r>
        <w:t>标签</w:t>
      </w:r>
      <w:r>
        <w:t xml:space="preserve"> </w:t>
      </w:r>
      <w:r>
        <w:t>ging），一种条件邻近标记（PL）系统，用于分析活体动物中的分泌蛋白。</w:t>
      </w:r>
      <w:r>
        <w:t xml:space="preserve"> </w:t>
      </w:r>
      <w:r>
        <w:t>步骤标记</w:t>
      </w:r>
      <w:r>
        <w:t xml:space="preserve"> </w:t>
      </w:r>
      <w:r>
        <w:t>将 PL 酶 TurboID 的快速标记动力学与不稳定的二氢叶酸还原酶 (DHFR) 结构域相结合，通过小分子稳定剂甲氧苄啶 (TMP) 实现对标记活性的严格翻译后控制。瞄准</w:t>
      </w:r>
      <w:r>
        <w:t xml:space="preserve"> </w:t>
      </w:r>
      <w:r>
        <w:t>步骤标记</w:t>
      </w:r>
      <w:r>
        <w:t xml:space="preserve"> </w:t>
      </w:r>
      <w:r>
        <w:t>内质网 (ER) 的标记将标记限制在分泌途径，并可在 TMP 给药后 10 分钟内实现稳定标记。此外，我们设计了组织特异性脂质纳米粒子（tsLNP），以实现可编程的体内递送</w:t>
      </w:r>
      <w:r>
        <w:t xml:space="preserve"> </w:t>
      </w:r>
      <w:r>
        <w:t>步骤标记</w:t>
      </w:r>
      <w:r>
        <w:t xml:space="preserve"> </w:t>
      </w:r>
      <w:r>
        <w:t>到小鼠肝脏。利用这种方法，我们在生理条件下鉴定了 93 种肝源性分泌蛋白，并在对乙酰氨基酚诱导的急性肝损伤 (ALI) 模型中发现了 40 种动态调节蛋白，其中包括 Aldh1a1，我们对其进行了功能验证，认为它是肝损伤中的保护因子。</w:t>
      </w:r>
    </w:p>
    <w:p>
      <w:pPr>
        <w:spacing w:before="0" w:after="200" w:lineRule="auto" w:line="276"/>
      </w:pPr>
      <w:r>
        <w:rPr>
          <w:b/>
        </w:rPr>
        <w:t xml:space="preserve">Abstract (EN): </w:t>
      </w:r>
      <w:r>
        <w:t>The dynamic and tissue‐specific nature of protein secretion underlies a wide range of physiological and pathological processes, yet tools for profiling the in vivo secretome with high spatial and temporal resolution remain limited. Here, we present</w:t>
      </w:r>
      <w:r>
        <w:t xml:space="preserve"> </w:t>
      </w:r>
      <w:r>
        <w:t>STePTag</w:t>
      </w:r>
      <w:r>
        <w:t xml:space="preserve"> </w:t>
      </w:r>
      <w:r>
        <w:t>(</w:t>
      </w:r>
      <w:r>
        <w:t xml:space="preserve"> </w:t>
      </w:r>
      <w:r>
        <w:t>S</w:t>
      </w:r>
      <w:r>
        <w:t xml:space="preserve"> </w:t>
      </w:r>
      <w:r>
        <w:t>patio‐</w:t>
      </w:r>
      <w:r>
        <w:t xml:space="preserve"> </w:t>
      </w:r>
      <w:r>
        <w:t>Te</w:t>
      </w:r>
      <w:r>
        <w:t xml:space="preserve"> </w:t>
      </w:r>
      <w:r>
        <w:t>mporal</w:t>
      </w:r>
      <w:r>
        <w:t xml:space="preserve"> </w:t>
      </w:r>
      <w:r>
        <w:t>P</w:t>
      </w:r>
      <w:r>
        <w:t xml:space="preserve"> </w:t>
      </w:r>
      <w:r>
        <w:t>rotein</w:t>
      </w:r>
      <w:r>
        <w:t xml:space="preserve"> </w:t>
      </w:r>
      <w:r>
        <w:t>Tag</w:t>
      </w:r>
      <w:r>
        <w:t xml:space="preserve"> </w:t>
      </w:r>
      <w:r>
        <w:t>ging), a conditional proximity labeling (PL) system for profiling secreted proteins in live animals.</w:t>
      </w:r>
      <w:r>
        <w:t xml:space="preserve"> </w:t>
      </w:r>
      <w:r>
        <w:t>STePTag</w:t>
      </w:r>
      <w:r>
        <w:t xml:space="preserve"> </w:t>
      </w:r>
      <w:r>
        <w:t>integrates the rapid labeling kinetics of the PL enzyme TurboID with a destabilized dihydrofolate reductase (DHFR) domain, enabling tight post‐translational control of labeling activity through the small‐molecule stabilizer trimethoprim (TMP). Targeting</w:t>
      </w:r>
      <w:r>
        <w:t xml:space="preserve"> </w:t>
      </w:r>
      <w:r>
        <w:t>STePTag</w:t>
      </w:r>
      <w:r>
        <w:t xml:space="preserve"> </w:t>
      </w:r>
      <w:r>
        <w:t>to the endoplasmic reticulum (ER) confines labeling to the secretory pathway and enables robust labeling within 10 min of TMP administration. Furthermore, we design tissue‐specific lipid nanoparticles (tsLNPs) to enable programmable, in vivo delivery of</w:t>
      </w:r>
      <w:r>
        <w:t xml:space="preserve"> </w:t>
      </w:r>
      <w:r>
        <w:t>STePTag</w:t>
      </w:r>
      <w:r>
        <w:t xml:space="preserve"> </w:t>
      </w:r>
      <w:r>
        <w:t>to the mouse liver. Using this approach, we identified 93 liver‐derived secretory proteins under physiological conditions and uncovered 40 dynamically regulated proteins in a model of acetaminophen‐induced acute liver injury (ALI), including Aldh1a1, which we functionally validated as a protective factor in ALI. Together,</w:t>
      </w:r>
      <w:r>
        <w:t xml:space="preserve"> </w:t>
      </w:r>
      <w:r>
        <w:t>STePTag</w:t>
      </w:r>
      <w:r>
        <w:t xml:space="preserve"> </w:t>
      </w:r>
      <w:r>
        <w:t>provides a versatile platform for spatiotemporally resolved secretome profiling, enabling the discovery of context‐dependent biomarkers and tissue‐derived signaling molecules in native physiological environments.</w:t>
      </w:r>
    </w:p>
    <w:p>
      <w:pPr>
        <w:spacing w:before="120" w:after="120"/>
      </w:pPr>
      <w:r>
        <w:rPr>
          <w:sz w:val="18"/>
        </w:rPr>
        <w:t>——————————————————————————————————————————————————————————————————————</w:t>
      </w:r>
    </w:p>
    <w:p>
      <w:pPr>
        <w:spacing w:before="160" w:after="40" w:line="240" w:lineRule="auto"/>
      </w:pPr>
      <w:r>
        <w:rPr>
          <w:b/>
        </w:rPr>
        <w:t xml:space="preserve">[229] </w:t>
      </w:r>
      <w:hyperlink r:id="rId692">
        <w:r>
          <w:rPr>
            <w:color w:val="1155CC"/>
            <w:u w:val="single"/>
          </w:rPr>
          <w:t>[ASAP] 机械联锁碳纳米管的模板规则</w:t>
        </w:r>
      </w:hyperlink>
    </w:p>
    <w:p>
      <w:pPr>
        <w:spacing w:before="0" w:after="80"/>
      </w:pPr>
      <w:r>
        <w:rPr>
          <w:i/>
          <w:sz w:val="20"/>
        </w:rPr>
        <w:t>EN: [ASAP] Templating Rules for Mechanically Interlocked Carbon Nanotubes</w:t>
      </w:r>
    </w:p>
    <w:p>
      <w:pPr>
        <w:spacing w:before="0" w:after="120"/>
      </w:pPr>
      <w:r>
        <w:rPr>
          <w:b/>
        </w:rPr>
        <w:t xml:space="preserve">Source: </w:t>
      </w:r>
      <w:r>
        <w:t>Journal of the American Chemical Society: Latest Articles (ACS Publications)</w:t>
      </w:r>
      <w:r>
        <w:t xml:space="preserve">    </w:t>
      </w:r>
      <w:r>
        <w:rPr>
          <w:b/>
        </w:rPr>
        <w:t xml:space="preserve">Pub date: </w:t>
      </w:r>
      <w:r>
        <w:t>2026-05-26 16:11:55+00:00</w:t>
      </w:r>
      <w:r>
        <w:t xml:space="preserve">    </w:t>
      </w:r>
      <w:r>
        <w:rPr>
          <w:b/>
        </w:rPr>
        <w:t xml:space="preserve">DOI: </w:t>
      </w:r>
      <w:hyperlink r:id="rId693">
        <w:r>
          <w:rPr>
            <w:color w:val="1155CC"/>
            <w:u w:val="single"/>
          </w:rPr>
          <w:t>10.1021/jacs.6c05995</w:t>
        </w:r>
      </w:hyperlink>
    </w:p>
    <w:p>
      <w:pPr>
        <w:spacing w:before="0" w:after="120"/>
      </w:pPr>
      <w:r>
        <w:rPr>
          <w:b/>
        </w:rPr>
        <w:t xml:space="preserve">Notes: </w:t>
      </w:r>
      <w:r>
        <w:t>abstract_source=pubmed</w:t>
      </w:r>
    </w:p>
    <w:p>
      <w:pPr>
        <w:spacing w:before="0" w:after="80" w:lineRule="auto" w:line="276"/>
      </w:pPr>
      <w:r>
        <w:rPr>
          <w:b/>
        </w:rPr>
        <w:t xml:space="preserve">摘要（ZH）: </w:t>
      </w:r>
      <w:r>
        <w:t>机械互锁碳纳米管 (MINT) 衍生物的合成依赖于模板步骤，其中大环前体吸附到单壁碳纳米管 (SWCNT) 上。不同热力学贡献对超分子识别步骤的相对作用仍然知之甚少。在此，我们量化了芳香族含量不同的 U 形大环前体（从芘或蒽醌到柔性二苯甲烷）的结合亲和力。基于热重分析的滴定表明，在室温下，带有扩展芳香族识别基序的前体与 (6,5)-SWCNT 的结合比其苯基类似物更强一个数量级。量子化学计算和显式溶剂分子动力学模拟量化了不同相互作用的相对重要性。我们发现π扩展的识别基序参与更强的芳香堆积相互作用并限制构象自由度。尽管变形和构象熵损失较大，但脂肪族侧链增强了结合。这些见解提供了大环化合物的分子设计规则，可优化预组织并促进 MINT 形成。</w:t>
      </w:r>
    </w:p>
    <w:p>
      <w:pPr>
        <w:spacing w:before="0" w:after="200" w:lineRule="auto" w:line="276"/>
      </w:pPr>
      <w:r>
        <w:rPr>
          <w:b/>
        </w:rPr>
        <w:t xml:space="preserve">Abstract (EN): </w:t>
      </w:r>
      <w:r>
        <w:t>The synthesis of mechanically interlocked carbon nanotube (MINT) derivatives relies on a templating step in which the macrocycle precursors adsorb onto single-walled carbon nanotubes (SWCNTs). The relative roles of the different thermodynamic contributions to the supramolecular recognition step remain poorly understood. Herein, we quantify the binding affinity of U-shaped macrocyclic precursors differing in their aromatic content, from pyrene or anthraquinone to flexible diphenylmethane. Thermogravimetric analysis-based titrations show that precursors bearing extended aromatic recognition motifs bind over an order of magnitude more strongly to (6,5)-SWCNT at room temperature than their phenyl analogues. Quantum chemical calculations and explicit-solvent molecular dynamics simulations quantify the relative importance of the different interactions. We find that π-extended recognition motifs engage in stronger aromatic stacking interactions and restrict conformational freedom. Aliphatic side chains enhance binding, despite larger deformation and conformational entropy penalties. These insights offer molecular design rules for macrocycles that optimize preorganization and facilitate MINT formation.</w:t>
      </w:r>
    </w:p>
    <w:p>
      <w:pPr>
        <w:spacing w:before="120" w:after="120"/>
      </w:pPr>
      <w:r>
        <w:rPr>
          <w:sz w:val="18"/>
        </w:rPr>
        <w:t>——————————————————————————————————————————————————————————————————————</w:t>
      </w:r>
    </w:p>
    <w:p>
      <w:pPr>
        <w:spacing w:before="160" w:after="40" w:line="240" w:lineRule="auto"/>
      </w:pPr>
      <w:r>
        <w:rPr>
          <w:b/>
        </w:rPr>
        <w:t xml:space="preserve">[230] </w:t>
      </w:r>
      <w:hyperlink r:id="rId694">
        <w:r>
          <w:rPr>
            <w:color w:val="1155CC"/>
            <w:u w:val="single"/>
          </w:rPr>
          <w:t>用于细胞表面酶展示的胆固醇类似物</w:t>
        </w:r>
      </w:hyperlink>
    </w:p>
    <w:p>
      <w:pPr>
        <w:spacing w:before="0" w:after="80"/>
      </w:pPr>
      <w:r>
        <w:rPr>
          <w:i/>
          <w:sz w:val="20"/>
        </w:rPr>
        <w:t>EN: A Cholesterol Analogue for Cell‐Surface Enzyme Display</w:t>
      </w:r>
    </w:p>
    <w:p>
      <w:pPr>
        <w:spacing w:before="0" w:after="120"/>
      </w:pPr>
      <w:r>
        <w:rPr>
          <w:b/>
        </w:rPr>
        <w:t xml:space="preserve">Source: </w:t>
      </w:r>
      <w:r>
        <w:t>Wiley: Angewandte Chemie International Edition: Table of Contents</w:t>
      </w:r>
      <w:r>
        <w:t xml:space="preserve">    </w:t>
      </w:r>
      <w:r>
        <w:rPr>
          <w:b/>
        </w:rPr>
        <w:t xml:space="preserve">Pub date: </w:t>
      </w:r>
      <w:r>
        <w:t>2026-05-26 16:13:36+00:00</w:t>
      </w:r>
      <w:r>
        <w:t xml:space="preserve">    </w:t>
      </w:r>
      <w:r>
        <w:rPr>
          <w:b/>
        </w:rPr>
        <w:t xml:space="preserve">DOI: </w:t>
      </w:r>
      <w:hyperlink r:id="rId695">
        <w:r>
          <w:rPr>
            <w:color w:val="1155CC"/>
            <w:u w:val="single"/>
          </w:rPr>
          <w:t>10.1002/anie.2267541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膜是引入新型细胞功能的主要目标，因为它是一个复杂的系统，具有多种表面修饰途径。因此，为此目的开发了几种化学涂层和基因工程方法。在这里，利用整合在细胞膜内的仿生脂质探索了一种使酶结合到细菌细胞表面的独特方法。</w:t>
      </w:r>
      <w:r>
        <w:t xml:space="preserve"> </w:t>
      </w:r>
      <w:r>
        <w:t>大肠杆菌</w:t>
      </w:r>
      <w:r>
        <w:t xml:space="preserve"> </w:t>
      </w:r>
      <w:r>
        <w:t>细胞配备了含有次氮基三乙酸 (NTA) 基团的基于胆固醇的人工脂质，当负载 Ni</w:t>
      </w:r>
      <w:r>
        <w:t xml:space="preserve"> </w:t>
      </w:r>
      <w:r>
        <w:t>2+</w:t>
      </w:r>
      <w:r>
        <w:t xml:space="preserve"> </w:t>
      </w:r>
      <w:r>
        <w:t>离子，通过亲和相互作用选择性地结合 His 标记的酶。这种相互作用对于包括绿色荧光蛋白在内的标记蛋白是稳定且具有选择性的，使得它们能够从细胞裂解物中直接一步纯化和固定。此外，该过程具有生物相容性，并且保留了细胞内和细胞表面的酶活性。该策略进一步使苯甲醛裂解酶或胺转氨酶能够与细菌细胞表面结合，进行可回收的单步酶促反应。重要的是，它允许创建一个单细胞系统，用于从苯甲醇到</w:t>
      </w:r>
      <w:r>
        <w:t xml:space="preserve"> </w:t>
      </w:r>
      <w:r>
        <w:t>(右)</w:t>
      </w:r>
      <w:r>
        <w:t xml:space="preserve"> </w:t>
      </w:r>
      <w:r>
        <w:t>‐使用细胞内和表面固定化酶的安息香。这为通过非遗传细胞在单细胞中简化级联反应系统的开发提供了坚实的概念证明。</w:t>
      </w:r>
    </w:p>
    <w:p>
      <w:pPr>
        <w:spacing w:before="0" w:after="200" w:lineRule="auto" w:line="276"/>
      </w:pPr>
      <w:r>
        <w:rPr>
          <w:b/>
        </w:rPr>
        <w:t xml:space="preserve">Abstract (EN): </w:t>
      </w:r>
      <w:r>
        <w:t>The cell membrane is a prime target for the introduction of novel cellular functionalities, as it is a complex system with many routes for surface modification. Several chemical coating and genetic engineering methods have thus been developed for this purpose. Here, a distinct way to enable enzyme‐binding onto the surface of bacterial cells is explored using biomimetic lipids that integrate within the cell membrane.</w:t>
      </w:r>
      <w:r>
        <w:t xml:space="preserve"> </w:t>
      </w:r>
      <w:r>
        <w:t>E. coli</w:t>
      </w:r>
      <w:r>
        <w:t xml:space="preserve"> </w:t>
      </w:r>
      <w:r>
        <w:t>cells were equipped with a cholesterol‐based artificial lipid containing a nitrilotriacetic acid (NTA) group which, when loaded with Ni</w:t>
      </w:r>
      <w:r>
        <w:t xml:space="preserve"> </w:t>
      </w:r>
      <w:r>
        <w:t>2+</w:t>
      </w:r>
      <w:r>
        <w:t xml:space="preserve"> </w:t>
      </w:r>
      <w:r>
        <w:t>ions, selectively binds His‐tagged enzymes through affinity interactions. This interaction is stable and selective for tagged proteins including green fluorescent protein, enabling their direct one‐step purification and immobilisation from cell lysates. Furthermore, the process is biocompatible and preserves both intracellular and cell‐surface enzymatic activity. This strategy further enables binding of benzaldehyde lyase or amine transaminase enzymes to the surface of bacterial cells for recyclable single‐step enzymatic reactions. Importantly, it allowed the creation of a single‐cell system for the two‐step cascade reaction from benzyl alcohol to</w:t>
      </w:r>
      <w:r>
        <w:t xml:space="preserve"> </w:t>
      </w:r>
      <w:r>
        <w:t>(R)</w:t>
      </w:r>
      <w:r>
        <w:t xml:space="preserve"> </w:t>
      </w:r>
      <w:r>
        <w:t>‐benzoin using both intracellular and surface‐immobilised enzymes. This provides a solid proof of concept for the streamlined development of cascade reaction systems in a single cell through non‐genetic cell surface enzyme immobilisation.</w:t>
      </w:r>
    </w:p>
    <w:p>
      <w:pPr>
        <w:spacing w:before="120" w:after="120"/>
      </w:pPr>
      <w:r>
        <w:rPr>
          <w:sz w:val="18"/>
        </w:rPr>
        <w:t>——————————————————————————————————————————————————————————————————————</w:t>
      </w:r>
    </w:p>
    <w:p>
      <w:pPr>
        <w:spacing w:before="160" w:after="40" w:line="240" w:lineRule="auto"/>
      </w:pPr>
      <w:r>
        <w:rPr>
          <w:b/>
        </w:rPr>
        <w:t xml:space="preserve">[231] </w:t>
      </w:r>
      <w:hyperlink r:id="rId696">
        <w:r>
          <w:rPr>
            <w:color w:val="1155CC"/>
            <w:u w:val="single"/>
          </w:rPr>
          <w:t>通过 19F 稳态自由进动 NMR 进行快速片段筛选</w:t>
        </w:r>
      </w:hyperlink>
    </w:p>
    <w:p>
      <w:pPr>
        <w:spacing w:before="0" w:after="80"/>
      </w:pPr>
      <w:r>
        <w:rPr>
          <w:i/>
          <w:sz w:val="20"/>
        </w:rPr>
        <w:t>EN: Rapid Fragment Screening by 19F Steady‐State Free Precession NMR</w:t>
      </w:r>
    </w:p>
    <w:p>
      <w:pPr>
        <w:spacing w:before="0" w:after="120"/>
      </w:pPr>
      <w:r>
        <w:rPr>
          <w:b/>
        </w:rPr>
        <w:t xml:space="preserve">Source: </w:t>
      </w:r>
      <w:r>
        <w:t>Wiley: Angewandte Chemie International Edition: Table of Contents</w:t>
      </w:r>
      <w:r>
        <w:t xml:space="preserve">    </w:t>
      </w:r>
      <w:r>
        <w:rPr>
          <w:b/>
        </w:rPr>
        <w:t xml:space="preserve">Pub date: </w:t>
      </w:r>
      <w:r>
        <w:t>2026-05-26 16:14:33+00:00</w:t>
      </w:r>
      <w:r>
        <w:t xml:space="preserve">    </w:t>
      </w:r>
      <w:r>
        <w:rPr>
          <w:b/>
        </w:rPr>
        <w:t xml:space="preserve">DOI: </w:t>
      </w:r>
      <w:hyperlink r:id="rId697">
        <w:r>
          <w:rPr>
            <w:color w:val="1155CC"/>
            <w:u w:val="single"/>
          </w:rPr>
          <w:t>10.1002/anie.6891540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由于其高灵敏度以及采集和处理方面的进步，稳态自由进动 (SSFP) NMR 正在成为跨磁共振多个领域的强大工具。通过连续检测稳态横向磁化强度，与需要扫描之间磁化恢复的传统 NMR 方法相比，SSFP 在每平方根单位时间实现了优异的信噪比。在这里，我们展示了 SSFP 在基于片段的筛选中的应用，相对于宽带 Carr-Purcell-Meiboom-Gill 方法，实现了宽带激发 (kHz) 和 2.6-3.3 倍的平均灵敏度增强。这一成果意味着实验时间减少了十倍，每天可以可靠地筛选多达 2000 种化合物。这些功能共同使 SSFP 成为药物发现中快速片段筛选的可靠方法。</w:t>
      </w:r>
    </w:p>
    <w:p>
      <w:pPr>
        <w:spacing w:before="0" w:after="200" w:lineRule="auto" w:line="276"/>
      </w:pPr>
      <w:r>
        <w:rPr>
          <w:b/>
        </w:rPr>
        <w:t xml:space="preserve">Abstract (EN): </w:t>
      </w:r>
      <w:r>
        <w:t>Steady‐state free precession (SSFP) NMR is emerging as a powerful tool across multiple fields of magnetic resonance, driven by its high sensitivity and advances in acquisition and processing. By continuously detecting steady‐state transverse magnetization, SSFP achieves superior signal‐to‐noise ratios per square‐root unit time compared to conventional NMR methods that require magnetization recovery between scans. Here, we demonstrate the application of  SSFP for fragment‐based screening, achieving broadband excitation ( kHz) and a 2.6–3.3‐fold average sensitivity enhancement relative to broadband Carr–Purcell–Meiboom–Gill approaches. This gain translates into up to a tenfold reduction in experimental time, enabling reliable screening of up to 2000 compounds per day. Together, these features establish  SSFP as a robust approach for rapid fragment screening in drug discovery.</w:t>
      </w:r>
    </w:p>
    <w:p>
      <w:pPr>
        <w:spacing w:before="120" w:after="120"/>
      </w:pPr>
      <w:r>
        <w:rPr>
          <w:sz w:val="18"/>
        </w:rPr>
        <w:t>——————————————————————————————————————————————————————————————————————</w:t>
      </w:r>
    </w:p>
    <w:p>
      <w:pPr>
        <w:spacing w:before="160" w:after="40" w:line="240" w:lineRule="auto"/>
      </w:pPr>
      <w:r>
        <w:rPr>
          <w:b/>
        </w:rPr>
        <w:t xml:space="preserve">[232] </w:t>
      </w:r>
      <w:hyperlink r:id="rId698">
        <w:r>
          <w:rPr>
            <w:color w:val="1155CC"/>
            <w:u w:val="single"/>
          </w:rPr>
          <w:t>潜在催化作为在还原光聚合 3D 打印中获取多种材料特性的平台</w:t>
        </w:r>
      </w:hyperlink>
    </w:p>
    <w:p>
      <w:pPr>
        <w:spacing w:before="0" w:after="80"/>
      </w:pPr>
      <w:r>
        <w:rPr>
          <w:i/>
          <w:sz w:val="20"/>
        </w:rPr>
        <w:t>EN: Latent Catalysis as a Platform for Accessing Diverse Material Properties in Vat Photopolymerization 3D Printing</w:t>
      </w:r>
    </w:p>
    <w:p>
      <w:pPr>
        <w:spacing w:before="0" w:after="120"/>
      </w:pPr>
      <w:r>
        <w:rPr>
          <w:b/>
        </w:rPr>
        <w:t xml:space="preserve">Source: </w:t>
      </w:r>
      <w:r>
        <w:t>Wiley: Angewandte Chemie International Edition: Table of Contents</w:t>
      </w:r>
      <w:r>
        <w:t xml:space="preserve">    </w:t>
      </w:r>
      <w:r>
        <w:rPr>
          <w:b/>
        </w:rPr>
        <w:t xml:space="preserve">Pub date: </w:t>
      </w:r>
      <w:r>
        <w:t>2026-05-26 16:17:35+00:00</w:t>
      </w:r>
      <w:r>
        <w:t xml:space="preserve">    </w:t>
      </w:r>
      <w:r>
        <w:rPr>
          <w:b/>
        </w:rPr>
        <w:t xml:space="preserve">DOI: </w:t>
      </w:r>
      <w:hyperlink r:id="rId699">
        <w:r>
          <w:rPr>
            <w:color w:val="1155CC"/>
            <w:u w:val="single"/>
          </w:rPr>
          <w:t>10.1002/anie.5527609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还原光聚合 (VP) 3D 打印是制造定制聚合物零件的一种有吸引力的策略。印刷材料的性能受到使用低粘度液体树脂和实现快速聚合动力学的需要的限制。为了规避这一限制，使用嵌入液体树脂配方中的试剂开发了双重固化方法；然而，基于试剂的方法需要为每种所需材料发现和优化新化学物质。在这里，我们展示了一种催化双重固化平台，该平台能够在通用方法下通过 VP 3D 打印访问尼龙-6 和聚酯互穿网络。潜在 NHC 催化剂的结构-反应性关系导致氯化镁-NHC 加合物被鉴定为潜在催化剂，它与自由基聚合正交，并且可以在打印后高温下暴露出来，引发内酯和内酰胺的开环聚合。这种策略导致获得半结晶材料，这是通过 VP 3D 打印获得的具有挑战性的形态，具有有吸引力的机械性能，并且可以高分辨率打印。这项工作代表了第一个基于光化学的尼龙基材料 3D 打印，并展示了催化方法在 VP 3D 打印中获得新材料特性的价值。</w:t>
      </w:r>
    </w:p>
    <w:p>
      <w:pPr>
        <w:spacing w:before="0" w:after="200" w:lineRule="auto" w:line="276"/>
      </w:pPr>
      <w:r>
        <w:rPr>
          <w:b/>
        </w:rPr>
        <w:t xml:space="preserve">Abstract (EN): </w:t>
      </w:r>
      <w:r>
        <w:t>Vat photopolymerization (VP) 3D printing is an attractive strategy to manufacture customized polymer parts. The properties of printed materials are limited by the need to employ a low viscosity liquid resin and achieve rapid polymerization kinetics. To circumvent this limitation, dual‐cure methods have been developed using reagents embedded in the liquid resin formulation; however, the reagent‐based approach requires the discovery and optimization of new chemistry for each desired material. Here, we demonstrate a catalytic, dual‐cure platform that enables access to both Nylon‐6 and polyester interpenetrating networks through VP 3D printing under a universal approach. Structure–reactivity relationships of the latent NHC catalysts led to the identification of a magnesium chloride–NHC adduct as a latent catalyst that is orthogonal to radical polymerization and can be unmasked at elevated temperatures post‐printing to initiate ring‐opening polymerization of lactones and lactams. This strategy results in access to semicrystalline materials, which are a challenging morphology to access via VP 3D printing, that have attractive mechanical properties and can be printed at high resolution. This work represents the first photochemical‐based 3D printing of Nylon‐based materials and demonstrates the value of catalytic approaches to access new material properties in VP 3D printing.</w:t>
      </w:r>
    </w:p>
    <w:p>
      <w:pPr>
        <w:spacing w:before="120" w:after="120"/>
      </w:pPr>
      <w:r>
        <w:rPr>
          <w:sz w:val="18"/>
        </w:rPr>
        <w:t>——————————————————————————————————————————————————————————————————————</w:t>
      </w:r>
    </w:p>
    <w:p>
      <w:pPr>
        <w:spacing w:before="160" w:after="40" w:line="240" w:lineRule="auto"/>
      </w:pPr>
      <w:r>
        <w:rPr>
          <w:b/>
        </w:rPr>
        <w:t xml:space="preserve">[233] </w:t>
      </w:r>
      <w:hyperlink r:id="rId700">
        <w:r>
          <w:rPr>
            <w:color w:val="1155CC"/>
            <w:u w:val="single"/>
          </w:rPr>
          <w:t>源自手性二氧化硅封装的非手性和外消旋发光体的三重态-三重态湮灭上转换圆偏振发光</w:t>
        </w:r>
      </w:hyperlink>
    </w:p>
    <w:p>
      <w:pPr>
        <w:spacing w:before="0" w:after="80"/>
      </w:pPr>
      <w:r>
        <w:rPr>
          <w:i/>
          <w:sz w:val="20"/>
        </w:rPr>
        <w:t>EN: Triplet–Triplet Annihilation Upconversion Circularly Polarized Luminescence That Originates From Achiral and Racemic Luminophores Encapsulated in Chiral Silica</w:t>
      </w:r>
    </w:p>
    <w:p>
      <w:pPr>
        <w:spacing w:before="0" w:after="120"/>
      </w:pPr>
      <w:r>
        <w:rPr>
          <w:b/>
        </w:rPr>
        <w:t xml:space="preserve">Source: </w:t>
      </w:r>
      <w:r>
        <w:t>Wiley: Angewandte Chemie International Edition: Table of Contents</w:t>
      </w:r>
      <w:r>
        <w:t xml:space="preserve">    </w:t>
      </w:r>
      <w:r>
        <w:rPr>
          <w:b/>
        </w:rPr>
        <w:t xml:space="preserve">Pub date: </w:t>
      </w:r>
      <w:r>
        <w:t>2026-05-26 16:18:30+00:00</w:t>
      </w:r>
      <w:r>
        <w:t xml:space="preserve">    </w:t>
      </w:r>
      <w:r>
        <w:rPr>
          <w:b/>
        </w:rPr>
        <w:t xml:space="preserve">DOI: </w:t>
      </w:r>
      <w:hyperlink r:id="rId701">
        <w:r>
          <w:rPr>
            <w:color w:val="1155CC"/>
            <w:u w:val="single"/>
          </w:rPr>
          <w:t>10.1002/anie.4704601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圆偏振发光（CPL）已成为手性光子和光电应用的关键光学特性。然而，传统的 CPL 系统依赖于合成要求较高的手性发光体，这些发光体以固定波长发射，这限制了可调谐性和效率。在这项研究中，我们证明了与光敏剂共同封装在手性二氧化硅螺旋纳米腔中的非手性或外消旋发光体表现出上转换CPL（UC-CPL）。手性二氧化硅，衍生自包含对映体修饰的多面体低聚倍半硅氧烷的聚甲基乙烯基硅氧烷</w:t>
      </w:r>
      <w:r>
        <w:t xml:space="preserve"> </w:t>
      </w:r>
      <w:r>
        <w:t>氮</w:t>
      </w:r>
      <w:r>
        <w:t xml:space="preserve"> </w:t>
      </w:r>
      <w:r>
        <w:t>‐(</w:t>
      </w:r>
      <w:r>
        <w:t xml:space="preserve"> </w:t>
      </w:r>
      <w:r>
        <w:t>叔</w:t>
      </w:r>
      <w:r>
        <w:t xml:space="preserve"> </w:t>
      </w:r>
      <w:r>
        <w:t>‐丁氧羰基）半胱氨酸甲酯部分（PMVS-POSS-Cys）具有具有优先手性的螺旋结构，有利于有效的三重态-三重态能量转移（TTET）和三重态-三重态湮灭（TTA）。尽管发光体具有非手性性质，但所得材料在分别在 365 和 532 nm 激发时表现出不同的 CPL 和 UC-CPL 信号。这项研究前所未有地证明了手性二氧化硅基质中来自非手性发射体的 UC-CPL，这是通过固态螺旋二氧化硅骨架中的手性诱导实现的。本文描述的策略提供了一个通用且通用的平台，用于开发节能、波长可调的手性光子材料，而无需复杂的手性合成。</w:t>
      </w:r>
    </w:p>
    <w:p>
      <w:pPr>
        <w:spacing w:before="0" w:after="200" w:lineRule="auto" w:line="276"/>
      </w:pPr>
      <w:r>
        <w:rPr>
          <w:b/>
        </w:rPr>
        <w:t xml:space="preserve">Abstract (EN): </w:t>
      </w:r>
      <w:r>
        <w:t>Circularly polarized luminescence (CPL) has emerged as a key optical property with chiral‐photonic and optoelectronic applications. However, conventional CPL systems rely on synthetically demanding chiral luminophores that emit at fixed wavelengths, which limits tunability and efficiency. In this study, we demonstrate that achiral or racemic luminophores co‐encapsulated with photosensitizers in the helical nanocavities of chiral silica exhibit upconversion CPL (UC‐CPL). The chiral silica, which is derived from polymethylvinylsiloxane comprising polyhedral oligomeric silsesquioxane decorated with enantiomeric</w:t>
      </w:r>
      <w:r>
        <w:t xml:space="preserve"> </w:t>
      </w:r>
      <w:r>
        <w:t>N</w:t>
      </w:r>
      <w:r>
        <w:t xml:space="preserve"> </w:t>
      </w:r>
      <w:r>
        <w:t>‐(</w:t>
      </w:r>
      <w:r>
        <w:t xml:space="preserve"> </w:t>
      </w:r>
      <w:r>
        <w:t>tert</w:t>
      </w:r>
      <w:r>
        <w:t xml:space="preserve"> </w:t>
      </w:r>
      <w:r>
        <w:t>‐butoxycarbonyl)cysteine methyl ester moieties (PMVS‐POSS‐Cys), has a helical structure with a preferred‐handedness that facilitates efficient triplet–triplet energy transfer (TTET) and triplet–triplet annihilation (TTA). The resulting materials exhibit distinct CPL and UC‐CPL signals when excited at 365 and 532 nm, respectively, despite the achiral nature of the luminophore. This study unprecedentedly demonstrates UC‐CPL from achiral emitters within chiral silica matrices, which is achieved through chiral induction in the solid‐state helical silica frameworks. The strategy described herein provides a general and versatile platform for developing energy‐efficient, wavelength‐tunable chiral‐photonic materials without the need for elaborate chiral syntheses.</w:t>
      </w:r>
    </w:p>
    <w:p>
      <w:pPr>
        <w:spacing w:before="120" w:after="120"/>
      </w:pPr>
      <w:r>
        <w:rPr>
          <w:sz w:val="18"/>
        </w:rPr>
        <w:t>——————————————————————————————————————————————————————————————————————</w:t>
      </w:r>
    </w:p>
    <w:p>
      <w:pPr>
        <w:spacing w:before="160" w:after="40" w:line="240" w:lineRule="auto"/>
      </w:pPr>
      <w:r>
        <w:rPr>
          <w:b/>
        </w:rPr>
        <w:t xml:space="preserve">[234] </w:t>
      </w:r>
      <w:hyperlink r:id="rId702">
        <w:r>
          <w:rPr>
            <w:color w:val="1155CC"/>
            <w:u w:val="single"/>
          </w:rPr>
          <w:t>用于圆偏振发光放大、染料封装和多级信息加密的手性胶束组件</w:t>
        </w:r>
      </w:hyperlink>
    </w:p>
    <w:p>
      <w:pPr>
        <w:spacing w:before="0" w:after="80"/>
      </w:pPr>
      <w:r>
        <w:rPr>
          <w:i/>
          <w:sz w:val="20"/>
        </w:rPr>
        <w:t>EN: Chiral Micellar Assemblies for Circularly Polarized Luminescence Amplification, Dye Encapsulation, and Multilevel Information Encryption</w:t>
      </w:r>
    </w:p>
    <w:p>
      <w:pPr>
        <w:spacing w:before="0" w:after="120"/>
      </w:pPr>
      <w:r>
        <w:rPr>
          <w:b/>
        </w:rPr>
        <w:t xml:space="preserve">Source: </w:t>
      </w:r>
      <w:r>
        <w:t>Wiley: Angewandte Chemie International Edition: Table of Contents</w:t>
      </w:r>
      <w:r>
        <w:t xml:space="preserve">    </w:t>
      </w:r>
      <w:r>
        <w:rPr>
          <w:b/>
        </w:rPr>
        <w:t xml:space="preserve">Pub date: </w:t>
      </w:r>
      <w:r>
        <w:t>2026-05-26 16:19:31+00:00</w:t>
      </w:r>
      <w:r>
        <w:t xml:space="preserve">    </w:t>
      </w:r>
      <w:r>
        <w:rPr>
          <w:b/>
        </w:rPr>
        <w:t xml:space="preserve">DOI: </w:t>
      </w:r>
      <w:hyperlink r:id="rId703">
        <w:r>
          <w:rPr>
            <w:color w:val="1155CC"/>
            <w:u w:val="single"/>
          </w:rPr>
          <w:t>10.1002/anie.4171255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手性胶束提供了有限的不对称环境，对多种功能和技术应用具有吸引力。在这里，我们报道了一种联二酚衍生的芳香族两亲物，（</w:t>
      </w:r>
      <w:r>
        <w:t xml:space="preserve"> </w:t>
      </w:r>
      <w:r>
        <w:t>右</w:t>
      </w:r>
      <w:r>
        <w:t xml:space="preserve"> </w:t>
      </w:r>
      <w:r>
        <w:t>)-/(</w:t>
      </w:r>
      <w:r>
        <w:t xml:space="preserve"> </w:t>
      </w:r>
      <w:r>
        <w:t>S</w:t>
      </w:r>
      <w:r>
        <w:t xml:space="preserve"> </w:t>
      </w:r>
      <w:r>
        <w:t>)‐</w:t>
      </w:r>
      <w:r>
        <w:t xml:space="preserve"> </w:t>
      </w:r>
      <w:r>
        <w:t>B-吡咯</w:t>
      </w:r>
      <w:r>
        <w:t xml:space="preserve"> </w:t>
      </w:r>
      <w:r>
        <w:t>，它在水中自组装成坚固的 5-6 nm 纳米胶束，并表现出本质上很强的 CPL 活性 |</w:t>
      </w:r>
      <w:r>
        <w:t xml:space="preserve"> </w:t>
      </w:r>
      <w:r>
        <w:t>克</w:t>
      </w:r>
      <w:r>
        <w:t xml:space="preserve"> </w:t>
      </w:r>
      <w:r>
        <w:t>卢姆</w:t>
      </w:r>
      <w:r>
        <w:t xml:space="preserve"> </w:t>
      </w:r>
      <w:r>
        <w:t>|值高达 1.67 × 10</w:t>
      </w:r>
      <w:r>
        <w:t xml:space="preserve"> </w:t>
      </w:r>
      <w:r>
        <w:t>−2</w:t>
      </w:r>
      <w:r>
        <w:t xml:space="preserve"> </w:t>
      </w:r>
      <w:r>
        <w:t>——比分子分散的单体高出近一个数量级。此外，这些胶束组件有效地封装了多种疏水性染料，并将手性传递给客体，从单个超分子平台产生多色 CPL 输出。通过正交调制颜色和旋向性，我们进一步演示了基于手性胶束组件的多级光学信息加密。这项工作为水性 CPL 活性纳米材料建立了通用设计原理，为手性光子学、安全数据存储和先进光电系统提供了新的机遇。</w:t>
      </w:r>
    </w:p>
    <w:p>
      <w:pPr>
        <w:spacing w:before="0" w:after="200" w:lineRule="auto" w:line="276"/>
      </w:pPr>
      <w:r>
        <w:rPr>
          <w:b/>
        </w:rPr>
        <w:t xml:space="preserve">Abstract (EN): </w:t>
      </w:r>
      <w:r>
        <w:t>Chiral micelles provide confined asymmetric environments that are attractive for diverse functional and technological applications. Here we report a BINOL‐derived aromatic amphiphile, (</w:t>
      </w:r>
      <w:r>
        <w:t xml:space="preserve"> </w:t>
      </w:r>
      <w:r>
        <w:t>R</w:t>
      </w:r>
      <w:r>
        <w:t xml:space="preserve"> </w:t>
      </w:r>
      <w:r>
        <w:t>)‐/(</w:t>
      </w:r>
      <w:r>
        <w:t xml:space="preserve"> </w:t>
      </w:r>
      <w:r>
        <w:t>S</w:t>
      </w:r>
      <w:r>
        <w:t xml:space="preserve"> </w:t>
      </w:r>
      <w:r>
        <w:t>)‐</w:t>
      </w:r>
      <w:r>
        <w:t xml:space="preserve"> </w:t>
      </w:r>
      <w:r>
        <w:t>B‐Pyr</w:t>
      </w:r>
      <w:r>
        <w:t xml:space="preserve"> </w:t>
      </w:r>
      <w:r>
        <w:t>, which self‐assembles into robust 5–6 nm nanomicelles in water and exhibits intrinsically strong CPL activity with |</w:t>
      </w:r>
      <w:r>
        <w:t xml:space="preserve"> </w:t>
      </w:r>
      <w:r>
        <w:t>g</w:t>
      </w:r>
      <w:r>
        <w:t xml:space="preserve"> </w:t>
      </w:r>
      <w:r>
        <w:t>lum</w:t>
      </w:r>
      <w:r>
        <w:t xml:space="preserve"> </w:t>
      </w:r>
      <w:r>
        <w:t>| values up to 1.67 × 10</w:t>
      </w:r>
      <w:r>
        <w:t xml:space="preserve"> </w:t>
      </w:r>
      <w:r>
        <w:t>−2</w:t>
      </w:r>
      <w:r>
        <w:t xml:space="preserve"> </w:t>
      </w:r>
      <w:r>
        <w:t>—nearly an order of magnitude higher than the molecularly dispersed monomers. Furthermore, these micellar assemblies efficiently encapsulate diverse hydrophobic dyes and transfer chirality to the guests, generating multicolor CPL outputs from a single supramolecular platform. By orthogonally modulating color and handedness, we further demonstrate multilevel optical information encryption based on the chiral micellar assemblies. This work establishes a versatile design principle for aqueous CPL‐active nanomaterials, offering new opportunities in chiral photonics, secure data storage, and advanced optoelectronic systems.</w:t>
      </w:r>
    </w:p>
    <w:p>
      <w:pPr>
        <w:spacing w:before="120" w:after="120"/>
      </w:pPr>
      <w:r>
        <w:rPr>
          <w:sz w:val="18"/>
        </w:rPr>
        <w:t>——————————————————————————————————————————————————————————————————————</w:t>
      </w:r>
    </w:p>
    <w:p>
      <w:pPr>
        <w:spacing w:before="160" w:after="40" w:line="240" w:lineRule="auto"/>
      </w:pPr>
      <w:r>
        <w:rPr>
          <w:b/>
        </w:rPr>
        <w:t xml:space="preserve">[235] </w:t>
      </w:r>
      <w:hyperlink r:id="rId704">
        <w:r>
          <w:rPr>
            <w:color w:val="1155CC"/>
            <w:u w:val="single"/>
          </w:rPr>
          <w:t>锁钥匙组装通过线性多卤化物的空间限制在单环π共轭晶体中实现创纪录的双折射</w:t>
        </w:r>
      </w:hyperlink>
    </w:p>
    <w:p>
      <w:pPr>
        <w:spacing w:before="0" w:after="80"/>
      </w:pPr>
      <w:r>
        <w:rPr>
          <w:i/>
          <w:sz w:val="20"/>
        </w:rPr>
        <w:t>EN: Lock‐and‐Key Assembly Enables Record Birefringence in Monocyclic π‐Conjugated Crystals via Spatial Confinement of Linear Polyhalide</w:t>
      </w:r>
    </w:p>
    <w:p>
      <w:pPr>
        <w:spacing w:before="0" w:after="120"/>
      </w:pPr>
      <w:r>
        <w:rPr>
          <w:b/>
        </w:rPr>
        <w:t xml:space="preserve">Source: </w:t>
      </w:r>
      <w:r>
        <w:t>Wiley: Angewandte Chemie International Edition: Table of Contents</w:t>
      </w:r>
      <w:r>
        <w:t xml:space="preserve">    </w:t>
      </w:r>
      <w:r>
        <w:rPr>
          <w:b/>
        </w:rPr>
        <w:t xml:space="preserve">Pub date: </w:t>
      </w:r>
      <w:r>
        <w:t>2026-05-26 16:20:42+00:00</w:t>
      </w:r>
      <w:r>
        <w:t xml:space="preserve">    </w:t>
      </w:r>
      <w:r>
        <w:rPr>
          <w:b/>
        </w:rPr>
        <w:t xml:space="preserve">DOI: </w:t>
      </w:r>
      <w:hyperlink r:id="rId705">
        <w:r>
          <w:rPr>
            <w:color w:val="1155CC"/>
            <w:u w:val="single"/>
          </w:rPr>
          <w:t>10.1002/anie.4675227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双折射晶体是偏振光学的核心，但推动了双折射 (Δ</w:t>
      </w:r>
      <w:r>
        <w:t xml:space="preserve"> </w:t>
      </w:r>
      <w:r>
        <w:t>n</w:t>
      </w:r>
      <w:r>
        <w:t xml:space="preserve"> </w:t>
      </w:r>
      <w:r>
        <w:t>）超过 1.0，同时保持透明度（</w:t>
      </w:r>
      <w:r>
        <w:t xml:space="preserve"> </w:t>
      </w:r>
      <w:r>
        <w:t>乙</w:t>
      </w:r>
      <w:r>
        <w:t xml:space="preserve"> </w:t>
      </w:r>
      <w:r>
        <w:t>克</w:t>
      </w:r>
      <w:r>
        <w:t xml:space="preserve"> </w:t>
      </w:r>
      <w:r>
        <w:t>&gt; 2.0 eV）几乎完全是通过将 π 共轭从单环芳香族化合物扩展到多环芳香族化合物来实现的。单环 π 系统长期以来一直被认为本质上限制在 Δ 以下</w:t>
      </w:r>
      <w:r>
        <w:t xml:space="preserve"> </w:t>
      </w:r>
      <w:r>
        <w:t>n</w:t>
      </w:r>
      <w:r>
        <w:t xml:space="preserve"> </w:t>
      </w:r>
      <w:r>
        <w:t>= 1.0。在这里，我们通过证明几何精度（而不是 π 系统放大）可以解锁这一性能上限来挑战这一假设。我们引入了一种卤化诱导的降维策略，其中卤素取代基将胞嘧啶的氢键拓扑从非定向二维网络重定向为波状一维链，其互补的凹袋形成胶囊状空腔。这些空腔充当</w:t>
      </w:r>
      <w:r>
        <w:t xml:space="preserve"> </w:t>
      </w:r>
      <w:r>
        <w:t>锁</w:t>
      </w:r>
      <w:r>
        <w:t xml:space="preserve"> </w:t>
      </w:r>
      <w:r>
        <w:t>－和－</w:t>
      </w:r>
      <w:r>
        <w:t xml:space="preserve"> </w:t>
      </w:r>
      <w:r>
        <w:t>钥匙</w:t>
      </w:r>
      <w:r>
        <w:t xml:space="preserve"> </w:t>
      </w:r>
      <w:r>
        <w:t>模板将线性多卤化物限制在严格的共线排列中，同时强制 π 平面共面。该策略提供了五种新的双折射混合晶体：(HXCy)</w:t>
      </w:r>
      <w:r>
        <w:rPr>
          <w:vertAlign w:val="subscript"/>
        </w:rPr>
        <w:t>2</w:t>
      </w:r>
      <w:r>
        <w:t>（我</w:t>
      </w:r>
      <w:r>
        <w:rPr>
          <w:vertAlign w:val="subscript"/>
        </w:rPr>
        <w:t>2</w:t>
      </w:r>
      <w:r>
        <w:t>Cl)·Cl (X = Cl,</w:t>
      </w:r>
      <w:r>
        <w:t xml:space="preserve"> </w:t>
      </w:r>
      <w:r>
        <w:t>我</w:t>
      </w:r>
      <w:r>
        <w:t xml:space="preserve"> </w:t>
      </w:r>
      <w:r>
        <w:t>;兄弟，</w:t>
      </w:r>
      <w:r>
        <w:t xml:space="preserve"> </w:t>
      </w:r>
      <w:r>
        <w:t>二</w:t>
      </w:r>
      <w:r>
        <w:t xml:space="preserve"> </w:t>
      </w:r>
      <w:r>
        <w:t>, Cy = 胞嘧啶), (HClCy)</w:t>
      </w:r>
      <w:r>
        <w:rPr>
          <w:vertAlign w:val="subscript"/>
        </w:rPr>
        <w:t>2</w:t>
      </w:r>
      <w:r>
        <w:t>(ICl</w:t>
      </w:r>
      <w:r>
        <w:rPr>
          <w:vertAlign w:val="subscript"/>
        </w:rPr>
        <w:t>2</w:t>
      </w:r>
      <w:r>
        <w:t>)·Cl (</w:t>
      </w:r>
      <w:r>
        <w:t xml:space="preserve"> </w:t>
      </w:r>
      <w:r>
        <w:t>三、</w:t>
      </w:r>
    </w:p>
    <w:p>
      <w:pPr>
        <w:spacing w:before="0" w:after="200" w:lineRule="auto" w:line="276"/>
      </w:pPr>
      <w:r>
        <w:rPr>
          <w:b/>
        </w:rPr>
        <w:t xml:space="preserve">Abstract (EN): </w:t>
      </w:r>
      <w:r>
        <w:t>Birefringent crystals are central to polarization optics, yet pushing birefringence (Δ</w:t>
      </w:r>
      <w:r>
        <w:t xml:space="preserve"> </w:t>
      </w:r>
      <w:r>
        <w:t>n</w:t>
      </w:r>
      <w:r>
        <w:t xml:space="preserve"> </w:t>
      </w:r>
      <w:r>
        <w:t>) beyond 1.0 while retaining transparency (</w:t>
      </w:r>
      <w:r>
        <w:t xml:space="preserve"> </w:t>
      </w:r>
      <w:r>
        <w:t>E</w:t>
      </w:r>
      <w:r>
        <w:t xml:space="preserve"> </w:t>
      </w:r>
      <w:r>
        <w:t>g</w:t>
      </w:r>
      <w:r>
        <w:t xml:space="preserve"> </w:t>
      </w:r>
      <w:r>
        <w:t>&amp;gt; 2.0 eV) has been pursued almost exclusively by extending π‐conjugation from monocyclic to polycyclic aromatics. Monocyclic π‐systems have long been considered intrinsically capped below Δ</w:t>
      </w:r>
      <w:r>
        <w:t xml:space="preserve"> </w:t>
      </w:r>
      <w:r>
        <w:t>n</w:t>
      </w:r>
      <w:r>
        <w:t xml:space="preserve"> </w:t>
      </w:r>
      <w:r>
        <w:t>= 1.0. Here, we challenge this assumption by demonstrating that geometric precision, rather than π‐system enlargement, can unlock this performance ceiling. We introduce a halogenation‐induced dimensional reduction strategy in which halogen substituents redirect the hydrogen‐bonding topology of cytosine from non‐directional 2D networks into wave‐like 1D chains, whose complementary concave pockets form capsule‐shaped cavities. These cavities act as</w:t>
      </w:r>
      <w:r>
        <w:t xml:space="preserve"> </w:t>
      </w:r>
      <w:r>
        <w:t>lock</w:t>
      </w:r>
      <w:r>
        <w:t xml:space="preserve"> </w:t>
      </w:r>
      <w:r>
        <w:t>‐and‐</w:t>
      </w:r>
      <w:r>
        <w:t xml:space="preserve"> </w:t>
      </w:r>
      <w:r>
        <w:t>key</w:t>
      </w:r>
      <w:r>
        <w:t xml:space="preserve"> </w:t>
      </w:r>
      <w:r>
        <w:t>templates that confine linear polyhalides into strict collinear alignment while enforcing π‐plane coplanarity. This strategy affords five new birefringent hybrid crystals: (HXCy)</w:t>
      </w:r>
      <w:r>
        <w:rPr>
          <w:vertAlign w:val="subscript"/>
        </w:rPr>
        <w:t>2</w:t>
      </w:r>
      <w:r>
        <w:t>(I</w:t>
      </w:r>
      <w:r>
        <w:rPr>
          <w:vertAlign w:val="subscript"/>
        </w:rPr>
        <w:t>2</w:t>
      </w:r>
      <w:r>
        <w:t>Cl)·Cl (X = Cl,</w:t>
      </w:r>
      <w:r>
        <w:t xml:space="preserve"> </w:t>
      </w:r>
      <w:r>
        <w:t>I</w:t>
      </w:r>
      <w:r>
        <w:t xml:space="preserve"> </w:t>
      </w:r>
      <w:r>
        <w:t>; Br,</w:t>
      </w:r>
      <w:r>
        <w:t xml:space="preserve"> </w:t>
      </w:r>
      <w:r>
        <w:t>II</w:t>
      </w:r>
      <w:r>
        <w:t xml:space="preserve"> </w:t>
      </w:r>
      <w:r>
        <w:t>, Cy = cytosine), (HClCy)</w:t>
      </w:r>
      <w:r>
        <w:rPr>
          <w:vertAlign w:val="subscript"/>
        </w:rPr>
        <w:t>2</w:t>
      </w:r>
      <w:r>
        <w:t>(ICl</w:t>
      </w:r>
      <w:r>
        <w:rPr>
          <w:vertAlign w:val="subscript"/>
        </w:rPr>
        <w:t>2</w:t>
      </w:r>
      <w:r>
        <w:t>)·Cl (</w:t>
      </w:r>
      <w:r>
        <w:t xml:space="preserve"> </w:t>
      </w:r>
      <w:r>
        <w:t>III</w:t>
      </w:r>
      <w:r>
        <w:t xml:space="preserve"> </w:t>
      </w:r>
      <w:r>
        <w:t>), and (HBrCy)(BrCy)·IBr</w:t>
      </w:r>
      <w:r>
        <w:rPr>
          <w:vertAlign w:val="subscript"/>
        </w:rPr>
        <w:t>2</w:t>
      </w:r>
      <w:r>
        <w:t>(</w:t>
      </w:r>
      <w:r>
        <w:t xml:space="preserve"> </w:t>
      </w:r>
      <w:r>
        <w:t>IV</w:t>
      </w:r>
      <w:r>
        <w:t xml:space="preserve"> </w:t>
      </w:r>
      <w:r>
        <w:t>) and·Br</w:t>
      </w:r>
      <w:r>
        <w:rPr>
          <w:vertAlign w:val="subscript"/>
        </w:rPr>
        <w:t>3</w:t>
      </w:r>
      <w:r>
        <w:t>(</w:t>
      </w:r>
      <w:r>
        <w:t xml:space="preserve"> </w:t>
      </w:r>
      <w:r>
        <w:t>V</w:t>
      </w:r>
      <w:r>
        <w:t xml:space="preserve"> </w:t>
      </w:r>
      <w:r>
        <w:t>).</w:t>
      </w:r>
      <w:r>
        <w:t xml:space="preserve"> </w:t>
      </w:r>
      <w:r>
        <w:t>I</w:t>
      </w:r>
      <w:r>
        <w:t xml:space="preserve"> </w:t>
      </w:r>
      <w:r>
        <w:t>and</w:t>
      </w:r>
      <w:r>
        <w:t xml:space="preserve"> </w:t>
      </w:r>
      <w:r>
        <w:t>II</w:t>
      </w:r>
      <w:r>
        <w:t xml:space="preserve"> </w:t>
      </w:r>
      <w:r>
        <w:t>reach calculated Δ</w:t>
      </w:r>
      <w:r>
        <w:t xml:space="preserve"> </w:t>
      </w:r>
      <w:r>
        <w:t>n</w:t>
      </w:r>
      <w:r>
        <w:t xml:space="preserve"> </w:t>
      </w:r>
      <w:r>
        <w:t>= 1.336 and 1.324 at 546 nm, the highest among all π‐conjugated and inorganic crystals reported, while</w:t>
      </w:r>
      <w:r>
        <w:t xml:space="preserve"> </w:t>
      </w:r>
      <w:r>
        <w:t>V</w:t>
      </w:r>
      <w:r>
        <w:t xml:space="preserve"> </w:t>
      </w:r>
      <w:r>
        <w:t>retains Δ</w:t>
      </w:r>
      <w:r>
        <w:t xml:space="preserve"> </w:t>
      </w:r>
      <w:r>
        <w:t>n</w:t>
      </w:r>
      <w:r>
        <w:t xml:space="preserve"> </w:t>
      </w:r>
      <w:r>
        <w:t>= 1.311 with a widened</w:t>
      </w:r>
      <w:r>
        <w:t xml:space="preserve"> </w:t>
      </w:r>
      <w:r>
        <w:t>E</w:t>
      </w:r>
      <w:r>
        <w:t xml:space="preserve"> </w:t>
      </w:r>
      <w:r>
        <w:t>g</w:t>
      </w:r>
      <w:r>
        <w:t xml:space="preserve"> </w:t>
      </w:r>
      <w:r>
        <w:t>= 2.25 eV, demonstrating that birefringence and transparency can be independently tuned. These results establish geometric precision, rather than π‐system enlargement, as a powerful design route to high‐performance birefringent crystals.</w:t>
      </w:r>
    </w:p>
    <w:p>
      <w:pPr>
        <w:spacing w:before="120" w:after="120"/>
      </w:pPr>
      <w:r>
        <w:rPr>
          <w:sz w:val="18"/>
        </w:rPr>
        <w:t>——————————————————————————————————————————————————————————————————————</w:t>
      </w:r>
    </w:p>
    <w:p>
      <w:pPr>
        <w:spacing w:before="160" w:after="40" w:line="240" w:lineRule="auto"/>
      </w:pPr>
      <w:r>
        <w:rPr>
          <w:b/>
        </w:rPr>
        <w:t xml:space="preserve">[236] </w:t>
      </w:r>
      <w:hyperlink r:id="rId706">
        <w:r>
          <w:rPr>
            <w:color w:val="1155CC"/>
            <w:u w:val="single"/>
          </w:rPr>
          <w:t>介孔反钙钛矿 CuNi3N 用于生物质葡萄糖完全电氧化可持续甲酸电合成</w:t>
        </w:r>
      </w:hyperlink>
    </w:p>
    <w:p>
      <w:pPr>
        <w:spacing w:before="0" w:after="80"/>
      </w:pPr>
      <w:r>
        <w:rPr>
          <w:i/>
          <w:sz w:val="20"/>
        </w:rPr>
        <w:t>EN: Mesoporous Anti‐Perovskite CuNi3N for Sustainable Formate Electrosynthesis from Complete Electrooxidation of Biomass Glucose</w:t>
      </w:r>
    </w:p>
    <w:p>
      <w:pPr>
        <w:spacing w:before="0" w:after="120"/>
      </w:pPr>
      <w:r>
        <w:rPr>
          <w:b/>
        </w:rPr>
        <w:t xml:space="preserve">Source: </w:t>
      </w:r>
      <w:r>
        <w:t>Wiley: Angewandte Chemie International Edition: Table of Contents</w:t>
      </w:r>
      <w:r>
        <w:t xml:space="preserve">    </w:t>
      </w:r>
      <w:r>
        <w:rPr>
          <w:b/>
        </w:rPr>
        <w:t xml:space="preserve">Pub date: </w:t>
      </w:r>
      <w:r>
        <w:t>2026-05-26 16:21:42+00:00</w:t>
      </w:r>
      <w:r>
        <w:t xml:space="preserve">    </w:t>
      </w:r>
      <w:r>
        <w:rPr>
          <w:b/>
        </w:rPr>
        <w:t xml:space="preserve">DOI: </w:t>
      </w:r>
      <w:hyperlink r:id="rId707">
        <w:r>
          <w:rPr>
            <w:color w:val="1155CC"/>
            <w:u w:val="single"/>
          </w:rPr>
          <w:t>10.1002/anie.7507967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葡萄糖氧化反应（GLUOR）提供了一种可持续的途径，可以在环境条件下实现高效的生物质升级循环和合成高价值的化学品。尽管潜力巨大，但同时保持高良率和法拉第效率（FE）仍然是主要挑战。本研究中，介孔反钙钛矿 CuNi</w:t>
      </w:r>
      <w:r>
        <w:rPr>
          <w:vertAlign w:val="subscript"/>
        </w:rPr>
        <w:t>3</w:t>
      </w:r>
      <w:r>
        <w:t>N (m-CuNi</w:t>
      </w:r>
      <w:r>
        <w:rPr>
          <w:vertAlign w:val="subscript"/>
        </w:rPr>
        <w:t>3</w:t>
      </w:r>
      <w:r>
        <w:t>N)被报道为一种新型高性能电催化剂，可实现完整的GLUOR以实现可持续的甲酸电合成。与同类电催化剂相比，m-CuNi</w:t>
      </w:r>
      <w:r>
        <w:rPr>
          <w:vertAlign w:val="subscript"/>
        </w:rPr>
        <w:t>3</w:t>
      </w:r>
      <w:r>
        <w:t>N 为甲酸盐电合成提供了卓越的电催化性能，甲酸盐 FE 高达 92.5%，甲酸盐收率高达 1.93 mmol h</w:t>
      </w:r>
      <w:r>
        <w:t xml:space="preserve"> </w:t>
      </w:r>
      <w:r>
        <w:t>−1</w:t>
      </w:r>
      <w:r>
        <w:t xml:space="preserve"> </w:t>
      </w:r>
      <w:r>
        <w:t>厘米</w:t>
      </w:r>
      <w:r>
        <w:t xml:space="preserve"> </w:t>
      </w:r>
      <w:r>
        <w:t>−2</w:t>
      </w:r>
      <w:r>
        <w:t xml:space="preserve"> </w:t>
      </w:r>
      <w:r>
        <w:t>以及在 1.65 V 下达到 210 小时的出色循环稳定性（相对于可逆氢电极）。多次实验和密度泛函理论计算表明m-CuNi</w:t>
      </w:r>
      <w:r>
        <w:rPr>
          <w:vertAlign w:val="subscript"/>
        </w:rPr>
        <w:t>3</w:t>
      </w:r>
      <w:r>
        <w:t>N遵循间接GLUOR机制，其中Cu诱导Ni的电荷重新分布导致Ni(III)-OOH的快速积累和Ni的高亲核活性</w:t>
      </w:r>
      <w:r>
        <w:t xml:space="preserve"> </w:t>
      </w:r>
      <w:r>
        <w:t>3+</w:t>
      </w:r>
      <w:r>
        <w:t xml:space="preserve"> </w:t>
      </w:r>
      <w:r>
        <w:t>-O-(OH)</w:t>
      </w:r>
      <w:r>
        <w:t xml:space="preserve"> </w:t>
      </w:r>
      <w:r>
        <w:t>广告</w:t>
      </w:r>
      <w:r>
        <w:t xml:space="preserve"> </w:t>
      </w:r>
      <w:r>
        <w:t>中间。这些特性与增强的葡萄糖吸附能力相结合，协同促进 C 的氧化裂解</w:t>
      </w:r>
    </w:p>
    <w:p>
      <w:pPr>
        <w:spacing w:before="0" w:after="200" w:lineRule="auto" w:line="276"/>
      </w:pPr>
      <w:r>
        <w:rPr>
          <w:b/>
        </w:rPr>
        <w:t xml:space="preserve">Abstract (EN): </w:t>
      </w:r>
      <w:r>
        <w:t>Electrocatalytic glucose oxidation reaction (GLUOR) offers a sustainable route to realize efficient biomass upcycling and synthesize highly valuable chemicals under ambient conditions. Despite great potentials, main challenges remain to simultaneously hold high yield rate and Faradaic efficiency (FE). In this study, mesoporous anti‐perovskite CuNi</w:t>
      </w:r>
      <w:r>
        <w:rPr>
          <w:vertAlign w:val="subscript"/>
        </w:rPr>
        <w:t>3</w:t>
      </w:r>
      <w:r>
        <w:t>N (m‐CuNi</w:t>
      </w:r>
      <w:r>
        <w:rPr>
          <w:vertAlign w:val="subscript"/>
        </w:rPr>
        <w:t>3</w:t>
      </w:r>
      <w:r>
        <w:t>N) is reported as a novel high‐performance electrocatalyst to enable complete GLUOR for sustainable formate electrosynthesis. In comparison to counterpart electrocatalysts, m‐CuNi</w:t>
      </w:r>
      <w:r>
        <w:rPr>
          <w:vertAlign w:val="subscript"/>
        </w:rPr>
        <w:t>3</w:t>
      </w:r>
      <w:r>
        <w:t>N delivers remarkable electrocatalytic performance for formate electrosynthesis, with a superior formate FE of 92.5% and an impressive formate yield rate of 1.93 mmol h</w:t>
      </w:r>
      <w:r>
        <w:t xml:space="preserve"> </w:t>
      </w:r>
      <w:r>
        <w:t>−1</w:t>
      </w:r>
      <w:r>
        <w:t xml:space="preserve"> </w:t>
      </w:r>
      <w:r>
        <w:t>cm</w:t>
      </w:r>
      <w:r>
        <w:t xml:space="preserve"> </w:t>
      </w:r>
      <w:r>
        <w:t>−2</w:t>
      </w:r>
      <w:r>
        <w:t xml:space="preserve"> </w:t>
      </w:r>
      <w:r>
        <w:t>as well as excellent cycling stability of reaching 210 h at 1.65 V (vs. the reversible hydrogen electrode). Multiple experiments and density functional theory calculations reveal that m‐CuNi</w:t>
      </w:r>
      <w:r>
        <w:rPr>
          <w:vertAlign w:val="subscript"/>
        </w:rPr>
        <w:t>3</w:t>
      </w:r>
      <w:r>
        <w:t>N follows an indirect GLUOR mechanism, in which Cu‐induced charge redistribution of Ni leads to rapid accumulation of Ni(III)‐OOH and high nucleophilic activity of Ni</w:t>
      </w:r>
      <w:r>
        <w:t xml:space="preserve"> </w:t>
      </w:r>
      <w:r>
        <w:t>3+</w:t>
      </w:r>
      <w:r>
        <w:t xml:space="preserve"> </w:t>
      </w:r>
      <w:r>
        <w:t>‐O‐(OH)</w:t>
      </w:r>
      <w:r>
        <w:t xml:space="preserve"> </w:t>
      </w:r>
      <w:r>
        <w:t>ads</w:t>
      </w:r>
      <w:r>
        <w:t xml:space="preserve"> </w:t>
      </w:r>
      <w:r>
        <w:t>intermediate. These features, combined with enhanced glucose adsorption ability, synergistically promote the oxidation cleavage of C─C bonds and thus maximize selective formate electrosynthesis. More impressively, this route is electrocatalytically available for upcycling of the most common macromolecular biomass of starch wastes into valuable potassium formate, highlighting high economic feasibility and market potential in industry.</w:t>
      </w:r>
    </w:p>
    <w:p>
      <w:pPr>
        <w:spacing w:before="120" w:after="120"/>
      </w:pPr>
      <w:r>
        <w:rPr>
          <w:sz w:val="18"/>
        </w:rPr>
        <w:t>——————————————————————————————————————————————————————————————————————</w:t>
      </w:r>
    </w:p>
    <w:p>
      <w:pPr>
        <w:spacing w:before="160" w:after="40" w:line="240" w:lineRule="auto"/>
      </w:pPr>
      <w:r>
        <w:rPr>
          <w:b/>
        </w:rPr>
        <w:t xml:space="preserve">[237] </w:t>
      </w:r>
      <w:hyperlink r:id="rId708">
        <w:r>
          <w:rPr>
            <w:color w:val="1155CC"/>
            <w:u w:val="single"/>
          </w:rPr>
          <w:t>用于氟醛不对称炔基化的钌-(Ph-BPE)催化剂：从 12 个 Fluxional Steeogenic-at-Ruthenium 配合物中的 1 个进行对映选择</w:t>
        </w:r>
      </w:hyperlink>
    </w:p>
    <w:p>
      <w:pPr>
        <w:spacing w:before="0" w:after="80"/>
      </w:pPr>
      <w:r>
        <w:rPr>
          <w:i/>
          <w:sz w:val="20"/>
        </w:rPr>
        <w:t>EN: A Ruthenium‐(Ph‐BPE) Catalyst for Asymmetric Alkynylation of Fluoral: Enantioselection From 1 of 12 Fluxional Stereogenic‐at‐Ruthenium Complexes</w:t>
      </w:r>
    </w:p>
    <w:p>
      <w:pPr>
        <w:spacing w:before="0" w:after="120"/>
      </w:pPr>
      <w:r>
        <w:rPr>
          <w:b/>
        </w:rPr>
        <w:t xml:space="preserve">Source: </w:t>
      </w:r>
      <w:r>
        <w:t>Wiley: Angewandte Chemie International Edition: Table of Contents</w:t>
      </w:r>
      <w:r>
        <w:t xml:space="preserve">    </w:t>
      </w:r>
      <w:r>
        <w:rPr>
          <w:b/>
        </w:rPr>
        <w:t xml:space="preserve">Pub date: </w:t>
      </w:r>
      <w:r>
        <w:t>2026-05-26 16:25:14+00:00</w:t>
      </w:r>
      <w:r>
        <w:t xml:space="preserve">    </w:t>
      </w:r>
      <w:r>
        <w:rPr>
          <w:b/>
        </w:rPr>
        <w:t xml:space="preserve">DOI: </w:t>
      </w:r>
      <w:hyperlink r:id="rId709">
        <w:r>
          <w:rPr>
            <w:color w:val="1155CC"/>
            <w:u w:val="single"/>
          </w:rPr>
          <w:t>10.1002/anie.9580914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一种源自 RuHCl(CO)(PPh) 的碘化物结合钌催化剂</w:t>
      </w:r>
      <w:r>
        <w:rPr>
          <w:vertAlign w:val="subscript"/>
        </w:rPr>
        <w:t>3</w:t>
      </w:r>
      <w:r>
        <w:t>）</w:t>
      </w:r>
      <w:r>
        <w:rPr>
          <w:vertAlign w:val="subscript"/>
        </w:rPr>
        <w:t>3</w:t>
      </w:r>
      <w:r>
        <w:t>和（</w:t>
      </w:r>
      <w:r>
        <w:t xml:space="preserve"> </w:t>
      </w:r>
      <w:r>
        <w:t>S,S</w:t>
      </w:r>
      <w:r>
        <w:t xml:space="preserve"> </w:t>
      </w:r>
      <w:r>
        <w:t>)-Ph-BPE 催化末端炔烃的高度对映选择性炔基化</w:t>
      </w:r>
      <w:r>
        <w:t xml:space="preserve"> </w:t>
      </w:r>
      <w:r>
        <w:t>1a</w:t>
      </w:r>
      <w:r>
        <w:t xml:space="preserve"> </w:t>
      </w:r>
      <w:r>
        <w:t>–</w:t>
      </w:r>
      <w:r>
        <w:t xml:space="preserve"> </w:t>
      </w:r>
      <w:r>
        <w:t>1年</w:t>
      </w:r>
      <w:r>
        <w:t xml:space="preserve"> </w:t>
      </w:r>
      <w:r>
        <w:t>与水合氟</w:t>
      </w:r>
      <w:r>
        <w:t xml:space="preserve"> </w:t>
      </w:r>
      <w:r>
        <w:t>2a</w:t>
      </w:r>
      <w:r>
        <w:t xml:space="preserve"> </w:t>
      </w:r>
      <w:r>
        <w:t>以及相关的α,α-二氟醛</w:t>
      </w:r>
      <w:r>
        <w:t xml:space="preserve"> </w:t>
      </w:r>
      <w:r>
        <w:t>4a</w:t>
      </w:r>
      <w:r>
        <w:t xml:space="preserve"> </w:t>
      </w:r>
      <w:r>
        <w:t>–</w:t>
      </w:r>
      <w:r>
        <w:t xml:space="preserve"> </w:t>
      </w:r>
      <w:r>
        <w:t>4f</w:t>
      </w:r>
      <w:r>
        <w:t xml:space="preserve"> </w:t>
      </w:r>
      <w:r>
        <w:t>。钌-(Ph-BPE)-催化剂具有耐空气性和耐水性，可以在没有外源碱的情况下运行，并且在芳香醛存在下对氟化醛的炔基化具有化学选择性。对与氟醛结合的 12 种可能的立体异构金属钌-(Ph-BPE)乙炔络合物的计算表明，12 种八面体络合物中的 2 种构成了玻尔兹曼群的 99.9%，然而，在 Curtin-Hammett 型场景中，这两种非对映体中稳定性较差的一种主导了羰基加成的动力学。在氟加成的过渡态中，对碘化物和氯化物的甲酰基氢键进行模糊键序（FBO）分析，结果表明，由于碘化物的尺寸更大和极化性更大，C-H…I氢键更强，这在一定程度上解释了碘化物键合催化剂的对映选择性增强。</w:t>
      </w:r>
    </w:p>
    <w:p>
      <w:pPr>
        <w:spacing w:before="0" w:after="200" w:lineRule="auto" w:line="276"/>
      </w:pPr>
      <w:r>
        <w:rPr>
          <w:b/>
        </w:rPr>
        <w:t xml:space="preserve">Abstract (EN): </w:t>
      </w:r>
      <w:r>
        <w:t>An iodide‐bound ruthenium catalyst derived from RuHCl(CO)(PPh</w:t>
      </w:r>
      <w:r>
        <w:rPr>
          <w:vertAlign w:val="subscript"/>
        </w:rPr>
        <w:t>3</w:t>
      </w:r>
      <w:r>
        <w:t>)</w:t>
      </w:r>
      <w:r>
        <w:rPr>
          <w:vertAlign w:val="subscript"/>
        </w:rPr>
        <w:t>3</w:t>
      </w:r>
      <w:r>
        <w:t>and (</w:t>
      </w:r>
      <w:r>
        <w:t xml:space="preserve"> </w:t>
      </w:r>
      <w:r>
        <w:t>S,S</w:t>
      </w:r>
      <w:r>
        <w:t xml:space="preserve"> </w:t>
      </w:r>
      <w:r>
        <w:t>)‐Ph‐BPE catalyzes highly enantioselective alkynylations of terminal alkynes</w:t>
      </w:r>
      <w:r>
        <w:t xml:space="preserve"> </w:t>
      </w:r>
      <w:r>
        <w:t>1a</w:t>
      </w:r>
      <w:r>
        <w:t xml:space="preserve"> </w:t>
      </w:r>
      <w:r>
        <w:t>–</w:t>
      </w:r>
      <w:r>
        <w:t xml:space="preserve"> </w:t>
      </w:r>
      <w:r>
        <w:t>1y</w:t>
      </w:r>
      <w:r>
        <w:t xml:space="preserve"> </w:t>
      </w:r>
      <w:r>
        <w:t>with fluoral hydrate</w:t>
      </w:r>
      <w:r>
        <w:t xml:space="preserve"> </w:t>
      </w:r>
      <w:r>
        <w:t>2a</w:t>
      </w:r>
      <w:r>
        <w:t xml:space="preserve"> </w:t>
      </w:r>
      <w:r>
        <w:t>and related α,α‐difluoro‐aldehydes</w:t>
      </w:r>
      <w:r>
        <w:t xml:space="preserve"> </w:t>
      </w:r>
      <w:r>
        <w:t>4a</w:t>
      </w:r>
      <w:r>
        <w:t xml:space="preserve"> </w:t>
      </w:r>
      <w:r>
        <w:t>–</w:t>
      </w:r>
      <w:r>
        <w:t xml:space="preserve"> </w:t>
      </w:r>
      <w:r>
        <w:t>4f</w:t>
      </w:r>
      <w:r>
        <w:t xml:space="preserve"> </w:t>
      </w:r>
      <w:r>
        <w:t>. The ruthenium‐(Ph‐BPE)‐catalyst is air‐ and water‐tolerant, operates in the absence of exogenous base, and is chemoselective for alkynylation of fluorinated aldehydes in the presence of aromatic aldehydes. Calculations of the 12 possible stereogenic‐at‐metal ruthenium‐(Ph‐BPE) acetylide complexes bound by fluoral reveal that 2 of the 12 octahedral complexes comprise 99.9% of the Boltzmann population, yet, in a Curtin‐Hammett‐type scenario, the less stable of these two diastereomers dominates the kinetics of carbonyl addition. Fuzzy bond order (FBO) analysis of formyl‐hydrogen bonds to iodide versus chloride in the transition states for fluoral addition reveals that the C–H···I hydrogen bonds are stronger due to iodide's greater size and polarizability, which, in part, accounts for the enhanced enantioselectivities of the iodide‐bound catalyst.</w:t>
      </w:r>
    </w:p>
    <w:p>
      <w:pPr>
        <w:spacing w:before="120" w:after="120"/>
      </w:pPr>
      <w:r>
        <w:rPr>
          <w:sz w:val="18"/>
        </w:rPr>
        <w:t>——————————————————————————————————————————————————————————————————————</w:t>
      </w:r>
    </w:p>
    <w:p>
      <w:pPr>
        <w:spacing w:before="160" w:after="40" w:line="240" w:lineRule="auto"/>
      </w:pPr>
      <w:r>
        <w:rPr>
          <w:b/>
        </w:rPr>
        <w:t xml:space="preserve">[238] </w:t>
      </w:r>
      <w:hyperlink r:id="rId710">
        <w:r>
          <w:rPr>
            <w:color w:val="1155CC"/>
            <w:u w:val="single"/>
          </w:rPr>
          <w:t>疏水标签降解剂通过招募 HSP27 介导的 E3 连接酶复合物进行 ERα 蛋白酶体降解来克服内分泌耐药性乳腺癌</w:t>
        </w:r>
      </w:hyperlink>
    </w:p>
    <w:p>
      <w:pPr>
        <w:spacing w:before="0" w:after="80"/>
      </w:pPr>
      <w:r>
        <w:rPr>
          <w:i/>
          <w:sz w:val="20"/>
        </w:rPr>
        <w:t>EN: Hydrophobic Tag Degraders Overcome Endocrine‐Resistant Breast Cancer by Recruiting HSP27‐Mediated E3 Ligase Complex for ERα Proteasomal Degradation</w:t>
      </w:r>
    </w:p>
    <w:p>
      <w:pPr>
        <w:spacing w:before="0" w:after="120"/>
      </w:pPr>
      <w:r>
        <w:rPr>
          <w:b/>
        </w:rPr>
        <w:t xml:space="preserve">Source: </w:t>
      </w:r>
      <w:r>
        <w:t>Wiley: Angewandte Chemie International Edition: Table of Contents</w:t>
      </w:r>
      <w:r>
        <w:t xml:space="preserve">    </w:t>
      </w:r>
      <w:r>
        <w:rPr>
          <w:b/>
        </w:rPr>
        <w:t xml:space="preserve">Pub date: </w:t>
      </w:r>
      <w:r>
        <w:t>2026-05-26 16:26:49+00:00</w:t>
      </w:r>
      <w:r>
        <w:t xml:space="preserve">    </w:t>
      </w:r>
      <w:r>
        <w:rPr>
          <w:b/>
        </w:rPr>
        <w:t xml:space="preserve">DOI: </w:t>
      </w:r>
      <w:hyperlink r:id="rId711">
        <w:r>
          <w:rPr>
            <w:color w:val="1155CC"/>
            <w:u w:val="single"/>
          </w:rPr>
          <w:t>10.1002/anie.202525741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疏水标签（HyT）介导的蛋白质降解已成为靶向蛋白质降解（TPD）的关键工具，但其潜在的降解机制仍未完全阐明。在此，我们通过不同长度的烷烃连接体将疏水性氨基酸标签与 ERα 靶向配体共价结合，设计了结构优化的基于 HyT 的降解剂，从而识别了先导化合物</w:t>
      </w:r>
      <w:r>
        <w:t xml:space="preserve"> </w:t>
      </w:r>
      <w:r>
        <w:t>VI-10小时</w:t>
      </w:r>
      <w:r>
        <w:t xml:space="preserve"> </w:t>
      </w:r>
      <w:r>
        <w:t>。</w:t>
      </w:r>
      <w:r>
        <w:t xml:space="preserve"> </w:t>
      </w:r>
      <w:r>
        <w:t>VI-10小时</w:t>
      </w:r>
      <w:r>
        <w:t xml:space="preserve"> </w:t>
      </w:r>
      <w:r>
        <w:t>在内分泌耐药乳腺癌细胞（LCC2、MCF-7</w:t>
      </w:r>
      <w:r>
        <w:t xml:space="preserve"> </w:t>
      </w:r>
      <w:r>
        <w:t>D538G</w:t>
      </w:r>
      <w:r>
        <w:t xml:space="preserve"> </w:t>
      </w:r>
      <w:r>
        <w:t>,MCF-7</w:t>
      </w:r>
      <w:r>
        <w:t xml:space="preserve"> </w:t>
      </w:r>
      <w:r>
        <w:t>Y537S</w:t>
      </w:r>
      <w:r>
        <w:t xml:space="preserve"> </w:t>
      </w:r>
      <w:r>
        <w:t>，和MCF-7</w:t>
      </w:r>
      <w:r>
        <w:t xml:space="preserve"> </w:t>
      </w:r>
      <w:r>
        <w:t>表皮生长因子受体</w:t>
      </w:r>
      <w:r>
        <w:t xml:space="preserve"> </w:t>
      </w:r>
      <w:r>
        <w:t>）和比临床药物氟维司群（氟维司群）更优越的抗肿瘤活性（</w:t>
      </w:r>
      <w:r>
        <w:t xml:space="preserve"> </w:t>
      </w:r>
      <w:r>
        <w:t>富尔</w:t>
      </w:r>
      <w:r>
        <w:t xml:space="preserve"> </w:t>
      </w:r>
      <w:r>
        <w:t>）在 MCF-7 和他莫昔芬耐药的 LCC2 异种移植模型中。为了阐明 HyT 介导的降解机制，我们合成了生物素缀合的 HyT（</w:t>
      </w:r>
      <w:r>
        <w:t xml:space="preserve"> </w:t>
      </w:r>
      <w:r>
        <w:t>生物素-赖氨酸</w:t>
      </w:r>
      <w:r>
        <w:t xml:space="preserve"> </w:t>
      </w:r>
      <w:r>
        <w:t>和</w:t>
      </w:r>
      <w:r>
        <w:t xml:space="preserve"> </w:t>
      </w:r>
      <w:r>
        <w:t>生物素-色氨酸</w:t>
      </w:r>
      <w:r>
        <w:t xml:space="preserve"> </w:t>
      </w:r>
      <w:r>
        <w:t>）并结合质谱进行下拉分析。我们的结果表明</w:t>
      </w:r>
      <w:r>
        <w:t xml:space="preserve"> </w:t>
      </w:r>
      <w:r>
        <w:t>VI-10小时</w:t>
      </w:r>
      <w:r>
        <w:t xml:space="preserve"> </w:t>
      </w:r>
      <w:r>
        <w:t>选择性招募热休克蛋白 27 (HSP27) 作为非经典 E3 连接酶接头蛋白，形成 ERα-HSP27-RING1 三元复合物以促进 ERα 降解，破坏雌激素依赖性致癌网络，并规避耐药性</w:t>
      </w:r>
    </w:p>
    <w:p>
      <w:pPr>
        <w:spacing w:before="0" w:after="200" w:lineRule="auto" w:line="276"/>
      </w:pPr>
      <w:r>
        <w:rPr>
          <w:b/>
        </w:rPr>
        <w:t xml:space="preserve">Abstract (EN): </w:t>
      </w:r>
      <w:r>
        <w:t>Hydrophobic tag (HyT)‐mediated protein degradation has emerged as a pivotal tool for targeted protein degradation (TPD), yet its underlying degradation mechanism remains incompletely elucidated. Herein, we designed structurally optimized HyT‐based degraders by covalently conjugating hydrophobic amino acid tags to ERα‐targeting ligands via alkane linkers of varying lengths, identifying the lead compound</w:t>
      </w:r>
      <w:r>
        <w:t xml:space="preserve"> </w:t>
      </w:r>
      <w:r>
        <w:t>VI‐10h</w:t>
      </w:r>
      <w:r>
        <w:t xml:space="preserve"> </w:t>
      </w:r>
      <w:r>
        <w:t>.</w:t>
      </w:r>
      <w:r>
        <w:t xml:space="preserve"> </w:t>
      </w:r>
      <w:r>
        <w:t>VI‐10h</w:t>
      </w:r>
      <w:r>
        <w:t xml:space="preserve"> </w:t>
      </w:r>
      <w:r>
        <w:t>exhibited potent antiproliferative activity and efficient ERα degradation in endocrine‐resistant breast cancer cells (LCC2, MCF‐7</w:t>
      </w:r>
      <w:r>
        <w:t xml:space="preserve"> </w:t>
      </w:r>
      <w:r>
        <w:t>D538G</w:t>
      </w:r>
      <w:r>
        <w:t xml:space="preserve"> </w:t>
      </w:r>
      <w:r>
        <w:t>, MCF‐7</w:t>
      </w:r>
      <w:r>
        <w:t xml:space="preserve"> </w:t>
      </w:r>
      <w:r>
        <w:t>Y537S</w:t>
      </w:r>
      <w:r>
        <w:t xml:space="preserve"> </w:t>
      </w:r>
      <w:r>
        <w:t>, and MCF‐7</w:t>
      </w:r>
      <w:r>
        <w:t xml:space="preserve"> </w:t>
      </w:r>
      <w:r>
        <w:t>EGFR</w:t>
      </w:r>
      <w:r>
        <w:t xml:space="preserve"> </w:t>
      </w:r>
      <w:r>
        <w:t>) and superior antitumor activity compared to the clinical drug fulvestrant (</w:t>
      </w:r>
      <w:r>
        <w:t xml:space="preserve"> </w:t>
      </w:r>
      <w:r>
        <w:t>Ful</w:t>
      </w:r>
      <w:r>
        <w:t xml:space="preserve"> </w:t>
      </w:r>
      <w:r>
        <w:t>) in MCF‐7 and tamoxifen‐resistant LCC2 xenograft models. To elucidate the HyT‐mediated degradation mechanism, we synthesized biotin‐conjugated HyTs (</w:t>
      </w:r>
      <w:r>
        <w:t xml:space="preserve"> </w:t>
      </w:r>
      <w:r>
        <w:t>biotin‐Lys</w:t>
      </w:r>
      <w:r>
        <w:t xml:space="preserve"> </w:t>
      </w:r>
      <w:r>
        <w:t>and</w:t>
      </w:r>
      <w:r>
        <w:t xml:space="preserve"> </w:t>
      </w:r>
      <w:r>
        <w:t>biotin‐Trp</w:t>
      </w:r>
      <w:r>
        <w:t xml:space="preserve"> </w:t>
      </w:r>
      <w:r>
        <w:t>) and performed pull‐down assays combined with mass spectrometry. Our results unveiled that</w:t>
      </w:r>
      <w:r>
        <w:t xml:space="preserve"> </w:t>
      </w:r>
      <w:r>
        <w:t>VI‐10h</w:t>
      </w:r>
      <w:r>
        <w:t xml:space="preserve"> </w:t>
      </w:r>
      <w:r>
        <w:t>selectively recruits heat shock protein 27 (HSP27) as a non‐canonical E3 ligase adaptor protein, forms an ERα–HSP27–RING1 ternary complex to promote ERα degradation, disrupts estrogen‐dependent oncogenic networks, and circumvents the drug resistance associated with conventional CRBN‐ or VHL‐dependent E3 ligase‐recruiting degraders. This study clarifies a HyT‐mediated ERα degradation mechanism and supports the feasibility of using HyT degraders to overcome resistance to conventional E3 ligase‐recruiting strategies and endocrine‐resistant breast cancer, thereby establishing a molecular design strategy for next‐generation targeted degraders.</w:t>
      </w:r>
    </w:p>
    <w:p>
      <w:pPr>
        <w:spacing w:before="120" w:after="120"/>
      </w:pPr>
      <w:r>
        <w:rPr>
          <w:sz w:val="18"/>
        </w:rPr>
        <w:t>——————————————————————————————————————————————————————————————————————</w:t>
      </w:r>
    </w:p>
    <w:p>
      <w:pPr>
        <w:spacing w:before="160" w:after="40" w:line="240" w:lineRule="auto"/>
      </w:pPr>
      <w:r>
        <w:rPr>
          <w:b/>
        </w:rPr>
        <w:t xml:space="preserve">[239] </w:t>
      </w:r>
      <w:hyperlink r:id="rId712">
        <w:r>
          <w:rPr>
            <w:color w:val="1155CC"/>
            <w:u w:val="single"/>
          </w:rPr>
          <w:t>本质上无序的单链蛋白质拓扑的酶促编码</w:t>
        </w:r>
      </w:hyperlink>
    </w:p>
    <w:p>
      <w:pPr>
        <w:spacing w:before="0" w:after="80"/>
      </w:pPr>
      <w:r>
        <w:rPr>
          <w:i/>
          <w:sz w:val="20"/>
        </w:rPr>
        <w:t>EN: Enzymatic Encoding of Topology in an Intrinsically Disordered Single‐Chain Protein</w:t>
      </w:r>
    </w:p>
    <w:p>
      <w:pPr>
        <w:spacing w:before="0" w:after="120"/>
      </w:pPr>
      <w:r>
        <w:rPr>
          <w:b/>
        </w:rPr>
        <w:t xml:space="preserve">Source: </w:t>
      </w:r>
      <w:r>
        <w:t>Wiley: Angewandte Chemie International Edition: Table of Contents</w:t>
      </w:r>
      <w:r>
        <w:t xml:space="preserve">    </w:t>
      </w:r>
      <w:r>
        <w:rPr>
          <w:b/>
        </w:rPr>
        <w:t xml:space="preserve">Pub date: </w:t>
      </w:r>
      <w:r>
        <w:t>2026-05-26 16:27:37+00:00</w:t>
      </w:r>
      <w:r>
        <w:t xml:space="preserve">    </w:t>
      </w:r>
      <w:r>
        <w:rPr>
          <w:b/>
        </w:rPr>
        <w:t xml:space="preserve">DOI: </w:t>
      </w:r>
      <w:hyperlink r:id="rId713">
        <w:r>
          <w:rPr>
            <w:color w:val="1155CC"/>
            <w:u w:val="single"/>
          </w:rPr>
          <w:t>10.1002/anie.3738676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控制单链纳米粒子（SCNP）的三维拓扑仍然是聚合物和蛋白质化学中的一个核心挑战，特别是对于缺乏明确二级结构的本质无序系统。在这里，我们证明选择性酶促分子内交联可以编码本质上无序的蛋白质（IDP）中的拓扑偏向相互作用，产生具有可重复空腔结构的紧凑 SCNP。使用富含 β-酪蛋白的酪蛋白酸钠 (βNaCn) 作为牛 β-酪蛋白 (β-Cn) 的模型替代物，微生物转谷氨酰胺酶 (mTGase) 引入稀疏的、序列解析的谷氨酰胺-赖氨酸异肽键，驱动可重复的链折叠，而不诱导二级结构。通过具有五重检测的尺寸排阻色谱 (SEC-D5)、交联质谱 (XL-MS)、分子动力学 (MD) 模拟以及 SEC 与同步加速器小角 X 射线散射 (SEC-SAXS) 结合进行的分析，汇聚揭示了稳定、紧凑、疏水核心与灵活、无序环相结合的拓扑结构。使用尼罗红 (NR) 荧光和 SEC-SAXS 探测这些空腔，它们在 NR 捕获后通过客体诱导的密度重新分布共同提供拓扑信息。这项工作建立了稀疏酶约束安装，结合残基解析交联映射和正交结构分析，可以编码和验证无序单链中的拓扑结构，从而将类 IDP 共价折叠与 SCNP 设计在概念上直接连续。</w:t>
      </w:r>
    </w:p>
    <w:p>
      <w:pPr>
        <w:spacing w:before="0" w:after="200" w:lineRule="auto" w:line="276"/>
      </w:pPr>
      <w:r>
        <w:rPr>
          <w:b/>
        </w:rPr>
        <w:t xml:space="preserve">Abstract (EN): </w:t>
      </w:r>
      <w:r>
        <w:t>Controlling the three‐dimensional topology of single‐chain nanoparticles (SCNPs) remains a central challenge in polymer and protein chemistry, particularly for intrinsically disordered systems lacking defined secondary structure. Here, we demonstrate that selective enzymatic intramolecular cross‐linking can encode topologically biased interactions in an intrinsically disordered protein (IDP), yielding compact SCNPs with reproducible cavity architecture. Using β‐casein‐rich sodium caseinate (βNaCn) as a model surrogate for bovine β‐casein (β‐Cn), microbial transglutaminase (mTGase) introduces sparse, sequence‐resolved glutamine‐lysine isopeptide bonds that drive reproducible chain collapse without inducing secondary structure. Analyses by size exclusion chromatography with quintuple detection (SEC‐D5), cross‐linking mass spectrometry (XL‐MS), molecular dynamics (MD) simulations, and SEC coupled to synchrotron small‐angle x‐ray scattering (SEC‐SAXS) converge to reveal a topology combining a stable, compact, hydrophobic core with flexible, disordered loops. These cavities are probed using Nile red (NR) fluorescence and SEC‐SAXS, which together provide topology information via guest‐induced density redistribution after NR capture. This work establishes that sparse enzymatic constraint installation, combined with residue‐resolved cross‐link mapping and orthogonal structural analysis, can encode and validate topology in a disordered single chain, thereby placing IDP‐like covalent folding in direct conceptual continuity with SCNP design.</w:t>
      </w:r>
    </w:p>
    <w:p>
      <w:pPr>
        <w:spacing w:before="120" w:after="120"/>
      </w:pPr>
      <w:r>
        <w:rPr>
          <w:sz w:val="18"/>
        </w:rPr>
        <w:t>——————————————————————————————————————————————————————————————————————</w:t>
      </w:r>
    </w:p>
    <w:p>
      <w:pPr>
        <w:spacing w:before="160" w:after="40" w:line="240" w:lineRule="auto"/>
      </w:pPr>
      <w:r>
        <w:rPr>
          <w:b/>
        </w:rPr>
        <w:t xml:space="preserve">[240] </w:t>
      </w:r>
      <w:hyperlink r:id="rId714">
        <w:r>
          <w:rPr>
            <w:color w:val="1155CC"/>
            <w:u w:val="single"/>
          </w:rPr>
          <w:t>光催化甲烷氧化生成羰基产物</w:t>
        </w:r>
      </w:hyperlink>
    </w:p>
    <w:p>
      <w:pPr>
        <w:spacing w:before="0" w:after="80"/>
      </w:pPr>
      <w:r>
        <w:rPr>
          <w:i/>
          <w:sz w:val="20"/>
        </w:rPr>
        <w:t>EN: Photocatalytic Methane Oxidation to Carbonyl Products</w:t>
      </w:r>
    </w:p>
    <w:p>
      <w:pPr>
        <w:spacing w:before="0" w:after="120"/>
      </w:pPr>
      <w:r>
        <w:rPr>
          <w:b/>
        </w:rPr>
        <w:t xml:space="preserve">Source: </w:t>
      </w:r>
      <w:r>
        <w:t>Wiley: Angewandte Chemie International Edition: Table of Contents</w:t>
      </w:r>
      <w:r>
        <w:t xml:space="preserve">    </w:t>
      </w:r>
      <w:r>
        <w:rPr>
          <w:b/>
        </w:rPr>
        <w:t xml:space="preserve">Pub date: </w:t>
      </w:r>
      <w:r>
        <w:t>2026-05-26 16:28:17+00:00</w:t>
      </w:r>
      <w:r>
        <w:t xml:space="preserve">    </w:t>
      </w:r>
      <w:r>
        <w:rPr>
          <w:b/>
        </w:rPr>
        <w:t xml:space="preserve">DOI: </w:t>
      </w:r>
      <w:hyperlink r:id="rId715">
        <w:r>
          <w:rPr>
            <w:color w:val="1155CC"/>
            <w:u w:val="single"/>
          </w:rPr>
          <w:t>10.1002/anie.8791328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甲烷直接光催化氧化（CH</w:t>
      </w:r>
      <w:r>
        <w:rPr>
          <w:vertAlign w:val="subscript"/>
        </w:rPr>
        <w:t>4</w:t>
      </w:r>
      <w:r>
        <w:t>）到增值的羰基化合物，例如甲醛（HCHO）、甲酸（HCOOH）、乙醛（CH</w:t>
      </w:r>
      <w:r>
        <w:rPr>
          <w:vertAlign w:val="subscript"/>
        </w:rPr>
        <w:t>3</w:t>
      </w:r>
      <w:r>
        <w:t>CHO) 和乙酸 (CH</w:t>
      </w:r>
      <w:r>
        <w:rPr>
          <w:vertAlign w:val="subscript"/>
        </w:rPr>
        <w:t>3</w:t>
      </w:r>
      <w:r>
        <w:t>COOH）代表了一种有吸引力且有前途的替代方案，可以替代传统的合成气间接路线，而传统的合成气间接路线存在高能耗和碳排放问题。通过在温和条件下利用光能激活C─H键，光催化有效地防止目标化合物的过度氧化，从而缓解了长期以来热力学约束所带来的活性和选择性之间的权衡问题。深入理解光催化CH的反应机理</w:t>
      </w:r>
      <w:r>
        <w:rPr>
          <w:vertAlign w:val="subscript"/>
        </w:rPr>
        <w:t>4</w:t>
      </w:r>
      <w:r>
        <w:t>因此，转化为羰基化合物是设计高性能光催化系统的先决条件；然而，迄今为止这个话题仍未得到探索。在这篇综述中，我们系统地讨论了 CH 的多种反应途径</w:t>
      </w:r>
      <w:r>
        <w:rPr>
          <w:vertAlign w:val="subscript"/>
        </w:rPr>
        <w:t>4</w:t>
      </w:r>
      <w:r>
        <w:t>对 C1 和 C2 羰基化合物进行了研究，并总结了用于机理研究的综合工具箱，包括基本表征、原位光谱、必要的控制实验、探测和捕获实验、同位素标记和理论计算。然后，我们评估催化系统的最新进展，并确定控制羰基形成、选择性和生产率的关键因素。</w:t>
      </w:r>
    </w:p>
    <w:p>
      <w:pPr>
        <w:spacing w:before="0" w:after="200" w:lineRule="auto" w:line="276"/>
      </w:pPr>
      <w:r>
        <w:rPr>
          <w:b/>
        </w:rPr>
        <w:t xml:space="preserve">Abstract (EN): </w:t>
      </w:r>
      <w:r>
        <w:t>Direct photocatalytic oxidation of methane (CH</w:t>
      </w:r>
      <w:r>
        <w:rPr>
          <w:vertAlign w:val="subscript"/>
        </w:rPr>
        <w:t>4</w:t>
      </w:r>
      <w:r>
        <w:t>) to value‐added carbonyl compounds, such as formaldehyde (HCHO), formic acid (HCOOH), acetaldehyde (CH</w:t>
      </w:r>
      <w:r>
        <w:rPr>
          <w:vertAlign w:val="subscript"/>
        </w:rPr>
        <w:t>3</w:t>
      </w:r>
      <w:r>
        <w:t>CHO), and acetic acid (CH</w:t>
      </w:r>
      <w:r>
        <w:rPr>
          <w:vertAlign w:val="subscript"/>
        </w:rPr>
        <w:t>3</w:t>
      </w:r>
      <w:r>
        <w:t>COOH), represents an attractive and promising alternative to conventional indirect routes via syngas, which suffer from high energy consumption and carbon emissions. By utilizing light energy to activate the C─H bond under mild conditions, photocatalysis effectively prevents the overoxidation of the target compound, thereby alleviating the long‐standing trade‐off between activity and selectivity imposed by thermodynamic constraints. A deep understanding of the reaction mechanism underlying photocatalytic CH</w:t>
      </w:r>
      <w:r>
        <w:rPr>
          <w:vertAlign w:val="subscript"/>
        </w:rPr>
        <w:t>4</w:t>
      </w:r>
      <w:r>
        <w:t>conversion to carbonyl compounds is therefore a prerequisite for designing high‐performance photocatalytic systems; yet, this topic remains unexplored to date. In this review, we systematically discuss diverse reaction pathways from CH</w:t>
      </w:r>
      <w:r>
        <w:rPr>
          <w:vertAlign w:val="subscript"/>
        </w:rPr>
        <w:t>4</w:t>
      </w:r>
      <w:r>
        <w:t>to C1 and C2 carbonyl compounds and summarize a comprehensive toolbox for mechanistic investigation, including basic characterizations, in situ spectroscopies, necessary control experiments, probing and trapping experiments, isotope labelling, and theoretical calculations. We then assess recent advances in catalytic systems and identify the key factors governing carbonyl formation, selectivity, and productivity. Finally, we highlight the central challenges that remain for practical implementation, particularly regarding catalyst performance, rational reaction system design, efficient product separation, and possible cascade reactions.</w:t>
      </w:r>
    </w:p>
    <w:p>
      <w:pPr>
        <w:spacing w:before="120" w:after="120"/>
      </w:pPr>
      <w:r>
        <w:rPr>
          <w:sz w:val="18"/>
        </w:rPr>
        <w:t>——————————————————————————————————————————————————————————————————————</w:t>
      </w:r>
    </w:p>
    <w:p>
      <w:pPr>
        <w:spacing w:before="160" w:after="40" w:line="240" w:lineRule="auto"/>
      </w:pPr>
      <w:r>
        <w:rPr>
          <w:b/>
        </w:rPr>
        <w:t xml:space="preserve">[241] </w:t>
      </w:r>
      <w:hyperlink r:id="rId716">
        <w:r>
          <w:rPr>
            <w:color w:val="1155CC"/>
            <w:u w:val="single"/>
          </w:rPr>
          <w:t>[ASAP] 通过中心特定手性利用卡宾铜酰胺中的强手性光学非线性：放大不对称性的方法</w:t>
        </w:r>
      </w:hyperlink>
    </w:p>
    <w:p>
      <w:pPr>
        <w:spacing w:before="0" w:after="80"/>
      </w:pPr>
      <w:r>
        <w:rPr>
          <w:i/>
          <w:sz w:val="20"/>
        </w:rPr>
        <w:t>EN: [ASAP] Harnessing Strong Chiroptical Nonlinearity in Carbene-Copper-Amides through Center-Specific Chirality: An Approach to Amplified Dissymmetry</w:t>
      </w:r>
    </w:p>
    <w:p>
      <w:pPr>
        <w:spacing w:before="0" w:after="120"/>
      </w:pPr>
      <w:r>
        <w:rPr>
          <w:b/>
        </w:rPr>
        <w:t xml:space="preserve">Source: </w:t>
      </w:r>
      <w:r>
        <w:t>Journal of the American Chemical Society: Latest Articles (ACS Publications)</w:t>
      </w:r>
      <w:r>
        <w:t xml:space="preserve">    </w:t>
      </w:r>
      <w:r>
        <w:rPr>
          <w:b/>
        </w:rPr>
        <w:t xml:space="preserve">Pub date: </w:t>
      </w:r>
      <w:r>
        <w:t>2026-05-26 16:30:06+00:00</w:t>
      </w:r>
      <w:r>
        <w:t xml:space="preserve">    </w:t>
      </w:r>
      <w:r>
        <w:rPr>
          <w:b/>
        </w:rPr>
        <w:t xml:space="preserve">DOI: </w:t>
      </w:r>
      <w:hyperlink r:id="rId717">
        <w:r>
          <w:rPr>
            <w:color w:val="1155CC"/>
            <w:u w:val="single"/>
          </w:rPr>
          <w:t>10.1021/jacs.6c06543</w:t>
        </w:r>
      </w:hyperlink>
    </w:p>
    <w:p>
      <w:pPr>
        <w:spacing w:before="0" w:after="120"/>
      </w:pPr>
      <w:r>
        <w:rPr>
          <w:b/>
        </w:rPr>
        <w:t xml:space="preserve">Notes: </w:t>
      </w:r>
      <w:r>
        <w:t>abstract_source=pubmed</w:t>
      </w:r>
    </w:p>
    <w:p>
      <w:pPr>
        <w:spacing w:before="0" w:after="80" w:lineRule="auto" w:line="276"/>
      </w:pPr>
      <w:r>
        <w:rPr>
          <w:b/>
        </w:rPr>
        <w:t xml:space="preserve">摘要（ZH）: </w:t>
      </w:r>
      <w:r>
        <w:t>我们提出了一类新型手性 N-杂环卡宾 (NHC)-铜(I)-酰胺 (CMA) 配合物的设计、合成和光物理表征，该配合物在酰胺框架内具有对映体纯的苯乙胺基序。这些手性 CMA 配合物代表了一类新型单核分子 Cu(I) 配合物，具有显着的手性非线性光学 (NLO) 活性，目前正在积极研究其用于先进光电应用，例如先进光子学、生物传感和安全。固有的分子手性和非中心对称晶体堆积共同在圆偏振 (CP) 光存在下实现了强烈的二次谐波产生 (SHG) 响应。值得注意的是，这些配合物在 1000 nm 处表现出令人印象深刻的 SHG 圆二色性因子 (gSHG-CD) 高达 ±0.40，等于或超过该领域最先进的手性钙钛矿。除了出色的 NLO 响应之外，这些配合物还表现出源自单重态和三重激发态的双发射行为，绝对量子产率达到 30%，并通过 TD-DFT 计算进行了验证。 PPh3 光氧化和 TEMPO 自由基生成证实了空气敏感磷光（∼550 nm）有效产生单线态氧（1O2）。值得注意的是，通过 O2 的外部调节，发射可以在纯单线态和混合单线态-三线态之间可逆地切换，在长达 5 天的多个缺氧-缺氧循环中保持光稳定性。这些发现将手性 CMA 复合物确立为一类新的 NHC 连接分子 Cu(I) 系统，以显示 ci</w:t>
      </w:r>
    </w:p>
    <w:p>
      <w:pPr>
        <w:spacing w:before="0" w:after="200" w:lineRule="auto" w:line="276"/>
      </w:pPr>
      <w:r>
        <w:rPr>
          <w:b/>
        </w:rPr>
        <w:t xml:space="preserve">Abstract (EN): </w:t>
      </w:r>
      <w:r>
        <w:t>We present the design, synthesis, and photophysical characterization of a new class of chiral N-heterocyclic carbene (NHC)-copper(I)-amide (CMA) complexes with enantiomerically pure phenylethylamine motifs within the amide framework. These chiral CMA complexes represent a new class of mononuclear molecular Cu(I) complexes exhibiting pronounced chiral nonlinear optical (NLO) activity, which are actively being researched for advanced optoelectronic applications such as advanced photonics, biosensing, and security. The intrinsic molecular chirality and noncentrosymmetric crystal packing collectively enable strong second-harmonic generation (SHG) responses in the presence of circularly polarized (CP) light. Notably, these complexes display impressive SHG circular dichroism factors (gSHG-CD) as high as ±0.40 at 1000 nm, equaling or surpassing state-of-the-art chiral perovskites in this domain. Beyond their exceptional NLO response, the complexes exhibit dual emissive behavior, originating from both singlet and triplet excited states, with absolute quantum yields reaching 30%, and validated by TD-DFT calculations. The air-sensitive phosphorescence (∼550 nm) efficiently generates singlet oxygen (1O2), confirmed by PPh3 photooxidation and TEMPO radical generation. Remarkably, the emission can be reversibly switched between pure singlet and mixed singlet-triplet states by external modulation of O2, maintaining photostability over multiple oxic-anoxic cycles up to 5 days. These findings establish chiral CMA complexes as a new class of NHC-ligated molecular Cu(I) systems to display circularly polarized NLO activity with reversible photoluminescent switching, opening new avenues for exploring main-group organometallic compounds in next-generation polarization-sensitive photonic devices.</w:t>
      </w:r>
    </w:p>
    <w:p>
      <w:pPr>
        <w:spacing w:before="120" w:after="120"/>
      </w:pPr>
      <w:r>
        <w:rPr>
          <w:sz w:val="18"/>
        </w:rPr>
        <w:t>——————————————————————————————————————————————————————————————————————</w:t>
      </w:r>
    </w:p>
    <w:p>
      <w:pPr>
        <w:spacing w:before="160" w:after="40" w:line="240" w:lineRule="auto"/>
      </w:pPr>
      <w:r>
        <w:rPr>
          <w:b/>
        </w:rPr>
        <w:t xml:space="preserve">[242] </w:t>
      </w:r>
      <w:hyperlink r:id="rId718">
        <w:r>
          <w:rPr>
            <w:color w:val="1155CC"/>
            <w:u w:val="single"/>
          </w:rPr>
          <w:t>[ASAP] 通过扫描电化学电池显微镜研究基于颗粒的 BiVO4 光阳极的面依赖性光电化学氧化</w:t>
        </w:r>
      </w:hyperlink>
    </w:p>
    <w:p>
      <w:pPr>
        <w:spacing w:before="0" w:after="80"/>
      </w:pPr>
      <w:r>
        <w:rPr>
          <w:i/>
          <w:sz w:val="20"/>
        </w:rPr>
        <w:t>EN: [ASAP] Facet-Dependent Photoelectrochemical Oxidation on Particle-Based BiVO4 Photoanode Investigated by Scanning Electrochemical Cell Microscopy</w:t>
      </w:r>
    </w:p>
    <w:p>
      <w:pPr>
        <w:spacing w:before="0" w:after="120"/>
      </w:pPr>
      <w:r>
        <w:rPr>
          <w:b/>
        </w:rPr>
        <w:t xml:space="preserve">Source: </w:t>
      </w:r>
      <w:r>
        <w:t>ACS Energy Letters: Latest Articles (ACS Publications)</w:t>
      </w:r>
      <w:r>
        <w:t xml:space="preserve">    </w:t>
      </w:r>
      <w:r>
        <w:rPr>
          <w:b/>
        </w:rPr>
        <w:t xml:space="preserve">Pub date: </w:t>
      </w:r>
      <w:r>
        <w:t>2026-05-26 16:30:22+00:00</w:t>
      </w:r>
      <w:r>
        <w:t xml:space="preserve">    </w:t>
      </w:r>
      <w:r>
        <w:rPr>
          <w:b/>
        </w:rPr>
        <w:t xml:space="preserve">DOI: </w:t>
      </w:r>
      <w:hyperlink r:id="rId719">
        <w:r>
          <w:rPr>
            <w:color w:val="1155CC"/>
            <w:u w:val="single"/>
          </w:rPr>
          <w:t>10.1021/acsenergylett.6c01004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[243] </w:t>
      </w:r>
      <w:hyperlink r:id="rId720">
        <w:r>
          <w:rPr>
            <w:color w:val="1155CC"/>
            <w:u w:val="single"/>
          </w:rPr>
          <w:t>Br介导的Pd催化促进阳极电合成碳酸二甲酯的中间体稳定和偶联</w:t>
        </w:r>
      </w:hyperlink>
    </w:p>
    <w:p>
      <w:pPr>
        <w:spacing w:before="0" w:after="80"/>
      </w:pPr>
      <w:r>
        <w:rPr>
          <w:i/>
          <w:sz w:val="20"/>
        </w:rPr>
        <w:t>EN: Br‐Mediated Pd Catalysis Promotes Intermediates Stabilization and Coupling for Anodic Electrosynthesis of Dimethyl Carbonate</w:t>
      </w:r>
    </w:p>
    <w:p>
      <w:pPr>
        <w:spacing w:before="0" w:after="120"/>
      </w:pPr>
      <w:r>
        <w:rPr>
          <w:b/>
        </w:rPr>
        <w:t xml:space="preserve">Source: </w:t>
      </w:r>
      <w:r>
        <w:t>Wiley: Angewandte Chemie International Edition: Table of Contents</w:t>
      </w:r>
      <w:r>
        <w:t xml:space="preserve">    </w:t>
      </w:r>
      <w:r>
        <w:rPr>
          <w:b/>
        </w:rPr>
        <w:t xml:space="preserve">Pub date: </w:t>
      </w:r>
      <w:r>
        <w:t>2026-05-26 16:30:27+00:00</w:t>
      </w:r>
      <w:r>
        <w:t xml:space="preserve">    </w:t>
      </w:r>
      <w:r>
        <w:rPr>
          <w:b/>
        </w:rPr>
        <w:t xml:space="preserve">DOI: </w:t>
      </w:r>
      <w:hyperlink r:id="rId721">
        <w:r>
          <w:rPr>
            <w:color w:val="1155CC"/>
            <w:u w:val="single"/>
          </w:rPr>
          <w:t>10.1002/anie.4274352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 Pd 基催化剂上由甲醇 (MeOH) 和 CO 电合成碳酸二甲酯 (DMC) 显示出高选择性；然而，大多数相应的总电流密度（</w:t>
      </w:r>
      <w:r>
        <w:t xml:space="preserve"> </w:t>
      </w:r>
      <w:r>
        <w:t>j</w:t>
      </w:r>
      <w:r>
        <w:t xml:space="preserve"> </w:t>
      </w:r>
      <w:r>
        <w:t>总计</w:t>
      </w:r>
      <w:r>
        <w:t xml:space="preserve"> </w:t>
      </w:r>
      <w:r>
        <w:t>）仍然太小，无法支持工业应用。在这项研究中，我们在流动池中构建了 Pd-Br 电催化系统，以高选择性和高反应速率生产 DMC。值得注意的是，高达 89.4% 的 DMC 法拉第效率 (FE</w:t>
      </w:r>
      <w:r>
        <w:t xml:space="preserve"> </w:t>
      </w:r>
      <w:r>
        <w:t>DMC</w:t>
      </w:r>
      <w:r>
        <w:t xml:space="preserve"> </w:t>
      </w:r>
      <w:r>
        <w:t>）实现于</w:t>
      </w:r>
      <w:r>
        <w:t xml:space="preserve"> </w:t>
      </w:r>
      <w:r>
        <w:t>j</w:t>
      </w:r>
      <w:r>
        <w:t xml:space="preserve"> </w:t>
      </w:r>
      <w:r>
        <w:t>总计</w:t>
      </w:r>
      <w:r>
        <w:t xml:space="preserve"> </w:t>
      </w:r>
      <w:r>
        <w:t>100 mA·cm</w:t>
      </w:r>
      <w:r>
        <w:t xml:space="preserve"> </w:t>
      </w:r>
      <w:r>
        <w:t>−2</w:t>
      </w:r>
      <w:r>
        <w:t xml:space="preserve"> </w:t>
      </w:r>
      <w:r>
        <w:t>。机制研究表明，原位生成具有适当分布的 Br 修饰的 Pd(I) 位点和 PdBr 的活性位点</w:t>
      </w:r>
      <w:r>
        <w:rPr>
          <w:vertAlign w:val="subscript"/>
        </w:rPr>
        <w:t>2</w:t>
      </w:r>
      <w:r>
        <w:t>CO 和 MeOH 的共吸附对于这种反应至关重要。在 Br 介导下，高价 Pd 物质的过度形成受到抑制，而从热力学角度来看，DMC 的形成则大大促进。这些发现为开发有效的 DMC 合成电催化系统提供了重要的方法论和机制见解。</w:t>
      </w:r>
    </w:p>
    <w:p>
      <w:pPr>
        <w:spacing w:before="0" w:after="200" w:lineRule="auto" w:line="276"/>
      </w:pPr>
      <w:r>
        <w:rPr>
          <w:b/>
        </w:rPr>
        <w:t xml:space="preserve">Abstract (EN): </w:t>
      </w:r>
      <w:r>
        <w:t>Electrosynthesis of dimethyl carbonate (DMC) from methanol (MeOH) and CO on a Pd‐based catalyst has shown high selectivity; however, most of the corresponding total current densities (</w:t>
      </w:r>
      <w:r>
        <w:t xml:space="preserve"> </w:t>
      </w:r>
      <w:r>
        <w:t>j</w:t>
      </w:r>
      <w:r>
        <w:t xml:space="preserve"> </w:t>
      </w:r>
      <w:r>
        <w:t>total</w:t>
      </w:r>
      <w:r>
        <w:t xml:space="preserve"> </w:t>
      </w:r>
      <w:r>
        <w:t>) are still too small to support industrial applications. In this study, we built a Pd‐Br electrocatalytic system in a flow cell to produce DMC with both high selectivity and high reaction rate. Remarkably, up to 89.4% of the DMC Faradaic efficiency (FE</w:t>
      </w:r>
      <w:r>
        <w:t xml:space="preserve"> </w:t>
      </w:r>
      <w:r>
        <w:t>DMC</w:t>
      </w:r>
      <w:r>
        <w:t xml:space="preserve"> </w:t>
      </w:r>
      <w:r>
        <w:t>) was achieved at</w:t>
      </w:r>
      <w:r>
        <w:t xml:space="preserve"> </w:t>
      </w:r>
      <w:r>
        <w:t>j</w:t>
      </w:r>
      <w:r>
        <w:t xml:space="preserve"> </w:t>
      </w:r>
      <w:r>
        <w:t>total</w:t>
      </w:r>
      <w:r>
        <w:t xml:space="preserve"> </w:t>
      </w:r>
      <w:r>
        <w:t>of 100 mA cm</w:t>
      </w:r>
      <w:r>
        <w:t xml:space="preserve"> </w:t>
      </w:r>
      <w:r>
        <w:t>−2</w:t>
      </w:r>
      <w:r>
        <w:t xml:space="preserve"> </w:t>
      </w:r>
      <w:r>
        <w:t>. Mechanism studies suggest that the in situ generation of active sites with a proper distribution of Br‐modified Pd(I) sites and PdBr</w:t>
      </w:r>
      <w:r>
        <w:rPr>
          <w:vertAlign w:val="subscript"/>
        </w:rPr>
        <w:t>2</w:t>
      </w:r>
      <w:r>
        <w:t>for the coadsorption of CO and MeOH is vital for this reactivity. Under Br mediation, the excessive formation of high‐valence Pd species was inhibited, while the DMC formation was substantially facilitated in thermodynamic terms. These findings shed vital methodological and mechanistic insights for developing efficacious electrocatalytic systems for DMC synthesis.</w:t>
      </w:r>
    </w:p>
    <w:p>
      <w:pPr>
        <w:spacing w:before="120" w:after="120"/>
      </w:pPr>
      <w:r>
        <w:rPr>
          <w:sz w:val="18"/>
        </w:rPr>
        <w:t>——————————————————————————————————————————————————————————————————————</w:t>
      </w:r>
    </w:p>
    <w:p>
      <w:pPr>
        <w:spacing w:before="160" w:after="40" w:line="240" w:lineRule="auto"/>
      </w:pPr>
      <w:r>
        <w:rPr>
          <w:b/>
        </w:rPr>
        <w:t xml:space="preserve">[244] </w:t>
      </w:r>
      <w:hyperlink r:id="rId722">
        <w:r>
          <w:rPr>
            <w:color w:val="1155CC"/>
            <w:u w:val="single"/>
          </w:rPr>
          <w:t>卟啉类化合物芳香性重新分布的介观带工程</w:t>
        </w:r>
      </w:hyperlink>
    </w:p>
    <w:p>
      <w:pPr>
        <w:spacing w:before="0" w:after="80"/>
      </w:pPr>
      <w:r>
        <w:rPr>
          <w:i/>
          <w:sz w:val="20"/>
        </w:rPr>
        <w:t>EN: Meso‐Strap Engineering of Aromaticity Redistribution in Porphyrinoids</w:t>
      </w:r>
    </w:p>
    <w:p>
      <w:pPr>
        <w:spacing w:before="0" w:after="120"/>
      </w:pPr>
      <w:r>
        <w:rPr>
          <w:b/>
        </w:rPr>
        <w:t xml:space="preserve">Source: </w:t>
      </w:r>
      <w:r>
        <w:t>Wiley: Angewandte Chemie International Edition: Table of Contents</w:t>
      </w:r>
      <w:r>
        <w:t xml:space="preserve">    </w:t>
      </w:r>
      <w:r>
        <w:rPr>
          <w:b/>
        </w:rPr>
        <w:t xml:space="preserve">Pub date: </w:t>
      </w:r>
      <w:r>
        <w:t>2026-05-26 16:32:13+00:00</w:t>
      </w:r>
      <w:r>
        <w:t xml:space="preserve">    </w:t>
      </w:r>
      <w:r>
        <w:rPr>
          <w:b/>
        </w:rPr>
        <w:t xml:space="preserve">DOI: </w:t>
      </w:r>
      <w:hyperlink r:id="rId723">
        <w:r>
          <w:rPr>
            <w:color w:val="1155CC"/>
            <w:u w:val="single"/>
          </w:rPr>
          <w:t>10.1002/anie.1446865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卟啉拥有化学中最强大的芳香回路之一，甚至高度扭曲的衍生物也保留了固有的[18]π芳香框架。在这里我们证明</w:t>
      </w:r>
      <w:r>
        <w:t xml:space="preserve"> </w:t>
      </w:r>
      <w:r>
        <w:t>细观</w:t>
      </w:r>
      <w:r>
        <w:t xml:space="preserve"> </w:t>
      </w:r>
      <w:r>
        <w:t>‐带工程可以超越这种内在稳定性，并在卟啉网络内诱导可控的芳香性重新分布。三吡啉、1,8-二吡咯咔唑和四吡咯带的系统安装表明，短带会施加严重的几何应变，使中心[18]卟啉芳香回路崩溃，产生替代的芳香亚基或非芳香核。相比之下，即使在双桥结构中，延伸至四吡咯连接体也保留了卟啉芳香性。结构、光谱和计算分析共同表明，应变能和芳香稳定之间的内在平衡决定了这些系统中共轭的命运。这些发现确立了</w:t>
      </w:r>
      <w:r>
        <w:t xml:space="preserve"> </w:t>
      </w:r>
      <w:r>
        <w:t>细观</w:t>
      </w:r>
      <w:r>
        <w:t xml:space="preserve"> </w:t>
      </w:r>
      <w:r>
        <w:t>‐带工程作为控制卟啉类化合物和相关π共轭大环化合物芳香性重新分布的预测设计原理。</w:t>
      </w:r>
    </w:p>
    <w:p>
      <w:pPr>
        <w:spacing w:before="0" w:after="200" w:lineRule="auto" w:line="276"/>
      </w:pPr>
      <w:r>
        <w:rPr>
          <w:b/>
        </w:rPr>
        <w:t xml:space="preserve">Abstract (EN): </w:t>
      </w:r>
      <w:r>
        <w:t>Porphyrins possess one of the most robust aromatic circuits in chemistry, and even highly distorted derivatives preserve the intrinsic [18]π aromatic framework. Here we demonstrate that</w:t>
      </w:r>
      <w:r>
        <w:t xml:space="preserve"> </w:t>
      </w:r>
      <w:r>
        <w:t>meso</w:t>
      </w:r>
      <w:r>
        <w:t xml:space="preserve"> </w:t>
      </w:r>
      <w:r>
        <w:t>‐strap engineering can override this intrinsic stability and induce controllable aromaticity redistribution within porphyrinoid networks. Systematic installation of tripyrrin‐, 1,8‐dipyrrylcarbazole‐, and tetrapyrrolic straps reveals that short straps impose severe geometric strain that collapses the central [18] porphyrin aromatic circuit, generating alternative aromatic subunits or nonaromatic cores. In contrast, elongation to a tetrapyrrolic linker preserves the porphyrin aromaticity even in doubly bridged architectures. Structural, spectroscopic, and computational analyses collectively reveal that the intrinsic balance between strain energy and aromatic stabilization governs the fate of conjugation in these systems. These findings establish</w:t>
      </w:r>
      <w:r>
        <w:t xml:space="preserve"> </w:t>
      </w:r>
      <w:r>
        <w:t>meso</w:t>
      </w:r>
      <w:r>
        <w:t xml:space="preserve"> </w:t>
      </w:r>
      <w:r>
        <w:t>‐strap engineering as a predictive design principle for controlling aromaticity redistribution in porphyrinoids and related π‐conjugated macrocycles.</w:t>
      </w:r>
    </w:p>
    <w:p>
      <w:pPr>
        <w:spacing w:before="120" w:after="120"/>
      </w:pPr>
      <w:r>
        <w:rPr>
          <w:sz w:val="18"/>
        </w:rPr>
        <w:t>——————————————————————————————————————————————————————————————————————</w:t>
      </w:r>
    </w:p>
    <w:p>
      <w:pPr>
        <w:spacing w:before="160" w:after="40" w:line="240" w:lineRule="auto"/>
      </w:pPr>
      <w:r>
        <w:rPr>
          <w:b/>
        </w:rPr>
        <w:t xml:space="preserve">[245] </w:t>
      </w:r>
      <w:hyperlink r:id="rId724">
        <w:r>
          <w:rPr>
            <w:color w:val="1155CC"/>
            <w:u w:val="single"/>
          </w:rPr>
          <w:t>用于远程代谢重编程和精确癌症治疗的机械调控纳米酶</w:t>
        </w:r>
      </w:hyperlink>
    </w:p>
    <w:p>
      <w:pPr>
        <w:spacing w:before="0" w:after="80"/>
      </w:pPr>
      <w:r>
        <w:rPr>
          <w:i/>
          <w:sz w:val="20"/>
        </w:rPr>
        <w:t>EN: Mechanically Regulated Nanozymes for Remote Metabolic Reprogramming and Precise Cancer Therapy</w:t>
      </w:r>
    </w:p>
    <w:p>
      <w:pPr>
        <w:spacing w:before="0" w:after="120"/>
      </w:pPr>
      <w:r>
        <w:rPr>
          <w:b/>
        </w:rPr>
        <w:t xml:space="preserve">Source: </w:t>
      </w:r>
      <w:r>
        <w:t>Wiley: Angewandte Chemie International Edition: Table of Contents</w:t>
      </w:r>
      <w:r>
        <w:t xml:space="preserve">    </w:t>
      </w:r>
      <w:r>
        <w:rPr>
          <w:b/>
        </w:rPr>
        <w:t xml:space="preserve">Pub date: </w:t>
      </w:r>
      <w:r>
        <w:t>2026-05-26 16:33:34+00:00</w:t>
      </w:r>
      <w:r>
        <w:t xml:space="preserve">    </w:t>
      </w:r>
      <w:r>
        <w:rPr>
          <w:b/>
        </w:rPr>
        <w:t xml:space="preserve">DOI: </w:t>
      </w:r>
      <w:hyperlink r:id="rId725">
        <w:r>
          <w:rPr>
            <w:color w:val="1155CC"/>
            <w:u w:val="single"/>
          </w:rPr>
          <w:t>10.1002/anie.8358731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机械酶具有受机械刺激控制的催化活性，在维持代谢秩序和细胞稳态方面发挥着关键作用。然而，具有严格时空调控的人工纳米酶仍然很少，限制了它们在复杂生物环境中的有效性。在这里，我们通过将机械响应二茂铁（Fc）单元集成到灵活的框架中，引入了机械调节纳米酶（MRNZ）。与自然酶促激活类似，声剪切力会引起 Fc 单元的亚纳米结构转变，导致 Fe 活性位点的电子密度降低和空间位阻减少，从而增强代谢过氧化物酶 (POD) 样活性。这种机械激活能够通过控制产生作为第二信使的低剂量羟基自由基（·OH）来精确调节代谢重编程，从而提高干细胞对氧化应激的抵抗力，从而实现更安全、更有效的治疗干预。使用这种机械调节方法，我们将葡萄糖氧化酶（GOx）封装在空心 MRNZ 内，以创建多酶调节纳米反应器（MRNZ@GOx），该反应器在超声刺激下协调级联 GOx-POD 反应。肿瘤微环境中这种级联活性氧的产生增强了与免疫激活相结合的化学动力学治疗。我们的工作引入了一种调节纳米酶活性的机械响应策略，扩大了用于精确疾病治疗的下一代远程和智能催化技术的视野。</w:t>
      </w:r>
    </w:p>
    <w:p>
      <w:pPr>
        <w:spacing w:before="0" w:after="200" w:lineRule="auto" w:line="276"/>
      </w:pPr>
      <w:r>
        <w:rPr>
          <w:b/>
        </w:rPr>
        <w:t xml:space="preserve">Abstract (EN): </w:t>
      </w:r>
      <w:r>
        <w:t>Mechanoenzymes, featuring catalytic activity controlled by mechanical stimuli, play key roles in maintaining metabolic order and cellular homeostasis. However, artificial nanozymes with strict spatiotemporal regulation are still rare, limiting their effectiveness in complex biological environments. Here, we introduce a mechanically regulated nanozyme (MRNZ) by integrating mechano‐responsive ferrocene (Fc) units into a flexible framework. Similar to natural enzymatic activation, acoustic shear forces cause sub‐nanostructural transformations of Fc units, leading to decreased electron density and reduced steric hindrance at Fe active sites, reinforcing metabolic peroxidase (POD)‐like activity. This mechanical activation enables precise modulation of metabolic reprogramming by controlled generation of low‐dose hydroxyl radicals (•OH) as second messengers, improving stem cells resilience to oxidative stress for safer and more effective therapeutic interventions. Using this mechanically regulated method, we encapsulated glucose oxidase (GOx) inside hollow MRNZ to create a multienzyme regulated nanoreactor (MRNZ@GOx) that orchestrates a cascade GOx‐POD reaction under ultrasound stimulation. Such a cascade reactive oxygen species generation in tumor microenvironments potentiates chemodynamic therapy combined with immune activation. Our work introduces a mechanically responsive strategy for regulating nanozyme activity, expanding the horizons of next‐generation remote and smart catalytic technologies for precise disease treatments.</w:t>
      </w:r>
    </w:p>
    <w:p>
      <w:pPr>
        <w:spacing w:before="120" w:after="120"/>
      </w:pPr>
      <w:r>
        <w:rPr>
          <w:sz w:val="18"/>
        </w:rPr>
        <w:t>——————————————————————————————————————————————————————————————————————</w:t>
      </w:r>
    </w:p>
    <w:p>
      <w:pPr>
        <w:spacing w:before="160" w:after="40" w:line="240" w:lineRule="auto"/>
      </w:pPr>
      <w:r>
        <w:rPr>
          <w:b/>
        </w:rPr>
        <w:t xml:space="preserve">[246] </w:t>
      </w:r>
      <w:hyperlink r:id="rId726">
        <w:r>
          <w:rPr>
            <w:color w:val="1155CC"/>
            <w:u w:val="single"/>
          </w:rPr>
          <w:t>受自然启发的有机-无机杂化实现高温多色有机磷光</w:t>
        </w:r>
      </w:hyperlink>
    </w:p>
    <w:p>
      <w:pPr>
        <w:spacing w:before="0" w:after="80"/>
      </w:pPr>
      <w:r>
        <w:rPr>
          <w:i/>
          <w:sz w:val="20"/>
        </w:rPr>
        <w:t>EN: Nature‐Inspired Organic–Inorganic Hybridization Enables High‐Temperature and Multicolor Organic Phosphorescence</w:t>
      </w:r>
    </w:p>
    <w:p>
      <w:pPr>
        <w:spacing w:before="0" w:after="120"/>
      </w:pPr>
      <w:r>
        <w:rPr>
          <w:b/>
        </w:rPr>
        <w:t xml:space="preserve">Source: </w:t>
      </w:r>
      <w:r>
        <w:t>Wiley: Angewandte Chemie International Edition: Table of Contents</w:t>
      </w:r>
      <w:r>
        <w:t xml:space="preserve">    </w:t>
      </w:r>
      <w:r>
        <w:rPr>
          <w:b/>
        </w:rPr>
        <w:t xml:space="preserve">Pub date: </w:t>
      </w:r>
      <w:r>
        <w:t>2026-05-26 16:34:09+00:00</w:t>
      </w:r>
      <w:r>
        <w:t xml:space="preserve">    </w:t>
      </w:r>
      <w:r>
        <w:rPr>
          <w:b/>
        </w:rPr>
        <w:t xml:space="preserve">DOI: </w:t>
      </w:r>
      <w:hyperlink r:id="rId727">
        <w:r>
          <w:rPr>
            <w:color w:val="1155CC"/>
            <w:u w:val="single"/>
          </w:rPr>
          <w:t>10.1002/anie.8043102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有机室温磷光（RTP）已显示出多种实际应用；然而，大多数有机 RTP 材料的耐热性较差，在高于环境温度时余辉就会消失。受天然矿物中强烈余辉的启发，我们引入了一种通用的有机-无机杂化策略，在功能上用有机发色团取代金属掺杂剂。具体来说，羧化多环芳烃以分子方式嵌入羟基磷灰石中（</w:t>
      </w:r>
      <w:r>
        <w:t xml:space="preserve"> </w:t>
      </w:r>
      <w:r>
        <w:t>羟基磷灰石</w:t>
      </w:r>
      <w:r>
        <w:t xml:space="preserve"> </w:t>
      </w:r>
      <w:r>
        <w:t>）通过原位共沉淀法形成晶格。由此产生的人造矿物表现出来自有机发色团的强且可调节的 RTP，量子产率高达 31.1%，余辉超过 10 秒。通过掺入羧化三苯胺，</w:t>
      </w:r>
      <w:r>
        <w:t xml:space="preserve"> </w:t>
      </w:r>
      <w:r>
        <w:t>TPA-3COOH</w:t>
      </w:r>
      <w:r>
        <w:t xml:space="preserve"> </w:t>
      </w:r>
      <w:r>
        <w:t>, 进入</w:t>
      </w:r>
      <w:r>
        <w:t xml:space="preserve"> </w:t>
      </w:r>
      <w:r>
        <w:t>羟基磷灰石</w:t>
      </w:r>
      <w:r>
        <w:t xml:space="preserve"> </w:t>
      </w:r>
      <w:r>
        <w:t>，得到的</w:t>
      </w:r>
      <w:r>
        <w:t xml:space="preserve"> </w:t>
      </w:r>
      <w:r>
        <w:t>TPA-3COOH/HAP</w:t>
      </w:r>
      <w:r>
        <w:t xml:space="preserve"> </w:t>
      </w:r>
      <w:r>
        <w:t>甚至可以在 500 K 下表现出有机磷光。机理研究表明</w:t>
      </w:r>
      <w:r>
        <w:t xml:space="preserve"> </w:t>
      </w:r>
      <w:r>
        <w:t>羟基磷灰石</w:t>
      </w:r>
      <w:r>
        <w:t xml:space="preserve"> </w:t>
      </w:r>
      <w:r>
        <w:t>晶格不仅抑制三重态非辐射衰变，而且还通过局部电场诱导的电荷转移（CT）态和能量陷阱促进三重态激子的产生。该策略广泛适用于各种π共轭生色团，可实现多色余辉。此外，还制备了可溶液加工的 RTP 活性人造矿物和水凝胶，以展示紫外线响应传感和</w:t>
      </w:r>
    </w:p>
    <w:p>
      <w:pPr>
        <w:spacing w:before="0" w:after="200" w:lineRule="auto" w:line="276"/>
      </w:pPr>
      <w:r>
        <w:rPr>
          <w:b/>
        </w:rPr>
        <w:t xml:space="preserve">Abstract (EN): </w:t>
      </w:r>
      <w:r>
        <w:t>Organic room‐temperature phosphorescence (RTP) has shown diverse practical applications; however, most organic RTP materials exhibit poor thermal resistance, with afterglow vanishing above ambient temperatures. Inspired by robust afterglow in natural minerals, we introduce a general organic–inorganic hybridization strategy that functionally replaces metallic dopants with organic chromophores. Specifically, carboxylated polycyclic aromatic hydrocarbons are molecularly embedded into the hydroxyapatite (</w:t>
      </w:r>
      <w:r>
        <w:t xml:space="preserve"> </w:t>
      </w:r>
      <w:r>
        <w:t>HAP</w:t>
      </w:r>
      <w:r>
        <w:t xml:space="preserve"> </w:t>
      </w:r>
      <w:r>
        <w:t>) lattice via an in situ co‐precipitation method. The resulting artificial minerals exhibit strong and tunable RTP from organic chromophores with quantum yields of up to 31.1% and afterglow exceeding 10 s. By incorporating carboxylated triphenylamine,</w:t>
      </w:r>
      <w:r>
        <w:t xml:space="preserve"> </w:t>
      </w:r>
      <w:r>
        <w:t>TPA‐3COOH</w:t>
      </w:r>
      <w:r>
        <w:t xml:space="preserve"> </w:t>
      </w:r>
      <w:r>
        <w:t>, into</w:t>
      </w:r>
      <w:r>
        <w:t xml:space="preserve"> </w:t>
      </w:r>
      <w:r>
        <w:t>HAP</w:t>
      </w:r>
      <w:r>
        <w:t xml:space="preserve"> </w:t>
      </w:r>
      <w:r>
        <w:t>, the obtained</w:t>
      </w:r>
      <w:r>
        <w:t xml:space="preserve"> </w:t>
      </w:r>
      <w:r>
        <w:t>TPA‐3COOH/HAP</w:t>
      </w:r>
      <w:r>
        <w:t xml:space="preserve"> </w:t>
      </w:r>
      <w:r>
        <w:t>can even exhibit organic phosphorescence at 500 K. Mechanistic investigations reveal that the</w:t>
      </w:r>
      <w:r>
        <w:t xml:space="preserve"> </w:t>
      </w:r>
      <w:r>
        <w:t>HAP</w:t>
      </w:r>
      <w:r>
        <w:t xml:space="preserve"> </w:t>
      </w:r>
      <w:r>
        <w:t>lattice not only suppresses triplet nonradiative decay but also promotes the generation of triplet excitons via local electric‐field‐induced charge‐transfer (CT) states and energy traps. This strategy is broadly applicable to various π‐conjugated chromophores, enabling multicolor afterglows. Furthermore, solution‐processable RTP‐active artificial minerals and hydrogels are prepared to demonstrate the potential in UV‐responsive sensing and medical treatment. This work provides a powerful platform for “lighting up” tunable organic RTP in artificial minerals.</w:t>
      </w:r>
    </w:p>
    <w:p>
      <w:pPr>
        <w:spacing w:before="120" w:after="120"/>
      </w:pPr>
      <w:r>
        <w:rPr>
          <w:sz w:val="18"/>
        </w:rPr>
        <w:t>——————————————————————————————————————————————————————————————————————</w:t>
      </w:r>
    </w:p>
    <w:p>
      <w:pPr>
        <w:spacing w:before="160" w:after="40" w:line="240" w:lineRule="auto"/>
      </w:pPr>
      <w:r>
        <w:rPr>
          <w:b/>
        </w:rPr>
        <w:t xml:space="preserve">[247] </w:t>
      </w:r>
      <w:hyperlink r:id="rId728">
        <w:r>
          <w:rPr>
            <w:color w:val="1155CC"/>
            <w:u w:val="single"/>
          </w:rPr>
          <w:t>[ASAP] 表面辅助对称破缺驱动的外消旋聚集体中的对映特异性磁导不对称性</w:t>
        </w:r>
      </w:hyperlink>
    </w:p>
    <w:p>
      <w:pPr>
        <w:spacing w:before="0" w:after="80"/>
      </w:pPr>
      <w:r>
        <w:rPr>
          <w:i/>
          <w:sz w:val="20"/>
        </w:rPr>
        <w:t>EN: [ASAP] Enantiospecific Magnetoconductance Asymmetry in a Racemic Conglomerate Driven by Surface-Assisted Symmetry Breaking</w:t>
      </w:r>
    </w:p>
    <w:p>
      <w:pPr>
        <w:spacing w:before="0" w:after="120"/>
      </w:pPr>
      <w:r>
        <w:rPr>
          <w:b/>
        </w:rPr>
        <w:t xml:space="preserve">Source: </w:t>
      </w:r>
      <w:r>
        <w:t>Journal of the American Chemical Society: Latest Articles (ACS Publications)</w:t>
      </w:r>
      <w:r>
        <w:t xml:space="preserve">    </w:t>
      </w:r>
      <w:r>
        <w:rPr>
          <w:b/>
        </w:rPr>
        <w:t xml:space="preserve">Pub date: </w:t>
      </w:r>
      <w:r>
        <w:t>2026-05-26 17:20:29+00:00</w:t>
      </w:r>
      <w:r>
        <w:t xml:space="preserve">    </w:t>
      </w:r>
      <w:r>
        <w:rPr>
          <w:b/>
        </w:rPr>
        <w:t xml:space="preserve">DOI: </w:t>
      </w:r>
      <w:hyperlink r:id="rId729">
        <w:r>
          <w:rPr>
            <w:color w:val="1155CC"/>
            <w:u w:val="single"/>
          </w:rPr>
          <w:t>10.1021/jacs.6c05771</w:t>
        </w:r>
      </w:hyperlink>
    </w:p>
    <w:p>
      <w:pPr>
        <w:spacing w:before="0" w:after="120"/>
      </w:pPr>
      <w:r>
        <w:rPr>
          <w:b/>
        </w:rPr>
        <w:t xml:space="preserve">Notes: </w:t>
      </w:r>
      <w:r>
        <w:t>abstract_source=pubmed</w:t>
      </w:r>
    </w:p>
    <w:p>
      <w:pPr>
        <w:spacing w:before="0" w:after="80" w:lineRule="auto" w:line="276"/>
      </w:pPr>
      <w:r>
        <w:rPr>
          <w:b/>
        </w:rPr>
        <w:t xml:space="preserve">摘要（ZH）: </w:t>
      </w:r>
      <w:r>
        <w:t>手性诱导的自旋选择性（CISS）主要在对映体纯系统中得到证明，而外消旋混合物由于消除了相反的对映体贡献而被认为是自旋非活性的。在这里，我们证明表面辅助对称性破缺可以激活外消旋系统中的 CISS。外消旋双螺旋[1]苯并噻吩并[3,2-b]苯并噻吩 (BTBT) 衍生物 (Rac-1) 自发分离成纯手性 (M,M) 和 (P,P) 结构域，形成可通过扫描隧道显微镜 (STM) 直接观察到的二维 (2D) 外消旋聚集体。扫描隧道光谱 (STS) 揭示了室温下各个同手性域内的对映特异性磁导不对称性 (EMA)，当铁磁 Co 层垂直于基底平面磁化时，(P,P) 域达到 +(40 ± 5)%，(M,M) 域达到 -(35 ± 10)%。磁化方向相关的 STS 测量表明，EMA 从面外 Co 层取向的 ∼35% 降低到面内 Co 层取向的 &lt;6%。距离相关的 STS 和在没有铁磁层的 Au(111)/云母上的控制测量进一步证实了 EMA 是 CISS 固有的并且与结伪影无关。尽管 DFT 计算显示，吸附时分子主链发生表面诱导平坦化，但在集体 2D 手性堆积以及分子表面界面处产生的手性静电势的驱动下，EMA 仍然存在。这些结果表明，本体同手性不是室温 CISS 的先决条件，将外消旋聚集体识别为</w:t>
      </w:r>
    </w:p>
    <w:p>
      <w:pPr>
        <w:spacing w:before="0" w:after="200" w:lineRule="auto" w:line="276"/>
      </w:pPr>
      <w:r>
        <w:rPr>
          <w:b/>
        </w:rPr>
        <w:t xml:space="preserve">Abstract (EN): </w:t>
      </w:r>
      <w:r>
        <w:t>Chirality-induced spin selectivity (CISS) has been predominantly demonstrated in enantiopure systems, while racemic mixtures are considered spin-inactive due to the cancellation of opposite enantiomeric contributions. Here, we demonstrate that surface-assisted symmetry breaking activates CISS in racemic systems. A racemic bis-helical [1]benzothieno[3,2-b]benzothiophene (BTBT) derivative (Rac-1) spontaneously segregates into homochiral (M,M) and (P,P) domains, forming a two-dimensional (2D) racemic conglomerate directly visualized by scanning tunneling microscopy (STM). Scanning tunneling spectroscopy (STS) reveals enantiospecific magnetoconductance asymmetry (EMA) within individual homochiral domains at room temperature, reaching +(40 ± 5)% for (P,P) domains and -(35 ± 10)% for (M,M) domains when the ferromagnetic Co layer is magnetized perpendicular to the substrate plane. Magnetization-direction-dependent STS measurements show that EMA is reduced from ∼35% for out-of-plane to &lt;6% for in-plane Co layer orientation. Distance-dependent STS and control measurements on Au(111)/Mica without a ferromagnetic layer further confirm that EMA is intrinsic to CISS and independent of junction artifacts. Despite surface-induced planarization of the molecular backbone upon adsorption, as revealed by DFT calculations, EMA persists, driven by the collective 2D chiral packing and the resulting chiral electrostatic potential at the molecule-surface interface. These results establish that bulk homochirality is not a prerequisite for room-temperature CISS, identifying racemic conglomerates as a synthetically accessible platform for investigating CISS at the nanoscale.</w:t>
      </w:r>
    </w:p>
    <w:p>
      <w:pPr>
        <w:spacing w:before="120" w:after="120"/>
      </w:pPr>
      <w:r>
        <w:rPr>
          <w:sz w:val="18"/>
        </w:rPr>
        <w:t>——————————————————————————————————————————————————————————————————————</w:t>
      </w:r>
    </w:p>
    <w:p>
      <w:pPr>
        <w:spacing w:before="160" w:after="40" w:line="240" w:lineRule="auto"/>
      </w:pPr>
      <w:r>
        <w:rPr>
          <w:b/>
        </w:rPr>
        <w:t xml:space="preserve">[248] </w:t>
      </w:r>
      <w:hyperlink r:id="rId730">
        <w:r>
          <w:rPr>
            <w:color w:val="1155CC"/>
            <w:u w:val="single"/>
          </w:rPr>
          <w:t>[ASAP] Fe(卟啉) 催化的 NaOCl 烯烃环氧化：mCPBA 的实用小规模和大规模替代品</w:t>
        </w:r>
      </w:hyperlink>
    </w:p>
    <w:p>
      <w:pPr>
        <w:spacing w:before="0" w:after="80"/>
      </w:pPr>
      <w:r>
        <w:rPr>
          <w:i/>
          <w:sz w:val="20"/>
        </w:rPr>
        <w:t>EN: [ASAP] Fe(porphyrin)-Catalyzed Alkene Epoxidation with NaOCl: A Practical Small- and Large-Scale Alternative to mCPBA</w:t>
      </w:r>
    </w:p>
    <w:p>
      <w:pPr>
        <w:spacing w:before="0" w:after="120"/>
      </w:pPr>
      <w:r>
        <w:rPr>
          <w:b/>
        </w:rPr>
        <w:t xml:space="preserve">Source: </w:t>
      </w:r>
      <w:r>
        <w:t>Journal of the American Chemical Society: Latest Articles (ACS Publications)</w:t>
      </w:r>
      <w:r>
        <w:t xml:space="preserve">    </w:t>
      </w:r>
      <w:r>
        <w:rPr>
          <w:b/>
        </w:rPr>
        <w:t xml:space="preserve">Pub date: </w:t>
      </w:r>
      <w:r>
        <w:t>2026-05-26 18:13:11+00:00</w:t>
      </w:r>
      <w:r>
        <w:t xml:space="preserve">    </w:t>
      </w:r>
      <w:r>
        <w:rPr>
          <w:b/>
        </w:rPr>
        <w:t xml:space="preserve">DOI: </w:t>
      </w:r>
      <w:hyperlink r:id="rId731">
        <w:r>
          <w:rPr>
            <w:color w:val="1155CC"/>
            <w:u w:val="single"/>
          </w:rPr>
          <w:t>10.1021/jacs.6c06785</w:t>
        </w:r>
      </w:hyperlink>
    </w:p>
    <w:p>
      <w:pPr>
        <w:spacing w:before="0" w:after="120"/>
      </w:pPr>
      <w:r>
        <w:rPr>
          <w:b/>
        </w:rPr>
        <w:t xml:space="preserve">Notes: </w:t>
      </w:r>
      <w:r>
        <w:t>abstract_source=pubmed</w:t>
      </w:r>
    </w:p>
    <w:p>
      <w:pPr>
        <w:spacing w:before="0" w:after="80" w:lineRule="auto" w:line="276"/>
      </w:pPr>
      <w:r>
        <w:rPr>
          <w:b/>
        </w:rPr>
        <w:t xml:space="preserve">摘要（ZH）: </w:t>
      </w:r>
      <w:r>
        <w:t>环氧化物是合成化学中重要的中间体。化学计量的过氧酸，例如间氯过苯甲酸（mCPBA），广泛用于将烯烃转化为环氧化物，但与芳香族杂环的相容性较差，并且在结垢时存在危险。在此，我们报道了一种高度实用的烯烃环氧化方法，该方法使用市售的铁卟啉 Fe(TPFPP)Cl（TPFPP = 四（五氟苯基）卟啉）作为催化剂（0.05 mol%），NaOCl 水溶液作为氧化剂，乙腈为溶剂。不需要额外的配体或添加剂，反应在环境条件下进行。该方法显示了广泛的范围，在与末端和内部芳香族和脂肪族烯烃、含杂环的底物、聚糖和多烯的反应中提供高产率的环氧化物。该方法的实用性在 100 g 规模的三-O-乙酰基-D-葡萄糖环氧化反应中得到了证明，该环氧化反应在室温下 15 分钟内即可完成。</w:t>
      </w:r>
    </w:p>
    <w:p>
      <w:pPr>
        <w:spacing w:before="0" w:after="200" w:lineRule="auto" w:line="276"/>
      </w:pPr>
      <w:r>
        <w:rPr>
          <w:b/>
        </w:rPr>
        <w:t xml:space="preserve">Abstract (EN): </w:t>
      </w:r>
      <w:r>
        <w:t>Epoxides are important intermediates in synthetic chemistry. Stoichiometric peroxyacids, such as meta-chloroperoxybenzoic acid (mCPBA), are widely used to convert alkenes to epoxides but show poor compatibility with aromatic heterocycles and present hazards when scaled. Herein, we report a highly practical alkene epoxidation method that uses the commercially available iron porphyrin, Fe(TPFPP)Cl (TPFPP = tetrakis(pentafluorophenyl)porphyrin), as a catalyst (0.05 mol %) and aqueous NaOCl as the oxidant in acetonitrile as the solvent. No additional ligands or additives are needed, and the reactions proceed under ambient conditions. The method shows a broad scope, affording high yields of epoxides in reactions with terminal and internal aromatic and aliphatic alkenes, heterocycle-containing substrates, glycals, and polyenes. The practicality of the method is demonstrated in the 100 g scale epoxidation of tri-O-acetyl-D-glucal, which proceeds to completion in 15 min at room temperature.</w:t>
      </w:r>
    </w:p>
    <w:p>
      <w:pPr>
        <w:spacing w:before="120" w:after="120"/>
      </w:pPr>
      <w:r>
        <w:rPr>
          <w:sz w:val="18"/>
        </w:rPr>
        <w:t>——————————————————————————————————————————————————————————————————————</w:t>
      </w:r>
    </w:p>
    <w:p>
      <w:pPr>
        <w:spacing w:before="160" w:after="40" w:line="240" w:lineRule="auto"/>
      </w:pPr>
      <w:r>
        <w:rPr>
          <w:b/>
        </w:rPr>
        <w:t xml:space="preserve">[249] </w:t>
      </w:r>
      <w:hyperlink r:id="rId732">
        <w:r>
          <w:rPr>
            <w:color w:val="1155CC"/>
            <w:u w:val="single"/>
          </w:rPr>
          <w:t>SORS 和 SESORS：生物医学分析和疾病诊断中的深度拉曼光谱</w:t>
        </w:r>
      </w:hyperlink>
    </w:p>
    <w:p>
      <w:pPr>
        <w:spacing w:before="0" w:after="80"/>
      </w:pPr>
      <w:r>
        <w:rPr>
          <w:i/>
          <w:sz w:val="20"/>
        </w:rPr>
        <w:t>EN: SORS and SESORS: deep Raman spectroscopy in biomedical analysis and disease diagnosis</w:t>
      </w:r>
    </w:p>
    <w:p>
      <w:pPr>
        <w:spacing w:before="0" w:after="120"/>
      </w:pPr>
      <w:r>
        <w:rPr>
          <w:b/>
        </w:rPr>
        <w:t xml:space="preserve">Source: </w:t>
      </w:r>
      <w:r>
        <w:t>RSC - Chem. Soc. Rev. latest articles</w:t>
      </w:r>
      <w:r>
        <w:t xml:space="preserve">    </w:t>
      </w:r>
      <w:r>
        <w:rPr>
          <w:b/>
        </w:rPr>
        <w:t xml:space="preserve">Pub date: </w:t>
      </w:r>
      <w:r>
        <w:t>2026-05-26 23:00:00+00:00</w:t>
      </w:r>
    </w:p>
    <w:p>
      <w:pPr>
        <w:spacing w:before="0" w:after="120"/>
      </w:pPr>
      <w:r>
        <w:rPr>
          <w:b/>
        </w:rPr>
        <w:t xml:space="preserve">Notes: </w:t>
      </w:r>
      <w:r>
        <w:t>abstract_source=rsc_html</w:t>
      </w:r>
    </w:p>
    <w:p>
      <w:pPr>
        <w:spacing w:before="0" w:after="80" w:lineRule="auto" w:line="276"/>
      </w:pPr>
      <w:r>
        <w:rPr>
          <w:b/>
        </w:rPr>
        <w:t xml:space="preserve">摘要（ZH）: </w:t>
      </w:r>
      <w:r>
        <w:t>空间偏移拉曼光谱 (SORS) 及其表面增强变体 SESORS 已成为分析化学和生物医学诊断领域的变革性技术，可实现非侵入式深度分辨分子传感。 SORS 有助于探测来自地下层的内源信号，而 SEORS 通过等离子体纳米结构增强灵敏度，从而可以灵敏地靶向检测外源诊断剂。空间偏移拉曼光谱现在在临床诊断方面取得了重大进展。本综述重点关注过去五年该领域的快速进展，包括在癌症诊断、治疗反应监测、骨骼健康评估以及在组织包裹小鼠模型中超过 7 厘米的组织深度和猪组织堆栈中超过 14 厘米的组织深度中跟踪神经递质和 SERS 标记的纳米粒子的应用。定制纳米结构、共振拉曼标签和先进光学仪器的集成扩展了 SESORS 的多功能性，其传输、反向散射和共振增强配置等模式在不同的临床场景中提供了灵活性。尽管在标准化、生物相容性和仪器方面面临挑战，但光学、纳米技术和光谱学的跨学科进步继续推动创新。这篇综述批判性地审视了 SORS 和 SESORS 的最新演变、分类和生物医学应用，强调了它们在转化医学研究中的局限性和未来潜力。</w:t>
      </w:r>
    </w:p>
    <w:p>
      <w:pPr>
        <w:spacing w:before="0" w:after="200" w:lineRule="auto" w:line="276"/>
      </w:pPr>
      <w:r>
        <w:rPr>
          <w:b/>
        </w:rPr>
        <w:t xml:space="preserve">Abstract (EN): </w:t>
      </w:r>
      <w:r>
        <w:t>Spatially offset Raman spectroscopy (SORS) and its surface-enhanced variant, SESORS, have emerged as transformative techniques in analytical chemistry and biomedical diagnostics, enabling non-invasive, depth-resolved molecular sensing. SORS facilitates the probing of endogenous signals from subsurface layers, while SESORS enhances sensitivity through plasmonic nanostructures, allowing sensitive targeted detection of exogenous diagnostic agents. Spatially offset Raman spectroscopy is now making significant strides in clinical diagnostics. This review focuses on the rapid advancements in the field over the past five years, including applications in cancer diagnosis, monitoring of therapeutic response, bone health assessment, and tracking of neurotransmitters and SERS-labelled nanoparticles through tissue depths exceeding 7 cm in a tissue wrapped mouse model and 14 cm from within a porcine tissue stack. The integration of tailored nanostructures, resonant Raman labels, and advanced optical instrumentation has expanded the versatility of SESORS, with modalities such as transmission, backscattered, and resonance-enhanced configurations offering flexibility across diverse clinical scenarios. Despite challenges in standardisation, biocompatibility, and instrumentation, interdisciplinary progress in optics, nanotechnology, and spectroscopy continues to drive innovation. This review critically examines the recent evolution, classification, and biomedical applications of SORS and SESORS, highlighting their limitations and future potential in translational medical research.</w:t>
      </w:r>
    </w:p>
    <w:p>
      <w:pPr>
        <w:spacing w:before="120" w:after="120"/>
      </w:pPr>
      <w:r>
        <w:rPr>
          <w:sz w:val="18"/>
        </w:rPr>
        <w:t>——————————————————————————————————————————————————————————————————————</w:t>
      </w:r>
    </w:p>
    <w:p>
      <w:pPr>
        <w:spacing w:before="160" w:after="40" w:line="240" w:lineRule="auto"/>
      </w:pPr>
      <w:r>
        <w:rPr>
          <w:b/>
        </w:rPr>
        <w:t xml:space="preserve">[250] </w:t>
      </w:r>
      <w:hyperlink r:id="rId733">
        <w:r>
          <w:rPr>
            <w:color w:val="1155CC"/>
            <w:u w:val="single"/>
          </w:rPr>
          <w:t>直接脱氨基功能化</w:t>
        </w:r>
      </w:hyperlink>
    </w:p>
    <w:p>
      <w:pPr>
        <w:spacing w:before="0" w:after="80"/>
      </w:pPr>
      <w:r>
        <w:rPr>
          <w:i/>
          <w:sz w:val="20"/>
        </w:rPr>
        <w:t>EN: Direct deaminative functionalization</w:t>
      </w:r>
    </w:p>
    <w:p>
      <w:pPr>
        <w:spacing w:before="0" w:after="120"/>
      </w:pPr>
      <w:r>
        <w:rPr>
          <w:b/>
        </w:rPr>
        <w:t xml:space="preserve">Source: </w:t>
      </w:r>
      <w:r>
        <w:t>RSC - Chem. Soc. Rev. latest articles</w:t>
      </w:r>
      <w:r>
        <w:t xml:space="preserve">    </w:t>
      </w:r>
      <w:r>
        <w:rPr>
          <w:b/>
        </w:rPr>
        <w:t xml:space="preserve">Pub date: </w:t>
      </w:r>
      <w:r>
        <w:t>2026-05-26 23:00:00+00:00</w:t>
      </w:r>
    </w:p>
    <w:p>
      <w:pPr>
        <w:spacing w:before="0" w:after="120"/>
      </w:pPr>
      <w:r>
        <w:rPr>
          <w:b/>
        </w:rPr>
        <w:t xml:space="preserve">Notes: </w:t>
      </w:r>
      <w:r>
        <w:t>abstract_source=rsc_html</w:t>
      </w:r>
    </w:p>
    <w:p>
      <w:pPr>
        <w:spacing w:before="0" w:after="80" w:lineRule="auto" w:line="276"/>
      </w:pPr>
      <w:r>
        <w:rPr>
          <w:b/>
        </w:rPr>
        <w:t xml:space="preserve">摘要（ZH）: </w:t>
      </w:r>
      <w:r>
        <w:t>胺在自然界和合成分子中普遍存在，长期以来一直被视为有机合成中的静态终点。释放它们作为分子编辑的独特反应手柄的潜力代表了合成逻辑的深刻转变。为了解决这一限制，直接脱氨基功能化已成为一种变革性的解决方案。这种分步经济策略通过将容易获得的 C-N 键转化为有价值的 C-C 和 C-杂原子键，彻底改变了合成设计。在这里，我们超越了孤立报告的碎片化格局，建立了一个统一的以债券为中心的框架。通过根据所形成的特定债券来组织进展，本综述对这个快速扩展的领域提供了全面、系统的概述。我们强调了不同激活平台在后期功能化中的战略效用，说明了它们作为分子多样化实用工具的价值。</w:t>
      </w:r>
    </w:p>
    <w:p>
      <w:pPr>
        <w:spacing w:before="0" w:after="200" w:lineRule="auto" w:line="276"/>
      </w:pPr>
      <w:r>
        <w:rPr>
          <w:b/>
        </w:rPr>
        <w:t xml:space="preserve">Abstract (EN): </w:t>
      </w:r>
      <w:r>
        <w:t>Amines, ubiquitous both in nature and synthetic molecules, have long been regarded as static end points in organic synthesis. Unlocking their potential as distinct reactive handles for molecular editing represents a profound shift in synthetic logic. To address this limitation, direct deaminative functionalization has emerged as a transformative solution. This step-economic strategy revolutionizes synthetic design by converting readily available C–N bonds into valuable C–C and C–heteroatom linkages. Herein, we move beyond the fragmented landscape of isolated reports to establish a unified bond-centric framework. By organizing advances according to the specific bond formed, this Review provides a comprehensive and systematic overview of this rapidly expanding field. We highlight the strategic utility of distinct activation platforms in late-stage functionalization, illustrating their value as practical tools for molecular diversification.</w:t>
      </w:r>
    </w:p>
    <w:p>
      <w:pPr>
        <w:spacing w:before="120" w:after="120"/>
      </w:pPr>
      <w:r>
        <w:rPr>
          <w:sz w:val="18"/>
        </w:rPr>
        <w:t>——————————————————————————————————————————————————————————————————————</w:t>
      </w:r>
    </w:p>
    <w:p>
      <w:pPr>
        <w:spacing w:before="160" w:after="40" w:line="240" w:lineRule="auto"/>
      </w:pPr>
      <w:r>
        <w:rPr>
          <w:b/>
        </w:rPr>
        <w:t xml:space="preserve">[251] </w:t>
      </w:r>
      <w:hyperlink r:id="rId734">
        <w:r>
          <w:rPr>
            <w:color w:val="1155CC"/>
            <w:u w:val="single"/>
          </w:rPr>
          <w:t>转录因子编码大脑神经元的基本结构</w:t>
        </w:r>
      </w:hyperlink>
    </w:p>
    <w:p>
      <w:pPr>
        <w:spacing w:before="0" w:after="80"/>
      </w:pPr>
      <w:r>
        <w:rPr>
          <w:i/>
          <w:sz w:val="20"/>
        </w:rPr>
        <w:t>EN: Transcription factor codes patterning neuronal groundplans of the cerebrum</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35">
        <w:r>
          <w:rPr>
            <w:color w:val="1155CC"/>
            <w:u w:val="single"/>
          </w:rPr>
          <w:t>10.1038/s41586-026-10526-3</w:t>
        </w:r>
      </w:hyperlink>
    </w:p>
    <w:p>
      <w:pPr>
        <w:spacing w:before="0" w:after="120"/>
      </w:pPr>
      <w:r>
        <w:rPr>
          <w:b/>
        </w:rPr>
        <w:t xml:space="preserve">Notes: </w:t>
      </w:r>
      <w:r>
        <w:t>abstract_source=nature_html</w:t>
      </w:r>
    </w:p>
    <w:p>
      <w:pPr>
        <w:spacing w:before="0" w:after="80" w:lineRule="auto" w:line="276"/>
      </w:pPr>
      <w:r>
        <w:rPr>
          <w:b/>
        </w:rPr>
        <w:t xml:space="preserve">摘要（ZH）: </w:t>
      </w:r>
      <w:r>
        <w:t>调节动机行为的大脑区域，包括脊椎动物的下丘脑和节肢动物的大脑，拥有专门用于许多行为状态的感知和内部调节的定制神经回路1,2。这些电路是根据复杂的细胞类型组构建的，其模式一直难以阐明。在这里，我们开发了在果蝇中嵌入经过充分研究的神经元的方法，这些神经元在产生它们的神经元谱系的转录环境中调节交配3,4,5。通过比较谱系内部和谱系之间的转录，我们确定了一大组以复杂组合表达的转录因子，这些转录因子描绘了大脑半谱系——从同一干细胞产生并共享Notch状态的有丝分裂后神经元类别6,7。半脑谱系包括大脑中的主要解剖类别8、9、10，这些转录因子是生成其总体特征所必需的。我们表明，相同半世系的亚型可以为调节不同驱动的电路提供通用的计算模块，并识别一组正交的转录因子，对不同出生顺序的半世系亚型进行分层。我们的研究结果表明，不同的转录因子组在分层系统中运作，以构建、多样化和性别分化构成动机行为回路的直系相关神经元。通过将发育模式与产生信息流的粗略和精细方面的可分离转录轴联系起来，我们为不同驱动力的大脑控制提供了一个逻辑框架。</w:t>
      </w:r>
    </w:p>
    <w:p>
      <w:pPr>
        <w:spacing w:before="0" w:after="200" w:lineRule="auto" w:line="276"/>
      </w:pPr>
      <w:r>
        <w:rPr>
          <w:b/>
        </w:rPr>
        <w:t xml:space="preserve">Abstract (EN): </w:t>
      </w:r>
      <w:r>
        <w:t>Brain regions that regulate motivated behaviours, including the vertebrate hypothalamus and arthropod cerebrum, house bespoke neural circuits dedicated to perceptual and internal regulation of many behavioural states1,2. These circuits are built to purpose from complex sets of cell types whose patterning has been challenging to elucidate. Here we developed methods in Drosophila melanogaster to embed well-studied neurons that regulate mating in the transcriptional contexts of the neuronal lineages that generate them3,4,5. By comparing transcription within and between lineages, we identified a large set of transcription factors expressed in complex combinations that delineate cerebral hemilineages—classes of postmitotic neurons born from the same stem cell and sharing Notch status6,7. Hemilineages comprise the major anatomic classes in the cerebrum8,9,10 and these transcription factors are required to generate their gross features. We show that subtypes of the same hemilineage can provide a common computational module to circuits regulating different drives, and identify an orthogonal set of transcription factors that stratify hemilineage subtypes of differing birth order. Our findings suggest that distinct sets of transcription factors operate in a hierarchical system to build, diversify and sexually differentiate lineally related neurons that compose motivated behaviour circuits. By linking developmental patterning to separable transcriptional axes that produce gross versus fine aspects of information flow, we provide a logical framework for cerebral control of diverse drives.</w:t>
      </w:r>
    </w:p>
    <w:p>
      <w:pPr>
        <w:spacing w:before="120" w:after="120"/>
      </w:pPr>
      <w:r>
        <w:rPr>
          <w:sz w:val="18"/>
        </w:rPr>
        <w:t>——————————————————————————————————————————————————————————————————————</w:t>
      </w:r>
    </w:p>
    <w:p>
      <w:pPr>
        <w:spacing w:before="160" w:after="40" w:line="240" w:lineRule="auto"/>
      </w:pPr>
      <w:r>
        <w:rPr>
          <w:b/>
        </w:rPr>
        <w:t xml:space="preserve">[252] </w:t>
      </w:r>
      <w:hyperlink r:id="rId736">
        <w:r>
          <w:rPr>
            <w:color w:val="1155CC"/>
            <w:u w:val="single"/>
          </w:rPr>
          <w:t>人 RNA m5C 甲基转移酶 NSUN2 的底物选择性</w:t>
        </w:r>
      </w:hyperlink>
    </w:p>
    <w:p>
      <w:pPr>
        <w:spacing w:before="0" w:after="80"/>
      </w:pPr>
      <w:r>
        <w:rPr>
          <w:i/>
          <w:sz w:val="20"/>
        </w:rPr>
        <w:t>EN: Substrate selectivity of the human RNA m5C methyltransferase NSUN2</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37">
        <w:r>
          <w:rPr>
            <w:color w:val="1155CC"/>
            <w:u w:val="single"/>
          </w:rPr>
          <w:t>10.1038/s41586-026-10582-9</w:t>
        </w:r>
      </w:hyperlink>
    </w:p>
    <w:p>
      <w:pPr>
        <w:spacing w:before="0" w:after="120"/>
      </w:pPr>
      <w:r>
        <w:rPr>
          <w:b/>
        </w:rPr>
        <w:t xml:space="preserve">Notes: </w:t>
      </w:r>
      <w:r>
        <w:t>abstract_source=nature_html</w:t>
      </w:r>
    </w:p>
    <w:p>
      <w:pPr>
        <w:spacing w:before="0" w:after="80" w:lineRule="auto" w:line="276"/>
      </w:pPr>
      <w:r>
        <w:rPr>
          <w:b/>
        </w:rPr>
        <w:t xml:space="preserve">摘要（ZH）: </w:t>
      </w:r>
      <w:r>
        <w:t>RNA 修饰的特异性沉积对于调节基因表达非常重要1,2。 5-甲基胞嘧啶（m5C）是一种常见的表观转录组修饰，NSUN2是负责各类RNA m5C甲基化的关键酶。 NSUN2 失调与多种疾病有关，包括癌症和神经系统疾病3。 NSUN2 的多功能性使我们对其底物特异性以及在生物学和疾病中的分子作用的理解变得复杂。在这里，我们展示了 NSUN2 如何在其催化循环的不同阶段与 RNA 底物相互作用以修饰胞苷。此外，我们还展示了 RNA 结构在促进多个 tRNA 位点 NSUN2 活性中的作用。我们将 m5C 修饰位点周围的 RNA 双链体确定为甲基化的关键识别元件，这使我们能够获得最小化的底物，该底物捕获了 NSUN2 底物的首选特征，即在第一个茎的 5' 端包含 CNNRR 基序的双茎结构。深入了解底物特异性 NSUN2 酶活性的机制，为理解和治疗性靶向 NSUN2 依赖性甲基化提供了机会。总的来说，我们的工作强调了 RNA 结构和序列在定义底物特异性和调节 RNA 修饰酶中的作用。</w:t>
      </w:r>
    </w:p>
    <w:p>
      <w:pPr>
        <w:spacing w:before="0" w:after="200" w:lineRule="auto" w:line="276"/>
      </w:pPr>
      <w:r>
        <w:rPr>
          <w:b/>
        </w:rPr>
        <w:t xml:space="preserve">Abstract (EN): </w:t>
      </w:r>
      <w:r>
        <w:t>Specific deposition of RNA modifications is important for regulating gene expression1,2. 5-Methylcytosine (m5C) is a common epitranscriptomic modification, and NSUN2 is a key enzyme responsible for m5C methylation of various types of RNA. Dysregulation of NSUN2 is associated with numerous diseases, including cancers and neurological disorders3. The versatility of NSUN2 complicates our understanding of its substrate specificity and molecular roles in biology and disease. Here we show how NSUN2 interacts with RNA substrates at distinct stages of its catalytic cycle to modify cytidines. Furthermore, we show the role of RNA structure in facilitating NSUN2 activity at multiple tRNA positions. We identify RNA duplexes surrounding the m5C modification site as crucial recognition elements for methylation, which enabled us to derive a minimized substrate that captures the preferred features of an NSUN2 substrate—a dual-stem structure containing the CNNRR motif at the 5′ end of the first stem. Insights into the mechanisms underlying substrate-specific NSUN2 enzymatic activity provide opportunities for understanding and therapeutically targeting NSUN2-dependent methylation. Overall, our work highlights the roles of RNA structure and sequence in defining substrate specificity and regulating RNA-modifying enzymes.</w:t>
      </w:r>
    </w:p>
    <w:p>
      <w:pPr>
        <w:spacing w:before="120" w:after="120"/>
      </w:pPr>
      <w:r>
        <w:rPr>
          <w:sz w:val="18"/>
        </w:rPr>
        <w:t>——————————————————————————————————————————————————————————————————————</w:t>
      </w:r>
    </w:p>
    <w:p>
      <w:pPr>
        <w:spacing w:before="160" w:after="40" w:line="240" w:lineRule="auto"/>
      </w:pPr>
      <w:r>
        <w:rPr>
          <w:b/>
        </w:rPr>
        <w:t xml:space="preserve">[253] </w:t>
      </w:r>
      <w:hyperlink r:id="rId738">
        <w:r>
          <w:rPr>
            <w:color w:val="1155CC"/>
            <w:u w:val="single"/>
          </w:rPr>
          <w:t>哺乳动物衰老和死亡的普遍转录组学特征</w:t>
        </w:r>
      </w:hyperlink>
    </w:p>
    <w:p>
      <w:pPr>
        <w:spacing w:before="0" w:after="80"/>
      </w:pPr>
      <w:r>
        <w:rPr>
          <w:i/>
          <w:sz w:val="20"/>
        </w:rPr>
        <w:t>EN: Universal transcriptomic hallmarks of mammalian ageing and mortality</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39">
        <w:r>
          <w:rPr>
            <w:color w:val="1155CC"/>
            <w:u w:val="single"/>
          </w:rPr>
          <w:t>10.1038/s41586-026-10542-3</w:t>
        </w:r>
      </w:hyperlink>
    </w:p>
    <w:p>
      <w:pPr>
        <w:spacing w:before="0" w:after="120"/>
      </w:pPr>
      <w:r>
        <w:rPr>
          <w:b/>
        </w:rPr>
        <w:t xml:space="preserve">Notes: </w:t>
      </w:r>
      <w:r>
        <w:t>abstract_source=nature_html</w:t>
      </w:r>
    </w:p>
    <w:p>
      <w:pPr>
        <w:spacing w:before="0" w:after="80" w:lineRule="auto" w:line="276"/>
      </w:pPr>
      <w:r>
        <w:rPr>
          <w:b/>
        </w:rPr>
        <w:t xml:space="preserve">摘要（ZH）: </w:t>
      </w:r>
      <w:r>
        <w:t>衰老和干预措施会调节健康和死亡率1，但这种调节的潜在分子机制仍不清楚。在这里，我们整合了来自 4 种哺乳动物（小鼠、大鼠、猕猴和人类）超过 25 个组织的 11,000 多个转录组，以开发准确、可解释的啮齿动物和多物种生物标志物，包括实际年龄和预期死亡率，预测寿命调节干预措施、死亡时间、慢性疾病和返老还童。与衰老相关的变化在物种和细胞类型中是保守的，揭示了哺乳动物衰老和死亡率的普遍转录组特征，包括CDKN1A和LGALS3，其蛋白质水平也与英国生物银行的死亡率和多发病相关。与死亡相关的特征在体内和体外损伤累积模型中得到重现，包括炎症、复制性衰老、代谢抑制和γ-辐射，并通过细胞永生化、重编程、异时共生和早期胚胎发生来减弱或逆转。网络分析揭示了衰老和死亡相关标志的模块化结构，包括炎症、干扰素信号传导、线粒体功能、染色质修饰和细胞外基质组织。为了量化单个细胞成分的衰老，我们开发了模块特异性时钟，揭示了干预措施的通路特异性效应：慢性疾病主要加速炎症模块衰老，而热量限制和 Klotho（也称为 Kl）缺乏则针对线粒体和 m</w:t>
      </w:r>
    </w:p>
    <w:p>
      <w:pPr>
        <w:spacing w:before="0" w:after="200" w:lineRule="auto" w:line="276"/>
      </w:pPr>
      <w:r>
        <w:rPr>
          <w:b/>
        </w:rPr>
        <w:t xml:space="preserve">Abstract (EN): </w:t>
      </w:r>
      <w:r>
        <w:t>Ageing and interventions modulate health and mortality1, yet the underlying molecular mechanisms of this modulation remain unclear. Here we integrate more than 11,000 transcriptomes from more than 25 tissues across 4 mammals (mouse, rat, macaque and human) to develop accurate, interpretable rodent and multi-species biomarkers of chronological age and expected mortality, predicting lifespan-modulating interventions, time to death, chronic diseases and rejuvenation. Ageing-related changes were conserved across species and cell types, revealing universal transcriptomic signatures of mammalian ageing and mortality, including CDKN1A and LGALS3, whose protein levels were also associated with mortality and multimorbidity in UK Biobank. Mortality-associated features were recapitulated across in vivo and in vitro damage-accumulation models, including inflammation, replicative senescence, metabolic inhibition and γ-irradiation, and were attenuated or reversed by cell immortalization, reprogramming, heterochronic parabiosis and early embryogenesis. Network analysis uncovered a modular architecture of ageing- and mortality-associated hallmarks, encompassing inflammation, interferon signalling, mitochondrial function, chromatin modification and extracellular matrix organization. To quantify ageing of individual cellular components, we developed module-specific clocks, which revealed pathway-specific effects of interventions: chronic diseases primarily accelerated inflammatory-module ageing, whereas caloric restriction and Klotho (also known as Kl) deficiency targeted mitochondrial and metabolic modules. Transcriptomic and DNA methylation clocks showed correlated age acceleration in human blood, which was strongest for the chromatin-associated module clock, highlighting mechanistic links between molecular ageing modalities. This study reveals conserved signatures and a modular architecture of mortality regulation, providing a framework for quantifying and targeting ageing of cellular subsystems across species and tissues.</w:t>
      </w:r>
    </w:p>
    <w:p>
      <w:pPr>
        <w:spacing w:before="120" w:after="120"/>
      </w:pPr>
      <w:r>
        <w:rPr>
          <w:sz w:val="18"/>
        </w:rPr>
        <w:t>——————————————————————————————————————————————————————————————————————</w:t>
      </w:r>
    </w:p>
    <w:p>
      <w:pPr>
        <w:spacing w:before="160" w:after="40" w:line="240" w:lineRule="auto"/>
      </w:pPr>
      <w:r>
        <w:rPr>
          <w:b/>
        </w:rPr>
        <w:t xml:space="preserve">[254] </w:t>
      </w:r>
      <w:hyperlink r:id="rId740">
        <w:r>
          <w:rPr>
            <w:color w:val="1155CC"/>
            <w:u w:val="single"/>
          </w:rPr>
          <w:t>世界变暖，全球冰雹损害的可能性不断上升</w:t>
        </w:r>
      </w:hyperlink>
    </w:p>
    <w:p>
      <w:pPr>
        <w:spacing w:before="0" w:after="80"/>
      </w:pPr>
      <w:r>
        <w:rPr>
          <w:i/>
          <w:sz w:val="20"/>
        </w:rPr>
        <w:t>EN: Rising global hail damage potential in a warming world</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41">
        <w:r>
          <w:rPr>
            <w:color w:val="1155CC"/>
            <w:u w:val="single"/>
          </w:rPr>
          <w:t>10.1038/s41586-026-10543-2</w:t>
        </w:r>
      </w:hyperlink>
    </w:p>
    <w:p>
      <w:pPr>
        <w:spacing w:before="0" w:after="120"/>
      </w:pPr>
      <w:r>
        <w:rPr>
          <w:b/>
        </w:rPr>
        <w:t xml:space="preserve">Notes: </w:t>
      </w:r>
      <w:r>
        <w:t>abstract_source=nature_html</w:t>
      </w:r>
    </w:p>
    <w:p>
      <w:pPr>
        <w:spacing w:before="0" w:after="80" w:lineRule="auto" w:line="276"/>
      </w:pPr>
      <w:r>
        <w:rPr>
          <w:b/>
        </w:rPr>
        <w:t xml:space="preserve">摘要（ZH）: </w:t>
      </w:r>
      <w:r>
        <w:t>人为气候变化 (ACC) 预计将改变强对流风暴及其相关危害，包括冰雹，冰雹是与天气相关的经济损失的主要驱动因素1,2,3,4。尽管有一些关于冰雹对 ACC 响应的研究，但大多数研究都集中在区域尺度的变化2,3,4,5,6,7,8,9，而全球尺度的冰雹大小评估仍然很少。在这里，我们显示，到 21 世纪末，全球冰雹造成的损害潜力增加了 36.5-42.1%，其幅度由排放情景决定。我们的结果来自在历史和未来情景下进行的冰雹轨迹模拟，由 EC-Earth3 集合输出 10 驱动，这些输出通过多模型比较进行交叉验证。在全球范围内，低层温度和比湿度的增加导致冰雹尺寸增大，直径≥30毫米的冰雹频率增加了37.9-51.8%，</w:t>
      </w:r>
    </w:p>
    <w:p>
      <w:pPr>
        <w:spacing w:before="0" w:after="200" w:lineRule="auto" w:line="276"/>
      </w:pPr>
      <w:r>
        <w:rPr>
          <w:b/>
        </w:rPr>
        <w:t xml:space="preserve">Abstract (EN): </w:t>
      </w:r>
      <w:r>
        <w:t>Anthropogenic climate change (ACC) is expected to modify severe convective storms and their associated hazards, including hailstorms, a primary driver of weather-related economic losses1,2,3,4. Despite some research on the response of hailstorms to ACC, most studies have focused on regional-scale changes2,3,4,5,6,7,8,9, whereas global-scale assessments of hailstone size remain scarce. Here we show a 36.5–42.1% increase in global hailstorm-induced damage potential by the late twenty-first century, with the magnitude determined by the emission scenario. Our results arise from hailstone trajectory simulations conducted under historical and future scenarios, driven by EC-Earth3 ensemble outputs10 that are cross-validated through multimodel comparisons. Globally, increased low-level temperature and specific humidity drive a shift towards larger hailstones, with the frequency of ≥30-mm-diameter hailstones rising by 37.9–51.8% and</w:t>
      </w:r>
    </w:p>
    <w:p>
      <w:pPr>
        <w:spacing w:before="120" w:after="120"/>
      </w:pPr>
      <w:r>
        <w:rPr>
          <w:sz w:val="18"/>
        </w:rPr>
        <w:t>——————————————————————————————————————————————————————————————————————</w:t>
      </w:r>
    </w:p>
    <w:p>
      <w:pPr>
        <w:spacing w:before="160" w:after="40" w:line="240" w:lineRule="auto"/>
      </w:pPr>
      <w:r>
        <w:rPr>
          <w:b/>
        </w:rPr>
        <w:t xml:space="preserve">[255] </w:t>
      </w:r>
      <w:hyperlink r:id="rId742">
        <w:r>
          <w:rPr>
            <w:color w:val="1155CC"/>
            <w:u w:val="single"/>
          </w:rPr>
          <w:t>反氢基态超精细分裂的 4 ppm 测量</w:t>
        </w:r>
      </w:hyperlink>
    </w:p>
    <w:p>
      <w:pPr>
        <w:spacing w:before="0" w:after="80"/>
      </w:pPr>
      <w:r>
        <w:rPr>
          <w:i/>
          <w:sz w:val="20"/>
        </w:rPr>
        <w:t>EN: Four ppm measurement of the antihydrogen ground-state hyperfine splitting</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43">
        <w:r>
          <w:rPr>
            <w:color w:val="1155CC"/>
            <w:u w:val="single"/>
          </w:rPr>
          <w:t>10.1038/s41586-026-10556-x</w:t>
        </w:r>
      </w:hyperlink>
    </w:p>
    <w:p>
      <w:pPr>
        <w:spacing w:before="0" w:after="120"/>
      </w:pPr>
      <w:r>
        <w:rPr>
          <w:b/>
        </w:rPr>
        <w:t xml:space="preserve">Notes: </w:t>
      </w:r>
      <w:r>
        <w:t>abstract_source=nature_html</w:t>
      </w:r>
    </w:p>
    <w:p>
      <w:pPr>
        <w:spacing w:before="0" w:after="80" w:lineRule="auto" w:line="276"/>
      </w:pPr>
      <w:r>
        <w:rPr>
          <w:b/>
        </w:rPr>
        <w:t xml:space="preserve">摘要（ZH）: </w:t>
      </w:r>
      <w:r>
        <w:t>氢原子是量子理论基础、演化和前沿的试金石1,2,3,4,5,6,7,8,9。该原子的关键谱线已被极其精确地确定10,11。我们的研究重点是反氢的研究，即氢的反物质对应物。我们通过对这些原子系统的精确比较来测试自然的基本对称性（例如同时电荷共轭、奇偶校验反转和时间反转或 CPT 对称性）12。最近对捕获的反氢进行的 1S-2S 光谱测量已达到万亿分之一的相对精度（参考文献 13,14）。然而，对反质子内部结构敏感的基态超精细分裂仅测量到百万分之 400 (ppm)。在这里，我们报告了反氢基态超精细分裂能 a1S 的 4 ppm 测量结果，将最先进的精度15提高了两个数量级。通过大约 24,000 个反原子的微波光谱实验，我们确定 {a}_{1{\rm{S}}}/h=\mathrm{1,420,404.8}\pm 1.1(\mathrm{stat.})\pm 5.6\,(\mathrm{sys.})\,\text{kHz}{a}_{1{\rm{S}}}/h=\mathrm{1,420,404.8}\pm 1.1(\mathrm{stat.})\pm 5.6\,(\mathrm{sys.})\,\text{kHz} 在 1-T 磁场中，与氢11 的预期一致。在这个水平上，我们的测量对反质子的内部结构很敏感，其贡献约为 40 ppm，接近现有理论分析的极限16。我们报告的成果是磁阱场控制、稳定性和稳定性方面显着进步的产物。</w:t>
      </w:r>
    </w:p>
    <w:p>
      <w:pPr>
        <w:spacing w:before="0" w:after="200" w:lineRule="auto" w:line="276"/>
      </w:pPr>
      <w:r>
        <w:rPr>
          <w:b/>
        </w:rPr>
        <w:t xml:space="preserve">Abstract (EN): </w:t>
      </w:r>
      <w:r>
        <w:t>The hydrogen atom is a touchstone for the foundations, evolution and frontiers of quantum theory1,2,3,4,5,6,7,8,9. Key spectral lines of this atom have been determined to remarkable precision10,11. Our research focuses on the study of antihydrogen, the antimatter counterpart of hydrogen. We test fundamental symmetries of nature (such as simultaneous charge conjugation, parity inversion, and time reversal or CPT symmetry) through precision comparisons of these atomic systems12. Recent 1S–2S spectroscopic measurements on trapped antihydrogen have achieved relative precisions of parts per trillion (refs. 13,14). However, the ground-state hyperfine splitting, which is sensitive to the internal structure of the antiproton, has only been measured to 400 parts per million (ppm). Here we report a 4 ppm measurement of the antihydrogen ground-state hyperfine splitting energy a1S, advancing the state-of-the-art precision15 by two orders of magnitude. From microwave spectroscopy experiments with roughly 24,000 anti-atoms, we determine {a}_{1{\rm{S}}}/h=\mathrm{1,420,404.8}\pm 1.1(\mathrm{stat.})\pm 5.6\,(\mathrm{sys.})\,\text{kHz}{a}_{1{\rm{S}}}/h=\mathrm{1,420,404.8}\pm 1.1(\mathrm{stat.})\pm 5.6\,(\mathrm{sys.})\,\text{kHz} in a 1-T magnetic field, consistent with expectations for hydrogen11. At this level, our measurement is sensitive to the internal structure of the antiproton, which contributes at about 40 ppm and is approaching the limit of existing theoretical analyses16. The gains we report are the product of marked advances in magnetic trap field control, stabilization and characterization; anti-atom spin-state manipulation; and improved antihydrogen accumulation rate17.</w:t>
      </w:r>
    </w:p>
    <w:p>
      <w:pPr>
        <w:spacing w:before="120" w:after="120"/>
      </w:pPr>
      <w:r>
        <w:rPr>
          <w:sz w:val="18"/>
        </w:rPr>
        <w:t>——————————————————————————————————————————————————————————————————————</w:t>
      </w:r>
    </w:p>
    <w:p>
      <w:pPr>
        <w:spacing w:before="160" w:after="40" w:line="240" w:lineRule="auto"/>
      </w:pPr>
      <w:r>
        <w:rPr>
          <w:b/>
        </w:rPr>
        <w:t xml:space="preserve">[256] </w:t>
      </w:r>
      <w:hyperlink r:id="rId744">
        <w:r>
          <w:rPr>
            <w:color w:val="1155CC"/>
            <w:u w:val="single"/>
          </w:rPr>
          <w:t>使用环形纳米传感器阵列进行化学流出成像，用于原位膀胱癌检测</w:t>
        </w:r>
      </w:hyperlink>
    </w:p>
    <w:p>
      <w:pPr>
        <w:spacing w:before="0" w:after="80"/>
      </w:pPr>
      <w:r>
        <w:rPr>
          <w:i/>
          <w:sz w:val="20"/>
        </w:rPr>
        <w:t>EN: Chemical efflux imaging using an annular nanosensor array for in situ bladder cancer detection</w:t>
      </w:r>
    </w:p>
    <w:p>
      <w:pPr>
        <w:spacing w:before="0" w:after="120"/>
      </w:pPr>
      <w:r>
        <w:rPr>
          <w:b/>
        </w:rPr>
        <w:t xml:space="preserve">Source: </w:t>
      </w:r>
      <w:r>
        <w:t>Nature Nanotechnology</w:t>
      </w:r>
      <w:r>
        <w:t xml:space="preserve">    </w:t>
      </w:r>
      <w:r>
        <w:rPr>
          <w:b/>
        </w:rPr>
        <w:t xml:space="preserve">Pub date: </w:t>
      </w:r>
      <w:r>
        <w:t>2026-05-27 00:00:00+00:00</w:t>
      </w:r>
      <w:r>
        <w:t xml:space="preserve">    </w:t>
      </w:r>
      <w:r>
        <w:rPr>
          <w:b/>
        </w:rPr>
        <w:t xml:space="preserve">DOI: </w:t>
      </w:r>
      <w:hyperlink r:id="rId745">
        <w:r>
          <w:rPr>
            <w:color w:val="1155CC"/>
            <w:u w:val="single"/>
          </w:rPr>
          <w:t>10.1038/s41565-026-02172-7</w:t>
        </w:r>
      </w:hyperlink>
    </w:p>
    <w:p>
      <w:pPr>
        <w:spacing w:before="0" w:after="120"/>
      </w:pPr>
      <w:r>
        <w:rPr>
          <w:b/>
        </w:rPr>
        <w:t xml:space="preserve">Notes: </w:t>
      </w:r>
      <w:r>
        <w:t>abstract_source=nature_html</w:t>
      </w:r>
    </w:p>
    <w:p>
      <w:pPr>
        <w:spacing w:before="0" w:after="80" w:lineRule="auto" w:line="276"/>
      </w:pPr>
      <w:r>
        <w:rPr>
          <w:b/>
        </w:rPr>
        <w:t xml:space="preserve">摘要（ZH）: </w:t>
      </w:r>
      <w:r>
        <w:t>由于样品稀释和人体外不稳定，检测提取的生物体液（例如尿液中的膀胱癌生物标志物）中的分析物具有挑战性。在这里，我们展示了一个嫁接到标准生物医学导管上的环形纳米传感器阵列，它能够从组织隔室或管腔空间内进行三维化学流出成像。该平台将近红外荧光单壁碳纳米管与导管集成在一起，利用球透镜扫描光学装置进行化学信号映射。我们开发基于磷脂共聚物的纳米传感器，可选择性检测核基质蛋白 (NMP-22)（膀胱癌的生物标志物）。结果显示六种膀胱癌细胞系和健康成纤维细胞的细胞凋亡之间存在差异的传感器反应。纳米传感器功能化导管可追踪吉西他滨刺激的细胞死亡并监测体外蛋白质流出。我们使用该平台演示了事件化学通量的空间成像，实现了复杂组织和器官中生物标志物源的定位，与提取的生物流体采样相比，信号增强了 182 倍。作为一种应用，配备旋转球透镜的导管对猪膀胱进行化学成像，检测最远 2 厘米外的生物标志物流出，凸显了其作为即时诊断工具的潜力。</w:t>
      </w:r>
    </w:p>
    <w:p>
      <w:pPr>
        <w:spacing w:before="0" w:after="200" w:lineRule="auto" w:line="276"/>
      </w:pPr>
      <w:r>
        <w:rPr>
          <w:b/>
        </w:rPr>
        <w:t xml:space="preserve">Abstract (EN): </w:t>
      </w:r>
      <w:r>
        <w:t>Detection of analytes in extracted biofluids, such as urine for bladder cancer biomarkers, is challenging owing to sample dilution and instability outside the human body. Here we demonstrate an annular nanosensor array grafted onto a standard biomedical catheter, which enables three-dimensional chemical efflux imaging from within a tissue compartment or luminal space. This platform integrates near-infrared fluorescent single-walled carbon nanotubes with the catheter, leveraging a ball-lens scanning optical device for chemical signal mapping. We develop nanosensors based on a phospholipid copolymer that selectively detect nuclear matrix protein (NMP-22), a biomarker for bladder cancer. The results show differential sensor responses between apoptosis in six bladder cancer cell lines and healthy fibroblast cells. Nanosensor-functionalized catheters track gemcitabine-stimulated cell death and monitor protein efflux in vitro. We demonstrate spatial imaging of incident chemical flux using this platform, achieving localization of biomarker sources in complex tissues and organs with 182-fold signal enhancement compared with extracted biofluid sampling. As an application, the catheter equipped with a rotating ball lens chemically images porcine bladders, detecting biomarker efflux up to 2 cm away, highlighting its potential as a point-of-care diagnostic tool.</w:t>
      </w:r>
    </w:p>
    <w:p>
      <w:pPr>
        <w:spacing w:before="120" w:after="120"/>
      </w:pPr>
      <w:r>
        <w:rPr>
          <w:sz w:val="18"/>
        </w:rPr>
        <w:t>——————————————————————————————————————————————————————————————————————</w:t>
      </w:r>
    </w:p>
    <w:p>
      <w:pPr>
        <w:spacing w:before="160" w:after="40" w:line="240" w:lineRule="auto"/>
      </w:pPr>
      <w:r>
        <w:rPr>
          <w:b/>
        </w:rPr>
        <w:t xml:space="preserve">[257] </w:t>
      </w:r>
      <w:hyperlink r:id="rId746">
        <w:r>
          <w:rPr>
            <w:color w:val="1155CC"/>
            <w:u w:val="single"/>
          </w:rPr>
          <w:t>人工智能响应中的能源使用</w:t>
        </w:r>
      </w:hyperlink>
    </w:p>
    <w:p>
      <w:pPr>
        <w:spacing w:before="0" w:after="80"/>
      </w:pPr>
      <w:r>
        <w:rPr>
          <w:i/>
          <w:sz w:val="20"/>
        </w:rPr>
        <w:t>EN: Energy use in AI responses</w:t>
      </w:r>
    </w:p>
    <w:p>
      <w:pPr>
        <w:spacing w:before="0" w:after="120"/>
      </w:pPr>
      <w:r>
        <w:rPr>
          <w:b/>
        </w:rPr>
        <w:t xml:space="preserve">Source: </w:t>
      </w:r>
      <w:r>
        <w:t>Nature Energy</w:t>
      </w:r>
      <w:r>
        <w:t xml:space="preserve">    </w:t>
      </w:r>
      <w:r>
        <w:rPr>
          <w:b/>
        </w:rPr>
        <w:t xml:space="preserve">Pub date: </w:t>
      </w:r>
      <w:r>
        <w:t>2026-05-27 00:00:00+00:00</w:t>
      </w:r>
      <w:r>
        <w:t xml:space="preserve">    </w:t>
      </w:r>
      <w:r>
        <w:rPr>
          <w:b/>
        </w:rPr>
        <w:t xml:space="preserve">DOI: </w:t>
      </w:r>
      <w:hyperlink r:id="rId747">
        <w:r>
          <w:rPr>
            <w:color w:val="1155CC"/>
            <w:u w:val="single"/>
          </w:rPr>
          <w:t>10.1038/s41560-026-02084-9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[258] </w:t>
      </w:r>
      <w:hyperlink r:id="rId748">
        <w:r>
          <w:rPr>
            <w:color w:val="1155CC"/>
            <w:u w:val="single"/>
          </w:rPr>
          <w:t>控制相分离</w:t>
        </w:r>
      </w:hyperlink>
    </w:p>
    <w:p>
      <w:pPr>
        <w:spacing w:before="0" w:after="80"/>
      </w:pPr>
      <w:r>
        <w:rPr>
          <w:i/>
          <w:sz w:val="20"/>
        </w:rPr>
        <w:t>EN: Controlling phase separation</w:t>
      </w:r>
    </w:p>
    <w:p>
      <w:pPr>
        <w:spacing w:before="0" w:after="120"/>
      </w:pPr>
      <w:r>
        <w:rPr>
          <w:b/>
        </w:rPr>
        <w:t xml:space="preserve">Source: </w:t>
      </w:r>
      <w:r>
        <w:t>Nature Energy</w:t>
      </w:r>
      <w:r>
        <w:t xml:space="preserve">    </w:t>
      </w:r>
      <w:r>
        <w:rPr>
          <w:b/>
        </w:rPr>
        <w:t xml:space="preserve">Pub date: </w:t>
      </w:r>
      <w:r>
        <w:t>2026-05-27 00:00:00+00:00</w:t>
      </w:r>
      <w:r>
        <w:t xml:space="preserve">    </w:t>
      </w:r>
      <w:r>
        <w:rPr>
          <w:b/>
        </w:rPr>
        <w:t xml:space="preserve">DOI: </w:t>
      </w:r>
      <w:hyperlink r:id="rId749">
        <w:r>
          <w:rPr>
            <w:color w:val="1155CC"/>
            <w:u w:val="single"/>
          </w:rPr>
          <w:t>10.1038/s41560-026-02082-x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[259] </w:t>
      </w:r>
      <w:hyperlink r:id="rId750">
        <w:r>
          <w:rPr>
            <w:color w:val="1155CC"/>
            <w:u w:val="single"/>
          </w:rPr>
          <w:t>忽冷忽热的流动</w:t>
        </w:r>
      </w:hyperlink>
    </w:p>
    <w:p>
      <w:pPr>
        <w:spacing w:before="0" w:after="80"/>
      </w:pPr>
      <w:r>
        <w:rPr>
          <w:i/>
          <w:sz w:val="20"/>
        </w:rPr>
        <w:t>EN: Flowing hot and cold</w:t>
      </w:r>
    </w:p>
    <w:p>
      <w:pPr>
        <w:spacing w:before="0" w:after="120"/>
      </w:pPr>
      <w:r>
        <w:rPr>
          <w:b/>
        </w:rPr>
        <w:t xml:space="preserve">Source: </w:t>
      </w:r>
      <w:r>
        <w:t>Nature Energy</w:t>
      </w:r>
      <w:r>
        <w:t xml:space="preserve">    </w:t>
      </w:r>
      <w:r>
        <w:rPr>
          <w:b/>
        </w:rPr>
        <w:t xml:space="preserve">Pub date: </w:t>
      </w:r>
      <w:r>
        <w:t>2026-05-27 00:00:00+00:00</w:t>
      </w:r>
      <w:r>
        <w:t xml:space="preserve">    </w:t>
      </w:r>
      <w:r>
        <w:rPr>
          <w:b/>
        </w:rPr>
        <w:t xml:space="preserve">DOI: </w:t>
      </w:r>
      <w:hyperlink r:id="rId751">
        <w:r>
          <w:rPr>
            <w:color w:val="1155CC"/>
            <w:u w:val="single"/>
          </w:rPr>
          <w:t>10.1038/s41560-026-02083-w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[260] </w:t>
      </w:r>
      <w:hyperlink r:id="rId752">
        <w:r>
          <w:rPr>
            <w:color w:val="1155CC"/>
            <w:u w:val="single"/>
          </w:rPr>
          <w:t>中国保护区食肉动物范围大范围缩小</w:t>
        </w:r>
      </w:hyperlink>
    </w:p>
    <w:p>
      <w:pPr>
        <w:spacing w:before="0" w:after="80"/>
      </w:pPr>
      <w:r>
        <w:rPr>
          <w:i/>
          <w:sz w:val="20"/>
        </w:rPr>
        <w:t>EN: Widespread range contraction of carnivores in protected areas of China</w:t>
      </w:r>
    </w:p>
    <w:p>
      <w:pPr>
        <w:spacing w:before="0" w:after="120"/>
      </w:pPr>
      <w:r>
        <w:rPr>
          <w:b/>
        </w:rPr>
        <w:t xml:space="preserve">Source: </w:t>
      </w:r>
      <w:r>
        <w:t>Nature Sustainability</w:t>
      </w:r>
      <w:r>
        <w:t xml:space="preserve">    </w:t>
      </w:r>
      <w:r>
        <w:rPr>
          <w:b/>
        </w:rPr>
        <w:t xml:space="preserve">Pub date: </w:t>
      </w:r>
      <w:r>
        <w:t>2026-05-27 00:00:00+00:00</w:t>
      </w:r>
      <w:r>
        <w:t xml:space="preserve">    </w:t>
      </w:r>
      <w:r>
        <w:rPr>
          <w:b/>
        </w:rPr>
        <w:t xml:space="preserve">DOI: </w:t>
      </w:r>
      <w:hyperlink r:id="rId753">
        <w:r>
          <w:rPr>
            <w:color w:val="1155CC"/>
            <w:u w:val="single"/>
          </w:rPr>
          <w:t>10.1038/s41893-026-01855-2</w:t>
        </w:r>
      </w:hyperlink>
    </w:p>
    <w:p>
      <w:pPr>
        <w:spacing w:before="0" w:after="120"/>
      </w:pPr>
      <w:r>
        <w:rPr>
          <w:b/>
        </w:rPr>
        <w:t xml:space="preserve">Notes: </w:t>
      </w:r>
      <w:r>
        <w:t>abstract_source=nature_html</w:t>
      </w:r>
    </w:p>
    <w:p>
      <w:pPr>
        <w:spacing w:before="0" w:after="80" w:lineRule="auto" w:line="276"/>
      </w:pPr>
      <w:r>
        <w:rPr>
          <w:b/>
        </w:rPr>
        <w:t xml:space="preserve">摘要（ZH）: </w:t>
      </w:r>
      <w:r>
        <w:t>保护区 (PA) 是生物多样性保护的基石，栖息着顶级捕食者等关键哺乳动物物种，这些物种对于维持营养级联至关重要，并有助于增强生态系统的恢复力。然而，保护区是否保存了历史上的野生动物组合仍然很难量化，这主要是由于缺乏历史和当前时期的可比数据。在这里，我们使用了 20 世纪 50 年代和 1970 年代历史调查的综合数据，以及基于 2008 年至 2021 年间中国 85 个保护区的 8,300 个相机陷阱的当前调查数据，来评估 82 种大中型哺乳动物的活动范围收缩。我们发现食肉动物从 59.4% 的历史遗址中消失，这一比例远高于观察到的有蹄类动物 (37.2%)。此外，虽然52.9%的保护区保留了超过70%的有蹄类动物，但超过70%的保护区失去了一半以上的肉食动物物种，中国南方的保护区是活动范围缩小的热点地区，特别是体型较大、世代长度较短的食肉动物物种。我们的研究结果表明，与历史时期相比，中国保护区的食肉动物范围出现了广泛的缩小，这主要是由大规模人为干扰和人类与野生动物冲突的遗留影响驱动的，因此需要在栖息地保护的同时采取措施维持和恢复食肉动物的历史组合。</w:t>
      </w:r>
    </w:p>
    <w:p>
      <w:pPr>
        <w:spacing w:before="0" w:after="200" w:lineRule="auto" w:line="276"/>
      </w:pPr>
      <w:r>
        <w:rPr>
          <w:b/>
        </w:rPr>
        <w:t xml:space="preserve">Abstract (EN): </w:t>
      </w:r>
      <w:r>
        <w:t>Protected areas (PAs) are cornerstones of biodiversity conservation, harbouring key mammal species such as apex predators that are important in maintaining trophic cascades and contribute to ecosystem resilience. However, whether PAs have preserved historical wildlife assemblages remains poorly quantified, mainly due to a lack of comparable data from historical and current periods. Here we used comprehensive data from historical investigations during the 1950s and 1970s, as well as current surveys based on 8,300 camera traps between 2008 and 2021 across 85 PAs in China, to assess range contractions of 82 large- and medium-bodied mammals. We found that carnivores disappeared from 59.4% of their historical sites, a rate much higher than that observed in ungulates (37.2%). Moreover, while 52.9% of PAs retained more than 70% of their ungulate species, over 70% of PAs lost over half of their carnivore species, with PAs in southern China being range contraction hotspots, particularly for carnivore species with larger body sizes and shorter generation lengths. Our findings reveal widespread range contraction of carnivores in China’s PAs compared with historical periods, driven primarily by legacy effects of large-scale anthropogenic disturbances and human–wildlife conflict, necessitating initiatives to maintain and restore historical assemblages of carnivores alongside habitat protection.</w:t>
      </w:r>
    </w:p>
    <w:p>
      <w:pPr>
        <w:spacing w:before="120" w:after="120"/>
      </w:pPr>
      <w:r>
        <w:rPr>
          <w:sz w:val="18"/>
        </w:rPr>
        <w:t>——————————————————————————————————————————————————————————————————————</w:t>
      </w:r>
    </w:p>
    <w:p>
      <w:pPr>
        <w:spacing w:before="160" w:after="40" w:line="240" w:lineRule="auto"/>
      </w:pPr>
      <w:r>
        <w:rPr>
          <w:b/>
        </w:rPr>
        <w:t xml:space="preserve">[261] </w:t>
      </w:r>
      <w:hyperlink r:id="rId754">
        <w:r>
          <w:rPr>
            <w:color w:val="1155CC"/>
            <w:u w:val="single"/>
          </w:rPr>
          <w:t>观察激子同步</w:t>
        </w:r>
      </w:hyperlink>
    </w:p>
    <w:p>
      <w:pPr>
        <w:spacing w:before="0" w:after="80"/>
      </w:pPr>
      <w:r>
        <w:rPr>
          <w:i/>
          <w:sz w:val="20"/>
        </w:rPr>
        <w:t>EN: Watching excitons synchronize</w:t>
      </w:r>
    </w:p>
    <w:p>
      <w:pPr>
        <w:spacing w:before="0" w:after="120"/>
      </w:pPr>
      <w:r>
        <w:rPr>
          <w:b/>
        </w:rPr>
        <w:t xml:space="preserve">Source: </w:t>
      </w:r>
      <w:r>
        <w:t>Nature Materials</w:t>
      </w:r>
      <w:r>
        <w:t xml:space="preserve">    </w:t>
      </w:r>
      <w:r>
        <w:rPr>
          <w:b/>
        </w:rPr>
        <w:t xml:space="preserve">Pub date: </w:t>
      </w:r>
      <w:r>
        <w:t>2026-05-27 00:00:00+00:00</w:t>
      </w:r>
      <w:r>
        <w:t xml:space="preserve">    </w:t>
      </w:r>
      <w:r>
        <w:rPr>
          <w:b/>
        </w:rPr>
        <w:t xml:space="preserve">DOI: </w:t>
      </w:r>
      <w:hyperlink r:id="rId755">
        <w:r>
          <w:rPr>
            <w:color w:val="1155CC"/>
            <w:u w:val="single"/>
          </w:rPr>
          <w:t>10.1038/s41563-026-02618-2</w:t>
        </w:r>
      </w:hyperlink>
    </w:p>
    <w:p>
      <w:pPr>
        <w:spacing w:before="0" w:after="120"/>
      </w:pPr>
      <w:r>
        <w:rPr>
          <w:b/>
        </w:rPr>
        <w:t xml:space="preserve">Notes: </w:t>
      </w:r>
      <w:r>
        <w:t>abstract_source=nature_html</w:t>
      </w:r>
    </w:p>
    <w:p>
      <w:pPr>
        <w:spacing w:before="0" w:after="80" w:lineRule="auto" w:line="276"/>
      </w:pPr>
      <w:r>
        <w:rPr>
          <w:b/>
        </w:rPr>
        <w:t xml:space="preserve">摘要（ZH）: </w:t>
      </w:r>
      <w:r>
        <w:t>层状反铁磁体中激子发射的振荡电场揭示了准粒子如何同步成集体相干性，并表明复杂的多峰光谱可以由自旋和晶格激发动态调制的单个激子共振产生。</w:t>
      </w:r>
    </w:p>
    <w:p>
      <w:pPr>
        <w:spacing w:before="0" w:after="200" w:lineRule="auto" w:line="276"/>
      </w:pPr>
      <w:r>
        <w:rPr>
          <w:b/>
        </w:rPr>
        <w:t xml:space="preserve">Abstract (EN): </w:t>
      </w:r>
      <w:r>
        <w:t>The oscillating electric field emitted by excitons in layered antiferromagnets reveals how quasiparticles synchronize into collective coherence and shows that a complex multi-peak spectrum can arise from a single excitonic resonance dynamically modulated by spin and lattice excitations.</w:t>
      </w:r>
    </w:p>
    <w:p>
      <w:pPr>
        <w:spacing w:before="120" w:after="120"/>
      </w:pPr>
      <w:r>
        <w:rPr>
          <w:sz w:val="18"/>
        </w:rPr>
        <w:t>——————————————————————————————————————————————————————————————————————</w:t>
      </w:r>
    </w:p>
    <w:p>
      <w:pPr>
        <w:spacing w:before="160" w:after="40" w:line="240" w:lineRule="auto"/>
      </w:pPr>
      <w:r>
        <w:rPr>
          <w:b/>
        </w:rPr>
        <w:t xml:space="preserve">[262] </w:t>
      </w:r>
      <w:hyperlink r:id="rId756">
        <w:r>
          <w:rPr>
            <w:color w:val="1155CC"/>
            <w:u w:val="single"/>
          </w:rPr>
          <w:t>作者更正：在干细胞衍生的猴胚胎模型中模拟晚期原肠胚形成</w:t>
        </w:r>
      </w:hyperlink>
    </w:p>
    <w:p>
      <w:pPr>
        <w:spacing w:before="0" w:after="80"/>
      </w:pPr>
      <w:r>
        <w:rPr>
          <w:i/>
          <w:sz w:val="20"/>
        </w:rPr>
        <w:t>EN: Author Correction: Modelling late gastrulation in stem cell-derived monkey embryo models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57">
        <w:r>
          <w:rPr>
            <w:color w:val="1155CC"/>
            <w:u w:val="single"/>
          </w:rPr>
          <w:t>10.1038/s41586-026-10700-7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[263] </w:t>
      </w:r>
      <w:hyperlink r:id="rId758">
        <w:r>
          <w:rPr>
            <w:color w:val="1155CC"/>
            <w:u w:val="single"/>
          </w:rPr>
          <w:t>作者更正：卫星巨型星座将威胁天基天文学</w:t>
        </w:r>
      </w:hyperlink>
    </w:p>
    <w:p>
      <w:pPr>
        <w:spacing w:before="0" w:after="80"/>
      </w:pPr>
      <w:r>
        <w:rPr>
          <w:i/>
          <w:sz w:val="20"/>
        </w:rPr>
        <w:t>EN: Author Correction: Satellite megaconstellations will threaten space-based astronomy</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59">
        <w:r>
          <w:rPr>
            <w:color w:val="1155CC"/>
            <w:u w:val="single"/>
          </w:rPr>
          <w:t>10.1038/s41586-026-10553-0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[264] </w:t>
      </w:r>
      <w:hyperlink r:id="rId760">
        <w:r>
          <w:rPr>
            <w:color w:val="1155CC"/>
            <w:u w:val="single"/>
          </w:rPr>
          <w:t>药物可以预防世界上最致命的癌症吗？</w:t>
        </w:r>
      </w:hyperlink>
    </w:p>
    <w:p>
      <w:pPr>
        <w:spacing w:before="0" w:after="80"/>
      </w:pPr>
      <w:r>
        <w:rPr>
          <w:i/>
          <w:sz w:val="20"/>
        </w:rPr>
        <w:t>EN: Could a pill prevent the world’s deadliest cancer?</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61">
        <w:r>
          <w:rPr>
            <w:color w:val="1155CC"/>
            <w:u w:val="single"/>
          </w:rPr>
          <w:t>10.1038/d41586-026-01382-2</w:t>
        </w:r>
      </w:hyperlink>
    </w:p>
    <w:p>
      <w:pPr>
        <w:spacing w:before="0" w:after="120"/>
      </w:pPr>
      <w:r>
        <w:rPr>
          <w:b/>
        </w:rPr>
        <w:t xml:space="preserve">Notes: </w:t>
      </w:r>
      <w:r>
        <w:t>abstract_source=nature_html</w:t>
      </w:r>
    </w:p>
    <w:p>
      <w:pPr>
        <w:spacing w:before="0" w:after="80" w:lineRule="auto" w:line="276"/>
      </w:pPr>
      <w:r>
        <w:rPr>
          <w:b/>
        </w:rPr>
        <w:t xml:space="preserve">摘要（ZH）: </w:t>
      </w:r>
      <w:r>
        <w:t>“拦截”药物试验希望在肺癌发生之前阻止它。 “拦截”药物试验希望在肺癌发生之前阻止它。</w:t>
      </w:r>
    </w:p>
    <w:p>
      <w:pPr>
        <w:spacing w:before="0" w:after="200" w:lineRule="auto" w:line="276"/>
      </w:pPr>
      <w:r>
        <w:rPr>
          <w:b/>
        </w:rPr>
        <w:t xml:space="preserve">Abstract (EN): </w:t>
      </w:r>
      <w:r>
        <w:t>‘Interception’ drug trials hope to stop lung cancer before it starts. ‘Interception’ drug trials hope to stop lung cancer before it starts.</w:t>
      </w:r>
    </w:p>
    <w:p>
      <w:pPr>
        <w:spacing w:before="120" w:after="120"/>
      </w:pPr>
      <w:r>
        <w:rPr>
          <w:sz w:val="18"/>
        </w:rPr>
        <w:t>——————————————————————————————————————————————————————————————————————</w:t>
      </w:r>
    </w:p>
    <w:p>
      <w:pPr>
        <w:spacing w:before="160" w:after="40" w:line="240" w:lineRule="auto"/>
      </w:pPr>
      <w:r>
        <w:rPr>
          <w:b/>
        </w:rPr>
        <w:t xml:space="preserve">[265] </w:t>
      </w:r>
      <w:hyperlink r:id="rId762">
        <w:r>
          <w:rPr>
            <w:color w:val="1155CC"/>
            <w:u w:val="single"/>
          </w:rPr>
          <w:t>波姆力学仍然没有受到隧道实验的挑战</w:t>
        </w:r>
      </w:hyperlink>
    </w:p>
    <w:p>
      <w:pPr>
        <w:spacing w:before="0" w:after="80"/>
      </w:pPr>
      <w:r>
        <w:rPr>
          <w:i/>
          <w:sz w:val="20"/>
        </w:rPr>
        <w:t>EN: Bohmian mechanics remains unchallenged by tunnelling experiment</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63">
        <w:r>
          <w:rPr>
            <w:color w:val="1155CC"/>
            <w:u w:val="single"/>
          </w:rPr>
          <w:t>10.1038/s41586-026-10450-6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[266] </w:t>
      </w:r>
      <w:hyperlink r:id="rId764">
        <w:r>
          <w:rPr>
            <w:color w:val="1155CC"/>
            <w:u w:val="single"/>
          </w:rPr>
          <w:t>β-Arrestin 缩合物调节 G 蛋白偶联受体功能</w:t>
        </w:r>
      </w:hyperlink>
    </w:p>
    <w:p>
      <w:pPr>
        <w:spacing w:before="0" w:after="80"/>
      </w:pPr>
      <w:r>
        <w:rPr>
          <w:i/>
          <w:sz w:val="20"/>
        </w:rPr>
        <w:t>EN: β-Arrestin condensates regulate G-protein-coupled receptor function</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65">
        <w:r>
          <w:rPr>
            <w:color w:val="1155CC"/>
            <w:u w:val="single"/>
          </w:rPr>
          <w:t>10.1038/s41586-026-10539-y</w:t>
        </w:r>
      </w:hyperlink>
    </w:p>
    <w:p>
      <w:pPr>
        <w:spacing w:before="0" w:after="120"/>
      </w:pPr>
      <w:r>
        <w:rPr>
          <w:b/>
        </w:rPr>
        <w:t xml:space="preserve">Notes: </w:t>
      </w:r>
      <w:r>
        <w:t>abstract_source=nature_html</w:t>
      </w:r>
    </w:p>
    <w:p>
      <w:pPr>
        <w:spacing w:before="0" w:after="80" w:lineRule="auto" w:line="276"/>
      </w:pPr>
      <w:r>
        <w:rPr>
          <w:b/>
        </w:rPr>
        <w:t xml:space="preserve">摘要（ZH）: </w:t>
      </w:r>
      <w:r>
        <w:t>β-抑制蛋白 1 和 2 是多功能衔接蛋白 1，可调节 G 蛋白偶联受体 (GPCR) 的信号传导，GPCR 是最大的一类受体，几乎影响生理学的所有方面，是最常见的药物靶点之一2。尽管 β-抑制蛋白与许多 GPCR 上的多种信号传导效应子相互作用，但尚不清楚 β-抑制蛋白如何促进这些不同的功能。在这里，我们展示了 β-抑制蛋白经历液-液相分离，形成调节 GPCR 功能的冷凝物。我们证明缩合是视觉抑制蛋白和 β-抑制蛋白所特有的，并证明 β-抑制蛋白寡聚化发生在 GPCR 附近，以调节 GPCR 功能，例如内化和信号传导。我们的工作为 β-arrestin 缩合物作为 GPCR 功能调节剂提供了一个范例，其中液-液相分离作为 GPCR 信号区室化的重要促进剂。</w:t>
      </w:r>
    </w:p>
    <w:p>
      <w:pPr>
        <w:spacing w:before="0" w:after="200" w:lineRule="auto" w:line="276"/>
      </w:pPr>
      <w:r>
        <w:rPr>
          <w:b/>
        </w:rPr>
        <w:t xml:space="preserve">Abstract (EN): </w:t>
      </w:r>
      <w:r>
        <w:t>β-Arrestins 1 and 2 are multifunctional adaptor proteins1 that regulate the signalling of G-protein-coupled receptors (GPCRs), the largest class of receptors, which impact nearly all aspects of physiology and are one of the most common drug targets2. Although β-arrestins interact with a wide array of signalling effectors at many GPCRs, it is unclear how β-arrestins promote such varied functions. Here we show that β-arrestins undergo liquid–liquid phase separation, forming condensates that regulate GPCR function. We show that condensation is specific to visual arrestins and β-arrestins, and demonstrate that β-arrestin oligomerization occurs in proximity to the GPCR to regulate GPCR functions such as internalization and signalling. Our work provides a paradigm for β-arrestin condensates as regulators of GPCR function, with liquid–liquid phase separation serving as an important promoter of signalling compartmentalization at GPCRs.</w:t>
      </w:r>
    </w:p>
    <w:p>
      <w:pPr>
        <w:spacing w:before="120" w:after="120"/>
      </w:pPr>
      <w:r>
        <w:rPr>
          <w:sz w:val="18"/>
        </w:rPr>
        <w:t>——————————————————————————————————————————————————————————————————————</w:t>
      </w:r>
    </w:p>
    <w:p>
      <w:pPr>
        <w:spacing w:before="160" w:after="40" w:line="240" w:lineRule="auto"/>
      </w:pPr>
      <w:r>
        <w:rPr>
          <w:b/>
        </w:rPr>
        <w:t xml:space="preserve">[267] </w:t>
      </w:r>
      <w:hyperlink r:id="rId766">
        <w:r>
          <w:rPr>
            <w:color w:val="1155CC"/>
            <w:u w:val="single"/>
          </w:rPr>
          <w:t>人类造血干细胞记住炎症应激</w:t>
        </w:r>
      </w:hyperlink>
    </w:p>
    <w:p>
      <w:pPr>
        <w:spacing w:before="0" w:after="80"/>
      </w:pPr>
      <w:r>
        <w:rPr>
          <w:i/>
          <w:sz w:val="20"/>
        </w:rPr>
        <w:t>EN: Human haematopoietic stem cells remember inflammatory stress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67">
        <w:r>
          <w:rPr>
            <w:color w:val="1155CC"/>
            <w:u w:val="single"/>
          </w:rPr>
          <w:t>10.1038/s41586-026-10522-7</w:t>
        </w:r>
      </w:hyperlink>
    </w:p>
    <w:p>
      <w:pPr>
        <w:spacing w:before="0" w:after="120"/>
      </w:pPr>
      <w:r>
        <w:rPr>
          <w:b/>
        </w:rPr>
        <w:t xml:space="preserve">Notes: </w:t>
      </w:r>
      <w:r>
        <w:t>abstract_source=nature_html</w:t>
      </w:r>
    </w:p>
    <w:p>
      <w:pPr>
        <w:spacing w:before="0" w:after="80" w:lineRule="auto" w:line="276"/>
      </w:pPr>
      <w:r>
        <w:rPr>
          <w:b/>
        </w:rPr>
        <w:t xml:space="preserve">摘要（ZH）: </w:t>
      </w:r>
      <w:r>
        <w:t>炎症会激活血细胞，导致衰老和恶性肿瘤1,2,3。造血干细胞 (HSC) 在感染后可存活一生，以维持终生造血功能 1,2,3,4,5,6,7,8,9，但人类 HSC 如何响应和适应炎症应激尚不清楚。在这里，为了凭经验了解这种适应，我们开发了异种移植炎症恢复模型，并对异种移植的人类 HSC 进行了单细胞多组学研究。两个转录和表观遗传上不同的 HSC 亚群被鉴定出来，其中一个被称为 HSC 炎症记忆 (HSC-iM)，保留了先前炎症治疗的分子记忆。 HSC-iM 子集表现出静止和造血输出受限。从分子角度来看，HSC-iM 项目丰富了来自成人和儿童样本的 HSC，涵盖了从 COVID-19 恢复、镰状细胞病、衰老和克隆造血等各种条件，从而确立了我们异种移植模型的有效性和 HSC-iM 的生理相关性。 HSC-iM 的克隆造血突变通过促进 HSC 激活和分化来减弱炎症应激的影响。此外，在异种移植和生理环境中证实了促炎 HSC-iM 转录程序向分化免疫后代的传递。最后，HSC-iM 程序对循环血细胞的富集与人群队列分析中全因死亡率风险评分的升高相关，强调了这一新确定的 HSC 子集在表征不同人群的异质性健康结果方面的临床相关性。</w:t>
      </w:r>
    </w:p>
    <w:p>
      <w:pPr>
        <w:spacing w:before="0" w:after="200" w:lineRule="auto" w:line="276"/>
      </w:pPr>
      <w:r>
        <w:rPr>
          <w:b/>
        </w:rPr>
        <w:t xml:space="preserve">Abstract (EN): </w:t>
      </w:r>
      <w:r>
        <w:t>Inflammation activates blood cells, contributing to ageing and malignancy1,2,3. Haematopoietic stem cells (HSCs) survive a lifetime of infection to sustain life-long haematopoiesis1,2,3,4,5,6,7,8,9, but how human HSCs respond and adapt to inflammatory stress is largely unknown. Here, to empirically understand this adaptation, we developed xenograft inflammation–recovery models and performed single-cell multiomics on xenografted human HSCs. Two transcriptionally and epigenetically distinct HSC subsets were identified with one, termed HSC inflammatory memory (HSC-iM), retaining a molecular memory of previous inflammatory treatments. The HSC-iM subset exhibited quiescence and restrained haematopoietic output. Molecularly, the HSC-iM program was enriched in HSCs from adult and paediatric samples across conditions ranging from COVID-19 recovery, sickle cell disease, ageing and clonal haematopoiesis, establishing both the validity of our xenograft models and the physiological relevance of HSC-iM. Clonal haematopoiesis mutations in HSC-iM attenuated the effects of inflammatory stress by promoting HSC activation and differentiation. Moreover, transmission of the pro-inflammatory HSC-iM transcriptional program to differentiated immune progeny was demonstrated in xenograft and physiological settings. Finally, HSC-iM program enrichment in circulating blood cells was associated with a heightened risk score for all-cause mortality in population cohort analyses, underscoring the clinical relevance of this newly identified HSC subset in characterizing heterogeneous health outcomes across a lifetime.</w:t>
      </w:r>
    </w:p>
    <w:p>
      <w:pPr>
        <w:spacing w:before="120" w:after="120"/>
      </w:pPr>
      <w:r>
        <w:rPr>
          <w:sz w:val="18"/>
        </w:rPr>
        <w:t>——————————————————————————————————————————————————————————————————————</w:t>
      </w:r>
    </w:p>
    <w:p>
      <w:pPr>
        <w:spacing w:before="160" w:after="40" w:line="240" w:lineRule="auto"/>
      </w:pPr>
      <w:r>
        <w:rPr>
          <w:b/>
        </w:rPr>
        <w:t xml:space="preserve">[268] </w:t>
      </w:r>
      <w:hyperlink r:id="rId768">
        <w:r>
          <w:rPr>
            <w:color w:val="1155CC"/>
            <w:u w:val="single"/>
          </w:rPr>
          <w:t>黑暗和体型塑造白垩纪末海洋灭绝模式</w:t>
        </w:r>
      </w:hyperlink>
    </w:p>
    <w:p>
      <w:pPr>
        <w:spacing w:before="0" w:after="80"/>
      </w:pPr>
      <w:r>
        <w:rPr>
          <w:i/>
          <w:sz w:val="20"/>
        </w:rPr>
        <w:t>EN: Darkness and body size shaped end-Cretaceous marine extinction patterns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69">
        <w:r>
          <w:rPr>
            <w:color w:val="1155CC"/>
            <w:u w:val="single"/>
          </w:rPr>
          <w:t>10.1038/s41586-026-10541-4</w:t>
        </w:r>
      </w:hyperlink>
    </w:p>
    <w:p>
      <w:pPr>
        <w:spacing w:before="0" w:after="120"/>
      </w:pPr>
      <w:r>
        <w:rPr>
          <w:b/>
        </w:rPr>
        <w:t xml:space="preserve">Notes: </w:t>
      </w:r>
      <w:r>
        <w:t>abstract_source=nature_html</w:t>
      </w:r>
    </w:p>
    <w:p>
      <w:pPr>
        <w:spacing w:before="0" w:after="80" w:lineRule="auto" w:line="276"/>
      </w:pPr>
      <w:r>
        <w:rPr>
          <w:b/>
        </w:rPr>
        <w:t xml:space="preserve">摘要（ZH）: </w:t>
      </w:r>
      <w:r>
        <w:t>据认为，希克苏鲁伯小行星撞击白垩纪-古近纪 (K-Pg) 边界（66 Ma）引发灾难性的环境变化，导致化石记录中约 75% 的物种灭绝。然而，尽管进行了数十年的研究，但将环境变化与海洋化石记录中观察到的选择性灭绝模式联系起来的机制仍未解决。在这里，我们使用基于全球特征的生态系统模型2,3来建立化石群体之外的海洋浮游生物群落的这种因果关系。我们的模型模拟了 K-Pg 边界后最初 100 年的多样性动态，并根据与体型成比例的生物量阈值明确表示灭绝。在 K-Pg 气候强迫下，该模型成功再现了观察到的关键灭绝模式，包括浮游有孔虫和其他浮游动物的高度脆弱性、小型混合营养生物 4 和浮游植物 5,6 的生存，以及高纬度环境中减少多样性损失的潜力 7。我们的分析表明，撞击驱动的黑暗和与体型相关的灭绝阈值驱动了大多数观察到的灭绝模式。这些结果表明，浮游生物生态通过能量需求和获取的差异来增强生存。我们的研究弥合了灭绝模式的化石证据与 K-Pg 影响冬季假说之间的差距，强调了基于性状的模型对于理解过去生物多样性危机的价值。</w:t>
      </w:r>
    </w:p>
    <w:p>
      <w:pPr>
        <w:spacing w:before="0" w:after="200" w:lineRule="auto" w:line="276"/>
      </w:pPr>
      <w:r>
        <w:rPr>
          <w:b/>
        </w:rPr>
        <w:t xml:space="preserve">Abstract (EN): </w:t>
      </w:r>
      <w:r>
        <w:t>The Chicxulub asteroid impact at the Cretaceous–Paleogene (K–Pg) boundary (66 Ma) is thought to have caused the extinction of around 75% of species in the fossil record by triggering catastrophic environmental changes1. However, despite decades of research, the mechanisms linking the environmental changes to the selective extinction patterns observed in the marine fossil record remain unresolved. Here we use a global trait-based ecosystem model2,3 to establish this causality for the marine plankton community beyond the fossilized groups. Our model simulates diversity dynamics during the initial 100 years after the K–Pg boundary and represents explicitly extinction based on biomass thresholds that scales with body size. Under K–Pg climatic forcings, the model reproduces successfully key observed extinction patterns, including the high vulnerability of planktic foraminifera and other zooplankton, the survival of small mixotrophs4 and phytoplankton5,6, and potential for reduced diversity loss in high-latitude settings7. Our analysis suggests that impact-driven darkness and body-size-dependent extinction thresholds drove most of the observed extinction patterns. These results suggest that plankton ecologies enhance survival through differences in energy demand and acquisition. Our study bridges the gap between fossil evidence of extinction patterns and the K–Pg impact winter hypothesis, highlighting the value of trait-based models for understanding past biodiversity crises.</w:t>
      </w:r>
    </w:p>
    <w:p>
      <w:pPr>
        <w:spacing w:before="120" w:after="120"/>
      </w:pPr>
      <w:r>
        <w:rPr>
          <w:sz w:val="18"/>
        </w:rPr>
        <w:t>——————————————————————————————————————————————————————————————————————</w:t>
      </w:r>
    </w:p>
    <w:p>
      <w:pPr>
        <w:spacing w:before="160" w:after="40" w:line="240" w:lineRule="auto"/>
      </w:pPr>
      <w:r>
        <w:rPr>
          <w:b/>
        </w:rPr>
        <w:t xml:space="preserve">[269] </w:t>
      </w:r>
      <w:hyperlink r:id="rId770">
        <w:r>
          <w:rPr>
            <w:color w:val="1155CC"/>
            <w:u w:val="single"/>
          </w:rPr>
          <w:t>海马区 CA3 和 CA1 之间的稀疏到密集编码转换</w:t>
        </w:r>
      </w:hyperlink>
    </w:p>
    <w:p>
      <w:pPr>
        <w:spacing w:before="0" w:after="80"/>
      </w:pPr>
      <w:r>
        <w:rPr>
          <w:i/>
          <w:sz w:val="20"/>
        </w:rPr>
        <w:t>EN: Sparse-to-dense coding transformation between hippocampal areas CA3 and CA1</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71">
        <w:r>
          <w:rPr>
            <w:color w:val="1155CC"/>
            <w:u w:val="single"/>
          </w:rPr>
          <w:t>10.1038/s41586-026-10537-0</w:t>
        </w:r>
      </w:hyperlink>
    </w:p>
    <w:p>
      <w:pPr>
        <w:spacing w:before="0" w:after="120"/>
      </w:pPr>
      <w:r>
        <w:rPr>
          <w:b/>
        </w:rPr>
        <w:t xml:space="preserve">Notes: </w:t>
      </w:r>
      <w:r>
        <w:t>abstract_source=nature_html</w:t>
      </w:r>
    </w:p>
    <w:p>
      <w:pPr>
        <w:spacing w:before="0" w:after="80" w:lineRule="auto" w:line="276"/>
      </w:pPr>
      <w:r>
        <w:rPr>
          <w:b/>
        </w:rPr>
        <w:t xml:space="preserve">摘要（ZH）: </w:t>
      </w:r>
      <w:r>
        <w:t>海马体对于空间记忆和导航至关重要。它包含位置细胞 1、2、3、4、5、6、7：在 CA1 和 CA3 区域发现的空间选择性神经元——两个不同的海马亚区域，具有显着不同的解剖连接性8。先前的研究发现 CA1 和 CA3 位置细胞之间的空间编码高度相似3,9,10,11。这就提出了一个问题：为什么形成连续处理阶段的两个子区域会表现出相同的神经编码。在这里，我们假设 CA1 和 CA3 空间编码之间缺乏差异是由于实验范式：使用小竞技场。我们通过同时记录在长达 200 m 的飞行隧道中飞行的蝙蝠的 CA1 和 CA3 神经元来测试这一假设。我们在 CA1 和 CA3 中发现了高度不同的神经编码：CA1 神经元表现出密集的空间编码，由多个位置场组成12，而 CA3 神经元表现出超稀疏的空间编码，主要由单个位置场组成。尽管存在显着差异，但两个次区域之间的场所场大小非常相似，涵盖从 6 m 到 200 m 的 5 种不同环境大小。使用神经网络模型，我们表明这种稀疏到密集的转换可以促进新空间地图的快速学习。我们还发现，在大型多室环境中，位置细胞受到轨迹历史的强烈调节——一种可以持续超过 100 m 的上下文效应（回顾性编码）。通过使用大型自然环境，我们共同确定了 CA3 到 CA1 的编码转换，该转换可以帮助</w:t>
      </w:r>
    </w:p>
    <w:p>
      <w:pPr>
        <w:spacing w:before="0" w:after="200" w:lineRule="auto" w:line="276"/>
      </w:pPr>
      <w:r>
        <w:rPr>
          <w:b/>
        </w:rPr>
        <w:t xml:space="preserve">Abstract (EN): </w:t>
      </w:r>
      <w:r>
        <w:t>The hippocampus is crucial for spatial memory and navigation. It contains place cells1,2,3,4,5,6,7: spatially selective neurons found in areas CA1 and CA3—two distinct hippocampal subregions with substantially different anatomical connectivity8. Previous studies have found highly similar spatial coding between CA1 and CA3 place cells3,9,10,11. This raises the question of why two subregions that form consecutive processing stages would exhibit identical neural coding. Here we hypothesized that the lack of differences between CA1 and CA3 spatial coding is due to the experimental paradigm: using small arenas. We tested this hypothesis by simultaneously recording from CA1 and CA3 neurons in bats flying in flight tunnels up to 200 m in length. We identified highly distinct neural coding in CA1 and CA3: whereas CA1 neurons exhibited dense spatial coding, consisting of multiple place fields12, CA3 neurons exhibited ultrasparse spatial coding, consisting predominantly of single place fields. Despite this marked difference, the sizes of place fields were very similar between the two subregions, across 5 different environment sizes ranging from 6 m to 200 m. Using a neural-network model, we show that such a sparse-to-dense transformation can facilitate fast learning of new spatial maps. We also found that in a large multicompartment environment, place cells were strongly modulated by trajectory history—a contextual effect (retrospective coding) that could last for over 100 m. Together, by using large naturalistic environments, we identified a CA3-to-CA1 coding transformation that serves to reformat spatial information into a more efficient, compressed neural code.</w:t>
      </w:r>
    </w:p>
    <w:p>
      <w:pPr>
        <w:spacing w:before="120" w:after="120"/>
      </w:pPr>
      <w:r>
        <w:rPr>
          <w:sz w:val="18"/>
        </w:rPr>
        <w:t>——————————————————————————————————————————————————————————————————————</w:t>
      </w:r>
    </w:p>
    <w:p>
      <w:pPr>
        <w:spacing w:before="160" w:after="40" w:line="240" w:lineRule="auto"/>
      </w:pPr>
      <w:r>
        <w:rPr>
          <w:b/>
        </w:rPr>
        <w:t xml:space="preserve">[270] </w:t>
      </w:r>
      <w:hyperlink r:id="rId772">
        <w:r>
          <w:rPr>
            <w:color w:val="1155CC"/>
            <w:u w:val="single"/>
          </w:rPr>
          <w:t>非洲和亚洲儿童性剥削和性虐待的技术调解</w:t>
        </w:r>
      </w:hyperlink>
    </w:p>
    <w:p>
      <w:pPr>
        <w:spacing w:before="0" w:after="80"/>
      </w:pPr>
      <w:r>
        <w:rPr>
          <w:i/>
          <w:sz w:val="20"/>
        </w:rPr>
        <w:t>EN: Technology mediation in child sexual exploitation and abuse in Africa and Asia</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73">
        <w:r>
          <w:rPr>
            <w:color w:val="1155CC"/>
            <w:u w:val="single"/>
          </w:rPr>
          <w:t>10.1038/s41586-026-10525-4</w:t>
        </w:r>
      </w:hyperlink>
    </w:p>
    <w:p>
      <w:pPr>
        <w:spacing w:before="0" w:after="120"/>
      </w:pPr>
      <w:r>
        <w:rPr>
          <w:b/>
        </w:rPr>
        <w:t xml:space="preserve">Notes: </w:t>
      </w:r>
      <w:r>
        <w:t>abstract_source=nature_html</w:t>
      </w:r>
    </w:p>
    <w:p>
      <w:pPr>
        <w:spacing w:before="0" w:after="80" w:lineRule="auto" w:line="276"/>
      </w:pPr>
      <w:r>
        <w:rPr>
          <w:b/>
        </w:rPr>
        <w:t xml:space="preserve">摘要（ZH）: </w:t>
      </w:r>
      <w:r>
        <w:t>随着数字化接触在全球儿童中迅速普及，技术促成的儿童性剥削和性虐待 (CSEA)，包括在线诱骗、性诱惑、未经同意的图像共享和性勒索，已成为紧迫但未经充分审查的数字危害类别1。尽管政策越来越关注网络安全，但证据仍然有限，特别是在世界上大多数儿童居住的低收入和中等收入国家2。我们分析了 2020-2021 年通过 Disrupting Harm 项目收集的东非、南部非洲和东南亚 12 个国家的 11,912 名 12-17 岁儿童的全国代表性调查数据。我们发现，六分之一的使用互联网的儿童至少经历过一种技术辅助的 CSEA，相当于超过 1000 万儿童。尽管规模如此之大，但许多经历并未被披露，这表明披露是数字时代保护的关键途径。当孩子们确实举报时，他们主要依靠非正式渠道，尤其是朋友，而不是警察或求助热线等正式报告机制。使用考虑跨国异质性的贝叶斯分层模型，我们发现年龄较大的孩子不太可能披露信息，而父母对在线活动的调解以及儿童在性骚扰或性侵犯后知道去哪里寻求帮助与较高的披露率相关。这些发现提供了人口层面的证据，为低收入和中等收入国家的预防和应对提供信息，这些国家采取协调一致的行动</w:t>
      </w:r>
    </w:p>
    <w:p>
      <w:pPr>
        <w:spacing w:before="0" w:after="200" w:lineRule="auto" w:line="276"/>
      </w:pPr>
      <w:r>
        <w:rPr>
          <w:b/>
        </w:rPr>
        <w:t xml:space="preserve">Abstract (EN): </w:t>
      </w:r>
      <w:r>
        <w:t>As digital access expands rapidly among children worldwide, technology-facilitated child sexual exploitation and abuse (CSEA), including online grooming, sexual solicitation, non-consensual image sharing and sexual extortion, has emerged as urgent yet underexamined category of digital harms1. Despite growing policy attention to online safety, evidence remains limited, particularly in low- and middle-income countries, where most of the world’s children live2. We analysed nationally representative survey data from 11,912 children aged 12–17 years across 12 countries in eastern and southern Africa and Southeast Asia, collected through the Disrupting Harm project in 2020–2021. We found that one in six internet-using children experienced at least one form of technology-facilitated CSEA, equivalent to over 10 million children. Despite this scale, many experiences went undisclosed, pointing to disclosure as a critical pathway for protection in the digital age. When children did disclose, they relied primarily on informal channels, especially friends, rather than formal reporting mechanisms such as police or helplines. Using Bayesian hierarchical models accounting for cross-country heterogeneity, we find that older children were less likely to disclose, whereas enabling parental mediation of online activities and children’s knowledge of where to seek help after sexual harassment or assault were associated with higher rates of disclosure. These findings provide population-level evidence to inform prevention and response across low- and middle-income countries, where coordinated action by policymakers, law enforcement and technology companies is urgently needed to protect all children.</w:t>
      </w:r>
    </w:p>
    <w:p>
      <w:pPr>
        <w:spacing w:before="120" w:after="120"/>
      </w:pPr>
      <w:r>
        <w:rPr>
          <w:sz w:val="18"/>
        </w:rPr>
        <w:t>——————————————————————————————————————————————————————————————————————</w:t>
      </w:r>
    </w:p>
    <w:p>
      <w:pPr>
        <w:spacing w:before="160" w:after="40" w:line="240" w:lineRule="auto"/>
      </w:pPr>
      <w:r>
        <w:rPr>
          <w:b/>
        </w:rPr>
        <w:t xml:space="preserve">[271] </w:t>
      </w:r>
      <w:hyperlink r:id="rId774">
        <w:r>
          <w:rPr>
            <w:color w:val="1155CC"/>
            <w:u w:val="single"/>
          </w:rPr>
          <w:t>αKG 介导的肉碱合成通过组蛋白乙酰化驱动 DNA 修复</w:t>
        </w:r>
      </w:hyperlink>
    </w:p>
    <w:p>
      <w:pPr>
        <w:spacing w:before="0" w:after="80"/>
      </w:pPr>
      <w:r>
        <w:rPr>
          <w:i/>
          <w:sz w:val="20"/>
        </w:rPr>
        <w:t>EN: αKG-mediated carnitine synthesis drives DNA repair via histone acetylation</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75">
        <w:r>
          <w:rPr>
            <w:color w:val="1155CC"/>
            <w:u w:val="single"/>
          </w:rPr>
          <w:t>10.1038/s41586-026-10584-7</w:t>
        </w:r>
      </w:hyperlink>
    </w:p>
    <w:p>
      <w:pPr>
        <w:spacing w:before="0" w:after="120"/>
      </w:pPr>
      <w:r>
        <w:rPr>
          <w:b/>
        </w:rPr>
        <w:t xml:space="preserve">Notes: </w:t>
      </w:r>
      <w:r>
        <w:t>abstract_source=nature_html</w:t>
      </w:r>
    </w:p>
    <w:p>
      <w:pPr>
        <w:spacing w:before="0" w:after="80" w:lineRule="auto" w:line="276"/>
      </w:pPr>
      <w:r>
        <w:rPr>
          <w:b/>
        </w:rPr>
        <w:t xml:space="preserve">摘要（ZH）: </w:t>
      </w:r>
      <w:r>
        <w:t>同源重组 (HR) 缺陷会增加对常用于治疗癌症的 DNA 损伤剂的敏感性1。在 HR 丰富的癌症中，驱动对 DNA 损伤剂的反应或抵抗的代谢机制仍不清楚。 Here we have identified that depletion of α-ketoglutarate (αKG) sensitizes HR-proficient cells to DNA-damaging agents by metabolic regulation of histone acetylation. αKG is required for the activity of αKG-dependent dioxygenases2 (αKGDDs), and previous work has focused almost exclusively on the demethylase functions of αKGDD. Using a targeted CRISPR knockout library consisting of 64 αKGDDs, we discovered that trimethyllysine hydroxylase epsilon (TMLHE), the first and rate-limiting enzyme in de novo carnitine synthesis, is necessary for the survival of HR-proficient cells in the presence of DNA-damaging agents. Unexpectedly, αKG-mediated TMLHE-dependent carnitine synthesis was required for histone acetylation and was non-redundant with other nucleo-cytosolic acetyl-CoA-generating pathways. The increase in histone acetylation by means of the αKG–carnitine axis promoted HR-mediated DNA repair through site-specific histone acetylation. Finally, we observed a positive correlation between TMLHE and histone acetylation in patient samples and found that high TMLHE or acetylcarnitine correlates with worse progression-free survival in patients treated with DNA-damaging agents. This study demonstrates for the first time, to our knowledge, that αKG affects site-specific histone acetylation and provides a mechanism of HR proficiency through</w:t>
      </w:r>
    </w:p>
    <w:p>
      <w:pPr>
        <w:spacing w:before="0" w:after="200" w:lineRule="auto" w:line="276"/>
      </w:pPr>
      <w:r>
        <w:rPr>
          <w:b/>
        </w:rPr>
        <w:t xml:space="preserve">Abstract (EN): </w:t>
      </w:r>
      <w:r>
        <w:t>Homologous recombination (HR) deficiency increases sensitivity to DNA-damaging agents that are commonly used to treat cancer1. In HR-proficient cancers, the metabolic mechanisms that drive response or resistance to DNA-damaging agents remain unclear. Here we have identified that depletion of α-ketoglutarate (αKG) sensitizes HR-proficient cells to DNA-damaging agents by metabolic regulation of histone acetylation. αKG is required for the activity of αKG-dependent dioxygenases2 (αKGDDs), and previous work has focused almost exclusively on the demethylase functions of αKGDD. Using a targeted CRISPR knockout library consisting of 64 αKGDDs, we discovered that trimethyllysine hydroxylase epsilon (TMLHE), the first and rate-limiting enzyme in de novo carnitine synthesis, is necessary for the survival of HR-proficient cells in the presence of DNA-damaging agents. Unexpectedly, αKG-mediated TMLHE-dependent carnitine synthesis was required for histone acetylation and was non-redundant with other nucleo-cytosolic acetyl-CoA-generating pathways. The increase in histone acetylation by means of the αKG–carnitine axis promoted HR-mediated DNA repair through site-specific histone acetylation. Finally, we observed a positive correlation between TMLHE and histone acetylation in patient samples and found that high TMLHE or acetylcarnitine correlates with worse progression-free survival in patients treated with DNA-damaging agents. This study demonstrates for the first time, to our knowledge, that αKG affects site-specific histone acetylation and provides a mechanism of HR proficiency through carnitine synthesis. Moreover, these data provide a metabolic avenue for inducing HR deficiency and promoting sensitivity to DNA-damaging agents.</w:t>
      </w:r>
    </w:p>
    <w:p>
      <w:pPr>
        <w:spacing w:before="120" w:after="120"/>
      </w:pPr>
      <w:r>
        <w:rPr>
          <w:sz w:val="18"/>
        </w:rPr>
        <w:t>——————————————————————————————————————————————————————————————————————</w:t>
      </w:r>
    </w:p>
    <w:p>
      <w:pPr>
        <w:spacing w:before="160" w:after="40" w:line="240" w:lineRule="auto"/>
      </w:pPr>
      <w:r>
        <w:rPr>
          <w:b/>
        </w:rPr>
        <w:t xml:space="preserve">[272] </w:t>
      </w:r>
      <w:hyperlink r:id="rId776">
        <w:r>
          <w:rPr>
            <w:color w:val="1155CC"/>
            <w:u w:val="single"/>
          </w:rPr>
          <w:t>原肠胚形成后人类胚胎的时空转录组图谱</w:t>
        </w:r>
      </w:hyperlink>
    </w:p>
    <w:p>
      <w:pPr>
        <w:spacing w:before="0" w:after="80"/>
      </w:pPr>
      <w:r>
        <w:rPr>
          <w:i/>
          <w:sz w:val="20"/>
        </w:rPr>
        <w:t>EN: Spatiotemporal transcriptome atlas of human embryos after gastrulation</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77">
        <w:r>
          <w:rPr>
            <w:color w:val="1155CC"/>
            <w:u w:val="single"/>
          </w:rPr>
          <w:t>10.1038/s41586-026-10545-0</w:t>
        </w:r>
      </w:hyperlink>
    </w:p>
    <w:p>
      <w:pPr>
        <w:spacing w:before="0" w:after="120"/>
      </w:pPr>
      <w:r>
        <w:rPr>
          <w:b/>
        </w:rPr>
        <w:t xml:space="preserve">Notes: </w:t>
      </w:r>
      <w:r>
        <w:t>abstract_source=nature_html</w:t>
      </w:r>
    </w:p>
    <w:p>
      <w:pPr>
        <w:spacing w:before="0" w:after="80" w:lineRule="auto" w:line="276"/>
      </w:pPr>
      <w:r>
        <w:rPr>
          <w:b/>
        </w:rPr>
        <w:t xml:space="preserve">摘要（ZH）: </w:t>
      </w:r>
      <w:r>
        <w:t>人类早期胚胎发育过程中基因表达的综合时空图谱对于深入了解胚胎发生1、器官发生2和疾病起源3、4至关重要。在这里，我们利用 Stereo-seq 技术，生成了 13 个全人类胚胎（从卡内基阶段 12 到 23）的 77 个矢状切片的空间转录组图谱，与单核 RNA 测序相结合，以阐明特定细胞背景下的基因表达模式，揭示驱动器官特异性分化的细胞异质性。我们的研究已经建立了 50 个器官和 198 个子结构发育的调控概况，并确定了潜在的组织身份调控因子。值得注意的是，它揭示了心脏和大脑发育中以前未表征的基因功能。该图谱不仅证实和完善了当前对人体器官发育的理解，而且还强调了易受遗传性疾病影响的关键器官。此外，我们还表征了不同发育阶段特定器官内等位基因的表达。这项工作为每个空间定义的细胞群提供了全基因组基因表达谱的全面汇编，可以将其可视化为胚胎转录景观的空间显示。这些结果为人类器官发生的时空转录组动力学数据提供了最彻底的描述。</w:t>
      </w:r>
    </w:p>
    <w:p>
      <w:pPr>
        <w:spacing w:before="0" w:after="200" w:lineRule="auto" w:line="276"/>
      </w:pPr>
      <w:r>
        <w:rPr>
          <w:b/>
        </w:rPr>
        <w:t xml:space="preserve">Abstract (EN): </w:t>
      </w:r>
      <w:r>
        <w:t>The comprehensive spatiotemporal atlas of gene expression during early human embryonic development is critical for insights into embryogenesis1, organogenesis2 and disease origins3,4. Here, leveraging Stereo-seq technology, we generated spatial transcriptomic profiles across 77 sagittal sections of 13 whole-human embryos ranging from Carnegie stage 12 to 23, integrated with single-nucleus RNA sequencing to elucidate gene expression patterns within defined cellular contexts, revealing the cellular heterogeneity that drives organ-specific differentiation. Our study has established a regulatory profile for the development of 50 organs and 198 substructures, and identified potential tissue-identity regulators. Of note, it uncovered previously uncharacterized gene functions in cardiac and brain development. The atlas not only substantiates and refines the current understanding of human organ development but also highlights key organs susceptible to genetic disorders. Furthermore, we characterized the allelic gene expression within specific organs at different developmental stages. This work presents a comprehensive compilation of genome-wide gene expression profiles for each spatially defined cell population, which can be visualized as a spatial display of the embryonic transcriptional landscape. These results offer the most thorough delineation to data of the spatiotemporal transcriptomic dynamics of human organogenesis.</w:t>
      </w:r>
    </w:p>
    <w:p>
      <w:pPr>
        <w:spacing w:before="120" w:after="120"/>
      </w:pPr>
      <w:r>
        <w:rPr>
          <w:sz w:val="18"/>
        </w:rPr>
        <w:t>——————————————————————————————————————————————————————————————————————</w:t>
      </w:r>
    </w:p>
    <w:p>
      <w:pPr>
        <w:spacing w:before="160" w:after="40" w:line="240" w:lineRule="auto"/>
      </w:pPr>
      <w:r>
        <w:rPr>
          <w:b/>
        </w:rPr>
        <w:t xml:space="preserve">[273] </w:t>
      </w:r>
      <w:hyperlink r:id="rId778">
        <w:r>
          <w:rPr>
            <w:color w:val="1155CC"/>
            <w:u w:val="single"/>
          </w:rPr>
          <w:t>重新设计算法以干预全国选举期间的社会规范误解</w:t>
        </w:r>
      </w:hyperlink>
    </w:p>
    <w:p>
      <w:pPr>
        <w:spacing w:before="0" w:after="80"/>
      </w:pPr>
      <w:r>
        <w:rPr>
          <w:i/>
          <w:sz w:val="20"/>
        </w:rPr>
        <w:t>EN: Redesigning algorithms to intervene on social norm misperceptions during a national election</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79">
        <w:r>
          <w:rPr>
            <w:color w:val="1155CC"/>
            <w:u w:val="single"/>
          </w:rPr>
          <w:t>10.1038/s41586-026-10536-1</w:t>
        </w:r>
      </w:hyperlink>
    </w:p>
    <w:p>
      <w:pPr>
        <w:spacing w:before="0" w:after="120"/>
      </w:pPr>
      <w:r>
        <w:rPr>
          <w:b/>
        </w:rPr>
        <w:t xml:space="preserve">Notes: </w:t>
      </w:r>
      <w:r>
        <w:t>abstract_source=nature_html</w:t>
      </w:r>
    </w:p>
    <w:p>
      <w:pPr>
        <w:spacing w:before="0" w:after="80" w:lineRule="auto" w:line="276"/>
      </w:pPr>
      <w:r>
        <w:rPr>
          <w:b/>
        </w:rPr>
        <w:t xml:space="preserve">摘要（ZH）: </w:t>
      </w:r>
      <w:r>
        <w:t>历史上第一次，公民话语普遍出现在数字环境中，其中算法影响社会信息的暴露1,2。了解这些算法是否以及如何影响政治话语变得越来越重要3,4,5。在这里，我们构建了自定义的 feed 排名算法，可以完全控制其功能，并随机分配 2,000 名参与者使用它们 8 周（2024 年美国总统大选前后）。我们测试了基于参与的算法（在主要社交媒体平台上使用6,7）是否会放大群体间、道德化和情感（IME）信息，从而扭曲对政治对话周围社会规范的看法5,8，以及它是否增加了对IME内容的参与和对党派敌意的看法（与按时间倒序排列的反馈相比9,10）。我们还开发并测试了“多元化极端”算法，以减少极端用户的影响11,12,13，提高社会规范感知的准确性14,15,16并减少党派仇恨的感知。我们发现，相对于逆时间顺序的提要，基于参与的提要放大了 IME 和有毒内容，其中道德义愤和政治内容的增幅最大。基于参与度的信息流还降低了规范性规范感知的准确性（尽管是朝着意想不到的方向），并增加了感知到的党派敌意。然而，它们并没有显着改变用户自己的参与行为。多样化的肢体算法减少了 IME 和有毒内容暴露，提高了规范标准的准确性，同时保持了可比的 p</w:t>
      </w:r>
    </w:p>
    <w:p>
      <w:pPr>
        <w:spacing w:before="0" w:after="200" w:lineRule="auto" w:line="276"/>
      </w:pPr>
      <w:r>
        <w:rPr>
          <w:b/>
        </w:rPr>
        <w:t xml:space="preserve">Abstract (EN): </w:t>
      </w:r>
      <w:r>
        <w:t>For the first time in history, civic discourse commonly occurs in digital environments in which algorithms influence exposure to social information1,2. It is increasingly important to understand whether and how these algorithms affect political discourse3,4,5. Here we built custom feed-ranking algorithms with full control over their features, and randomly assigned 2,000 participants to use them for 8 weeks (before and after the 2024 US presidential election). We tested whether an engagement-based algorithm (used on major social media platforms6,7) amplifies intergroup, moralized and emotional (IME) information in ways that skew perceptions of social norms around political dialogue5,8, and whether it increased engagement with IME content and perceptions of partisan animosity (compared with a reverse-chronological feed9,10). We also developed and tested a ‘diversified extremity’ algorithm to reduce the influence of extreme users11,12,13 to improve the accuracy of social norm perception14,15,16 and reduce perceptions of partisan animosity. We found that engagement-based feeds amplified IME and toxic content relative to reverse-chronological feeds, with the largest increases in moral outrage and political content. Engagement-based feeds also reduced prescriptive norm perception accuracy (albeit in an unexpected direction) and increased perceived partisan animosity. However, they did not significantly alter users’ own engagement behaviours. The diversified extremity algorithm reduced IME and toxic content exposure, improved prescriptive norm accuracy, yet maintained comparable platform enjoyment—suggesting that reducing the influence of extreme users can curb algorithmic distortions without diminishing user experience.protocol registration The Stage 1 protocol for this Registered Report was accepted in principle on 17 September 2024. The protocol, as accepted by the journal, can be found at https://osf.io/c9a3m.</w:t>
      </w:r>
    </w:p>
    <w:p>
      <w:pPr>
        <w:spacing w:before="120" w:after="120"/>
      </w:pPr>
      <w:r>
        <w:rPr>
          <w:sz w:val="18"/>
        </w:rPr>
        <w:t>——————————————————————————————————————————————————————————————————————</w:t>
      </w:r>
    </w:p>
    <w:p>
      <w:pPr>
        <w:spacing w:before="160" w:after="40" w:line="240" w:lineRule="auto"/>
      </w:pPr>
      <w:r>
        <w:rPr>
          <w:b/>
        </w:rPr>
        <w:t xml:space="preserve">[274] </w:t>
      </w:r>
      <w:hyperlink r:id="rId780">
        <w:r>
          <w:rPr>
            <w:color w:val="1155CC"/>
            <w:u w:val="single"/>
          </w:rPr>
          <w:t>实验随机性放大</w:t>
        </w:r>
      </w:hyperlink>
    </w:p>
    <w:p>
      <w:pPr>
        <w:spacing w:before="0" w:after="80"/>
      </w:pPr>
      <w:r>
        <w:rPr>
          <w:i/>
          <w:sz w:val="20"/>
        </w:rPr>
        <w:t>EN: Experimental randomness amplification</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81">
        <w:r>
          <w:rPr>
            <w:color w:val="1155CC"/>
            <w:u w:val="single"/>
          </w:rPr>
          <w:t>10.1038/s41586-026-10521-8</w:t>
        </w:r>
      </w:hyperlink>
    </w:p>
    <w:p>
      <w:pPr>
        <w:spacing w:before="0" w:after="120"/>
      </w:pPr>
      <w:r>
        <w:rPr>
          <w:b/>
        </w:rPr>
        <w:t xml:space="preserve">Notes: </w:t>
      </w:r>
      <w:r>
        <w:t>abstract_source=nature_html</w:t>
      </w:r>
    </w:p>
    <w:p>
      <w:pPr>
        <w:spacing w:before="0" w:after="80" w:lineRule="auto" w:line="276"/>
      </w:pPr>
      <w:r>
        <w:rPr>
          <w:b/>
        </w:rPr>
        <w:t xml:space="preserve">摘要（ZH）: </w:t>
      </w:r>
      <w:r>
        <w:t>Realistic quantum information processing devices are inherently imperfect, leading to computational errors that require quantum error correction. Likewise, random bits generated by such devices are flawed and must be enhanced to be usable for applications such as generating cryptographic keys.随机性质量的增强是通过称为随机性放大的协议来实现的。在这里，我们报告了实施此类协议的实验。随机放大与设备无关，不对量子设备的内部工作原理做出任何假设。 It requires executing a loophole-free Bell test2,3,4 within a specific parameter regime that involves both a high Bell violation and a high repetition rate. The experimental demonstration is made possible by a combination of theoretical advances, which allow for protocols with an experimentally realistic parameter regime, and experimental progress that achieves this regime with superconducting circuits.至关重要的是，随机性放大已被证明通过纯粹的经典方法是不可能的5。因此，该实验展示了明确的量子优势——利用量子技术来完成经典信息处理无法完成的任务。</w:t>
      </w:r>
    </w:p>
    <w:p>
      <w:pPr>
        <w:spacing w:before="0" w:after="200" w:lineRule="auto" w:line="276"/>
      </w:pPr>
      <w:r>
        <w:rPr>
          <w:b/>
        </w:rPr>
        <w:t xml:space="preserve">Abstract (EN): </w:t>
      </w:r>
      <w:r>
        <w:t>Realistic quantum information processing devices are inherently imperfect, leading to computational errors that require quantum error correction. Likewise, random bits generated by such devices are flawed and must be enhanced to be usable for applications such as generating cryptographic keys. This enhancement of randomness quality is achieved through a protocol known as randomness amplification1. Here we report on an experiment that implements such a protocol. Randomness amplification is device-independent, making no assumptions about the internal workings of the quantum devices. It requires executing a loophole-free Bell test2,3,4 within a specific parameter regime that involves both a high Bell violation and a high repetition rate. The experimental demonstration is made possible by a combination of theoretical advances, which allow for protocols with an experimentally realistic parameter regime, and experimental progress that achieves this regime with superconducting circuits. Crucially, randomness amplification has been proven to be impossible by purely classical means5. This experiment therefore demonstrates a definitive quantum advantage—leveraging quantum technology to accomplish a task unattainable by classical information processing.</w:t>
      </w:r>
    </w:p>
    <w:p>
      <w:pPr>
        <w:spacing w:before="120" w:after="120"/>
      </w:pPr>
      <w:r>
        <w:rPr>
          <w:sz w:val="18"/>
        </w:rPr>
        <w:t>——————————————————————————————————————————————————————————————————————</w:t>
      </w:r>
    </w:p>
    <w:p>
      <w:pPr>
        <w:spacing w:before="160" w:after="40" w:line="240" w:lineRule="auto"/>
      </w:pPr>
      <w:r>
        <w:rPr>
          <w:b/>
        </w:rPr>
        <w:t xml:space="preserve">[275] </w:t>
      </w:r>
      <w:hyperlink r:id="rId782">
        <w:r>
          <w:rPr>
            <w:color w:val="1155CC"/>
            <w:u w:val="single"/>
          </w:rPr>
          <w:t>通过生物分子缩合进行细胞水势传感</w:t>
        </w:r>
      </w:hyperlink>
    </w:p>
    <w:p>
      <w:pPr>
        <w:spacing w:before="0" w:after="80"/>
      </w:pPr>
      <w:r>
        <w:rPr>
          <w:i/>
          <w:sz w:val="20"/>
        </w:rPr>
        <w:t>EN: Cellular water-potential sensing through biomolecular condensation</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83">
        <w:r>
          <w:rPr>
            <w:color w:val="1155CC"/>
            <w:u w:val="single"/>
          </w:rPr>
          <w:t>10.1038/s41586-026-10591-8</w:t>
        </w:r>
      </w:hyperlink>
    </w:p>
    <w:p>
      <w:pPr>
        <w:spacing w:before="0" w:after="120"/>
      </w:pPr>
      <w:r>
        <w:rPr>
          <w:b/>
        </w:rPr>
        <w:t xml:space="preserve">Notes: </w:t>
      </w:r>
      <w:r>
        <w:t>abstract_source=nature_html</w:t>
      </w:r>
    </w:p>
    <w:p>
      <w:pPr>
        <w:spacing w:before="0" w:after="80" w:lineRule="auto" w:line="276"/>
      </w:pPr>
      <w:r>
        <w:rPr>
          <w:b/>
        </w:rPr>
        <w:t xml:space="preserve">摘要（ZH）: </w:t>
      </w:r>
      <w:r>
        <w:t>水分子作为生物分子的溶剂，对细胞至关重要。在缺水条件下，细胞的水势会降低1,2，但细胞如何感知水势的变化仍然未知。在这里，我们鉴定了一种含有无菌α基序（SAM）的蛋白质SAM8，它在体内和体外都会经历水势依赖性缩合，对于高渗胁迫耐受性和种子发芽至关重要。我们使用生物物理技术、体外重构和生物成像来证明 SAM8 在正常水条件下具有很强的水合性，从而防止其宏观凝结。带负电的贴片通过创建电场和微极性环境来确定 SAM8 水合作用。缺水条件会削弱这种水合作用，从而通过重新编程氢键、静电和疏水相互作用来激活 SAM8 缩合。此外，我们证明 SAM8 缩合物选择性地隔离 RNA 输出因子，导致 mRNA 的核保留和高渗应激下的翻译重编程。我们的研究结果揭示了植物细胞直接感知和响应水分状况的机制，揭示了它们如何适应缺水条件。</w:t>
      </w:r>
    </w:p>
    <w:p>
      <w:pPr>
        <w:spacing w:before="0" w:after="200" w:lineRule="auto" w:line="276"/>
      </w:pPr>
      <w:r>
        <w:rPr>
          <w:b/>
        </w:rPr>
        <w:t xml:space="preserve">Abstract (EN): </w:t>
      </w:r>
      <w:r>
        <w:t>Water molecules, as solvents for biomolecules, are essential to cells. The water potential of the cell decreases under water-deficient conditions1,2, yet how cells sense changes in water potential remains unknown. Here we identify a sterile alpha motif (SAM)-containing protein, SAM8, that undergoes water-potential-dependent condensation both in vivo and in vitro and is crucial for hyperosmotic stress tolerance and seed germination. We use biophysical techniques, in vitro reconstitution and bioimaging to demonstrate that SAM8 is strongly hydrated under normal water conditions, preventing its macroscopic condensation. A negatively charged patch determines SAM8 hydration by creating an electric field and micropolar environment. Water-deficient conditions weaken this hydration, thereby activating SAM8 condensation by reprogramming hydrogen bond, electrostatic and hydrophobic interactions. Furthermore, we demonstrate that SAM8 condensates selectively sequester RNA export factors, leading to nuclear retention of mRNAs and translational reprogramming under hyperosmotic stress. Our findings show a mechanism by which plant cells directly sense and respond to water status, shedding light on how they adapt to water deficit conditions.</w:t>
      </w:r>
    </w:p>
    <w:p>
      <w:pPr>
        <w:spacing w:before="120" w:after="120"/>
      </w:pPr>
      <w:r>
        <w:rPr>
          <w:sz w:val="18"/>
        </w:rPr>
        <w:t>——————————————————————————————————————————————————————————————————————</w:t>
      </w:r>
    </w:p>
    <w:p>
      <w:pPr>
        <w:spacing w:before="160" w:after="40" w:line="240" w:lineRule="auto"/>
      </w:pPr>
      <w:r>
        <w:rPr>
          <w:b/>
        </w:rPr>
        <w:t xml:space="preserve">[276] </w:t>
      </w:r>
      <w:hyperlink r:id="rId784">
        <w:r>
          <w:rPr>
            <w:color w:val="1155CC"/>
            <w:u w:val="single"/>
          </w:rPr>
          <w:t>迁移学习揭示了城市空气和地表温度之间的巨大差异</w:t>
        </w:r>
      </w:hyperlink>
    </w:p>
    <w:p>
      <w:pPr>
        <w:spacing w:before="0" w:after="80"/>
      </w:pPr>
      <w:r>
        <w:rPr>
          <w:i/>
          <w:sz w:val="20"/>
        </w:rPr>
        <w:t>EN: Transfer learning reveals large discrepancies between air and land surface temperatures in cities</w:t>
      </w:r>
    </w:p>
    <w:p>
      <w:pPr>
        <w:spacing w:before="0" w:after="120"/>
      </w:pPr>
      <w:r>
        <w:rPr>
          <w:b/>
        </w:rPr>
        <w:t xml:space="preserve">Source: </w:t>
      </w:r>
      <w:r>
        <w:t>Earth and environmental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由于缺乏真正的城市气象站而导致数据匮乏，对城市天气和极端事件的了解仍然受到严重限制。因此，从遥感平台获得的地表温度（Ts）已被广泛用作近地表气温（Ta）的替代品，尽管它们存在根本差异，特别是在城市地区。尽管 Ts 为研究城市热环境提供了重要的科学见解和实际实用性，但这种替代可能会带来很大的不确定性和与影响相关的城市热压力的刻画偏差。在这里，我们开发了一个城市迁移学习框架（U-TL）来解决这一关键差距，并提供美国本土（CONUS）大范围的城市高分辨率气温（U-HAT）数据。即使训练数据有限，U-TL 在预测城市 Ta 方面也表现出很高的准确性和很强的鲁棒性。由此产生的 U-HAT 是一个高分辨率的城市 Ta 数据集，能够准确地再现观测到的、成熟的城市气候学。 U-HAT 揭示了 Ts-Ta 的巨大差异，因此警告使用 Ts 来表征城市热量。我们表明，卫星测量的 Ts 大大高估了城市热应力强度和城市内空间变异性，这对城市热暴露、脆弱性和适应政策的制定产生了重大影响。</w:t>
      </w:r>
    </w:p>
    <w:p>
      <w:pPr>
        <w:spacing w:before="0" w:after="200" w:lineRule="auto" w:line="276"/>
      </w:pPr>
      <w:r>
        <w:rPr>
          <w:b/>
        </w:rPr>
        <w:t xml:space="preserve">Abstract (EN): </w:t>
      </w:r>
      <w:r>
        <w:t>Understanding of urban weather and extreme events remains severely limited by data poverty resulting from a dearth of true urban weather stations. As a result, land surface temperature (Ts), obtained from remote sensing platforms, has been widely used as a stand-in for near-surface air temperature (Ta) despite their fundamental differences, especially in urban areas. Although Ts provides important scientific insights and practical utility for studying the urban thermal environment, this substitution risks introducing large uncertainties and biased characterization of impact-relevant urban heat stress. Here we develop an urban transfer-learning framework (U-TL) to address this critical gap and to provide urban high-resolution air temperature (U-HAT) data at large scales across the contiguous United States (CONUS). U-TL demonstrates high accuracy and strong robustness in predicting urban Ta, even with limited training data. The resulting U-HAT is a high-resolution urban Ta dataset capable of accurately reproducing observed and well-established urban climatology. U-HAT reveals substantial Ts–Ta discrepancies and therefore cautions the use of Ts to characterize urban heat. We show that satellite-measured Ts substantially overestimates both urban heat stress magnitude and intra-city spatial variability, which have consequential implications for urban heat exposure, vulnerability, and adaptation policy making.</w:t>
      </w:r>
    </w:p>
    <w:p>
      <w:pPr>
        <w:spacing w:before="120" w:after="120"/>
      </w:pPr>
      <w:r>
        <w:rPr>
          <w:sz w:val="18"/>
        </w:rPr>
        <w:t>——————————————————————————————————————————————————————————————————————</w:t>
      </w:r>
    </w:p>
    <w:p>
      <w:pPr>
        <w:spacing w:before="160" w:after="40" w:line="240" w:lineRule="auto"/>
      </w:pPr>
      <w:r>
        <w:rPr>
          <w:b/>
        </w:rPr>
        <w:t xml:space="preserve">[277] </w:t>
      </w:r>
      <w:hyperlink r:id="rId785">
        <w:r>
          <w:rPr>
            <w:color w:val="1155CC"/>
            <w:u w:val="single"/>
          </w:rPr>
          <w:t>抑制恶性疟原虫 MDR1 的结构和机制见解</w:t>
        </w:r>
      </w:hyperlink>
    </w:p>
    <w:p>
      <w:pPr>
        <w:spacing w:before="0" w:after="80"/>
      </w:pPr>
      <w:r>
        <w:rPr>
          <w:i/>
          <w:sz w:val="20"/>
        </w:rPr>
        <w:t>EN: Structural and mechanistic insights into the inhibition of Plasmodium falciparum MDR1</w:t>
      </w:r>
    </w:p>
    <w:p>
      <w:pPr>
        <w:spacing w:before="0" w:after="120"/>
      </w:pPr>
      <w:r>
        <w:rPr>
          <w:b/>
        </w:rPr>
        <w:t xml:space="preserve">Source: </w:t>
      </w:r>
      <w:r>
        <w:t>Biological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由恶性疟原虫引起的疟疾仍然是全球健康的重大威胁，多重耐药性对治疗构成了重大挑战。 P-糖蛋白同源恶性疟原虫多药耐药蛋白 1 (PfMDR1) 是甲氟喹 (MFQ) 和氯喹等一线抗疟药物耐药的关键决定因素。 ACT-451840是一种临床I期药物，已被开发为抗疟候选药物，但其作用机制以及与耐药标记物的相互作用仍有待充分了解。 Here, we present the cryo-electron microscopy structure of PfMDR1 in complex with ACT-451840, determined at a resolution of 3.42 Å.该结构揭示了 ACT-451840 结合在中央腔内，并将 PfMDR1 锁定在向内开放的构象中，抑制其基础 ATP 酶活性。 ACT-451840 结合状态与之前报道的 MFQ 结合状态的结构比较为 ACT-451840 抗性突变如何导致 MFQ 致敏提供了分子解释。此外，与人 ABCB1 的比较结构分析和生化表征揭示了 ACT-451840 针对 PfMDR1 的选择性机制。我们的研究结果为 ACT-451840 的抑制机制提供了结构基础，这可能为针对 PfMDR1 的抗疟候选药物的未来开发提供信息。</w:t>
      </w:r>
    </w:p>
    <w:p>
      <w:pPr>
        <w:spacing w:before="0" w:after="200" w:lineRule="auto" w:line="276"/>
      </w:pPr>
      <w:r>
        <w:rPr>
          <w:b/>
        </w:rPr>
        <w:t xml:space="preserve">Abstract (EN): </w:t>
      </w:r>
      <w:r>
        <w:t>Malaria, caused by the parasite Plasmodium falciparum, remains a significant global health threat, with multidrug resistance posing a major challenge to treatment. The P-glycoprotein homolog P. falciparum Multidrug Resistance Protein 1 (PfMDR1) is a key determinant of resistance to first-line antimalarials like mefloquine (MFQ) and chloroquine. ACT-451840, a clinical phase I drug, has been developed as an antimalarial candidate, but its mechanism of action and interaction with drug resistance markers remain to be fully understood. Here, we present the cryo-electron microscopy structure of PfMDR1 in complex with ACT-451840, determined at a resolution of 3.42 Å. The structure reveals that ACT-451840 binds within the central cavity and locks PfMDR1 in an inward-open conformation, inhibiting its basal ATPase activity. A structural comparison of the ACT-451840-bound state with the previously reported MFQ-bound state provides a molecular explanation for how ACT-451840 resistance mutations can lead to the sensitization of MFQ. Furthermore, a comparative structural analysis and biochemical characterization with human ABCB1 reveal the selective mechanism of ACT-451840 against PfMDR1. Our findings provide a structural basis for the inhibitory mechanism of ACT-451840, which may inform the future development of antimalarial candidates targeting PfMDR1.</w:t>
      </w:r>
    </w:p>
    <w:p>
      <w:pPr>
        <w:spacing w:before="120" w:after="120"/>
      </w:pPr>
      <w:r>
        <w:rPr>
          <w:sz w:val="18"/>
        </w:rPr>
        <w:t>——————————————————————————————————————————————————————————————————————</w:t>
      </w:r>
    </w:p>
    <w:p>
      <w:pPr>
        <w:spacing w:before="160" w:after="40" w:line="240" w:lineRule="auto"/>
      </w:pPr>
      <w:r>
        <w:rPr>
          <w:b/>
        </w:rPr>
        <w:t xml:space="preserve">[278] </w:t>
      </w:r>
      <w:hyperlink r:id="rId786">
        <w:r>
          <w:rPr>
            <w:color w:val="1155CC"/>
            <w:u w:val="single"/>
          </w:rPr>
          <w:t>EnzymeTuning 通过深度学习改进酶限制的代谢模型和蛋白质组丰度预测</w:t>
        </w:r>
      </w:hyperlink>
    </w:p>
    <w:p>
      <w:pPr>
        <w:spacing w:before="0" w:after="80"/>
      </w:pPr>
      <w:r>
        <w:rPr>
          <w:i/>
          <w:sz w:val="20"/>
        </w:rPr>
        <w:t>EN: EnzymeTuning improves enzyme-constrained metabolic modeling and proteome abundance prediction through deep learning</w:t>
      </w:r>
    </w:p>
    <w:p>
      <w:pPr>
        <w:spacing w:before="0" w:after="120"/>
      </w:pPr>
      <w:r>
        <w:rPr>
          <w:b/>
        </w:rPr>
        <w:t xml:space="preserve">Source: </w:t>
      </w:r>
      <w:r>
        <w:t>Biological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酶动力学参数的准确性，特别是酶周转数 (kcat)，对于酶限制的基因组规模代谢模型的预测性能至关重要。然而，目前可用的动力学数据集仍然稀疏，并且通常无法捕获体内酶的行为，从而限制了模型的准确性。为了解决这些限制，我们开发了 EnzymeTuning，这是一种基于生成对抗网络的框架，用于全局 kcat 优化。通过进一步结合文献得出的蛋白质降解常数，我们推断蛋白质合成率并系统地评估其对模型性能的影响。在这里，我们表明 EnzymeTuning 显着提高了预测准确性，并扩大了不同生物体的蛋白质组水平覆盖范围，包括酿酒酵母、乳酸克鲁维酵母、马克斯克鲁维酵母、解脂耶氏酵母和大肠杆菌。此外，EnzymeTuning 揭示了在不同的碳和氮限制的恒化器条件下，上下文相关的酶使用模式和自适应催化资源分配，强调了该框架在综合多组学分析中的巨大潜力。</w:t>
      </w:r>
    </w:p>
    <w:p>
      <w:pPr>
        <w:spacing w:before="0" w:after="200" w:lineRule="auto" w:line="276"/>
      </w:pPr>
      <w:r>
        <w:rPr>
          <w:b/>
        </w:rPr>
        <w:t xml:space="preserve">Abstract (EN): </w:t>
      </w:r>
      <w:r>
        <w:t>The accuracy of enzyme kinetic parameters, particularly enzyme turnover numbers (kcat), is critical for the predictive performance of enzyme-constrained genome-scale metabolic models. However, currently available kinetic datasets remain sparse and often fail to capture in vivo enzyme behavior, thereby limiting model accuracy. To address these limitations, we develop EnzymeTuning, a generative adversarial network-based framework for global kcat optimization. By further incorporating literature-derived protein degradation constants, we infer protein synthesis rates and systematically assess their impact on model performance. Here, we show that EnzymeTuning substantially improves prediction accuracy and expands proteome-level coverage across diverse organisms, including Saccharomyces cerevisiae, Kluyveromyces lactis, Kluyveromyces marxianus, Yarrowia lipolytica, and Escherichia coli. Furthermore, EnzymeTuning reveals context-dependent enzyme usage patterns and adaptive catalytic resource allocation under diverse carbon- and nitrogen-limited chemostat conditions, underscoring the substantial potential of this framework for integrative multi-omics analyses.</w:t>
      </w:r>
    </w:p>
    <w:p>
      <w:pPr>
        <w:spacing w:before="120" w:after="120"/>
      </w:pPr>
      <w:r>
        <w:rPr>
          <w:sz w:val="18"/>
        </w:rPr>
        <w:t>——————————————————————————————————————————————————————————————————————</w:t>
      </w:r>
    </w:p>
    <w:p>
      <w:pPr>
        <w:spacing w:before="160" w:after="40" w:line="240" w:lineRule="auto"/>
      </w:pPr>
      <w:r>
        <w:rPr>
          <w:b/>
        </w:rPr>
        <w:t xml:space="preserve">[279] </w:t>
      </w:r>
      <w:hyperlink r:id="rId787">
        <w:r>
          <w:rPr>
            <w:color w:val="1155CC"/>
            <w:u w:val="single"/>
          </w:rPr>
          <w:t>早期六足动物基因组揭示了昆虫味觉和气味受体的深层起源</w:t>
        </w:r>
      </w:hyperlink>
    </w:p>
    <w:p>
      <w:pPr>
        <w:spacing w:before="0" w:after="80"/>
      </w:pPr>
      <w:r>
        <w:rPr>
          <w:i/>
          <w:sz w:val="20"/>
        </w:rPr>
        <w:t>EN: Early hexapod genomes reveal the deep origin of insect gustatory and odorant receptors</w:t>
      </w:r>
    </w:p>
    <w:p>
      <w:pPr>
        <w:spacing w:before="0" w:after="120"/>
      </w:pPr>
      <w:r>
        <w:rPr>
          <w:b/>
        </w:rPr>
        <w:t xml:space="preserve">Source: </w:t>
      </w:r>
      <w:r>
        <w:t>Biological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昆虫的气味和味道主要是通过化学感受器超家族介导的，该家族包括三种味觉受体谱系——糖、二氧化碳和苦味——以及独特的气味受体谱系。尽管糖味觉受体可以追溯到甲壳类动物祖先，但其余谱系的进化起源尚不清楚。在这里，我们通过昆虫和非昆虫六足基因组的同源驱动搜索和系统发育分析来解决这段历史。我们发现了几个以前未被识别的味觉受体进化枝，包括第五种昆虫化学感受器谱系，我们称之为残余味觉受体，它在非昆虫六足目 Diplura 中扩张，但在现存昆虫中缩小。我们还在非昆虫六足动物中发现了味觉受体谱系，它是昆虫气味受体的姐妹，这提供了强有力的证据表明气味受体起源于糖味觉受体。这些发现阐明了昆虫味觉和气味受体谱系之间的关系，并阐明了六足动物化学感受的起源和随后的多样化。</w:t>
      </w:r>
    </w:p>
    <w:p>
      <w:pPr>
        <w:spacing w:before="0" w:after="200" w:lineRule="auto" w:line="276"/>
      </w:pPr>
      <w:r>
        <w:rPr>
          <w:b/>
        </w:rPr>
        <w:t xml:space="preserve">Abstract (EN): </w:t>
      </w:r>
      <w:r>
        <w:t>Insect smell and taste is primarily mediated through a chemoreceptor superfamily that includes three lineages of gustatory receptors—sugar, carbon dioxide, and bitter—and a distinct lineage of odorant receptors. Although sugar gustatory receptors can be traced back to ancestral crustaceans, the evolutionary origins of the remaining lineages have been unclear. Here, we resolve this history through homology-driven searches and phylogenetic analyses across insect and non-insect hexapod genomes. We uncover several previously unrecognized gustatory receptor clades, including a fifth insect chemoreceptor lineage that we term relict gustatory receptors, which expanded in the non-insect hexapod order Diplura but dwindled in extant insects. We also identify a gustatory receptor lineage in non-insect hexapods that is sister to insect odorant receptors, and which provides strong evidence that odorant receptors arose from within the sugar gustatory receptors. These findings clarify relationships among the insect gustatory and odorant receptor lineages and illuminate the origins and subsequent diversification of chemoreception across Hexapoda.</w:t>
      </w:r>
    </w:p>
    <w:p>
      <w:pPr>
        <w:spacing w:before="120" w:after="120"/>
      </w:pPr>
      <w:r>
        <w:rPr>
          <w:sz w:val="18"/>
        </w:rPr>
        <w:t>——————————————————————————————————————————————————————————————————————</w:t>
      </w:r>
    </w:p>
    <w:p>
      <w:pPr>
        <w:spacing w:before="160" w:after="40" w:line="240" w:lineRule="auto"/>
      </w:pPr>
      <w:r>
        <w:rPr>
          <w:b/>
        </w:rPr>
        <w:t xml:space="preserve">[280] </w:t>
      </w:r>
      <w:hyperlink r:id="rId788">
        <w:r>
          <w:rPr>
            <w:color w:val="1155CC"/>
            <w:u w:val="single"/>
          </w:rPr>
          <w:t>自四足动物祖先以来肢体和数字识别基因的进化</w:t>
        </w:r>
      </w:hyperlink>
    </w:p>
    <w:p>
      <w:pPr>
        <w:spacing w:before="0" w:after="80"/>
      </w:pPr>
      <w:r>
        <w:rPr>
          <w:i/>
          <w:sz w:val="20"/>
        </w:rPr>
        <w:t>EN: Evolution of limb and digit identity genes since the tetrapod ancestor</w:t>
      </w:r>
    </w:p>
    <w:p>
      <w:pPr>
        <w:spacing w:before="0" w:after="120"/>
      </w:pPr>
      <w:r>
        <w:rPr>
          <w:b/>
        </w:rPr>
        <w:t xml:space="preserve">Source: </w:t>
      </w:r>
      <w:r>
        <w:t>Biological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自然选择将四足动物的四肢和手指塑造成巨大的形态多样性，但潜在的发育机制仍不清楚。这导致了关于鸟翼三个数字的身份的持久争论。在这里，我们使用六个四足动物物种的比较数字转录组学来检查数字进化的基因表达特征。在这里我们表明鸟类翅膀的数字与爬行动物前肢的数字 1、3、4 同源。我们发现鸟类在发育过程中独特地增加了前后肢转录组的差异，放松了限制并促进了翅膀和足趾的特化。我们鉴定出许多与肢体或数字身份相关的基因，这些基因在前肢或后肢之间或针对特定数字有偏向表达。与其他四足动物谱系相比，鸟类谱系中存在更多的肢体和数字偏向基因。我们的工作揭示了古老的调控网络，通过持续的差异表达来维持肢体和数字的分子身份。我们还表明，这种保守的网络并不排除独立的数字进化，特别是当发育限制减少时。</w:t>
      </w:r>
    </w:p>
    <w:p>
      <w:pPr>
        <w:spacing w:before="0" w:after="200" w:lineRule="auto" w:line="276"/>
      </w:pPr>
      <w:r>
        <w:rPr>
          <w:b/>
        </w:rPr>
        <w:t xml:space="preserve">Abstract (EN): </w:t>
      </w:r>
      <w:r>
        <w:t>Natural selection has sculpted tetrapod limbs and digits into a tremendous morphological diversity, but the underlying developmental mechanism remains unclear. This leads to an enduring debate concerning the identity of the three digits of bird wing. Here we use comparative digit transcriptomics across six tetrapod species to examine gene expression signatures of digit evolution. Here we show that the avian wing digits are homologous to reptilian forelimb digits 1,3,4. We find that birds uniquely increase fore-hindlimb transcriptome divergence during development, relaxing constraints and facilitating wing and foot digit specialization. We identify many limb- or digit- identity associated genes that have a biased expression between fore- or hind-limb, or toward specific digits. There are more limb and digit biased genes among the avian lineages than in other tetrapod lineages. Our work reveals ancient regulatory networks that maintain limb and digit molecular identity through persistent differential expression. We also show that this conserved network does not preclude independent digit evolution, especially when developmental constraints are reduced.</w:t>
      </w:r>
    </w:p>
    <w:p>
      <w:pPr>
        <w:spacing w:before="120" w:after="120"/>
      </w:pPr>
      <w:r>
        <w:rPr>
          <w:sz w:val="18"/>
        </w:rPr>
        <w:t>——————————————————————————————————————————————————————————————————————</w:t>
      </w:r>
    </w:p>
    <w:p>
      <w:pPr>
        <w:spacing w:before="160" w:after="40" w:line="240" w:lineRule="auto"/>
      </w:pPr>
      <w:r>
        <w:rPr>
          <w:b/>
        </w:rPr>
        <w:t xml:space="preserve">[281] </w:t>
      </w:r>
      <w:hyperlink r:id="rId789">
        <w:r>
          <w:rPr>
            <w:color w:val="1155CC"/>
            <w:u w:val="single"/>
          </w:rPr>
          <w:t>通过五元决定簇进行糖酵解酶的高度动态组装</w:t>
        </w:r>
      </w:hyperlink>
    </w:p>
    <w:p>
      <w:pPr>
        <w:spacing w:before="0" w:after="80"/>
      </w:pPr>
      <w:r>
        <w:rPr>
          <w:i/>
          <w:sz w:val="20"/>
        </w:rPr>
        <w:t>EN: Highly dynamic assemblies of glycolytic enzymes by quinary determinants</w:t>
      </w:r>
    </w:p>
    <w:p>
      <w:pPr>
        <w:spacing w:before="0" w:after="120"/>
      </w:pPr>
      <w:r>
        <w:rPr>
          <w:b/>
        </w:rPr>
        <w:t xml:space="preserve">Source: </w:t>
      </w:r>
      <w:r>
        <w:t>Biological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分子通道早已被提出作为一种有效的解决方案来有效驱动细胞中的连续酶促反应。尽管如此，糖酵解等中心途径中的代谢通道仍然是一个有争议的问题，并且合理的潜在机制尚不清楚。在这里，我们使用相关光谱和邻近标记方法来揭示酵母和人类细胞中糖酵解途径的酶之间极其动态的相互作用。由此产生的瞬时蛋白质组装体（暂定名为蛋白质群）在细胞质中形成，寿命短于 10 毫秒。与其他代谢途径相比，糖酵解酶在表面原子的电化学特性方面表现出更大的相似性，表明五元结构特征是蛋白质群的分子决定因素。我们观察到相关光谱的时空一致性与多个蛋白质对内表面原子构型的欧几里德距离之间存在显着的负相关性，包括从头设计的蛋白质框架生成的表面变体的集合。通过从酵母到人类的潜在蛋白质群形成，五元决定簇将为糖酵解提供更高效率和特异性的酶，但对人类细胞来说可能更重要的是，它将限制中间浓度并防止其固有的毒性作用。</w:t>
      </w:r>
    </w:p>
    <w:p>
      <w:pPr>
        <w:spacing w:before="0" w:after="200" w:lineRule="auto" w:line="276"/>
      </w:pPr>
      <w:r>
        <w:rPr>
          <w:b/>
        </w:rPr>
        <w:t xml:space="preserve">Abstract (EN): </w:t>
      </w:r>
      <w:r>
        <w:t>Molecular channelling has long since been proposed as an amenable solution to efficiently drive sequential enzymatic reactions in the cell. Nonetheless, metabolic channelling in central pathways such as glycolysis is still a matter of debate and plausible underlying mechanisms are not known. Here we use correlation spectroscopy and proximity labelling methods to uncover extremely dynamic interactions among enzymes of the glycolysis pathway in yeast and human cells. The resulting transient protein assemblies, tentatively named as protein flocks, form in the cytoplasm with a lifetime shorter than 10 ms. Compared to other metabolic pathways, glycolytic enzymes display a greater similarity in the electrochemical properties of surface atoms, pointing to quinary structural features as molecular determinants of protein flocks. We observe a remarkable negative correlation between the spatiotemporal coincidence by correlation spectroscopy and the Euclidean distance in surface atom configuration within multiple protein pairs, including a collection of surface variants generated from a de novo designed protein framework. By underlying protein flock formation from yeast to human, quinary determinants would provide enzymes with higher efficiency and specificity in glycolysis but, perhaps more important to human cells, would limit intermediate concentrations and prevent their inherent toxic effects.</w:t>
      </w:r>
    </w:p>
    <w:p>
      <w:pPr>
        <w:spacing w:before="120" w:after="120"/>
      </w:pPr>
      <w:r>
        <w:rPr>
          <w:sz w:val="18"/>
        </w:rPr>
        <w:t>——————————————————————————————————————————————————————————————————————</w:t>
      </w:r>
    </w:p>
    <w:p>
      <w:pPr>
        <w:spacing w:before="160" w:after="40" w:line="240" w:lineRule="auto"/>
      </w:pPr>
      <w:r>
        <w:rPr>
          <w:b/>
        </w:rPr>
        <w:t xml:space="preserve">[282] </w:t>
      </w:r>
      <w:hyperlink r:id="rId790">
        <w:r>
          <w:rPr>
            <w:color w:val="1155CC"/>
            <w:u w:val="single"/>
          </w:rPr>
          <w:t>非洲猪瘟病毒 B66L 驱动细胞外线粒体释放，促进小鼠全身炎症</w:t>
        </w:r>
      </w:hyperlink>
    </w:p>
    <w:p>
      <w:pPr>
        <w:spacing w:before="0" w:after="80"/>
      </w:pPr>
      <w:r>
        <w:rPr>
          <w:i/>
          <w:sz w:val="20"/>
        </w:rPr>
        <w:t>EN: African swine fever virus B66L drives extracellular mitochondrial release to promote systemic inflammation in mice</w:t>
      </w:r>
    </w:p>
    <w:p>
      <w:pPr>
        <w:spacing w:before="0" w:after="120"/>
      </w:pPr>
      <w:r>
        <w:rPr>
          <w:b/>
        </w:rPr>
        <w:t xml:space="preserve">Source: </w:t>
      </w:r>
      <w:r>
        <w:t>Biological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全身炎症是病毒感染的标志，但引发炎症的上游信号仍不清楚。在这里，我们发现细胞外线粒体在水泡性口炎病毒、甲型流感病毒、狂犬病病毒、单纯疱疹病毒1和非洲猪瘟病毒（ASFV）感染过程中充当炎症介质。在感染 ASFV 的原代猪肺泡巨噬细胞中，病毒蛋白 B66L 促进自噬体捕获受损线粒体，同时阻止其与溶酶体融合，导致线粒体在细胞外积聚。在表达 B66L 的小鼠的血清和支气管肺泡灌洗液以及感染 ASFV 的猪的血清中检测到细胞外线粒体。纯化的细胞外线粒体通过 cGAS-STING 信号传导触发炎症细胞因子的产生，并导致小鼠肺损伤。 These findings identify virus-associated extracellular mitochondrial release as a pro-inflammatory mechanism during infection.</w:t>
      </w:r>
    </w:p>
    <w:p>
      <w:pPr>
        <w:spacing w:before="0" w:after="200" w:lineRule="auto" w:line="276"/>
      </w:pPr>
      <w:r>
        <w:rPr>
          <w:b/>
        </w:rPr>
        <w:t xml:space="preserve">Abstract (EN): </w:t>
      </w:r>
      <w:r>
        <w:t>Systemic inflammation is a hallmark of viral infection, but the upstream signals that initiate it remain poorly defined. Here we show that extracellular mitochondria act as inflammatory mediators during infection by vesicular stomatitis virus, influenza A virus, rabies virus, herpes simplex virus 1 and African swine fever virus (ASFV). In ASFV-infected primary porcine alveolar macrophages, the viral protein B66L promotes the capture of damaged mitochondria by autophagosomes while blocking their fusion with lysosomes, causing mitochondria to accumulate outside cells. Extracellular mitochondria are detected in the serum and bronchoalveolar lavage fluid of mice expressing B66L and in the serum of ASFV-infected pigs. Purified extracellular mitochondria trigger inflammatory cytokine production through cGAS-STING signalling and contribute to lung injury in mice. These findings identify virus-associated extracellular mitochondrial release as a pro-inflammatory mechanism during infection.</w:t>
      </w:r>
    </w:p>
    <w:p>
      <w:pPr>
        <w:spacing w:before="120" w:after="120"/>
      </w:pPr>
      <w:r>
        <w:rPr>
          <w:sz w:val="18"/>
        </w:rPr>
        <w:t>——————————————————————————————————————————————————————————————————————</w:t>
      </w:r>
    </w:p>
    <w:p>
      <w:pPr>
        <w:spacing w:before="160" w:after="40" w:line="240" w:lineRule="auto"/>
      </w:pPr>
      <w:r>
        <w:rPr>
          <w:b/>
        </w:rPr>
        <w:t xml:space="preserve">[283] </w:t>
      </w:r>
      <w:hyperlink r:id="rId791">
        <w:r>
          <w:rPr>
            <w:color w:val="1155CC"/>
            <w:u w:val="single"/>
          </w:rPr>
          <w:t>中国耐药结核杆菌的长期时空演化</w:t>
        </w:r>
      </w:hyperlink>
    </w:p>
    <w:p>
      <w:pPr>
        <w:spacing w:before="0" w:after="80"/>
      </w:pPr>
      <w:r>
        <w:rPr>
          <w:i/>
          <w:sz w:val="20"/>
        </w:rPr>
        <w:t>EN: Long-term spatiotemporal evolution of drug-resistant Mycobacterium tuberculosis in China</w:t>
      </w:r>
    </w:p>
    <w:p>
      <w:pPr>
        <w:spacing w:before="0" w:after="120"/>
      </w:pPr>
      <w:r>
        <w:rPr>
          <w:b/>
        </w:rPr>
        <w:t xml:space="preserve">Source: </w:t>
      </w:r>
      <w:r>
        <w:t>Biological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抗生素用于治疗结核病已有 80 多年的历史，但在抗生素压力下结核分枝杆菌 (Mtb) 的长期进化动态在群体水平上仍知之甚少。在这里，我们分析了 18,000 多个可用的结核分枝杆菌基因组，以重建中国各地耐药性的时空演变。我们观察到，对不同药物的耐药突变反复出现，产生了数百至一千多个小型耐药进化枝，这些进化枝大多在过去二十年中出现。一旦建立，这些分支的传播主要在省内持续，但随着人类流动性和细菌适应性的增加，可能会在地理上扩大。此外，我们整合已发表的基因组和 CRISPRi 筛选数据，以识别与耐药性的出现和传播相关的突变。我们的研究强调了人类迁徙和细菌适应对中国耐药结核病局部流行的重要性。</w:t>
      </w:r>
    </w:p>
    <w:p>
      <w:pPr>
        <w:spacing w:before="0" w:after="200" w:lineRule="auto" w:line="276"/>
      </w:pPr>
      <w:r>
        <w:rPr>
          <w:b/>
        </w:rPr>
        <w:t xml:space="preserve">Abstract (EN): </w:t>
      </w:r>
      <w:r>
        <w:t>Antibiotics have been used to treat tuberculosis for over 80 years, yet the long-term evolutionary dynamics of Mycobacterium tuberculosis (Mtb) under antibiotic pressure remain poorly characterized at the population level. Here, we analyze more than 18,000 available Mtb genomes to reconstruct the temporal and spatial evolution of drug resistance across China. We observe that resistance mutations to different drugs arose repeatedly, giving rise to hundreds to over a thousand small drug-resistant clades that mostly emerged within the past two decades. Once established, transmission of these clades was predominantly sustained within provinces, but could expand geographically with increased human mobility and bacterial fitness. In addition, we integrate published genomic and CRISPRi screening data to identify mutations associated with the emergence and transmission of drug resistance. Our study highlights the importance of human migration and bacterial adaption in shaping local epidemics of drug-resistant tuberculosis in China.</w:t>
      </w:r>
    </w:p>
    <w:p>
      <w:pPr>
        <w:spacing w:before="120" w:after="120"/>
      </w:pPr>
      <w:r>
        <w:rPr>
          <w:sz w:val="18"/>
        </w:rPr>
        <w:t>——————————————————————————————————————————————————————————————————————</w:t>
      </w:r>
    </w:p>
    <w:p>
      <w:pPr>
        <w:spacing w:before="160" w:after="40" w:line="240" w:lineRule="auto"/>
      </w:pPr>
      <w:r>
        <w:rPr>
          <w:b/>
        </w:rPr>
        <w:t xml:space="preserve">[284] </w:t>
      </w:r>
      <w:hyperlink r:id="rId792">
        <w:r>
          <w:rPr>
            <w:color w:val="1155CC"/>
            <w:u w:val="single"/>
          </w:rPr>
          <w:t>澳大利亚稻的端粒到端粒基因组组装揭示了转座子驱动的着丝粒重新定位和共同的 EE-DD 祖先</w:t>
        </w:r>
      </w:hyperlink>
    </w:p>
    <w:p>
      <w:pPr>
        <w:spacing w:before="0" w:after="80"/>
      </w:pPr>
      <w:r>
        <w:rPr>
          <w:i/>
          <w:sz w:val="20"/>
        </w:rPr>
        <w:t>EN: Telomere-to-telomere genome assembly of Oryza australiensis reveals transposon-driven centromere repositioning and shared EE–DD ancestry</w:t>
      </w:r>
    </w:p>
    <w:p>
      <w:pPr>
        <w:spacing w:before="0" w:after="120"/>
      </w:pPr>
      <w:r>
        <w:rPr>
          <w:b/>
        </w:rPr>
        <w:t xml:space="preserve">Source: </w:t>
      </w:r>
      <w:r>
        <w:t>Biological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澳大利亚稻（Oryza australiensis）（EE基因组）是该属中EE基因组的唯一代表，由于其极端的环境适应性，对于破译多倍体进化和挖掘抗逆基因具有重要价值。在这里，我们报告了澳大利亚O. australiensis的端粒到端粒（T2T）基因组组装，产生了具有12条完整染色体的901 Mb基因组。这使得能够对着丝粒、端粒和 36,742 个基因进行全面注释，揭示非规范端粒重复和三种不同的着丝粒重新定位机制：倒位驱动的转变、复制介导的新着丝粒化和转座子爆发诱导的新着丝粒形成。至关重要的是，转座子动力学分析揭示了在 CCDD 形成之前，Angela LTR 反转录转座子在 EE 基因组和异源四倍体 O. alta (CCDD) 的 DD 亚基因组中同步扩增。 Angela LTR 整合酶结构域的系统发育和同线性分析，以及 EE 和 DD 独有的 275 bp 重复标记，表明贡献 DD 亚基因组的祖先谱系与 EE 样祖细胞具有共同的祖先。这些发现完善了稻的进化历史，并强调了重建深层进化关系中的转座子动力学。</w:t>
      </w:r>
    </w:p>
    <w:p>
      <w:pPr>
        <w:spacing w:before="0" w:after="200" w:lineRule="auto" w:line="276"/>
      </w:pPr>
      <w:r>
        <w:rPr>
          <w:b/>
        </w:rPr>
        <w:t xml:space="preserve">Abstract (EN): </w:t>
      </w:r>
      <w:r>
        <w:t>Oryza australiensis (EE genome), the sole representative of the EE genome in the genus, holds significant value for deciphering polyploid evolution and mining stress-resistance genes owing to its extreme environmental adaptability. Here, we report a telomere-to-telomere (T2T) genome assembly of O. australiensis, yielding a 901 Mb genome with 12 complete chromosomes. This enables comprehensive annotation of centromeres, telomeres, and 36,742 genes, revealing non-canonical telomeric repeats and three distinct centromere repositioning mechanisms: inversion-driven shifts, duplication-mediated neocentromerization, and transposon burst-induced neocentromere formation. Crucially, transposon dynamics analysis reveals synchronized amplification of Angela LTR retrotransposons in the EE genome and the DD subgenome of allotetraploid O. alta (CCDD) prior to CCDD formation. Phylogenetic and synteny analyses of Angela LTR integrase domains, alongside a 275-bp repeat marker exclusive to EE and DD, indicate that the ancestral lineage that contributed the DD subgenome share common ancestry with an EE-like progenitor. These findings refine Oryza evolutionary history and highlight transposon dynamics in reconstructing deep evolutionary relationships.</w:t>
      </w:r>
    </w:p>
    <w:p>
      <w:pPr>
        <w:spacing w:before="120" w:after="120"/>
      </w:pPr>
      <w:r>
        <w:rPr>
          <w:sz w:val="18"/>
        </w:rPr>
        <w:t>——————————————————————————————————————————————————————————————————————</w:t>
      </w:r>
    </w:p>
    <w:p>
      <w:pPr>
        <w:spacing w:before="160" w:after="40" w:line="240" w:lineRule="auto"/>
      </w:pPr>
      <w:r>
        <w:rPr>
          <w:b/>
        </w:rPr>
        <w:t xml:space="preserve">[285] </w:t>
      </w:r>
      <w:hyperlink r:id="rId793">
        <w:r>
          <w:rPr>
            <w:color w:val="1155CC"/>
            <w:u w:val="single"/>
          </w:rPr>
          <w:t>人类血液中线粒体DNA突变与年龄相关积累的机制</w:t>
        </w:r>
      </w:hyperlink>
    </w:p>
    <w:p>
      <w:pPr>
        <w:spacing w:before="0" w:after="80"/>
      </w:pPr>
      <w:r>
        <w:rPr>
          <w:i/>
          <w:sz w:val="20"/>
        </w:rPr>
        <w:t>EN: Mechanism of age-related accumulation of mtDNA mutations in human blood</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794">
        <w:r>
          <w:rPr>
            <w:color w:val="1155CC"/>
            <w:u w:val="single"/>
          </w:rPr>
          <w:t>10.1038/s41586-026-10569-6</w:t>
        </w:r>
      </w:hyperlink>
    </w:p>
    <w:p>
      <w:pPr>
        <w:spacing w:before="0" w:after="120"/>
      </w:pPr>
      <w:r>
        <w:rPr>
          <w:b/>
        </w:rPr>
        <w:t xml:space="preserve">Notes: </w:t>
      </w:r>
      <w:r>
        <w:t>abstract_source=nature_html</w:t>
      </w:r>
    </w:p>
    <w:p>
      <w:pPr>
        <w:spacing w:before="0" w:after="80" w:lineRule="auto" w:line="276"/>
      </w:pPr>
      <w:r>
        <w:rPr>
          <w:b/>
        </w:rPr>
        <w:t xml:space="preserve">摘要（ZH）: </w:t>
      </w:r>
      <w:r>
        <w:t>突变线粒体 DNA (mtDNA) 异质性的积累是衰老最强烈的特征之一。在这里，我们使用来自约 750,000 个人的全基因组序列调用人类血液中的 mtDNA 序列、mtDNA 丰度和 mtDNA 异质变异来研究潜在的机制。我们观察到，mtDNA 单核苷酸变异 (mtSNV) 在 60 岁时急剧积累，异质性水平较低，几乎没有表现出正选择的证据，并且可能主要是中性的。 mtSNV 的突变谱并不像通常所说的那样反映氧化损伤，而是与 mtDNA 复制错误更一致。为了了解为什么 mtSNV 会随着年龄的增长而被检测到，我们对异质性 mtSNV 负荷进行了全基因组关联研究，识别了 TERT、TCL1A 和 SMC4 附近的种系变异，所有这些变异都与克隆造血 (CH)2 相关。稀有变异分析还表明，高 mtSNV 负担与许多 CH 驱动基因的突变有关。即使在排除具有已知 CH 驱动突变的个体后，这些遗传关联仍然存在。我们的结果支持一个模型，其中“神秘”mtDNA 突变最初作为复制错误随机出现，但批量检测不到。然后，只有通过血液中细胞克隆与年龄相关的扩张，它们才会变得明显。我们认为，mtDNA 的高拷贝数和突变率使其成为 CH 所致体细胞嵌合体的敏感血液标记物。我们的工作从机制上统一了衰老的三个突出特征：常见细菌</w:t>
      </w:r>
    </w:p>
    <w:p>
      <w:pPr>
        <w:spacing w:before="0" w:after="200" w:lineRule="auto" w:line="276"/>
      </w:pPr>
      <w:r>
        <w:rPr>
          <w:b/>
        </w:rPr>
        <w:t xml:space="preserve">Abstract (EN): </w:t>
      </w:r>
      <w:r>
        <w:t>Accumulation of mutant mitochondrial DNA (mtDNA) heteroplasmy is among the strongest signatures of ageing1. Here we investigated the underlying mechanism by calling mtDNA sequence, mtDNA abundance and mtDNA heteroplasmic variants in human blood using whole-genome sequences from approximately 750,000 individuals. We observed that mtDNA single-nucleotide variants (mtSNVs) accumulate sharply at age 60 years, occur at low levels of heteroplasmy, exhibit little evidence of positive selection and are likely to be predominantly neutral. The mutational spectrum of mtSNVs does not reflect oxidative lesions, as is commonly invoked, but is more consistent with mtDNA replication errors. To understand why mtSNVs become detectable with age, we performed a genome-wide association study for heteroplasmic mtSNV burden, identifying germline variants near TERT, TCL1A and SMC4, all of which have been linked to clonal haematopoiesis (CH)2. Rare-variant analysis also showed that high mtSNV burden is associated with mutations in numerous CH driver genes. These genetic associations persisted even after exclusion of individuals with known CH driver mutations. Our results support a model in which ‘cryptic’ mtDNA mutations initially arise randomly as replication errors but are undetectable in bulk. They then become apparent only through age-related expansion of cellular clones in blood. We propose that the high copy number and mutation rate of mtDNA make it a sensitive blood-based marker of somatic mosaicism due to CH. Our work mechanistically unifies three prominent signatures of ageing: common germline variants in TERT, CH and observed accrual of mtDNA mutations.</w:t>
      </w:r>
    </w:p>
    <w:p>
      <w:pPr>
        <w:spacing w:before="120" w:after="120"/>
      </w:pPr>
      <w:r>
        <w:rPr>
          <w:sz w:val="18"/>
        </w:rPr>
        <w:t>——————————————————————————————————————————————————————————————————————</w:t>
      </w:r>
    </w:p>
    <w:p>
      <w:pPr>
        <w:spacing w:before="160" w:after="40" w:line="240" w:lineRule="auto"/>
      </w:pPr>
      <w:r>
        <w:rPr>
          <w:b/>
        </w:rPr>
        <w:t xml:space="preserve">[286] </w:t>
      </w:r>
      <w:hyperlink r:id="rId795">
        <w:r>
          <w:rPr>
            <w:color w:val="1155CC"/>
            <w:u w:val="single"/>
          </w:rPr>
          <w:t>硫酸软骨素主链聚合物合成的结构基础</w:t>
        </w:r>
      </w:hyperlink>
    </w:p>
    <w:p>
      <w:pPr>
        <w:spacing w:before="0" w:after="80"/>
      </w:pPr>
      <w:r>
        <w:rPr>
          <w:i/>
          <w:sz w:val="20"/>
        </w:rPr>
        <w:t>EN: Structural basis of chondroitin sulfate backbone polymer synthesis</w:t>
      </w:r>
    </w:p>
    <w:p>
      <w:pPr>
        <w:spacing w:before="0" w:after="120"/>
      </w:pPr>
      <w:r>
        <w:rPr>
          <w:b/>
        </w:rPr>
        <w:t xml:space="preserve">Source: </w:t>
      </w:r>
      <w:r>
        <w:t>Biological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硫酸软骨素 (CS) 蛋白聚糖是附着在细胞表面和细胞外基质核心蛋白上的 (-GlcAβ1,3GalNAcβ1,4-)n 延伸共聚物，并通过广泛的硫酸化和差向异构化进一步修饰。四种同源蛋白有助于 CS 主链的合成（CHPF1、CHPF2、CHSY1 和 CHSY3），先前的数据表明将这些蛋白组装成异质复合物是功能所必需的。在这里，我们通过序列比对和结构建模表明，所有 CHSY 和 CHPF 都包含一个 N 端 CAZy GT31 样结构域和一个 C 端 GT7 样结构域，由半胱氨酸蛋白酶抑制剂样连接结构域分隔开。需要一种 CHPF 和一种 CHSY 共表达才能形成可溶性、功能性异二聚体 CS 合酶，结构模型表明所有四种潜在的 CHSY-CHPF 组合都可以形成等效的异二聚体复合物。 CHSY3-CHPF1 的冷冻电镜研究证实了结构模型预测的结构、界面和活性位点特征。催化突变体的酶分析表明，只有 CHSY 中的糖基转移酶结构域负责聚合物合成：GT31 结构域转移 β1,3-GlcA，而 GT7 结构域转移 β1,4-GalNAc。相应的CHPF结构域不参与聚合物合成，但稳定相应的CHSY功能结构域。额外的诱变和建模表明桥接半胱氨酸蛋白酶抑制剂样结构域可能有助于有效的聚合物合成。</w:t>
      </w:r>
    </w:p>
    <w:p>
      <w:pPr>
        <w:spacing w:before="0" w:after="200" w:lineRule="auto" w:line="276"/>
      </w:pPr>
      <w:r>
        <w:rPr>
          <w:b/>
        </w:rPr>
        <w:t xml:space="preserve">Abstract (EN): </w:t>
      </w:r>
      <w:r>
        <w:t>Chondroitin sulfate (CS) proteoglycans are extended (-GlcAβ1,3GalNAcβ1,4-)n co-polymers attached to cell surface and extracellular matrix core proteins that are further modified by extensive sulfation and epimerization. Four homologous proteins contribute to CS backbone synthesis (CHPF1, CHPF2, CHSY1, and CHSY3) and prior data suggests assembly of the proteins into heterocomplexes is required for function. Here we show by sequence alignment and structural modeling that all CHSYs and CHPFs contain an N-terminal CAZy GT31-like domain and a C-terminal GT7-like domain separated by a cystatin-like linker domain. Co-expression of one CHPF and one CHSY is required to form a soluble, functional heterodimeric CS synthase and structural modeling indicates all four potential CHSY-CHPF combinations can form equivalent heterodimeric complexes. Cryo-EM studies on CHSY3-CHPF1 confirm the structure, interface, and active site features predicted by the structural models. Enzymatic analyses of catalytic mutants demonstrate that only the glycosyltransferase domains in the CHSYs are responsible for polymer synthesis: the GT31 domain transfers β1,3-GlcA while the GT7 domain transfers β1,4-GalNAc. The corresponding CHPF domains do not contribute to polymer synthesis but stabilize the corresponding CHSY functional domains. Additional mutagenesis and modeling suggest that the bridging cystatin-like domains may contribute to efficient polymer synthesis.</w:t>
      </w:r>
    </w:p>
    <w:p>
      <w:pPr>
        <w:spacing w:before="120" w:after="120"/>
      </w:pPr>
      <w:r>
        <w:rPr>
          <w:sz w:val="18"/>
        </w:rPr>
        <w:t>——————————————————————————————————————————————————————————————————————</w:t>
      </w:r>
    </w:p>
    <w:p>
      <w:pPr>
        <w:spacing w:before="160" w:after="40" w:line="240" w:lineRule="auto"/>
      </w:pPr>
      <w:r>
        <w:rPr>
          <w:b/>
        </w:rPr>
        <w:t xml:space="preserve">[287] </w:t>
      </w:r>
      <w:hyperlink r:id="rId796">
        <w:r>
          <w:rPr>
            <w:color w:val="1155CC"/>
            <w:u w:val="single"/>
          </w:rPr>
          <w:t>荟萃分析揭示了全球变化下不对称的根和微生物物候变化</w:t>
        </w:r>
      </w:hyperlink>
    </w:p>
    <w:p>
      <w:pPr>
        <w:spacing w:before="0" w:after="80"/>
      </w:pPr>
      <w:r>
        <w:rPr>
          <w:i/>
          <w:sz w:val="20"/>
        </w:rPr>
        <w:t>EN: Meta-analysis reveals asymmetric root and microbial phenology shifts under global change</w:t>
      </w:r>
    </w:p>
    <w:p>
      <w:pPr>
        <w:spacing w:before="0" w:after="120"/>
      </w:pPr>
      <w:r>
        <w:rPr>
          <w:b/>
        </w:rPr>
        <w:t xml:space="preserve">Source: </w:t>
      </w:r>
      <w:r>
        <w:t>Earth and environmental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全球环境变化正在重塑整个生态系统的物候模式，但地下物候反应的特征仍然很少。使用基于通量的框架，我们从全球 163 个地点的 2100 个地点年配对根系和微生物呼吸时间序列中得出物候指标。我们的荟萃分析表明，在全球变化下，根系和微生物物候通常会在方向和幅度上发生不对称变化，除了变暖引起的季节开始的对称提前之外。变暖和氮添加延长了根系生长季节，而微生物季节在变暖和降水减少的情况下延长，但在部分植被去除后缩短。这些物候变化在很大程度上与呼吸通量的变化脱钩，表明生态系统对全球变化的响应具有独特的维度。这种物候调整严重影响碳动态，因为仅由变暖驱动的微生物季节的延长就可以使全球异养呼吸增加 2.5 ± 0.8 Pg C yr−1（平均值±SE）。我们的结果提供了基于通量的经验指导，用于将根和微生物物候表示为地球系统模型中独特的、驱动敏感的过程，从而改善生态系统碳动态的预测。</w:t>
      </w:r>
    </w:p>
    <w:p>
      <w:pPr>
        <w:spacing w:before="0" w:after="200" w:lineRule="auto" w:line="276"/>
      </w:pPr>
      <w:r>
        <w:rPr>
          <w:b/>
        </w:rPr>
        <w:t xml:space="preserve">Abstract (EN): </w:t>
      </w:r>
      <w:r>
        <w:t>Global environmental change is reshaping phenological patterns across ecosystems, yet belowground phenological responses remain poorly characterized. Using a flux-based framework, we derived phenological metrics from 2100 site-years of paired root and microbial respiration time series across 163 sites worldwide. Our meta-analysis shows that root and microbial phenology typically shift asymmetrically in direction and magnitude under global change, except for a warming-induced symmetric advance in season onset. Warming and nitrogen addition extended root growing season, whereas microbial season lengthened under warming and reduced precipitation but shortened following partial vegetation removal. These phenological shifts were largely decoupled from changes in respiration fluxes, indicating a distinct dimension of ecosystem responses to global change. Such phenological adjustments critically influence carbon dynamics, as warming-driven extensions of the microbial season alone could increase global heterotrophic respiration by 2.5 ± 0.8 Pg C yr−1 (mean ± SE). Our results provide flux-based empirical guidance for representing root and microbial phenology as distinct, driver-sensitive processes in Earth system models, thereby improving projections of ecosystem carbon dynamics.</w:t>
      </w:r>
    </w:p>
    <w:p>
      <w:pPr>
        <w:spacing w:before="120" w:after="120"/>
      </w:pPr>
      <w:r>
        <w:rPr>
          <w:sz w:val="18"/>
        </w:rPr>
        <w:t>——————————————————————————————————————————————————————————————————————</w:t>
      </w:r>
    </w:p>
    <w:p>
      <w:pPr>
        <w:spacing w:before="160" w:after="40" w:line="240" w:lineRule="auto"/>
      </w:pPr>
      <w:r>
        <w:rPr>
          <w:b/>
        </w:rPr>
        <w:t xml:space="preserve">[288] </w:t>
      </w:r>
      <w:hyperlink r:id="rId797">
        <w:r>
          <w:rPr>
            <w:color w:val="1155CC"/>
            <w:u w:val="single"/>
          </w:rPr>
          <w:t>天问二号任务目标小行星 (469219) 卡莫阿莱瓦可能形成了丝川成分但更多太空风化的表面</w:t>
        </w:r>
      </w:hyperlink>
    </w:p>
    <w:p>
      <w:pPr>
        <w:spacing w:before="0" w:after="80"/>
      </w:pPr>
      <w:r>
        <w:rPr>
          <w:i/>
          <w:sz w:val="20"/>
        </w:rPr>
        <w:t>EN: Tianwen-2 mission target asteroid (469219) Kamoʻoalewa probably develops an Itokawa-compositional but more space-weathered surface</w:t>
      </w:r>
    </w:p>
    <w:p>
      <w:pPr>
        <w:spacing w:before="0" w:after="120"/>
      </w:pPr>
      <w:r>
        <w:rPr>
          <w:b/>
        </w:rPr>
        <w:t xml:space="preserve">Source: </w:t>
      </w:r>
      <w:r>
        <w:t>Earth and environmental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中国正在进行的天问二号任务将从一颗小型快速旋转的地球准卫星 (469219) Kamo'oalewa 传回样本。先前的研究将卡莫奥阿莱瓦与月球的组成和起源联系起来。在这里，我们提出另一种场景。我们重新分析了 Kamo'oalewa 的反射光谱，得到了吸收带中心位于 1.001 ± 0.028 μm（误差为 1σ），与 LL 球粒陨石一致。然后，我们对陨石进行了太空风化实验，发现高度太空风化的 LL 球粒陨石粉末（但不是板状）成功地再现了卡莫奥阿莱瓦的反射光谱。我们进一步追踪 Kamo'oalewa 的动力起源，发现它可能起源于 ν6 长期共振，更具体地说，起源于 Flora 家族。 Kamo'oalewa 的构图与糸川和弗洛拉家族的 7 件物品相似，但空间风化程度更高。因此，我们认为 Kamo'oalewa 可能起源于 Flora 家族，并发展了一个系川成分、更多太空风化、以细风化层为主的表面。</w:t>
      </w:r>
    </w:p>
    <w:p>
      <w:pPr>
        <w:spacing w:before="0" w:after="200" w:lineRule="auto" w:line="276"/>
      </w:pPr>
      <w:r>
        <w:rPr>
          <w:b/>
        </w:rPr>
        <w:t xml:space="preserve">Abstract (EN): </w:t>
      </w:r>
      <w:r>
        <w:t>China’s ongoing Tianwen-2 mission will return samples from a small, rapidly spinning Earth quasi-satellite (469219) Kamoʻoalewa. Previous studies linked Kamoʻoalewa to lunar composition and origin. Here, we propose another scenario. We reanalyze the reflectance spectrum of Kamoʻoalewa and obtain an absorption band center at 1.001 ± 0.028 μm (error is 1σ), consistent with LL chondrites. We then conduct space weathering experiments on meteorites and find that highly space-weathered LL chondrite powder (but not slab) successfully reproduces the reflectance spectrum of Kamoʻoalewa. We further trace the dynamical origin of Kamoʻoalewa and find that it probably originated from the ν6 secular resonance, and more specifically, the Flora family. Kamoʻoalewa exhibits a similar composition to Itokawa and 7 objects in the Flora family, but with a higher degree of space weathering. We, therefore, propose that Kamoʻoalewa probably originated from the Flora family and developed an Itokawa-compositional, more space-weathered, fine-regolith-dominated surface.</w:t>
      </w:r>
    </w:p>
    <w:p>
      <w:pPr>
        <w:spacing w:before="120" w:after="120"/>
      </w:pPr>
      <w:r>
        <w:rPr>
          <w:sz w:val="18"/>
        </w:rPr>
        <w:t>——————————————————————————————————————————————————————————————————————</w:t>
      </w:r>
    </w:p>
    <w:p>
      <w:pPr>
        <w:spacing w:before="160" w:after="40" w:line="240" w:lineRule="auto"/>
      </w:pPr>
      <w:r>
        <w:rPr>
          <w:b/>
        </w:rPr>
        <w:t xml:space="preserve">[289] </w:t>
      </w:r>
      <w:hyperlink r:id="rId798">
        <w:r>
          <w:rPr>
            <w:color w:val="1155CC"/>
            <w:u w:val="single"/>
          </w:rPr>
          <w:t>热带泥炭地扰动中长期储存的碳逐渐释放</w:t>
        </w:r>
      </w:hyperlink>
    </w:p>
    <w:p>
      <w:pPr>
        <w:spacing w:before="0" w:after="80"/>
      </w:pPr>
      <w:r>
        <w:rPr>
          <w:i/>
          <w:sz w:val="20"/>
        </w:rPr>
        <w:t>EN: Progressive release of long-stored carbon from tropical peatland disturbances</w:t>
      </w:r>
    </w:p>
    <w:p>
      <w:pPr>
        <w:spacing w:before="0" w:after="120"/>
      </w:pPr>
      <w:r>
        <w:rPr>
          <w:b/>
        </w:rPr>
        <w:t xml:space="preserve">Source: </w:t>
      </w:r>
      <w:r>
        <w:t>Earth and environmental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热带泥炭地是全球重要的、具有千年历史的碳汇，但人类造成的前所未有的退化正在引发令人震惊的碳排放。从泥炭沼泽森林到干涸和受火灾影响的泥炭地，对整个扰动序列的碳动态进行全面量化仍然是一个关键的知识差距。在这里，我们使用泥炭剖面和地下水溶解有机碳的放射性碳测年法显示，在过去 18 年（1996-2014）的时间里，排水和随后的泥炭火灾从印度尼西亚中加里曼丹的泥炭地释放了大约 30-41 kg C m−2。排水贡献了 5-11 kg C m−2，主要来自数百年至千年历史的、先前浸水的泥炭。火灾从过去 3000 年积累的泥炭中释放出 23-32 kg C m−2，引发老泥炭的逐渐氧化分解。对印度尼西亚受干扰的泥炭地的推断表明，1996 年至 2014 年间释放了 0.81-3.70 Gt C，持续的分解每年额外释放 0.03-0.08 Gt C，加速了对全球碳平衡的影响。</w:t>
      </w:r>
    </w:p>
    <w:p>
      <w:pPr>
        <w:spacing w:before="0" w:after="200" w:lineRule="auto" w:line="276"/>
      </w:pPr>
      <w:r>
        <w:rPr>
          <w:b/>
        </w:rPr>
        <w:t xml:space="preserve">Abstract (EN): </w:t>
      </w:r>
      <w:r>
        <w:t>Tropical peatlands are globally important, millennia-old carbon sinks, yet unprecedented human-driven degradation is triggering alarming carbon emissions. Comprehensive quantification of carbon dynamics across the disturbance sequence—from peat swamp forests to drained and fire-impacted peatlands—remains a critical knowledge gap. Here we show that over 18 years (1996–2014), drainage and subsequent peat fires released approximately 30–41 kg C m−2 from peatlands in Central Kalimantan, Indonesia, using radiocarbon dating of peat profiles and groundwater dissolved organic carbon. Drainage contributed 5–11 kg C m−2, primarily from centuries- to millennium-old, previously waterlogged peat. Fires released 23–32 kg C m−2 from peat accumulated over the past 3,000 years, initiating progressive oxidative decomposition of older peat. Extrapolation to Indonesia’s disturbed peatlands suggests a release of 0.81–3.70 Gt C between 1996 and 2014, with ongoing decomposition releasing an additional 0.03–0.08 Gt C annually, accelerating the impact on the global carbon balance.</w:t>
      </w:r>
    </w:p>
    <w:p>
      <w:pPr>
        <w:spacing w:before="120" w:after="120"/>
      </w:pPr>
      <w:r>
        <w:rPr>
          <w:sz w:val="18"/>
        </w:rPr>
        <w:t>——————————————————————————————————————————————————————————————————————</w:t>
      </w:r>
    </w:p>
    <w:p>
      <w:pPr>
        <w:spacing w:before="160" w:after="40" w:line="240" w:lineRule="auto"/>
      </w:pPr>
      <w:r>
        <w:rPr>
          <w:b/>
        </w:rPr>
        <w:t xml:space="preserve">[290] </w:t>
      </w:r>
      <w:hyperlink r:id="rId799">
        <w:r>
          <w:rPr>
            <w:color w:val="1155CC"/>
            <w:u w:val="single"/>
          </w:rPr>
          <w:t>卡拉利特努纳特的低海拔湖泊排水系统并未将冰盖水力破裂推进到内陆</w:t>
        </w:r>
      </w:hyperlink>
    </w:p>
    <w:p>
      <w:pPr>
        <w:spacing w:before="0" w:after="80"/>
      </w:pPr>
      <w:r>
        <w:rPr>
          <w:i/>
          <w:sz w:val="20"/>
        </w:rPr>
        <w:t>EN: Ice-sheet hydro-fracture not advanced inland by lower-elevation lake drainages in Kalaallit Nunaat</w:t>
      </w:r>
    </w:p>
    <w:p>
      <w:pPr>
        <w:spacing w:before="0" w:after="120"/>
      </w:pPr>
      <w:r>
        <w:rPr>
          <w:b/>
        </w:rPr>
        <w:t xml:space="preserve">Source: </w:t>
      </w:r>
      <w:r>
        <w:t>Earth and environmental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人们普遍认为，在气候变暖的情况下，通过水力压裂对冰上湖泊进行排水是导致接地冰盖不稳定的一种机制，因为它可能会加速地表融水进入冰盖床。由于缺乏对水力压裂事件发生的区域观测以及缺乏对水力压裂事件的区域冰盖响应的观测，质疑这一假设的进展受到阻碍。在这里，我们使用 22 个站的全球导航卫星系统阵列来弥补这两个缺陷，以识别跨越格陵兰冰盖中上部消融区的湖泊之间的湖间水力压裂事件触发潜力。在四个不同的实例中，多个湖泊水力压裂事件在相似的海拔高度上同时发生；与此同时，高海拔湖盆的应变率并未受到干扰。我们的研究结果支持了湖泊下方地表到河床融水路径向内陆进展的简单模型：路径的启动沿着地表融化的推进而迁移，但不会因遥远、低海拔湖泊的排水活动而加速。</w:t>
      </w:r>
    </w:p>
    <w:p>
      <w:pPr>
        <w:spacing w:before="0" w:after="200" w:lineRule="auto" w:line="276"/>
      </w:pPr>
      <w:r>
        <w:rPr>
          <w:b/>
        </w:rPr>
        <w:t xml:space="preserve">Abstract (EN): </w:t>
      </w:r>
      <w:r>
        <w:t>Drainage of supraglacial lakes via hydro-fracture is widely argued to be a mechanism for destabilization of grounded ice sheets under climate-warming scenarios because it may accelerate surface meltwater access to the ice-sheet bed. Progress in interrogating this hypothesis has been hindered by the lack of regional observations of hydro-fracture event occurrence, and the lack of observations of regional ice-sheet response to hydro-fracture events. Here, we remedy both deficiencies using a 22-station Global Navigation Satellite System array to discern inter-lake, hydro-fracture-event triggering potential between lakes spanning the mid-to-upper Greenland Ice Sheet ablation zone. In four separate instances, multiple lake hydro-fracture events occur close in time at similar elevations; meanwhile, strain rates across higher-elevation lake basins are unperturbed. Our findings support a simple model for the inland progression of surface-to-bed meltwater pathways beneath lakes: pathway initiation migrates alongside advancing surface melt, but is not accelerated by drainage activity at distant, lower-elevation lakes.</w:t>
      </w:r>
    </w:p>
    <w:p>
      <w:pPr>
        <w:spacing w:before="120" w:after="120"/>
      </w:pPr>
      <w:r>
        <w:rPr>
          <w:sz w:val="18"/>
        </w:rPr>
        <w:t>——————————————————————————————————————————————————————————————————————</w:t>
      </w:r>
    </w:p>
    <w:p>
      <w:pPr>
        <w:spacing w:before="160" w:after="40" w:line="240" w:lineRule="auto"/>
      </w:pPr>
      <w:r>
        <w:rPr>
          <w:b/>
        </w:rPr>
        <w:t xml:space="preserve">[291] </w:t>
      </w:r>
      <w:hyperlink r:id="rId800">
        <w:r>
          <w:rPr>
            <w:color w:val="1155CC"/>
            <w:u w:val="single"/>
          </w:rPr>
          <w:t>非线性温度变化响应影响全球 Mollisol 农田土壤有机碳的损失-增加转变</w:t>
        </w:r>
      </w:hyperlink>
    </w:p>
    <w:p>
      <w:pPr>
        <w:spacing w:before="0" w:after="80"/>
      </w:pPr>
      <w:r>
        <w:rPr>
          <w:i/>
          <w:sz w:val="20"/>
        </w:rPr>
        <w:t>EN: Nonlinear temperature change responses shape soil organic carbon loss-gain transitions in global Mollisol croplands</w:t>
      </w:r>
    </w:p>
    <w:p>
      <w:pPr>
        <w:spacing w:before="0" w:after="120"/>
      </w:pPr>
      <w:r>
        <w:rPr>
          <w:b/>
        </w:rPr>
        <w:t xml:space="preserve">Source: </w:t>
      </w:r>
      <w:r>
        <w:t>Earth and environmental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软土农田对于全球粮食生产和土壤碳储存非常重要，但目前尚不清楚气候变暖如何影响土壤有机碳损失和增加之间的转变。在这里，我们发现，从 1990 年到 2020 年，全球 Mollisol 农田的表层土壤有机碳下降了 5.59%，尽管损失速度随着时间的推移而放缓。利用 5,535 个土壤样本和卫星观测，我们确定了土壤碳变化与变暖速率之间的非线性关系，阈值为 0.0309 °C/年，高于该阈值，土壤碳净变化从损失转向增加。这个阈值向低纬度地区增加，表明较温暖的地区需要更强的变暖才能达到类似的转变。如果最近的气候-土壤关系持续存在，在适度排放的情况下，到 2050 年，大约 65% 的 Mollisol 耕地可能会超过这一阈值。这些结果凸显了非线性阈值响应在预测气候变化下土壤碳动态方面的重要性。</w:t>
      </w:r>
    </w:p>
    <w:p>
      <w:pPr>
        <w:spacing w:before="0" w:after="200" w:lineRule="auto" w:line="276"/>
      </w:pPr>
      <w:r>
        <w:rPr>
          <w:b/>
        </w:rPr>
        <w:t xml:space="preserve">Abstract (EN): </w:t>
      </w:r>
      <w:r>
        <w:t>Mollisol croplands are important for global food production and soil carbon storage, yet it remains unclear how climate warming affects transitions between soil organic carbon loss and gain. Here we show that surface soil organic carbon across global Mollisol croplands declined by 5.59% from 1990 to 2020, although the rate of loss slowed over time. Using 5,535 soil samples and satellite observations, we identified a nonlinear relationship between soil carbon change and the rate of warming, with a threshold at 0.0309 °C/yr above which net soil carbon change shifted from loss toward gain. This threshold increased toward lower latitudes, indicating that warmer regions require stronger warming to reach a similar transition. If recent climate-soil relationships persist, about 65% of Mollisol cropland may exceed this threshold by 2050 under a moderate emissions scenario. These results highlight the importance of nonlinear threshold responses in predicting soil carbon dynamics under climate change.</w:t>
      </w:r>
    </w:p>
    <w:p>
      <w:pPr>
        <w:spacing w:before="120" w:after="120"/>
      </w:pPr>
      <w:r>
        <w:rPr>
          <w:sz w:val="18"/>
        </w:rPr>
        <w:t>——————————————————————————————————————————————————————————————————————</w:t>
      </w:r>
    </w:p>
    <w:p>
      <w:pPr>
        <w:spacing w:before="160" w:after="40" w:line="240" w:lineRule="auto"/>
      </w:pPr>
      <w:r>
        <w:rPr>
          <w:b/>
        </w:rPr>
        <w:t xml:space="preserve">[292] </w:t>
      </w:r>
      <w:hyperlink r:id="rId801">
        <w:r>
          <w:rPr>
            <w:color w:val="1155CC"/>
            <w:u w:val="single"/>
          </w:rPr>
          <w:t>相互作用的自旋系综中磁力测量的动态冻结</w:t>
        </w:r>
      </w:hyperlink>
    </w:p>
    <w:p>
      <w:pPr>
        <w:spacing w:before="0" w:after="80"/>
      </w:pPr>
      <w:r>
        <w:rPr>
          <w:i/>
          <w:sz w:val="20"/>
        </w:rPr>
        <w:t>EN: Dynamical freezing for magnetometry in an interacting spin ensemble</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02">
        <w:r>
          <w:rPr>
            <w:color w:val="1155CC"/>
            <w:u w:val="single"/>
          </w:rPr>
          <w:t>10.1038/s41586-026-10585-6</w:t>
        </w:r>
      </w:hyperlink>
    </w:p>
    <w:p>
      <w:pPr>
        <w:spacing w:before="0" w:after="120"/>
      </w:pPr>
      <w:r>
        <w:rPr>
          <w:b/>
        </w:rPr>
        <w:t xml:space="preserve">Notes: </w:t>
      </w:r>
      <w:r>
        <w:t>abstract_source=nature_html</w:t>
      </w:r>
    </w:p>
    <w:p>
      <w:pPr>
        <w:spacing w:before="0" w:after="80" w:lineRule="auto" w:line="276"/>
      </w:pPr>
      <w:r>
        <w:rPr>
          <w:b/>
        </w:rPr>
        <w:t xml:space="preserve">摘要（ZH）: </w:t>
      </w:r>
      <w:r>
        <w:t>理解和控制量子多体系统中的非平衡动力学是现代物理学的一项基本挑战1,2,3,4,5，对推进量子技术具有深远的影响。通常，在缺乏守恒定律的情况下，周期性驱动的系统会热化到无特征的“无限温度”状态，从而擦除其初始条件的所有记忆6,7,8。然而，这种模式可以通过可积性 9、多体局域化 2、3、10、11、量子多体疤痕 4 和希尔伯特空间碎片 12、13 等机制来分解。在这里，我们报告了动态冻结的实验观察，这是驱动系统中热化分解的一种独特机制14,15,16,17,18,19，并使用金刚石中大约 104 个相互作用的氮空位 (NV) 自旋来展示其在量子传感中的应用。通过精确控制驱动频率和失谐，我们观察到出现的长寿命自旋磁化和相干振荡微运动，它们在超过相互作用限制相干时间（T2）的时间尺度上持续存在一个数量级以上。通过使用这些非常规动力学，我们开发了一种动态冷冻增强型交流电。磁力测定法将最佳传感时间延长至远远超过 T2，其性能优于传统的动态解耦磁力测定法，灵敏度提高了 2.7 倍。我们的结果不仅提供了动态冻结的清晰实验观察（一种通过涌现守恒定律抵抗热化的特殊机制），而且还建立了一种普遍适用的鲁棒控制方法</w:t>
      </w:r>
    </w:p>
    <w:p>
      <w:pPr>
        <w:spacing w:before="0" w:after="200" w:lineRule="auto" w:line="276"/>
      </w:pPr>
      <w:r>
        <w:rPr>
          <w:b/>
        </w:rPr>
        <w:t xml:space="preserve">Abstract (EN): </w:t>
      </w:r>
      <w:r>
        <w:t>Understanding and controlling non-equilibrium dynamics in quantum many-body systems is a fundamental challenge in modern physics1,2,3,4,5, with profound implications for advancing quantum technologies. Typically, periodically driven systems in the absence of conservation laws thermalize to a featureless ‘infinite-temperature’ state, erasing all memory of their initial conditions6,7,8. However, this pattern can break down through mechanisms such as integrability9, many-body localization2,3,10,11, quantum many-body scars4 and Hilbert space fragmentation12,13. Here we report the experimental observation of dynamical freezing, a distinct mechanism of thermalization breakdown in driven systems14,15,16,17,18,19, and demonstrate its application in quantum sensing using an ensemble of approximately 104 interacting nitrogen-vacancy (NV) spins in diamond. By precisely controlling the driving frequency and detuning, we observe emergent long-lived spin magnetization and coherent oscillatory micromotions, persisting over timescales exceeding the interaction-limited coherence time (T2) by more than an order of magnitude. By using these unconventional dynamics, we develop a dynamical-freezing-enhanced a.c. magnetometry that extends optimal sensing times far beyond T2, outperforming conventional dynamical decoupling magnetometry with a 2.7-fold sensitivity enhancement. Our results not only provide clear experimental observation of dynamical freezing—a peculiar mechanism defying thermalization through emergent conservation laws—but also establish a robust control method generally applicable to diverse physical platforms, with broad implications in quantum metrology and beyond.</w:t>
      </w:r>
    </w:p>
    <w:p>
      <w:pPr>
        <w:spacing w:before="120" w:after="120"/>
      </w:pPr>
      <w:r>
        <w:rPr>
          <w:sz w:val="18"/>
        </w:rPr>
        <w:t>——————————————————————————————————————————————————————————————————————</w:t>
      </w:r>
    </w:p>
    <w:p>
      <w:pPr>
        <w:spacing w:before="160" w:after="40" w:line="240" w:lineRule="auto"/>
      </w:pPr>
      <w:r>
        <w:rPr>
          <w:b/>
        </w:rPr>
        <w:t xml:space="preserve">[293] </w:t>
      </w:r>
      <w:hyperlink r:id="rId803">
        <w:r>
          <w:rPr>
            <w:color w:val="1155CC"/>
            <w:u w:val="single"/>
          </w:rPr>
          <w:t>量子材料中空腔驱动的吸引相互作用</w:t>
        </w:r>
      </w:hyperlink>
    </w:p>
    <w:p>
      <w:pPr>
        <w:spacing w:before="0" w:after="80"/>
      </w:pPr>
      <w:r>
        <w:rPr>
          <w:i/>
          <w:sz w:val="20"/>
        </w:rPr>
        <w:t>EN: Cavity-driven attractive interactions in quantum materials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04">
        <w:r>
          <w:rPr>
            <w:color w:val="1155CC"/>
            <w:u w:val="single"/>
          </w:rPr>
          <w:t>10.1038/s41586-026-10609-1</w:t>
        </w:r>
      </w:hyperlink>
    </w:p>
    <w:p>
      <w:pPr>
        <w:spacing w:before="0" w:after="120"/>
      </w:pPr>
      <w:r>
        <w:rPr>
          <w:b/>
        </w:rPr>
        <w:t xml:space="preserve">Notes: </w:t>
      </w:r>
      <w:r>
        <w:t>abstract_source=nature_html</w:t>
      </w:r>
    </w:p>
    <w:p>
      <w:pPr>
        <w:spacing w:before="0" w:after="80" w:lineRule="auto" w:line="276"/>
      </w:pPr>
      <w:r>
        <w:rPr>
          <w:b/>
        </w:rPr>
        <w:t xml:space="preserve">摘要（ZH）: </w:t>
      </w:r>
      <w:r>
        <w:t>量子材料中的多体现象是由电子态的广泛连续体之间的相互作用产生的，控制这些相互作用对于设计新相至关重要。一种有前途的方法利用光学腔内限制的光来调整电子特性1。在这里，我们证明太赫兹腔光子可以介导可调谐范德华（vdW）材料中的吸引相互作用，并将电子-空穴跃迁的连续体重组为类激子态。我们推出了一种宽带亚波长时域显微镜，它将剥离的双门二维量子材料集成到太赫兹腔中。这种方法能够在太赫兹范围内对双层石墨烯 2 (BLG) 的场可调带隙进行光谱测量，并在共振时揭示超强耦合 3 (USC)，其有效相互作用强度超过 g/ωc ≈ 裸光子能量的 40%。至关重要的是，我们发现了从带间连续体中出现的空腔诱导共振，它类似于库仑束缚激子，并且在很宽的温度范围内保持稳定。我们的研究结果提出了一个用于设计和研究二维量子物质中混合光物质相的实验平台。</w:t>
      </w:r>
    </w:p>
    <w:p>
      <w:pPr>
        <w:spacing w:before="0" w:after="200" w:lineRule="auto" w:line="276"/>
      </w:pPr>
      <w:r>
        <w:rPr>
          <w:b/>
        </w:rPr>
        <w:t xml:space="preserve">Abstract (EN): </w:t>
      </w:r>
      <w:r>
        <w:t>Many-body phenomena in quantum materials emerge from the interplay among a broad continuum of electronic states and controlling these interactions is critical for engineering new phases. One promising approach exploits light confined within optical cavities to tailor electronic properties1. Here we demonstrate that terahertz cavity photons can mediate attractive interactions in a tunable van der Waals (vdW) material and reorganize a continuum of electron–hole transitions into an exciton-like state. We introduce a broadband, sub-wavelength time-domain microscope that integrates exfoliated, dual-gated 2D quantum materials into a terahertz cavity. This approach enables the spectroscopic measurement of the field-tunable bandgap of bilayer graphene2 (BLG) in the terahertz range and, at resonance, reveals ultrastrong coupling3 (USC) with an effective interaction strength exceeding g/ωc ≈ 40% of the bare photon energy. Crucially, we identify a cavity-induced resonance emerging from the interband continuum that resembles Coulomb-bound excitons and remains stable across a broad temperature range. Our findings propose an experimental platform for designing and investigating hybrid light–matter phases in 2D quantum matter.</w:t>
      </w:r>
    </w:p>
    <w:p>
      <w:pPr>
        <w:spacing w:before="120" w:after="120"/>
      </w:pPr>
      <w:r>
        <w:rPr>
          <w:sz w:val="18"/>
        </w:rPr>
        <w:t>——————————————————————————————————————————————————————————————————————</w:t>
      </w:r>
    </w:p>
    <w:p>
      <w:pPr>
        <w:spacing w:before="160" w:after="40" w:line="240" w:lineRule="auto"/>
      </w:pPr>
      <w:r>
        <w:rPr>
          <w:b/>
        </w:rPr>
        <w:t xml:space="preserve">[294] </w:t>
      </w:r>
      <w:hyperlink r:id="rId805">
        <w:r>
          <w:rPr>
            <w:color w:val="1155CC"/>
            <w:u w:val="single"/>
          </w:rPr>
          <w:t>复杂性状尾部的独特遗传结构</w:t>
        </w:r>
      </w:hyperlink>
    </w:p>
    <w:p>
      <w:pPr>
        <w:spacing w:before="0" w:after="80"/>
      </w:pPr>
      <w:r>
        <w:rPr>
          <w:i/>
          <w:sz w:val="20"/>
        </w:rPr>
        <w:t>EN: Distinct genetic architecture in the tails of complex traits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06">
        <w:r>
          <w:rPr>
            <w:color w:val="1155CC"/>
            <w:u w:val="single"/>
          </w:rPr>
          <w:t>10.1038/s41586-026-10516-5</w:t>
        </w:r>
      </w:hyperlink>
    </w:p>
    <w:p>
      <w:pPr>
        <w:spacing w:before="0" w:after="120"/>
      </w:pPr>
      <w:r>
        <w:rPr>
          <w:b/>
        </w:rPr>
        <w:t xml:space="preserve">Notes: </w:t>
      </w:r>
      <w:r>
        <w:t>abstract_source=nature_html</w:t>
      </w:r>
    </w:p>
    <w:p>
      <w:pPr>
        <w:spacing w:before="0" w:after="80" w:lineRule="auto" w:line="276"/>
      </w:pPr>
      <w:r>
        <w:rPr>
          <w:b/>
        </w:rPr>
        <w:t xml:space="preserve">摘要（ZH）: </w:t>
      </w:r>
      <w:r>
        <w:t>复杂性状具有高度多基因性，其遗传性可以通过数百种常见的小效应变异和罕见的大效应变异来解释。然而，这种遗传结构如何沿着性状连续体变化，以及自然选择在塑造这种变化中的作用，尚未得到充分探索。在这里，我们开发了一种基于多基因风险评分的方法，该方法揭示了 74 个数量性状的一个或两个尾部与常见变异结构的广泛偏离。这些观察结果在不同血统、队列和重复测量中进行了重复，并使用了基于家庭的替代方法2。纳入从序列数据中鉴定出的罕见变异导致这些偏差显着减少，这表明具有大效应的罕见等位基因是性状尾结构的关键驱动因素。正向模拟表明，稳定选择可以产生观察到的模式，而繁殖成功建模为选择的作用提供了经验支持。这些发现表明，尽管复杂性状在整个种群中是多基因的，但由于选择，它们的尾巴具有独特且多基因程度较低的结构。这对于罕见变异的发现以及复杂性状和疾病的预测具有重要意义。</w:t>
      </w:r>
    </w:p>
    <w:p>
      <w:pPr>
        <w:spacing w:before="0" w:after="200" w:lineRule="auto" w:line="276"/>
      </w:pPr>
      <w:r>
        <w:rPr>
          <w:b/>
        </w:rPr>
        <w:t xml:space="preserve">Abstract (EN): </w:t>
      </w:r>
      <w:r>
        <w:t>Complex traits are highly polygenic, with heritability explained by many hundreds of common variants of small effect together with rare variants of large effect1. Yet how this genetic architecture varies along the trait continuum has been underexplored, as has the role of natural selection in shaping this variation. Here we developed an approach based on polygenic risk scores that reveals widespread departures from common-variant architecture in one or both of the tails of 74 quantitative traits. These observations were replicated across ancestries, cohorts and repeated measures and using an alternative family-based approach2. Incorporating rare variants identified from sequence data resulted in marked reductions in these deviations, suggesting that rare alleles of large effect are key drivers of trait-tail architecture. Forward simulations showed that stabilizing selection could generate the observed patterns, whereas modelling reproductive success provided empirical support for the role of selection. These findings show that although complex traits are polygenic in the population at large, they have a distinct and less polygenic architecture in their tails due to selection. This has implications for rare-variant discovery and complex trait and disease prediction.</w:t>
      </w:r>
    </w:p>
    <w:p>
      <w:pPr>
        <w:spacing w:before="120" w:after="120"/>
      </w:pPr>
      <w:r>
        <w:rPr>
          <w:sz w:val="18"/>
        </w:rPr>
        <w:t>——————————————————————————————————————————————————————————————————————</w:t>
      </w:r>
    </w:p>
    <w:p>
      <w:pPr>
        <w:spacing w:before="160" w:after="40" w:line="240" w:lineRule="auto"/>
      </w:pPr>
      <w:r>
        <w:rPr>
          <w:b/>
        </w:rPr>
        <w:t xml:space="preserve">[295] </w:t>
      </w:r>
      <w:hyperlink r:id="rId807">
        <w:r>
          <w:rPr>
            <w:color w:val="1155CC"/>
            <w:u w:val="single"/>
          </w:rPr>
          <w:t>从表面到深渊全球海洋动物生物多样性的差距和驱动因素</w:t>
        </w:r>
      </w:hyperlink>
    </w:p>
    <w:p>
      <w:pPr>
        <w:spacing w:before="0" w:after="80"/>
      </w:pPr>
      <w:r>
        <w:rPr>
          <w:i/>
          <w:sz w:val="20"/>
        </w:rPr>
        <w:t>EN: Gaps and drivers of global marine animal biodiversity from the surface to abyss</w:t>
      </w:r>
    </w:p>
    <w:p>
      <w:pPr>
        <w:spacing w:before="0" w:after="120"/>
      </w:pPr>
      <w:r>
        <w:rPr>
          <w:b/>
        </w:rPr>
        <w:t xml:space="preserve">Source: </w:t>
      </w:r>
      <w:r>
        <w:t>Earth and environmental sciences : Nature Communications subject feeds</w:t>
      </w:r>
      <w:r>
        <w:t xml:space="preserve">    </w:t>
      </w:r>
      <w:r>
        <w:rPr>
          <w:b/>
        </w:rPr>
        <w:t xml:space="preserve">Pub date: </w:t>
      </w:r>
      <w:r>
        <w:t>2026-05-27 00:00:00+00:00</w:t>
      </w:r>
    </w:p>
    <w:p>
      <w:pPr>
        <w:spacing w:before="0" w:after="120"/>
      </w:pPr>
      <w:r>
        <w:rPr>
          <w:b/>
        </w:rPr>
        <w:t xml:space="preserve">Notes: </w:t>
      </w:r>
      <w:r>
        <w:t>abstract_source=nature_html</w:t>
      </w:r>
    </w:p>
    <w:p>
      <w:pPr>
        <w:spacing w:before="0" w:after="80" w:lineRule="auto" w:line="276"/>
      </w:pPr>
      <w:r>
        <w:rPr>
          <w:b/>
        </w:rPr>
        <w:t xml:space="preserve">摘要（ZH）: </w:t>
      </w:r>
      <w:r>
        <w:t>随着全球生物多样性数据共享的进步，特别是在海洋生物普查之后，对海洋生物多样性的了解有所改善，但仍然不完整。海洋生物多样性信息系统和全球生物多样性信息设施拥有超过 1.5 亿条海洋事件记录，有助于重新评估全球生物多样性和数据缺口。在这里，我们编译了一个质量控制的数据集。 4800 万条记录，涵盖 184,141 种海洋动物物种，约占公认的世界海洋物种名录的 87% 和海洋生物多样性信息系统类群的 91%。广义线性和加性模型评估地质生态驱动因素和人类影响如何影响物种丰富度，同时考虑采样工作以及跨深度和类群的空间自相关。全球约 50% 的海洋仍未得到充分采样，超过 1.6 亿平方公里的 200 m 以下海域缺乏数据。抽样偏向发达地区，特别是北大西洋，赤道和南半球地区存在较大差距。中部热带地区（−5° 至 5°）仅贡献</w:t>
      </w:r>
    </w:p>
    <w:p>
      <w:pPr>
        <w:spacing w:before="0" w:after="200" w:lineRule="auto" w:line="276"/>
      </w:pPr>
      <w:r>
        <w:rPr>
          <w:b/>
        </w:rPr>
        <w:t xml:space="preserve">Abstract (EN): </w:t>
      </w:r>
      <w:r>
        <w:t>With advances in global biodiversity data sharing, particularly following the Census of Marine Life, understanding of marine biodiversity has improved but remains incomplete. The Ocean Biodiversity Information System and Global Biodiversity Information Facility host over 150 million marine occurrence records, enabling reassessment of global biodiversity and data gaps. Here, we compile a quality-controlled dataset of ca. 48 million records covering 184,141 marine animal species, representing ~87% of accepted World Register of Marine Species and 91% of Ocean Biodiversity Information System taxa. Generalised Linear and Additive Models assess how geoecological drivers and human impact influence species richness while accounting for sampling effort and spatial autocorrelation across depth and taxa. Approximately 50% of the global ocean remains insufficiently sampled, with more than 160 million km² below 200 m lacking data. Sampling is biased toward developed regions, especially the North Atlantic, with major gaps in equatorial and Global South regions. Central tropical areas ( − 5° to 5°) contribute only</w:t>
      </w:r>
    </w:p>
    <w:p>
      <w:pPr>
        <w:spacing w:before="120" w:after="120"/>
      </w:pPr>
      <w:r>
        <w:rPr>
          <w:sz w:val="18"/>
        </w:rPr>
        <w:t>——————————————————————————————————————————————————————————————————————</w:t>
      </w:r>
    </w:p>
    <w:p>
      <w:pPr>
        <w:spacing w:before="160" w:after="40" w:line="240" w:lineRule="auto"/>
      </w:pPr>
      <w:r>
        <w:rPr>
          <w:b/>
        </w:rPr>
        <w:t xml:space="preserve">[296] </w:t>
      </w:r>
      <w:hyperlink r:id="rId808">
        <w:r>
          <w:rPr>
            <w:color w:val="1155CC"/>
            <w:u w:val="single"/>
          </w:rPr>
          <w:t>多倍体基因组学框架中甘蔗性状的遗传结构</w:t>
        </w:r>
      </w:hyperlink>
    </w:p>
    <w:p>
      <w:pPr>
        <w:spacing w:before="0" w:after="80"/>
      </w:pPr>
      <w:r>
        <w:rPr>
          <w:i/>
          <w:sz w:val="20"/>
        </w:rPr>
        <w:t>EN: Genetic architecture of sugarcane traits in a polyploid genomics framework</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09">
        <w:r>
          <w:rPr>
            <w:color w:val="1155CC"/>
            <w:u w:val="single"/>
          </w:rPr>
          <w:t>10.1038/s41586-026-10576-7</w:t>
        </w:r>
      </w:hyperlink>
    </w:p>
    <w:p>
      <w:pPr>
        <w:spacing w:before="0" w:after="120"/>
      </w:pPr>
      <w:r>
        <w:rPr>
          <w:b/>
        </w:rPr>
        <w:t xml:space="preserve">Notes: </w:t>
      </w:r>
      <w:r>
        <w:t>abstract_source=nature_html</w:t>
      </w:r>
    </w:p>
    <w:p>
      <w:pPr>
        <w:spacing w:before="0" w:after="80" w:lineRule="auto" w:line="276"/>
      </w:pPr>
      <w:r>
        <w:rPr>
          <w:b/>
        </w:rPr>
        <w:t xml:space="preserve">摘要（ZH）: </w:t>
      </w:r>
      <w:r>
        <w:t>甘蔗 (Saccharum spp.) 是一种重要的糖和生物能源作物，具有极其复杂的多倍体基因组（10-12 组染色体）。这种复杂性源于贵族化——一个涉及种间杂交和重复回交的历史育种过程。然而，极端的倍性长期以来一直阻碍着阐明其巨大蔗糖储存能力的遗传基础的努力。在这里，我们展示了基础品种 POJ2878 的完全定相基因组组装，这是使用基于 Pore-C 的组装算法实现的。该组装解析了 118 条染色体，揭示了广泛的亚基因组重组和非同源染色体重排。使用血统同一性和等位基因特异性表达谱，我们鉴定了育种者喜爱的单倍型，包括蔗糖含量增强的 SUS2 单倍型。对 981 个甘蔗品种的重新测序追踪了 POJ2878 对现代品种的普遍贡献，并确定了关键的驯化和改良扫描。正在选择的基因包括用于耐冷性的CBL1、用于细胞大小调节的TIP1和用于分蘖控制的TB1。一项针对多倍体基因组的全基因组关联研究解析了与薄壁细胞大小和蔗糖储存容量相关的基因座，包括功能验证的蔗糖转运蛋白 Saccharum 杂交 SUT2。这些发现阐明了甘蔗生物量生产力和糖产量的遗传结构，为加速改进甘蔗和其他对全球粮食和生物能源安全至关重要的多倍体作物提供了基因组基础。</w:t>
      </w:r>
    </w:p>
    <w:p>
      <w:pPr>
        <w:spacing w:before="0" w:after="200" w:lineRule="auto" w:line="276"/>
      </w:pPr>
      <w:r>
        <w:rPr>
          <w:b/>
        </w:rPr>
        <w:t xml:space="preserve">Abstract (EN): </w:t>
      </w:r>
      <w:r>
        <w:t>Sugarcane (Saccharum spp.) is a vital sugar and bioenergy crop with an exceptionally complex polyploid genome (10–12 sets of chromosomes). This complexity resulted from nobilization—a historical breeding process involving interspecific hybridization and repeated backcrossing1. However, the extreme ploidy has long impeded efforts to elucidate the genetic basis of its considerable sucrose-storing capacity. Here we present a fully phased genome assembly of the foundational cultivar POJ2878, achieved using a Pore-C-based assembly algorithm. This assembly resolved 118 chromosomes, revealing extensive subgenome recombination and non-homologous chromosomal rearrangements. Using identity-by-descent and allele-specific expression profiling, we identified breeder-favoured haplotypes, including a SUS2 haplotype with enhanced sucrose content. Resequencing of 981 Saccharum accessions traced POJ2878’s pervasive contribution to modern cultivars and identified key domestication and improvement sweeps. Genes under selection include CBL1 for cold tolerance, TIP1 for cell size regulation and TB1 for tillering control. A genome-wide association study tailored for polyploid genomes resolved loci associated with parenchyma cell size and sucrose storage capacity, including the functionally validated sucrose transporter Saccharum hybrid SUT2. These findings clarify the genetic architecture underlying sugarcane’s biomass productivity and sugar yield, offering a genomic foundation for accelerating improvement in sugarcane and other polyploid crops critical for global food and bioenergy security.</w:t>
      </w:r>
    </w:p>
    <w:p>
      <w:pPr>
        <w:spacing w:before="120" w:after="120"/>
      </w:pPr>
      <w:r>
        <w:rPr>
          <w:sz w:val="18"/>
        </w:rPr>
        <w:t>——————————————————————————————————————————————————————————————————————</w:t>
      </w:r>
    </w:p>
    <w:p>
      <w:pPr>
        <w:spacing w:before="160" w:after="40" w:line="240" w:lineRule="auto"/>
      </w:pPr>
      <w:r>
        <w:rPr>
          <w:b/>
        </w:rPr>
        <w:t xml:space="preserve">[297] </w:t>
      </w:r>
      <w:hyperlink r:id="rId810">
        <w:r>
          <w:rPr>
            <w:color w:val="1155CC"/>
            <w:u w:val="single"/>
          </w:rPr>
          <w:t>数字技术导致的儿童性虐待现象普遍存在，但报道不足</w:t>
        </w:r>
      </w:hyperlink>
    </w:p>
    <w:p>
      <w:pPr>
        <w:spacing w:before="0" w:after="80"/>
      </w:pPr>
      <w:r>
        <w:rPr>
          <w:i/>
          <w:sz w:val="20"/>
        </w:rPr>
        <w:t>EN: Child sexual abuse enabled by digital technologies is widespread and under-reported</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11">
        <w:r>
          <w:rPr>
            <w:color w:val="1155CC"/>
            <w:u w:val="single"/>
          </w:rPr>
          <w:t>10.1038/d41586-026-01325-x</w:t>
        </w:r>
      </w:hyperlink>
    </w:p>
    <w:p>
      <w:pPr>
        <w:spacing w:before="0" w:after="120"/>
      </w:pPr>
      <w:r>
        <w:rPr>
          <w:b/>
        </w:rPr>
        <w:t xml:space="preserve">Notes: </w:t>
      </w:r>
      <w:r>
        <w:t>abstract_source=nature_html</w:t>
      </w:r>
    </w:p>
    <w:p>
      <w:pPr>
        <w:spacing w:before="0" w:after="80" w:lineRule="auto" w:line="276"/>
      </w:pPr>
      <w:r>
        <w:rPr>
          <w:b/>
        </w:rPr>
        <w:t xml:space="preserve">摘要（ZH）: </w:t>
      </w:r>
      <w:r>
        <w:t>2020-21 年，非洲和亚洲部分地区六分之一的互联网青少年面临技术促成的性虐待。随着数字访问在全球范围内扩展，更好的保护至关重要。 2020-21 年，非洲和亚洲部分地区六分之一的互联网青少年面临技术促成的性虐待。随着数字访问在全球范围内扩展，更好的保护至关重要。</w:t>
      </w:r>
    </w:p>
    <w:p>
      <w:pPr>
        <w:spacing w:before="0" w:after="200" w:lineRule="auto" w:line="276"/>
      </w:pPr>
      <w:r>
        <w:rPr>
          <w:b/>
        </w:rPr>
        <w:t xml:space="preserve">Abstract (EN): </w:t>
      </w:r>
      <w:r>
        <w:t>One in six Internet-using adolescents in parts of Africa and Asia faced technology-facilitated sexual abuse in 2020–21. As digital access expands globally, better protection is crucial. One in six Internet-using adolescents in parts of Africa and Asia faced technology-facilitated sexual abuse in 2020–21. As digital access expands globally, better protection is crucial.</w:t>
      </w:r>
    </w:p>
    <w:p>
      <w:pPr>
        <w:spacing w:before="120" w:after="120"/>
      </w:pPr>
      <w:r>
        <w:rPr>
          <w:sz w:val="18"/>
        </w:rPr>
        <w:t>——————————————————————————————————————————————————————————————————————</w:t>
      </w:r>
    </w:p>
    <w:p>
      <w:pPr>
        <w:spacing w:before="160" w:after="40" w:line="240" w:lineRule="auto"/>
      </w:pPr>
      <w:r>
        <w:rPr>
          <w:b/>
        </w:rPr>
        <w:t xml:space="preserve">[298] </w:t>
      </w:r>
      <w:hyperlink r:id="rId812">
        <w:r>
          <w:rPr>
            <w:color w:val="1155CC"/>
            <w:u w:val="single"/>
          </w:rPr>
          <w:t>大规模集成光子计算的最新突破</w:t>
        </w:r>
      </w:hyperlink>
    </w:p>
    <w:p>
      <w:pPr>
        <w:spacing w:before="0" w:after="80"/>
      </w:pPr>
      <w:r>
        <w:rPr>
          <w:i/>
          <w:sz w:val="20"/>
        </w:rPr>
        <w:t>EN: Recent breakthroughs in large-scale integrated photonic computing</w:t>
      </w:r>
    </w:p>
    <w:p>
      <w:pPr>
        <w:spacing w:before="0" w:after="120"/>
      </w:pPr>
      <w:r>
        <w:rPr>
          <w:b/>
        </w:rPr>
        <w:t xml:space="preserve">Source: </w:t>
      </w:r>
      <w:r>
        <w:t>National Science Review Advance Access</w:t>
      </w:r>
      <w:r>
        <w:t xml:space="preserve">    </w:t>
      </w:r>
      <w:r>
        <w:rPr>
          <w:b/>
        </w:rPr>
        <w:t xml:space="preserve">Pub date: </w:t>
      </w:r>
      <w:r>
        <w:t>2026-05-27 00:00:00+00:00</w:t>
      </w:r>
      <w:r>
        <w:t xml:space="preserve">    </w:t>
      </w:r>
      <w:r>
        <w:rPr>
          <w:b/>
        </w:rPr>
        <w:t xml:space="preserve">DOI: </w:t>
      </w:r>
      <w:hyperlink r:id="rId813">
        <w:r>
          <w:rPr>
            <w:color w:val="1155CC"/>
            <w:u w:val="single"/>
          </w:rPr>
          <w:t>10.1093/nsr/nwag315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[299] </w:t>
      </w:r>
      <w:hyperlink r:id="rId814">
        <w:r>
          <w:rPr>
            <w:color w:val="1155CC"/>
            <w:u w:val="single"/>
          </w:rPr>
          <w:t>最佳掺杂 La1.84Sr0.16CuO4 薄膜中相互交织的向列相和 d 波超导级</w:t>
        </w:r>
      </w:hyperlink>
    </w:p>
    <w:p>
      <w:pPr>
        <w:spacing w:before="0" w:after="80"/>
      </w:pPr>
      <w:r>
        <w:rPr>
          <w:i/>
          <w:sz w:val="20"/>
        </w:rPr>
        <w:t>EN: Intertwined nematic and d-wave superconductive orders in optimally-doped La1.84Sr0.16CuO4 thin films</w:t>
      </w:r>
    </w:p>
    <w:p>
      <w:pPr>
        <w:spacing w:before="0" w:after="120"/>
      </w:pPr>
      <w:r>
        <w:rPr>
          <w:b/>
        </w:rPr>
        <w:t xml:space="preserve">Source: </w:t>
      </w:r>
      <w:r>
        <w:t>National Science Review Advance Access</w:t>
      </w:r>
      <w:r>
        <w:t xml:space="preserve">    </w:t>
      </w:r>
      <w:r>
        <w:rPr>
          <w:b/>
        </w:rPr>
        <w:t xml:space="preserve">Pub date: </w:t>
      </w:r>
      <w:r>
        <w:t>2026-05-27 00:00:00+00:00</w:t>
      </w:r>
      <w:r>
        <w:t xml:space="preserve">    </w:t>
      </w:r>
      <w:r>
        <w:rPr>
          <w:b/>
        </w:rPr>
        <w:t xml:space="preserve">DOI: </w:t>
      </w:r>
      <w:hyperlink r:id="rId815">
        <w:r>
          <w:rPr>
            <w:color w:val="1155CC"/>
            <w:u w:val="single"/>
          </w:rPr>
          <w:t>10.1093/nsr/nwag309</w:t>
        </w:r>
      </w:hyperlink>
    </w:p>
    <w:p>
      <w:pPr>
        <w:spacing w:before="0" w:after="120"/>
      </w:pPr>
      <w:r>
        <w:rPr>
          <w:b/>
        </w:rPr>
        <w:t xml:space="preserve">Notes: </w:t>
      </w:r>
      <w:r>
        <w:t>abstract_source=rss_oup</w:t>
      </w:r>
    </w:p>
    <w:p>
      <w:pPr>
        <w:spacing w:before="0" w:after="80" w:lineRule="auto" w:line="276"/>
      </w:pPr>
      <w:r>
        <w:rPr>
          <w:b/>
        </w:rPr>
        <w:t xml:space="preserve">摘要（ZH）: </w:t>
      </w:r>
      <w:r>
        <w:t>The anisotropy of the superconducting state and superconducting fluctuations in the CuO2 plane is directly related to the superconducting mechanism of copper oxide superconductors and is therefore pivotal for understanding high-temperature superconductivity. Here, we integrated the high-precision angle-resolved resistivity (ARR) measurement with a rotatable in-plane magnetic field to systematically study the angular dependence of superconducting fluctuations in optimally doped La1.84Sr0.16CuO4 (LSCO) thin films. By independently controlling the directions of the current and the magnetic field, we are able to isolate the magneto-resistivity contributed by the superconducting vortex motion and distinguish excitations from nematic superconductivity and d-wave superconductive order based on their respective C2 and C4 symmetries.在测量的临界电流的角度依赖性中，两个相互缠绕的超导秩序的特征也很明显。确定了不同类型超导涨落的T-B相图。这些发现与其他有趣的现象密切相关，例如对密度波、电荷密度波和局域配对。</w:t>
      </w:r>
    </w:p>
    <w:p>
      <w:pPr>
        <w:spacing w:before="0" w:after="200" w:lineRule="auto" w:line="276"/>
      </w:pPr>
      <w:r>
        <w:rPr>
          <w:b/>
        </w:rPr>
        <w:t xml:space="preserve">Abstract (EN): </w:t>
      </w:r>
      <w:r>
        <w:t>The anisotropy of the superconducting state and superconducting fluctuations in the CuO2 plane is directly related to the superconducting mechanism of copper oxide superconductors and is therefore pivotal for understanding high-temperature superconductivity. Here, we integrated the high-precision angle-resolved resistivity (ARR) measurement with a rotatable in-plane magnetic field to systematically study the angular dependence of superconducting fluctuations in optimally doped La1.84Sr0.16CuO4 (LSCO) thin films. By independently controlling the directions of the current and the magnetic field, we are able to isolate the magneto-resistivity contributed by the superconducting vortex motion and distinguish excitations from nematic superconductivity and d-wave superconductive order based on their respective C2 and C4 symmetries. Signatures of two intertwined superconductive orders are also evident in the measured angular dependence of the critical current. A T-B phase diagram of different types of superconducting fluctuations is determined. These findings are closely related to other intriguing phenomena, such as pair density wave, charge density wave, and local pairing.</w:t>
      </w:r>
    </w:p>
    <w:p>
      <w:pPr>
        <w:spacing w:before="120" w:after="120"/>
      </w:pPr>
      <w:r>
        <w:rPr>
          <w:sz w:val="18"/>
        </w:rPr>
        <w:t>——————————————————————————————————————————————————————————————————————</w:t>
      </w:r>
    </w:p>
    <w:p>
      <w:pPr>
        <w:spacing w:before="160" w:after="40" w:line="240" w:lineRule="auto"/>
      </w:pPr>
      <w:r>
        <w:rPr>
          <w:b/>
        </w:rPr>
        <w:t xml:space="preserve">[300] </w:t>
      </w:r>
      <w:hyperlink r:id="rId816">
        <w:r>
          <w:rPr>
            <w:color w:val="1155CC"/>
            <w:u w:val="single"/>
          </w:rPr>
          <w:t>多酶模拟纳米平台诱导二硫下垂/铜垂下/细胞凋亡用于肿瘤治疗</w:t>
        </w:r>
      </w:hyperlink>
    </w:p>
    <w:p>
      <w:pPr>
        <w:spacing w:before="0" w:after="80"/>
      </w:pPr>
      <w:r>
        <w:rPr>
          <w:i/>
          <w:sz w:val="20"/>
        </w:rPr>
        <w:t>EN: A multienzyme-mimicking nanoplatform induces disulfidptosis/cuproptosis/apoptosis for tumor therapy</w:t>
      </w:r>
    </w:p>
    <w:p>
      <w:pPr>
        <w:spacing w:before="0" w:after="120"/>
      </w:pPr>
      <w:r>
        <w:rPr>
          <w:b/>
        </w:rPr>
        <w:t xml:space="preserve">Source: </w:t>
      </w:r>
      <w:r>
        <w:t>National Science Review Advance Access</w:t>
      </w:r>
      <w:r>
        <w:t xml:space="preserve">    </w:t>
      </w:r>
      <w:r>
        <w:rPr>
          <w:b/>
        </w:rPr>
        <w:t xml:space="preserve">Pub date: </w:t>
      </w:r>
      <w:r>
        <w:t>2026-05-27 00:00:00+00:00</w:t>
      </w:r>
      <w:r>
        <w:t xml:space="preserve">    </w:t>
      </w:r>
      <w:r>
        <w:rPr>
          <w:b/>
        </w:rPr>
        <w:t xml:space="preserve">DOI: </w:t>
      </w:r>
      <w:hyperlink r:id="rId817">
        <w:r>
          <w:rPr>
            <w:color w:val="1155CC"/>
            <w:u w:val="single"/>
          </w:rPr>
          <w:t>10.1093/nsr/nwag316</w:t>
        </w:r>
      </w:hyperlink>
    </w:p>
    <w:p>
      <w:pPr>
        <w:spacing w:before="0" w:after="120"/>
      </w:pPr>
      <w:r>
        <w:rPr>
          <w:b/>
        </w:rPr>
        <w:t xml:space="preserve">Notes: </w:t>
      </w:r>
      <w:r>
        <w:t>abstract_source=rss_oup</w:t>
      </w:r>
    </w:p>
    <w:p>
      <w:pPr>
        <w:spacing w:before="0" w:after="80" w:lineRule="auto" w:line="276"/>
      </w:pPr>
      <w:r>
        <w:rPr>
          <w:b/>
        </w:rPr>
        <w:t xml:space="preserve">摘要（ZH）: </w:t>
      </w:r>
      <w:r>
        <w:t>肿瘤微环境（TME）的独特特征为利用酶进行有价值的肿瘤靶向治疗提供了巨大的潜力。在此，合成了直径为139 nm的MOF-818，并表现出多酶模拟活性，包括过氧化物酶、过氧化氢酶、谷胱甘肽氧化酶、葡萄糖氧化酶、超氧化物歧化酶和酪氨酸酶（TYR）样活性。基于这些酶活性，MOF-818 催化通过自生成底物和循环催化反应进行的整个过程，特别是诱导 TME 重塑。同时，首次在纳米酶中报道，MOF-818 通过其 TYR 样活性激活前药对乙酰氨基酚 (APAP)，进一步增加活性氧的积累。这些特征通过激活多种组合的程序性细胞死亡途径（细胞凋亡、二硫下垂和铜凋亡）来增强 MOF-818 的抗肿瘤活性。将MOF-818纳米平台、3-甲基腺嘌呤(3-MA)、THP-1细胞膜(CM)以及Fc和TNF相关凋亡诱导配体的融合蛋白(Fc-TRAIL)整合并构建3-MA@MOF-818@CM-Fc-TRAIL纳米颗粒(3MCT NPs)。这些纳米粒子靶向肿瘤细胞，与 APAP 结合时，显示出有效的治疗效果和良好的生物安全性。我们的研究结果表明，MOF-818 可以作为多酶模拟支架，用于工程靶向纳米平台，共同递送组合治疗剂，从而实现联合抗肿瘤治疗。</w:t>
      </w:r>
    </w:p>
    <w:p>
      <w:pPr>
        <w:spacing w:before="0" w:after="200" w:lineRule="auto" w:line="276"/>
      </w:pPr>
      <w:r>
        <w:rPr>
          <w:b/>
        </w:rPr>
        <w:t xml:space="preserve">Abstract (EN): </w:t>
      </w:r>
      <w:r>
        <w:t>The distinct characteristics of the tumor microenvironment (TME) provide great potential for valuable tumor-targeting therapies using enzymes. Herein, MOF-818 with a diameter of 139 nm is synthesized and exhibits multienzyme-mimicking activities, including peroxidase, catalase, glutathione oxidase, glucose oxidase, superoxide dismutase, and tyrosinase (TYR)-like activities. Based on these enzymatic activities, MOF-818 catalyzes an entire process that progresses through self-generated substrates and cyclic catalytic reactions, and notably induces TME remodeling. Synchronously, for the first time reported in nanozymes, MOF-818 activates the prodrug acetaminophen (APAP) through its TYR-like activity, further increasing reactive oxygen species accumulation. These features contribute to MOF-818’s antitumor activity by activating multiple combined programmed cell death pathways: apoptosis, disulfidptosis, and cuproptosis. The MOF-818 nanoplatform, 3-methyladenine (3-MA), THP-1 cell membranes (CMs), and a fusion protein of Fc and TNF-related apoptosis-inducing ligand (Fc-TRAIL) were integrated and constructed 3-MA@ MOF-818 @CM-Fc-TRAIL nanoparticles (3MCT NPs). These NPs target tumor cells and, when coupled with APAP, show efficient therapeutic effects with good biosafety. Our findings indicate that the MOF-818 could function as a multienzyme-mimetic scaffold for engineering targeted nanoplatforms that co-deliver combinatorial therapeutic agents, thereby enabling combined antitumor therapy.</w:t>
      </w:r>
    </w:p>
    <w:p>
      <w:pPr>
        <w:spacing w:before="120" w:after="120"/>
      </w:pPr>
      <w:r>
        <w:rPr>
          <w:sz w:val="18"/>
        </w:rPr>
        <w:t>——————————————————————————————————————————————————————————————————————</w:t>
      </w:r>
    </w:p>
    <w:p>
      <w:pPr>
        <w:spacing w:before="160" w:after="40" w:line="240" w:lineRule="auto"/>
      </w:pPr>
      <w:r>
        <w:rPr>
          <w:b/>
        </w:rPr>
        <w:t xml:space="preserve">[301] </w:t>
      </w:r>
      <w:hyperlink r:id="rId818">
        <w:r>
          <w:rPr>
            <w:color w:val="1155CC"/>
            <w:u w:val="single"/>
          </w:rPr>
          <w:t>用于局部治疗的微型机器人的部署和许可：过去、现在和未来</w:t>
        </w:r>
      </w:hyperlink>
    </w:p>
    <w:p>
      <w:pPr>
        <w:spacing w:before="0" w:after="80"/>
      </w:pPr>
      <w:r>
        <w:rPr>
          <w:i/>
          <w:sz w:val="20"/>
        </w:rPr>
        <w:t>EN: Deployment and clearance of microrobots for localized therapy: past, present and future</w:t>
      </w:r>
    </w:p>
    <w:p>
      <w:pPr>
        <w:spacing w:before="0" w:after="120"/>
      </w:pPr>
      <w:r>
        <w:rPr>
          <w:b/>
        </w:rPr>
        <w:t xml:space="preserve">Source: </w:t>
      </w:r>
      <w:r>
        <w:t>National Science Review Advance Access</w:t>
      </w:r>
      <w:r>
        <w:t xml:space="preserve">    </w:t>
      </w:r>
      <w:r>
        <w:rPr>
          <w:b/>
        </w:rPr>
        <w:t xml:space="preserve">Pub date: </w:t>
      </w:r>
      <w:r>
        <w:t>2026-05-27 00:00:00+00:00</w:t>
      </w:r>
      <w:r>
        <w:t xml:space="preserve">    </w:t>
      </w:r>
      <w:r>
        <w:rPr>
          <w:b/>
        </w:rPr>
        <w:t xml:space="preserve">DOI: </w:t>
      </w:r>
      <w:hyperlink r:id="rId819">
        <w:r>
          <w:rPr>
            <w:color w:val="1155CC"/>
            <w:u w:val="single"/>
          </w:rPr>
          <w:t>10.1093/nsr/nwag272</w:t>
        </w:r>
      </w:hyperlink>
    </w:p>
    <w:p>
      <w:pPr>
        <w:spacing w:before="0" w:after="120"/>
      </w:pPr>
      <w:r>
        <w:rPr>
          <w:b/>
        </w:rPr>
        <w:t xml:space="preserve">Notes: </w:t>
      </w:r>
      <w:r>
        <w:t>abstract_source=rss_oup</w:t>
      </w:r>
    </w:p>
    <w:p>
      <w:pPr>
        <w:spacing w:before="0" w:after="80" w:lineRule="auto" w:line="276"/>
      </w:pPr>
      <w:r>
        <w:rPr>
          <w:b/>
        </w:rPr>
        <w:t xml:space="preserve">摘要（ZH）: </w:t>
      </w:r>
      <w:r>
        <w:t>微型机器人能够在传统医疗设备无法到达的区域进行精确导航和干预，从而为主动和局部治疗带来了巨大的希望。然而，临床转化仍然受到诸如复杂环境导航、动态生理条件下实现精确控制以及确保治疗后安全清除等挑战的阻碍。这篇小型评论涵盖了最新的进展，包括融合合成和生物组件以提高生物相容性和功能的生物混合微型机器人，以及将传统医疗工具与机器人技术集成以提高精度和适应性的导管辅助系统。它还讨论了应对关键挑战的策略，例如推进机制、闭环控制、可生物降解设计，重点是提高安全性、可靠性和临床适用性。通过汇总这些进展，这项工作概述了自主多功能微型机器人系统的路线图，该系统能够导航复杂的生理环境并以最小的侵入性提供靶向治疗。</w:t>
      </w:r>
    </w:p>
    <w:p>
      <w:pPr>
        <w:spacing w:before="0" w:after="200" w:lineRule="auto" w:line="276"/>
      </w:pPr>
      <w:r>
        <w:rPr>
          <w:b/>
        </w:rPr>
        <w:t xml:space="preserve">Abstract (EN): </w:t>
      </w:r>
      <w:r>
        <w:t>Microrobots hold great promise for active and localized therapy by enabling precise navigation and intervention in areas inaccessible to conventional medical devices. However, clinical translation remains hindered by challenges such as navigating complex environments, achieving precise control under dynamic physiological conditions, and ensuring safe post-therapy clearance. This minireview encompasses recent advancements, including biohybrid microrobots that merge synthetic and biological components to improve biocompatibility and functionality, and catheter-assisted systems that integrate conventional medical tools with robotics for enhanced precision and adaptability. It also discusses strategies to tackle key challenges, such as propulsion mechanisms, closed-loop control, biodegradable designs, focused at improving safety, reliability, and clinical applicability. By compiling these developments, this work outlines a roadmap toward autonomous, multi-functional microrobotic systems capable of navigating complex physiological environments and delivering targeted therapies with minimal invasiveness.</w:t>
      </w:r>
    </w:p>
    <w:p>
      <w:pPr>
        <w:spacing w:before="120" w:after="120"/>
      </w:pPr>
      <w:r>
        <w:rPr>
          <w:sz w:val="18"/>
        </w:rPr>
        <w:t>——————————————————————————————————————————————————————————————————————</w:t>
      </w:r>
    </w:p>
    <w:p>
      <w:pPr>
        <w:spacing w:before="160" w:after="40" w:line="240" w:lineRule="auto"/>
      </w:pPr>
      <w:r>
        <w:rPr>
          <w:b/>
        </w:rPr>
        <w:t xml:space="preserve">[302] </w:t>
      </w:r>
      <w:hyperlink r:id="rId820">
        <w:r>
          <w:rPr>
            <w:color w:val="1155CC"/>
            <w:u w:val="single"/>
          </w:rPr>
          <w:t>春季南环模年代际变化加剧其对南极夏季海冰的滞后影响</w:t>
        </w:r>
      </w:hyperlink>
    </w:p>
    <w:p>
      <w:pPr>
        <w:spacing w:before="0" w:after="80"/>
      </w:pPr>
      <w:r>
        <w:rPr>
          <w:i/>
          <w:sz w:val="20"/>
        </w:rPr>
        <w:t>EN: Interdecadal shift in the spring Southern Annular Mode intensifies its lagged influence on Antarctic summer sea ice</w:t>
      </w:r>
    </w:p>
    <w:p>
      <w:pPr>
        <w:spacing w:before="0" w:after="120"/>
      </w:pPr>
      <w:r>
        <w:rPr>
          <w:b/>
        </w:rPr>
        <w:t xml:space="preserve">Source: </w:t>
      </w:r>
      <w:r>
        <w:t>National Science Review Advance Access</w:t>
      </w:r>
      <w:r>
        <w:t xml:space="preserve">    </w:t>
      </w:r>
      <w:r>
        <w:rPr>
          <w:b/>
        </w:rPr>
        <w:t xml:space="preserve">Pub date: </w:t>
      </w:r>
      <w:r>
        <w:t>2026-05-27 00:00:00+00:00</w:t>
      </w:r>
      <w:r>
        <w:t xml:space="preserve">    </w:t>
      </w:r>
      <w:r>
        <w:rPr>
          <w:b/>
        </w:rPr>
        <w:t xml:space="preserve">DOI: </w:t>
      </w:r>
      <w:hyperlink r:id="rId821">
        <w:r>
          <w:rPr>
            <w:color w:val="1155CC"/>
            <w:u w:val="single"/>
          </w:rPr>
          <w:t>10.1093/nsr/nwag314</w:t>
        </w:r>
      </w:hyperlink>
    </w:p>
    <w:p>
      <w:pPr>
        <w:spacing w:before="0" w:after="120"/>
      </w:pPr>
      <w:r>
        <w:rPr>
          <w:b/>
        </w:rPr>
        <w:t xml:space="preserve">Notes: </w:t>
      </w:r>
      <w:r>
        <w:t>abstract_source=rss_oup</w:t>
      </w:r>
    </w:p>
    <w:p>
      <w:pPr>
        <w:spacing w:before="0" w:after="80" w:lineRule="auto" w:line="276"/>
      </w:pPr>
      <w:r>
        <w:rPr>
          <w:b/>
        </w:rPr>
        <w:t xml:space="preserve">摘要（ZH）: </w:t>
      </w:r>
      <w:r>
        <w:t>南极海冰最近已转变为新的低范围状态，但其潜在机制仍不确定。这项研究揭示了1998年左右春季南环模（SAM）模式的年代际变化，此后其对夏季南极海冰的滞后影响加剧，特别是在威德尔海和罗斯海。 1998年之后，SAM呈现出更强的波状结构，具有强化的太平洋-南美（PSA）样模式，导致区域海冰损失。在威德尔海，与 SAM 相关的正反气旋环流会导致上层海洋变暖，从而促进夏季冰融化。然而，在罗斯海，加深的阿蒙森海低压增强了近海冰出口和积极的冰反照率反馈，从而增加了夏季冰损失。这种年代际 SAM 变化可能受到热带变率的调节，因为正 SAM 与拉尼娜现象同时出现的增加加强了 PSA 介导的过程。这些发现凸显了近期南极海冰低点中热带与极地联系的非平稳性质。</w:t>
      </w:r>
    </w:p>
    <w:p>
      <w:pPr>
        <w:spacing w:before="0" w:after="200" w:lineRule="auto" w:line="276"/>
      </w:pPr>
      <w:r>
        <w:rPr>
          <w:b/>
        </w:rPr>
        <w:t xml:space="preserve">Abstract (EN): </w:t>
      </w:r>
      <w:r>
        <w:t>Antarctic sea ice has recently shifted to a new low-extent regime, yet the underlying mechanisms remain uncertain. This study reveals an interdecadal shift in the spring Southern Annular Mode (SAM) pattern around 1998, after which its lagged influence on summer Antarctic sea ice intensified, particularly in the Weddell and Ross Seas. After 1998, the SAM exhibits stronger wave-like structures, featuring an intensified Pacific–South American (PSA)-like pattern that drives regional sea-ice loss. In the Weddell Sea, the positive SAM‑related anticyclonic circulation induces upper-ocean warming that promotes summer ice melt. However, in the Ross Sea, a deepened Amundsen Sea low enhances offshore ice export and positive ice‑albedo feedback, increasing summer ice loss. This interdecadal SAM shift is likely modulated by tropical variability, as the increased co-occurrence of a positive SAM with La Niña strengthens PSA-mediated processes. These findings highlight the nonstationary nature of tropical–polar linkages in recent Antarctic sea-ice lows.</w:t>
      </w:r>
    </w:p>
    <w:p>
      <w:pPr>
        <w:spacing w:before="120" w:after="120"/>
      </w:pPr>
      <w:r>
        <w:rPr>
          <w:sz w:val="18"/>
        </w:rPr>
        <w:t>——————————————————————————————————————————————————————————————————————</w:t>
      </w:r>
    </w:p>
    <w:p>
      <w:pPr>
        <w:spacing w:before="160" w:after="40" w:line="240" w:lineRule="auto"/>
      </w:pPr>
      <w:r>
        <w:rPr>
          <w:b/>
        </w:rPr>
        <w:t xml:space="preserve">[303] </w:t>
      </w:r>
      <w:hyperlink r:id="rId822">
        <w:r>
          <w:rPr>
            <w:color w:val="1155CC"/>
            <w:u w:val="single"/>
          </w:rPr>
          <w:t>直接观察104Te的超允许α衰变</w:t>
        </w:r>
      </w:hyperlink>
    </w:p>
    <w:p>
      <w:pPr>
        <w:spacing w:before="0" w:after="80"/>
      </w:pPr>
      <w:r>
        <w:rPr>
          <w:i/>
          <w:sz w:val="20"/>
        </w:rPr>
        <w:t>EN: Direct observation of the superallowed α-decay of 104Te</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23">
        <w:r>
          <w:rPr>
            <w:color w:val="1155CC"/>
            <w:u w:val="single"/>
          </w:rPr>
          <w:t>10.1038/s41586-026-10581-w</w:t>
        </w:r>
      </w:hyperlink>
    </w:p>
    <w:p>
      <w:pPr>
        <w:spacing w:before="0" w:after="120"/>
      </w:pPr>
      <w:r>
        <w:rPr>
          <w:b/>
        </w:rPr>
        <w:t xml:space="preserve">Notes: </w:t>
      </w:r>
      <w:r>
        <w:t>abstract_source=nature_html</w:t>
      </w:r>
    </w:p>
    <w:p>
      <w:pPr>
        <w:spacing w:before="0" w:after="80" w:lineRule="auto" w:line="276"/>
      </w:pPr>
      <w:r>
        <w:rPr>
          <w:b/>
        </w:rPr>
        <w:t xml:space="preserve">摘要（ZH）: </w:t>
      </w:r>
      <w:r>
        <w:t>α粒子的放射性是原子核中存在簇结构的最有力的证据之一。在衰变过程中，预先存在的 α 粒子隧道穿过由残余原子核形成的势垒1,2。 α 粒子（两个质子和两个中子的强束缚系统）的预形成程度是通过将 α 衰变概率除以给定粒子能量的势垒穿透性从数据中提取的。在核壳闭合附近，预形成概率快速变化，这是聚类与核结构相关的直接证据。在最轻的 α 粒子发射体、球形碲和氙同位素衰变成神奇的锡同位素中观察到增强的预形成。在这里，我们通过测量碲 104 (104Te) 的衰变来展示 α 粒子预形成的最极端情况。 104Te 的半衰期为 7.2−1.5+2.3ns" role="presentation"&gt;7.2−1.5+2.3ns7.{2}_{-1.5}^{+2.3}\,{\rm{ns}}，是迄今为止已知最快的基态 α 发射核。推导的预形成表明 104Te 的增强效果比任何其他核都要大。一种可以解释的核模型我们的观察假设α粒子只能存在于原子核表面的低核物质密度区域，104Te独特的高预形成归因于它与双魔锡100（100Sn）的关系，创造了有利于形成α粒子的条件。</w:t>
      </w:r>
    </w:p>
    <w:p>
      <w:pPr>
        <w:spacing w:before="0" w:after="200" w:lineRule="auto" w:line="276"/>
      </w:pPr>
      <w:r>
        <w:rPr>
          <w:b/>
        </w:rPr>
        <w:t xml:space="preserve">Abstract (EN): </w:t>
      </w:r>
      <w:r>
        <w:t>The radioactivity of the α particle is among the most compelling evidence for the existence of cluster structures in atomic nuclei. During the decay process, a pre-existing α particle tunnels through the potential barrier formed by the residual nucleus1,2. The degree of preformation of the α particle, a strongly bound system of two protons and two neutrons, is extracted from the data by dividing the α-decay probability by the barrier penetrability for a given particle energy. The preformation probability changes rapidly near nuclear shell closures, which is direct evidence that clustering is connected to nuclear structure3. Enhanced preformation was observed in the lightest α-particle emitters, spherical tellurium and xenon isotopes decaying to magic isotopes of tin. Here we show the most extreme case of α-particle preformation from the measurement of the decay of tellurium-104 (104Te). With a half-life of 7.2&amp;#x2212;1.5+2.3ns" role="presentation"&gt;7.2−1.5+2.3ns7.{2}_{-1.5}^{+2.3}\,{\rm{ns}}, 104Te is the fastest ground-state α-emitting nucleus known so far. The deduced preformation demonstrates that the enhancement is greater for 104Te than for any other nucleus. One nuclear model that can explain our observation postulates that the α particle can exist only in the low-nuclear-matter-density regions on the surface of the nucleus. The uniquely high preformation for 104Te is attributed to its relation to doubly magic tin-100 (100Sn), creating conditions conducive to form an α particle.</w:t>
      </w:r>
    </w:p>
    <w:p>
      <w:pPr>
        <w:spacing w:before="120" w:after="120"/>
      </w:pPr>
      <w:r>
        <w:rPr>
          <w:sz w:val="18"/>
        </w:rPr>
        <w:t>——————————————————————————————————————————————————————————————————————</w:t>
      </w:r>
    </w:p>
    <w:p>
      <w:pPr>
        <w:spacing w:before="160" w:after="40" w:line="240" w:lineRule="auto"/>
      </w:pPr>
      <w:r>
        <w:rPr>
          <w:b/>
        </w:rPr>
        <w:t xml:space="preserve">[304] </w:t>
      </w:r>
      <w:hyperlink r:id="rId824">
        <w:r>
          <w:rPr>
            <w:color w:val="1155CC"/>
            <w:u w:val="single"/>
          </w:rPr>
          <w:t>女性肺癌成为一种独特的疾病</w:t>
        </w:r>
      </w:hyperlink>
    </w:p>
    <w:p>
      <w:pPr>
        <w:spacing w:before="0" w:after="80"/>
      </w:pPr>
      <w:r>
        <w:rPr>
          <w:i/>
          <w:sz w:val="20"/>
        </w:rPr>
        <w:t>EN: Lung cancer in women emerges as a distinct disease</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25">
        <w:r>
          <w:rPr>
            <w:color w:val="1155CC"/>
            <w:u w:val="single"/>
          </w:rPr>
          <w:t>10.1038/d41586-026-01459-y</w:t>
        </w:r>
      </w:hyperlink>
    </w:p>
    <w:p>
      <w:pPr>
        <w:spacing w:before="0" w:after="120"/>
      </w:pPr>
      <w:r>
        <w:rPr>
          <w:b/>
        </w:rPr>
        <w:t xml:space="preserve">Notes: </w:t>
      </w:r>
      <w:r>
        <w:t>abstract_source=nature_html</w:t>
      </w:r>
    </w:p>
    <w:p>
      <w:pPr>
        <w:spacing w:before="0" w:after="80" w:lineRule="auto" w:line="276"/>
      </w:pPr>
      <w:r>
        <w:rPr>
          <w:b/>
        </w:rPr>
        <w:t xml:space="preserve">摘要（ZH）: </w:t>
      </w:r>
      <w:r>
        <w:t>一种曾经主要影响男性的恶性肿瘤已经扩大了其影响范围。但研究、检测和治疗方面的显着差异仍然存在。一种曾经主要影响男性的恶性肿瘤已经扩大了其影响范围。但研究、检测和治疗方面的显着差异仍然存在。</w:t>
      </w:r>
    </w:p>
    <w:p>
      <w:pPr>
        <w:spacing w:before="0" w:after="200" w:lineRule="auto" w:line="276"/>
      </w:pPr>
      <w:r>
        <w:rPr>
          <w:b/>
        </w:rPr>
        <w:t xml:space="preserve">Abstract (EN): </w:t>
      </w:r>
      <w:r>
        <w:t>A malignancy that once mainly affected men has broadened its reach. But marked disparities in research, detection and treatment remain. A malignancy that once mainly affected men has broadened its reach. But marked disparities in research, detection and treatment remain.</w:t>
      </w:r>
    </w:p>
    <w:p>
      <w:pPr>
        <w:spacing w:before="120" w:after="120"/>
      </w:pPr>
      <w:r>
        <w:rPr>
          <w:sz w:val="18"/>
        </w:rPr>
        <w:t>——————————————————————————————————————————————————————————————————————</w:t>
      </w:r>
    </w:p>
    <w:p>
      <w:pPr>
        <w:spacing w:before="160" w:after="40" w:line="240" w:lineRule="auto"/>
      </w:pPr>
      <w:r>
        <w:rPr>
          <w:b/>
        </w:rPr>
        <w:t xml:space="preserve">[305] </w:t>
      </w:r>
      <w:hyperlink r:id="rId826">
        <w:r>
          <w:rPr>
            <w:color w:val="1155CC"/>
            <w:u w:val="single"/>
          </w:rPr>
          <w:t>全球肺癌负担向中等收入国家转移</w:t>
        </w:r>
      </w:hyperlink>
    </w:p>
    <w:p>
      <w:pPr>
        <w:spacing w:before="0" w:after="80"/>
      </w:pPr>
      <w:r>
        <w:rPr>
          <w:i/>
          <w:sz w:val="20"/>
        </w:rPr>
        <w:t>EN: Global lung cancer burden shifting to middle-income countries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27">
        <w:r>
          <w:rPr>
            <w:color w:val="1155CC"/>
            <w:u w:val="single"/>
          </w:rPr>
          <w:t>10.1038/d41586-026-01461-4</w:t>
        </w:r>
      </w:hyperlink>
    </w:p>
    <w:p>
      <w:pPr>
        <w:spacing w:before="0" w:after="120"/>
      </w:pPr>
      <w:r>
        <w:rPr>
          <w:b/>
        </w:rPr>
        <w:t xml:space="preserve">Notes: </w:t>
      </w:r>
      <w:r>
        <w:t>abstract_source=nature_html</w:t>
      </w:r>
    </w:p>
    <w:p>
      <w:pPr>
        <w:spacing w:before="0" w:after="80" w:lineRule="auto" w:line="276"/>
      </w:pPr>
      <w:r>
        <w:rPr>
          <w:b/>
        </w:rPr>
        <w:t xml:space="preserve">摘要（ZH）: </w:t>
      </w:r>
      <w:r>
        <w:t>高吸烟率和污染的空气意味着中国等地的肺癌病例增长最快。非洲可能很快就会朝同样的方向发展。高吸烟率和污染的空气意味着中国等地的肺癌病例增长最快。非洲可能很快就会朝同样的方向发展。</w:t>
      </w:r>
    </w:p>
    <w:p>
      <w:pPr>
        <w:spacing w:before="0" w:after="200" w:lineRule="auto" w:line="276"/>
      </w:pPr>
      <w:r>
        <w:rPr>
          <w:b/>
        </w:rPr>
        <w:t xml:space="preserve">Abstract (EN): </w:t>
      </w:r>
      <w:r>
        <w:t>High smoking rates and polluted air mean lung cancer cases are rising fastest in places such as China. Africa could soon head in the same direction. High smoking rates and polluted air mean lung cancer cases are rising fastest in places such as China. Africa could soon head in the same direction.</w:t>
      </w:r>
    </w:p>
    <w:p>
      <w:pPr>
        <w:spacing w:before="120" w:after="120"/>
      </w:pPr>
      <w:r>
        <w:rPr>
          <w:sz w:val="18"/>
        </w:rPr>
        <w:t>——————————————————————————————————————————————————————————————————————</w:t>
      </w:r>
    </w:p>
    <w:p>
      <w:pPr>
        <w:spacing w:before="160" w:after="40" w:line="240" w:lineRule="auto"/>
      </w:pPr>
      <w:r>
        <w:rPr>
          <w:b/>
        </w:rPr>
        <w:t xml:space="preserve">[306] </w:t>
      </w:r>
      <w:hyperlink r:id="rId828">
        <w:r>
          <w:rPr>
            <w:color w:val="1155CC"/>
            <w:u w:val="single"/>
          </w:rPr>
          <w:t>卵细胞中的巢穴：卵母细胞中蛋白质储存单元的结构</w:t>
        </w:r>
      </w:hyperlink>
    </w:p>
    <w:p>
      <w:pPr>
        <w:spacing w:before="0" w:after="80"/>
      </w:pPr>
      <w:r>
        <w:rPr>
          <w:i/>
          <w:sz w:val="20"/>
        </w:rPr>
        <w:t>EN: Nests in an egg cell: structures of protein-storage units in oocytes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29">
        <w:r>
          <w:rPr>
            <w:color w:val="1155CC"/>
            <w:u w:val="single"/>
          </w:rPr>
          <w:t>10.1038/d41586-026-01414-x</w:t>
        </w:r>
      </w:hyperlink>
    </w:p>
    <w:p>
      <w:pPr>
        <w:spacing w:before="0" w:after="120"/>
      </w:pPr>
      <w:r>
        <w:rPr>
          <w:b/>
        </w:rPr>
        <w:t xml:space="preserve">Notes: </w:t>
      </w:r>
      <w:r>
        <w:t>abstract_source=nature_html</w:t>
      </w:r>
    </w:p>
    <w:p>
      <w:pPr>
        <w:spacing w:before="0" w:after="80" w:lineRule="auto" w:line="276"/>
      </w:pPr>
      <w:r>
        <w:rPr>
          <w:b/>
        </w:rPr>
        <w:t xml:space="preserve">摘要（ZH）: </w:t>
      </w:r>
      <w:r>
        <w:t>受精卵的最初几次分裂依赖于储存在纤维结构中的蛋白质。这些结构的有序性质以及它们功能的线索都被揭示了。受精卵的最初几次分裂依赖于储存在纤维结构中的蛋白质。这些结构的有序性质以及它们功能的线索都被揭示了。</w:t>
      </w:r>
    </w:p>
    <w:p>
      <w:pPr>
        <w:spacing w:before="0" w:after="200" w:lineRule="auto" w:line="276"/>
      </w:pPr>
      <w:r>
        <w:rPr>
          <w:b/>
        </w:rPr>
        <w:t xml:space="preserve">Abstract (EN): </w:t>
      </w:r>
      <w:r>
        <w:t>A fertilized egg’s first few divisions rely on proteins stored in fibrous structures. The ordered nature of these structures and clues about their function are revealed. A fertilized egg’s first few divisions rely on proteins stored in fibrous structures. The ordered nature of these structures and clues about their function are revealed.</w:t>
      </w:r>
    </w:p>
    <w:p>
      <w:pPr>
        <w:spacing w:before="120" w:after="120"/>
      </w:pPr>
      <w:r>
        <w:rPr>
          <w:sz w:val="18"/>
        </w:rPr>
        <w:t>——————————————————————————————————————————————————————————————————————</w:t>
      </w:r>
    </w:p>
    <w:p>
      <w:pPr>
        <w:spacing w:before="160" w:after="40" w:line="240" w:lineRule="auto"/>
      </w:pPr>
      <w:r>
        <w:rPr>
          <w:b/>
        </w:rPr>
        <w:t xml:space="preserve">[307] </w:t>
      </w:r>
      <w:hyperlink r:id="rId830">
        <w:r>
          <w:rPr>
            <w:color w:val="1155CC"/>
            <w:u w:val="single"/>
          </w:rPr>
          <w:t>科学战胜世界上最致命的恶性肿瘤</w:t>
        </w:r>
      </w:hyperlink>
    </w:p>
    <w:p>
      <w:pPr>
        <w:spacing w:before="0" w:after="80"/>
      </w:pPr>
      <w:r>
        <w:rPr>
          <w:i/>
          <w:sz w:val="20"/>
        </w:rPr>
        <w:t>EN: Science takes on the world’s most lethal malignancy</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31">
        <w:r>
          <w:rPr>
            <w:color w:val="1155CC"/>
            <w:u w:val="single"/>
          </w:rPr>
          <w:t>10.1038/d41586-026-01381-3</w:t>
        </w:r>
      </w:hyperlink>
    </w:p>
    <w:p>
      <w:pPr>
        <w:spacing w:before="0" w:after="120"/>
      </w:pPr>
      <w:r>
        <w:rPr>
          <w:b/>
        </w:rPr>
        <w:t xml:space="preserve">Notes: </w:t>
      </w:r>
      <w:r>
        <w:t>abstract_source=nature_html</w:t>
      </w:r>
    </w:p>
    <w:p>
      <w:pPr>
        <w:spacing w:before="0" w:after="80" w:lineRule="auto" w:line="276"/>
      </w:pPr>
      <w:r>
        <w:rPr>
          <w:b/>
        </w:rPr>
        <w:t xml:space="preserve">摘要（ZH）: </w:t>
      </w:r>
      <w:r>
        <w:t>早期检测、创新药物和对肺癌的更好了解正在改善肺癌患者的治疗结果。早期检测、创新药物和对肺癌的更好了解正在改善肺癌患者的治疗结果。</w:t>
      </w:r>
    </w:p>
    <w:p>
      <w:pPr>
        <w:spacing w:before="0" w:after="200" w:lineRule="auto" w:line="276"/>
      </w:pPr>
      <w:r>
        <w:rPr>
          <w:b/>
        </w:rPr>
        <w:t xml:space="preserve">Abstract (EN): </w:t>
      </w:r>
      <w:r>
        <w:t>Early detection, innovative drugs and a better understanding of lung cancer is resulting in improved outcomes for people with the disease. Early detection, innovative drugs and a better understanding of lung cancer is resulting in improved outcomes for people with the disease.</w:t>
      </w:r>
    </w:p>
    <w:p>
      <w:pPr>
        <w:spacing w:before="120" w:after="120"/>
      </w:pPr>
      <w:r>
        <w:rPr>
          <w:sz w:val="18"/>
        </w:rPr>
        <w:t>——————————————————————————————————————————————————————————————————————</w:t>
      </w:r>
    </w:p>
    <w:p>
      <w:pPr>
        <w:spacing w:before="160" w:after="40" w:line="240" w:lineRule="auto"/>
      </w:pPr>
      <w:r>
        <w:rPr>
          <w:b/>
        </w:rPr>
        <w:t xml:space="preserve">[308] </w:t>
      </w:r>
      <w:hyperlink r:id="rId832">
        <w:r>
          <w:rPr>
            <w:color w:val="1155CC"/>
            <w:u w:val="single"/>
          </w:rPr>
          <w:t>通过调制 π 电子离域实现窄带发射</w:t>
        </w:r>
      </w:hyperlink>
    </w:p>
    <w:p>
      <w:pPr>
        <w:spacing w:before="0" w:after="80"/>
      </w:pPr>
      <w:r>
        <w:rPr>
          <w:i/>
          <w:sz w:val="20"/>
        </w:rPr>
        <w:t>EN: Narrowband emission enabled by modulation of π-electron delocalization</w:t>
      </w:r>
    </w:p>
    <w:p>
      <w:pPr>
        <w:spacing w:before="0" w:after="120"/>
      </w:pPr>
      <w:r>
        <w:rPr>
          <w:b/>
        </w:rPr>
        <w:t xml:space="preserve">Source: </w:t>
      </w:r>
      <w:r>
        <w:t>National Science Review Advance Access</w:t>
      </w:r>
      <w:r>
        <w:t xml:space="preserve">    </w:t>
      </w:r>
      <w:r>
        <w:rPr>
          <w:b/>
        </w:rPr>
        <w:t xml:space="preserve">Pub date: </w:t>
      </w:r>
      <w:r>
        <w:t>2026-05-27 00:00:00+00:00</w:t>
      </w:r>
      <w:r>
        <w:t xml:space="preserve">    </w:t>
      </w:r>
      <w:r>
        <w:rPr>
          <w:b/>
        </w:rPr>
        <w:t xml:space="preserve">DOI: </w:t>
      </w:r>
      <w:hyperlink r:id="rId833">
        <w:r>
          <w:rPr>
            <w:color w:val="1155CC"/>
            <w:u w:val="single"/>
          </w:rPr>
          <w:t>10.1093/nsr/nwag312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[309] </w:t>
      </w:r>
      <w:hyperlink r:id="rId834">
        <w:r>
          <w:rPr>
            <w:color w:val="1155CC"/>
            <w:u w:val="single"/>
          </w:rPr>
          <w:t>从不抽烟？很好，但你仍然可能患肺癌</w:t>
        </w:r>
      </w:hyperlink>
    </w:p>
    <w:p>
      <w:pPr>
        <w:spacing w:before="0" w:after="80"/>
      </w:pPr>
      <w:r>
        <w:rPr>
          <w:i/>
          <w:sz w:val="20"/>
        </w:rPr>
        <w:t>EN: Never smoked? Good, but you could still get lung cancer</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35">
        <w:r>
          <w:rPr>
            <w:color w:val="1155CC"/>
            <w:u w:val="single"/>
          </w:rPr>
          <w:t>10.1038/d41586-026-01457-0</w:t>
        </w:r>
      </w:hyperlink>
    </w:p>
    <w:p>
      <w:pPr>
        <w:spacing w:before="0" w:after="120"/>
      </w:pPr>
      <w:r>
        <w:rPr>
          <w:b/>
        </w:rPr>
        <w:t xml:space="preserve">Notes: </w:t>
      </w:r>
      <w:r>
        <w:t>abstract_source=nature_html</w:t>
      </w:r>
    </w:p>
    <w:p>
      <w:pPr>
        <w:spacing w:before="0" w:after="80" w:lineRule="auto" w:line="276"/>
      </w:pPr>
      <w:r>
        <w:rPr>
          <w:b/>
        </w:rPr>
        <w:t xml:space="preserve">摘要（ZH）: </w:t>
      </w:r>
      <w:r>
        <w:t>从未吸烟者患的肺癌现在被认为是一种独特的疾病，有自己的治疗方法和预防策略。从未吸烟者患的肺癌现在被认为是一种独特的疾病，有自己的治疗方法和预防策略。</w:t>
      </w:r>
    </w:p>
    <w:p>
      <w:pPr>
        <w:spacing w:before="0" w:after="200" w:lineRule="auto" w:line="276"/>
      </w:pPr>
      <w:r>
        <w:rPr>
          <w:b/>
        </w:rPr>
        <w:t xml:space="preserve">Abstract (EN): </w:t>
      </w:r>
      <w:r>
        <w:t>Lung cancer in people who have never smoked is now recognized as a distinct disease with its own treatments and preventative strategies. Lung cancer in people who have never smoked is now recognized as a distinct disease with its own treatments and preventative strategies.</w:t>
      </w:r>
    </w:p>
    <w:p>
      <w:pPr>
        <w:spacing w:before="120" w:after="120"/>
      </w:pPr>
      <w:r>
        <w:rPr>
          <w:sz w:val="18"/>
        </w:rPr>
        <w:t>——————————————————————————————————————————————————————————————————————</w:t>
      </w:r>
    </w:p>
    <w:p>
      <w:pPr>
        <w:spacing w:before="160" w:after="40" w:line="240" w:lineRule="auto"/>
      </w:pPr>
      <w:r>
        <w:rPr>
          <w:b/>
        </w:rPr>
        <w:t xml:space="preserve">[310] </w:t>
      </w:r>
      <w:hyperlink r:id="rId836">
        <w:r>
          <w:rPr>
            <w:color w:val="1155CC"/>
            <w:u w:val="single"/>
          </w:rPr>
          <w:t>用于个性化医疗保健的自供电智能</w:t>
        </w:r>
      </w:hyperlink>
    </w:p>
    <w:p>
      <w:pPr>
        <w:spacing w:before="0" w:after="80"/>
      </w:pPr>
      <w:r>
        <w:rPr>
          <w:i/>
          <w:sz w:val="20"/>
        </w:rPr>
        <w:t>EN: Self-powered intelligence for personalized healthcare</w:t>
      </w:r>
    </w:p>
    <w:p>
      <w:pPr>
        <w:spacing w:before="0" w:after="120"/>
      </w:pPr>
      <w:r>
        <w:rPr>
          <w:b/>
        </w:rPr>
        <w:t xml:space="preserve">Source: </w:t>
      </w:r>
      <w:r>
        <w:t>National Science Review Advance Access</w:t>
      </w:r>
      <w:r>
        <w:t xml:space="preserve">    </w:t>
      </w:r>
      <w:r>
        <w:rPr>
          <w:b/>
        </w:rPr>
        <w:t xml:space="preserve">Pub date: </w:t>
      </w:r>
      <w:r>
        <w:t>2026-05-27 00:00:00+00:00</w:t>
      </w:r>
      <w:r>
        <w:t xml:space="preserve">    </w:t>
      </w:r>
      <w:r>
        <w:rPr>
          <w:b/>
        </w:rPr>
        <w:t xml:space="preserve">DOI: </w:t>
      </w:r>
      <w:hyperlink r:id="rId837">
        <w:r>
          <w:rPr>
            <w:color w:val="1155CC"/>
            <w:u w:val="single"/>
          </w:rPr>
          <w:t>10.1093/nsr/nwag317</w:t>
        </w:r>
      </w:hyperlink>
    </w:p>
    <w:p>
      <w:pPr>
        <w:spacing w:before="0" w:after="120"/>
      </w:pPr>
      <w:r>
        <w:rPr>
          <w:b/>
        </w:rPr>
        <w:t xml:space="preserve">Notes: </w:t>
      </w:r>
      <w:r>
        <w:t>abstract_source=rss_oup</w:t>
      </w:r>
    </w:p>
    <w:p>
      <w:pPr>
        <w:spacing w:before="0" w:after="80" w:lineRule="auto" w:line="276"/>
      </w:pPr>
      <w:r>
        <w:rPr>
          <w:b/>
        </w:rPr>
        <w:t xml:space="preserve">摘要（ZH）: </w:t>
      </w:r>
      <w:r>
        <w:t>个性化医疗保健对于改变医疗实践、提供更精确、更高效、以患者为中心的护理至关重要。它不仅可以改善个人健康状况，还可以提高医疗保健系统的整体效率。可穿戴和植入式设备已成为这一转型的关键技术，为实时生理监测、早期疾病检测和个性化健康干预提供了前所未有的机会。与此同时，人工智能（AI）的快速发展进一步加速了数据驱动的智能与医疗保健系统的融合，使得人工智能、柔性电子和生物医学工程交叉学科的研究变得越来越重要。然而，智能可穿戴和植入式医疗保健系统的长期部署仍然从根本上受到电力可持续性、机械灵活性和设备上数据处理的能源成本的限制。本次审查的重点是自供电智能作为个性化医疗保健的新兴范例，能够超越电池供电系统的限制，实现连续、长期和自主的健康监测。通过将灵活的智能电子产品与低功耗人工智能相集成，自供电智能为实现能够实时分析和个性化健康管理的智能、体上和体内医疗保健平台提供了可行的途径。</w:t>
      </w:r>
    </w:p>
    <w:p>
      <w:pPr>
        <w:spacing w:before="0" w:after="200" w:lineRule="auto" w:line="276"/>
      </w:pPr>
      <w:r>
        <w:rPr>
          <w:b/>
        </w:rPr>
        <w:t xml:space="preserve">Abstract (EN): </w:t>
      </w:r>
      <w:r>
        <w:t>Personalized healthcare is crucial for transforming medical practice, offering more precise, efficient, and patient-centred care. It not only improves individual health outcomes but also enhances the overall efficiency of healthcare systems. Wearable and implantable devices have emerged as key technologies in this transformation, offering unprecedented opportunities for real-time physiological monitoring, early disease detection, and personalized health intervention. In parallel, the rapid advancement of artificial intelligence (AI) has further accelerated the integration of data-driven intelligence into healthcare systems, making interdisciplinary research at the intersection of AI, flexible electronics, and biomedical engineering increasingly important. However, the long-term deployment of intelligent wearable and implantable healthcare systems remains fundamentally constrained by power sustainability, mechanical flexibility, and the energy cost of on-device data processing. This review focuses on self-powered intelligence as an emerging paradigm for personalized healthcare, enabling continuous, long-term and autonomous health monitoring beyond the limitations of battery-powered systems. By integrating flexible and smart electronics with low-power AI, self-powered intelligence provide a viable pathway toward intelligent, on-body and in-body healthcare platforms capable of real-time analysis and personalized health management.</w:t>
      </w:r>
    </w:p>
    <w:p>
      <w:pPr>
        <w:spacing w:before="120" w:after="120"/>
      </w:pPr>
      <w:r>
        <w:rPr>
          <w:sz w:val="18"/>
        </w:rPr>
        <w:t>——————————————————————————————————————————————————————————————————————</w:t>
      </w:r>
    </w:p>
    <w:p>
      <w:pPr>
        <w:spacing w:before="160" w:after="40" w:line="240" w:lineRule="auto"/>
      </w:pPr>
      <w:r>
        <w:rPr>
          <w:b/>
        </w:rPr>
        <w:t xml:space="preserve">[311] </w:t>
      </w:r>
      <w:hyperlink r:id="rId838">
        <w:r>
          <w:rPr>
            <w:color w:val="1155CC"/>
            <w:u w:val="single"/>
          </w:rPr>
          <w:t>X射线磁矢量计时重建磁振子本征函数</w:t>
        </w:r>
      </w:hyperlink>
    </w:p>
    <w:p>
      <w:pPr>
        <w:spacing w:before="0" w:after="80"/>
      </w:pPr>
      <w:r>
        <w:rPr>
          <w:i/>
          <w:sz w:val="20"/>
        </w:rPr>
        <w:t>EN: Reconstruction of magnon eigenfunctions by X-ray magnetic vector chronoscopy</w:t>
      </w:r>
    </w:p>
    <w:p>
      <w:pPr>
        <w:spacing w:before="0" w:after="120"/>
      </w:pPr>
      <w:r>
        <w:rPr>
          <w:b/>
        </w:rPr>
        <w:t xml:space="preserve">Source: </w:t>
      </w:r>
      <w:r>
        <w:t>Nature Nanotechnology</w:t>
      </w:r>
      <w:r>
        <w:t xml:space="preserve">    </w:t>
      </w:r>
      <w:r>
        <w:rPr>
          <w:b/>
        </w:rPr>
        <w:t xml:space="preserve">Pub date: </w:t>
      </w:r>
      <w:r>
        <w:t>2026-05-27 00:00:00+00:00</w:t>
      </w:r>
      <w:r>
        <w:t xml:space="preserve">    </w:t>
      </w:r>
      <w:r>
        <w:rPr>
          <w:b/>
        </w:rPr>
        <w:t xml:space="preserve">DOI: </w:t>
      </w:r>
      <w:hyperlink r:id="rId839">
        <w:r>
          <w:rPr>
            <w:color w:val="1155CC"/>
            <w:u w:val="single"/>
          </w:rPr>
          <w:t>10.1038/s41565-026-02185-2</w:t>
        </w:r>
      </w:hyperlink>
    </w:p>
    <w:p>
      <w:pPr>
        <w:spacing w:before="0" w:after="120"/>
      </w:pPr>
      <w:r>
        <w:rPr>
          <w:b/>
        </w:rPr>
        <w:t xml:space="preserve">Notes: </w:t>
      </w:r>
      <w:r>
        <w:t>abstract_source=nature_html</w:t>
      </w:r>
    </w:p>
    <w:p>
      <w:pPr>
        <w:spacing w:before="0" w:after="80" w:lineRule="auto" w:line="276"/>
      </w:pPr>
      <w:r>
        <w:rPr>
          <w:b/>
        </w:rPr>
        <w:t xml:space="preserve">摘要（ZH）: </w:t>
      </w:r>
      <w:r>
        <w:t>磁化强度的集体进动表现为磁振子模式。这些模式受复值矢量本征函数控制，而观察这些模式在实验上仍然具有挑战性。在这里，我们介绍 X 射线磁矢量计时 (XMVC)，这是一种时间分辨共振散射方法，可以以 0.1° (±0.01°) 的角分辨率重建完整的磁化动力学。 XMVC 应用于合成反铁磁多层（Si/NiFe (8 nm)/Ru (0.8 nm)/CoFeB (5.5 nm)），通过直接测量磁振子-磁振子耦合产生的混合模式的纳米级矢量本征函数，实现磁振子态断层扫描。这种方法提供了对系统的非厄米哈密顿量的完全访问，揭示了复值耦合强度和非正交特征基。这些结果将 XMVC 确立为通过提取系统特征函数来研究纳米级自旋系统的实验平台。</w:t>
      </w:r>
    </w:p>
    <w:p>
      <w:pPr>
        <w:spacing w:before="0" w:after="200" w:lineRule="auto" w:line="276"/>
      </w:pPr>
      <w:r>
        <w:rPr>
          <w:b/>
        </w:rPr>
        <w:t xml:space="preserve">Abstract (EN): </w:t>
      </w:r>
      <w:r>
        <w:t>The collective precession of magnetization manifests itself as magnon modes. These modes are governed by complex-valued vectorial eigenfunctions, which have remained experimentally challenging to observe. Here we introduce X-ray magnetic vector chronoscopy (XMVC), a time-resolved resonant scattering method that reconstructs the full magnetization dynamics with angular resolution of 0.1° (±0.01°). Applied to a synthetic antiferromagnetic multilayer (Si/NiFe (8 nm)/Ru (0.8 nm)/CoFeB (5.5 nm)), XMVC enables magnon state tomography, by directly measuring the nanoscale vectorial eigenfunctions of hybridized modes arising from magnon–magnon coupling. This approach provides full access to the system’s non-Hermitian Hamiltonian, revealing the complex-valued coupling strengths and non-orthogonal eigenbases. These results establish XMVC as an experimental platform for studying nanoscale spin systems by extracting the eigenfunctions of the system.</w:t>
      </w:r>
    </w:p>
    <w:p>
      <w:pPr>
        <w:spacing w:before="120" w:after="120"/>
      </w:pPr>
      <w:r>
        <w:rPr>
          <w:sz w:val="18"/>
        </w:rPr>
        <w:t>——————————————————————————————————————————————————————————————————————</w:t>
      </w:r>
    </w:p>
    <w:p>
      <w:pPr>
        <w:spacing w:before="160" w:after="40" w:line="240" w:lineRule="auto"/>
      </w:pPr>
      <w:r>
        <w:rPr>
          <w:b/>
        </w:rPr>
        <w:t xml:space="preserve">[312] </w:t>
      </w:r>
      <w:hyperlink r:id="rId840">
        <w:r>
          <w:rPr>
            <w:color w:val="1155CC"/>
            <w:u w:val="single"/>
          </w:rPr>
          <w:t>用印刷忆阻器制成的人工神经元</w:t>
        </w:r>
      </w:hyperlink>
    </w:p>
    <w:p>
      <w:pPr>
        <w:spacing w:before="0" w:after="80"/>
      </w:pPr>
      <w:r>
        <w:rPr>
          <w:i/>
          <w:sz w:val="20"/>
        </w:rPr>
        <w:t>EN: Artificial neurons made with printed memristors</w:t>
      </w:r>
    </w:p>
    <w:p>
      <w:pPr>
        <w:spacing w:before="0" w:after="120"/>
      </w:pPr>
      <w:r>
        <w:rPr>
          <w:b/>
        </w:rPr>
        <w:t xml:space="preserve">Source: </w:t>
      </w:r>
      <w:r>
        <w:t>Nature Electronics</w:t>
      </w:r>
      <w:r>
        <w:t xml:space="preserve">    </w:t>
      </w:r>
      <w:r>
        <w:rPr>
          <w:b/>
        </w:rPr>
        <w:t xml:space="preserve">Pub date: </w:t>
      </w:r>
      <w:r>
        <w:t>2026-05-27 00:00:00+00:00</w:t>
      </w:r>
      <w:r>
        <w:t xml:space="preserve">    </w:t>
      </w:r>
      <w:r>
        <w:rPr>
          <w:b/>
        </w:rPr>
        <w:t xml:space="preserve">DOI: </w:t>
      </w:r>
      <w:hyperlink r:id="rId841">
        <w:r>
          <w:rPr>
            <w:color w:val="1155CC"/>
            <w:u w:val="single"/>
          </w:rPr>
          <w:t>10.1038/s41928-026-01650-z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[313] </w:t>
      </w:r>
      <w:hyperlink r:id="rId842">
        <w:r>
          <w:rPr>
            <w:color w:val="1155CC"/>
            <w:u w:val="single"/>
          </w:rPr>
          <w:t>漂浮光伏发电的设计与实现</w:t>
        </w:r>
      </w:hyperlink>
    </w:p>
    <w:p>
      <w:pPr>
        <w:spacing w:before="0" w:after="80"/>
      </w:pPr>
      <w:r>
        <w:rPr>
          <w:i/>
          <w:sz w:val="20"/>
        </w:rPr>
        <w:t>EN: Design and implementation of floating photovoltaics</w:t>
      </w:r>
    </w:p>
    <w:p>
      <w:pPr>
        <w:spacing w:before="0" w:after="120"/>
      </w:pPr>
      <w:r>
        <w:rPr>
          <w:b/>
        </w:rPr>
        <w:t xml:space="preserve">Source: </w:t>
      </w:r>
      <w:r>
        <w:t>Nature Reviews Clean Technology</w:t>
      </w:r>
      <w:r>
        <w:t xml:space="preserve">    </w:t>
      </w:r>
      <w:r>
        <w:rPr>
          <w:b/>
        </w:rPr>
        <w:t xml:space="preserve">Pub date: </w:t>
      </w:r>
      <w:r>
        <w:t>2026-05-27 00:00:00+00:00</w:t>
      </w:r>
      <w:r>
        <w:t xml:space="preserve">    </w:t>
      </w:r>
      <w:r>
        <w:rPr>
          <w:b/>
        </w:rPr>
        <w:t xml:space="preserve">DOI: </w:t>
      </w:r>
      <w:hyperlink r:id="rId843">
        <w:r>
          <w:rPr>
            <w:color w:val="1155CC"/>
            <w:u w:val="single"/>
          </w:rPr>
          <w:t>10.1038/s44359-026-00171-4</w:t>
        </w:r>
      </w:hyperlink>
    </w:p>
    <w:p>
      <w:pPr>
        <w:spacing w:before="0" w:after="120"/>
      </w:pPr>
      <w:r>
        <w:rPr>
          <w:b/>
        </w:rPr>
        <w:t xml:space="preserve">Notes: </w:t>
      </w:r>
      <w:r>
        <w:t>abstract_source=nature_html</w:t>
      </w:r>
    </w:p>
    <w:p>
      <w:pPr>
        <w:spacing w:before="0" w:after="80" w:lineRule="auto" w:line="276"/>
      </w:pPr>
      <w:r>
        <w:rPr>
          <w:b/>
        </w:rPr>
        <w:t xml:space="preserve">摘要（ZH）: </w:t>
      </w:r>
      <w:r>
        <w:t>浮动光伏（FPV）系统自2015年以来经历了快速增长，到2024年装机容量将超过9.6GWp，FPV可能成为土地稀缺地区的重要发电来源。在本次回顾中，我们探讨了全球 FPV 部署的趋势。 FPV 的估计发电潜力巨大，10% 的内陆水体发电量超过 22 TWp，专属经济区内 10% 的近海区域发电量超过 718 TWp，这表明 FPV 在满足能源需求方面具有重要意义。资本支出中位数已下降至 1.25 美元 Wp-1；然而，平准化电力成本通常仍高于陆基光伏发电。尽管如此，节水、与水电和水产养殖的协同效应以及减少土地使用冲突等附带效益增强了 FPV 的经济和环境价值。与陆基系统相比，挑战包括操作和维护复杂性增加以及操作条件更恶劣。 FPV 系统对当地环境的影响需要进一步调查，系统开发商可能面临监管不确定性。海上 FPV 和风能、波浪和海水淡化混合系统提供了新的领域，但需要进一步的技术成熟。需要协调研究、政策支持和标准化，以充分发挥 FPV 作为可扩展的低碳能源解决方案的潜力。</w:t>
      </w:r>
    </w:p>
    <w:p>
      <w:pPr>
        <w:spacing w:before="0" w:after="200" w:lineRule="auto" w:line="276"/>
      </w:pPr>
      <w:r>
        <w:rPr>
          <w:b/>
        </w:rPr>
        <w:t xml:space="preserve">Abstract (EN): </w:t>
      </w:r>
      <w:r>
        <w:t>Floating photovoltaic (FPV) systems have experienced rapid growth since 2015, with over 9.6 GWp installed capacity by 2024, and FPV could become an important source of power generation in land-scarce regions. In this Review, we explore trends in global FPV deployment. The large estimated power-generation potential of FPV, over 22 TWp from 10% of inland water bodies and more than 718 TWp from 10% of offshore areas within exclusive economic zones, indicates FPV’s relevance for meeting energy demands. Capital expenditures have declined to a median of 1.25 USD Wp–1; however, levelized cost of electricity generally remains higher than for land-based PV. Nevertheless, ancillary benefits such as water conservation, synergies with hydropower and aquaculture, and reduced land-use conflict enhance FPV’s economic and environmental value. Challenges include increased operations and maintenance complexity and harsher operational conditions compared with land-based systems. The impacts of FPV systems on their local environment require further investigation, and system developers can face regulatory uncertainty. Offshore FPV and hybrid systems with wind, wave and desalination offer new frontiers but require further technical maturation. Coordinated research, policy support and standardization are needed to enable FPV’s full potential as a scalable, low-carbon energy solution.</w:t>
      </w:r>
    </w:p>
    <w:p>
      <w:pPr>
        <w:spacing w:before="120" w:after="120"/>
      </w:pPr>
      <w:r>
        <w:rPr>
          <w:sz w:val="18"/>
        </w:rPr>
        <w:t>——————————————————————————————————————————————————————————————————————</w:t>
      </w:r>
    </w:p>
    <w:p>
      <w:pPr>
        <w:spacing w:before="160" w:after="40" w:line="240" w:lineRule="auto"/>
      </w:pPr>
      <w:r>
        <w:rPr>
          <w:b/>
        </w:rPr>
        <w:t xml:space="preserve">[314] </w:t>
      </w:r>
      <w:hyperlink r:id="rId844">
        <w:r>
          <w:rPr>
            <w:color w:val="1155CC"/>
            <w:u w:val="single"/>
          </w:rPr>
          <w:t>用于安全智能电网优化的集成强化学习和区块链框架</w:t>
        </w:r>
      </w:hyperlink>
    </w:p>
    <w:p>
      <w:pPr>
        <w:spacing w:before="0" w:after="80"/>
      </w:pPr>
      <w:r>
        <w:rPr>
          <w:i/>
          <w:sz w:val="20"/>
        </w:rPr>
        <w:t>EN: Integrated reinforcement learning and blockchain framework for secure smart grid optimization</w:t>
      </w:r>
    </w:p>
    <w:p>
      <w:pPr>
        <w:spacing w:before="0" w:after="120"/>
      </w:pPr>
      <w:r>
        <w:rPr>
          <w:b/>
        </w:rPr>
        <w:t xml:space="preserve">Source: </w:t>
      </w:r>
      <w:r>
        <w:t>ScienceDirect Publication: Applied Energy</w:t>
      </w:r>
      <w:r>
        <w:t xml:space="preserve">    </w:t>
      </w:r>
      <w:r>
        <w:rPr>
          <w:b/>
        </w:rPr>
        <w:t xml:space="preserve">Pub date: </w:t>
      </w:r>
      <w:r>
        <w:t>2026-05-27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[315] </w:t>
      </w:r>
      <w:hyperlink r:id="rId845">
        <w:r>
          <w:rPr>
            <w:color w:val="1155CC"/>
            <w:u w:val="single"/>
          </w:rPr>
          <w:t>从太阳能无人机任务感知多目标储能管理演示中进行深度强化学习</w:t>
        </w:r>
      </w:hyperlink>
    </w:p>
    <w:p>
      <w:pPr>
        <w:spacing w:before="0" w:after="80"/>
      </w:pPr>
      <w:r>
        <w:rPr>
          <w:i/>
          <w:sz w:val="20"/>
        </w:rPr>
        <w:t>EN: Deep reinforcement learning from demonstrations for mission-aware multi-objective energy storage management of solar-powered UAVs</w:t>
      </w:r>
    </w:p>
    <w:p>
      <w:pPr>
        <w:spacing w:before="0" w:after="120"/>
      </w:pPr>
      <w:r>
        <w:rPr>
          <w:b/>
        </w:rPr>
        <w:t xml:space="preserve">Source: </w:t>
      </w:r>
      <w:r>
        <w:t>ScienceDirect Publication: Applied Energy</w:t>
      </w:r>
      <w:r>
        <w:t xml:space="preserve">    </w:t>
      </w:r>
      <w:r>
        <w:rPr>
          <w:b/>
        </w:rPr>
        <w:t xml:space="preserve">Pub date: </w:t>
      </w:r>
      <w:r>
        <w:t>2026-05-27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[316] </w:t>
      </w:r>
      <w:hyperlink r:id="rId846">
        <w:r>
          <w:rPr>
            <w:color w:val="1155CC"/>
            <w:u w:val="single"/>
          </w:rPr>
          <w:t>AI FOMO：除了我之外，每个人都在掌握人工智能——或者他们是吗？</w:t>
        </w:r>
      </w:hyperlink>
    </w:p>
    <w:p>
      <w:pPr>
        <w:spacing w:before="0" w:after="80"/>
      </w:pPr>
      <w:r>
        <w:rPr>
          <w:i/>
          <w:sz w:val="20"/>
        </w:rPr>
        <w:t>EN: AI FOMO: everyone is mastering AI except me — or are they?</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47">
        <w:r>
          <w:rPr>
            <w:color w:val="1155CC"/>
            <w:u w:val="single"/>
          </w:rPr>
          <w:t>10.1038/d41586-026-01214-3</w:t>
        </w:r>
      </w:hyperlink>
    </w:p>
    <w:p>
      <w:pPr>
        <w:spacing w:before="0" w:after="120"/>
      </w:pPr>
      <w:r>
        <w:rPr>
          <w:b/>
        </w:rPr>
        <w:t xml:space="preserve">Notes: </w:t>
      </w:r>
      <w:r>
        <w:t>abstract_source=nature_html</w:t>
      </w:r>
    </w:p>
    <w:p>
      <w:pPr>
        <w:spacing w:before="0" w:after="80" w:lineRule="auto" w:line="276"/>
      </w:pPr>
      <w:r>
        <w:rPr>
          <w:b/>
        </w:rPr>
        <w:t xml:space="preserve">摘要（ZH）: </w:t>
      </w:r>
      <w:r>
        <w:t>大量的人工智能相关新闻、研究和产品公告是否让您感到焦虑？这里有三个技巧可以帮助您放松心情。大量的人工智能相关新闻、研究和产品公告是否让您感到焦虑？这里有三个技巧可以帮助您放松心情。</w:t>
      </w:r>
    </w:p>
    <w:p>
      <w:pPr>
        <w:spacing w:before="0" w:after="200" w:lineRule="auto" w:line="276"/>
      </w:pPr>
      <w:r>
        <w:rPr>
          <w:b/>
        </w:rPr>
        <w:t xml:space="preserve">Abstract (EN): </w:t>
      </w:r>
      <w:r>
        <w:t>Does the flood of artificial-intelligence-related news, studies and product announcements fill you with anxiety? Here are three tips to ease your mind. Does the flood of artificial-intelligence-related news, studies and product announcements fill you with anxiety? Here are three tips to ease your mind.</w:t>
      </w:r>
    </w:p>
    <w:p>
      <w:pPr>
        <w:spacing w:before="120" w:after="120"/>
      </w:pPr>
      <w:r>
        <w:rPr>
          <w:sz w:val="18"/>
        </w:rPr>
        <w:t>——————————————————————————————————————————————————————————————————————</w:t>
      </w:r>
    </w:p>
    <w:p>
      <w:pPr>
        <w:spacing w:before="160" w:after="40" w:line="240" w:lineRule="auto"/>
      </w:pPr>
      <w:r>
        <w:rPr>
          <w:b/>
        </w:rPr>
        <w:t xml:space="preserve">[317] </w:t>
      </w:r>
      <w:hyperlink r:id="rId848">
        <w:r>
          <w:rPr>
            <w:color w:val="1155CC"/>
            <w:u w:val="single"/>
          </w:rPr>
          <w:t>当光催化剂学会储存电子时</w:t>
        </w:r>
      </w:hyperlink>
    </w:p>
    <w:p>
      <w:pPr>
        <w:spacing w:before="0" w:after="80"/>
      </w:pPr>
      <w:r>
        <w:rPr>
          <w:i/>
          <w:sz w:val="20"/>
        </w:rPr>
        <w:t>EN: When photocatalysts learn to store electrons</w:t>
      </w:r>
    </w:p>
    <w:p>
      <w:pPr>
        <w:spacing w:before="0" w:after="120"/>
      </w:pPr>
      <w:r>
        <w:rPr>
          <w:b/>
        </w:rPr>
        <w:t xml:space="preserve">Source: </w:t>
      </w:r>
      <w:r>
        <w:t>Nature Chemistry</w:t>
      </w:r>
      <w:r>
        <w:t xml:space="preserve">    </w:t>
      </w:r>
      <w:r>
        <w:rPr>
          <w:b/>
        </w:rPr>
        <w:t xml:space="preserve">Pub date: </w:t>
      </w:r>
      <w:r>
        <w:t>2026-05-27 00:00:00+00:00</w:t>
      </w:r>
      <w:r>
        <w:t xml:space="preserve">    </w:t>
      </w:r>
      <w:r>
        <w:rPr>
          <w:b/>
        </w:rPr>
        <w:t xml:space="preserve">DOI: </w:t>
      </w:r>
      <w:hyperlink r:id="rId849">
        <w:r>
          <w:rPr>
            <w:color w:val="1155CC"/>
            <w:u w:val="single"/>
          </w:rPr>
          <w:t>10.1038/s41557-026-02165-y</w:t>
        </w:r>
      </w:hyperlink>
    </w:p>
    <w:p>
      <w:pPr>
        <w:spacing w:before="0" w:after="120"/>
      </w:pPr>
      <w:r>
        <w:rPr>
          <w:b/>
        </w:rPr>
        <w:t xml:space="preserve">Notes: </w:t>
      </w:r>
      <w:r>
        <w:t>abstract_source=nature_html</w:t>
      </w:r>
    </w:p>
    <w:p>
      <w:pPr>
        <w:spacing w:before="0" w:after="80" w:lineRule="auto" w:line="276"/>
      </w:pPr>
      <w:r>
        <w:rPr>
          <w:b/>
        </w:rPr>
        <w:t xml:space="preserve">摘要（ZH）: </w:t>
      </w:r>
      <w:r>
        <w:t>光激发电子空穴对的快速复合对高效、大规模光催化的应用提出了挑战。现在，可光充电的硫化锌铟纳米晶体的开发使得能够通过电子存储和释放机制实现胺的高产率脱氢偶联。</w:t>
      </w:r>
    </w:p>
    <w:p>
      <w:pPr>
        <w:spacing w:before="0" w:after="200" w:lineRule="auto" w:line="276"/>
      </w:pPr>
      <w:r>
        <w:rPr>
          <w:b/>
        </w:rPr>
        <w:t xml:space="preserve">Abstract (EN): </w:t>
      </w:r>
      <w:r>
        <w:t>The rapid recombination of photo-excited electron–hole pairs challenges the application of highly efficient, large-scale photocatalysis. Now, the development of photochargeable zinc indium sulfide nanocrystals enables the high-yield dehydrogenative coupling of amines through an electron store-and-release mechanism.</w:t>
      </w:r>
    </w:p>
    <w:p>
      <w:pPr>
        <w:spacing w:before="120" w:after="120"/>
      </w:pPr>
      <w:r>
        <w:rPr>
          <w:sz w:val="18"/>
        </w:rPr>
        <w:t>——————————————————————————————————————————————————————————————————————</w:t>
      </w:r>
    </w:p>
    <w:p>
      <w:pPr>
        <w:spacing w:before="160" w:after="40" w:line="240" w:lineRule="auto"/>
      </w:pPr>
      <w:r>
        <w:rPr>
          <w:b/>
        </w:rPr>
        <w:t xml:space="preserve">[318] </w:t>
      </w:r>
      <w:hyperlink r:id="rId850">
        <w:r>
          <w:rPr>
            <w:color w:val="1155CC"/>
            <w:u w:val="single"/>
          </w:rPr>
          <w:t>Peter H. Raven 讣告：富有远见的植物学家改变了我们对植物多样性的理解</w:t>
        </w:r>
      </w:hyperlink>
    </w:p>
    <w:p>
      <w:pPr>
        <w:spacing w:before="0" w:after="80"/>
      </w:pPr>
      <w:r>
        <w:rPr>
          <w:i/>
          <w:sz w:val="20"/>
        </w:rPr>
        <w:t>EN: Peter H. Raven obituary: visionary botanist who transformed our understanding of plant diversity</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51">
        <w:r>
          <w:rPr>
            <w:color w:val="1155CC"/>
            <w:u w:val="single"/>
          </w:rPr>
          <w:t>10.1038/d41586-026-01652-z</w:t>
        </w:r>
      </w:hyperlink>
    </w:p>
    <w:p>
      <w:pPr>
        <w:spacing w:before="0" w:after="120"/>
      </w:pPr>
      <w:r>
        <w:rPr>
          <w:b/>
        </w:rPr>
        <w:t xml:space="preserve">Notes: </w:t>
      </w:r>
      <w:r>
        <w:t>abstract_source=nature_html</w:t>
      </w:r>
    </w:p>
    <w:p>
      <w:pPr>
        <w:spacing w:before="0" w:after="80" w:lineRule="auto" w:line="276"/>
      </w:pPr>
      <w:r>
        <w:rPr>
          <w:b/>
        </w:rPr>
        <w:t xml:space="preserve">摘要（ZH）: </w:t>
      </w:r>
      <w:r>
        <w:t>作为密苏里植物园的负责人，他呼吁全球关注生物多样性危机。作为密苏里植物园的负责人，他呼吁全球关注生物多样性危机。</w:t>
      </w:r>
    </w:p>
    <w:p>
      <w:pPr>
        <w:spacing w:before="0" w:after="200" w:lineRule="auto" w:line="276"/>
      </w:pPr>
      <w:r>
        <w:rPr>
          <w:b/>
        </w:rPr>
        <w:t xml:space="preserve">Abstract (EN): </w:t>
      </w:r>
      <w:r>
        <w:t>As the leader of the Missouri Botanical Garden, he called global attention to the biodiversity crisis. As the leader of the Missouri Botanical Garden, he called global attention to the biodiversity crisis.</w:t>
      </w:r>
    </w:p>
    <w:p>
      <w:pPr>
        <w:spacing w:before="120" w:after="120"/>
      </w:pPr>
      <w:r>
        <w:rPr>
          <w:sz w:val="18"/>
        </w:rPr>
        <w:t>——————————————————————————————————————————————————————————————————————</w:t>
      </w:r>
    </w:p>
    <w:p>
      <w:pPr>
        <w:spacing w:before="160" w:after="40" w:line="240" w:lineRule="auto"/>
      </w:pPr>
      <w:r>
        <w:rPr>
          <w:b/>
        </w:rPr>
        <w:t xml:space="preserve">[319] </w:t>
      </w:r>
      <w:hyperlink r:id="rId852">
        <w:r>
          <w:rPr>
            <w:color w:val="1155CC"/>
            <w:u w:val="single"/>
          </w:rPr>
          <w:t>让开，AlphaFold：开源模型预测 10 亿种蛋白质的形状</w:t>
        </w:r>
      </w:hyperlink>
    </w:p>
    <w:p>
      <w:pPr>
        <w:spacing w:before="0" w:after="80"/>
      </w:pPr>
      <w:r>
        <w:rPr>
          <w:i/>
          <w:sz w:val="20"/>
        </w:rPr>
        <w:t>EN: Move over, AlphaFold: open-source model predicts shape of 1 billion proteins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53">
        <w:r>
          <w:rPr>
            <w:color w:val="1155CC"/>
            <w:u w:val="single"/>
          </w:rPr>
          <w:t>10.1038/d41586-026-01686-3</w:t>
        </w:r>
      </w:hyperlink>
    </w:p>
    <w:p>
      <w:pPr>
        <w:spacing w:before="0" w:after="120"/>
      </w:pPr>
      <w:r>
        <w:rPr>
          <w:b/>
        </w:rPr>
        <w:t xml:space="preserve">Notes: </w:t>
      </w:r>
      <w:r>
        <w:t>abstract_source=nature_html</w:t>
      </w:r>
    </w:p>
    <w:p>
      <w:pPr>
        <w:spacing w:before="0" w:after="80" w:lineRule="auto" w:line="276"/>
      </w:pPr>
      <w:r>
        <w:rPr>
          <w:b/>
        </w:rPr>
        <w:t xml:space="preserve">摘要（ZH）: </w:t>
      </w:r>
      <w:r>
        <w:t>由名为 ESMFold2 的人工智能工具生成的开源图谱极大地扩展了已知的蛋白质宇宙。由名为 ESMFold2 的人工智能工具生成的开源图谱极大地扩展了已知的蛋白质宇宙。</w:t>
      </w:r>
    </w:p>
    <w:p>
      <w:pPr>
        <w:spacing w:before="0" w:after="200" w:lineRule="auto" w:line="276"/>
      </w:pPr>
      <w:r>
        <w:rPr>
          <w:b/>
        </w:rPr>
        <w:t xml:space="preserve">Abstract (EN): </w:t>
      </w:r>
      <w:r>
        <w:t>An open-source atlas generated by an AI tool called ESMFold2 vastly increases the known protein universe. An open-source atlas generated by an AI tool called ESMFold2 vastly increases the known protein universe.</w:t>
      </w:r>
    </w:p>
    <w:p>
      <w:pPr>
        <w:spacing w:before="120" w:after="120"/>
      </w:pPr>
      <w:r>
        <w:rPr>
          <w:sz w:val="18"/>
        </w:rPr>
        <w:t>——————————————————————————————————————————————————————————————————————</w:t>
      </w:r>
    </w:p>
    <w:p>
      <w:pPr>
        <w:spacing w:before="160" w:after="40" w:line="240" w:lineRule="auto"/>
      </w:pPr>
      <w:r>
        <w:rPr>
          <w:b/>
        </w:rPr>
        <w:t xml:space="preserve">[320] </w:t>
      </w:r>
      <w:hyperlink r:id="rId854">
        <w:r>
          <w:rPr>
            <w:color w:val="1155CC"/>
            <w:u w:val="single"/>
          </w:rPr>
          <w:t>气候变化预计冰雹袭击将更加严重</w:t>
        </w:r>
      </w:hyperlink>
    </w:p>
    <w:p>
      <w:pPr>
        <w:spacing w:before="0" w:after="80"/>
      </w:pPr>
      <w:r>
        <w:rPr>
          <w:i/>
          <w:sz w:val="20"/>
        </w:rPr>
        <w:t>EN: Hailstorms are predicted to hit harder with climate change</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55">
        <w:r>
          <w:rPr>
            <w:color w:val="1155CC"/>
            <w:u w:val="single"/>
          </w:rPr>
          <w:t>10.1038/d41586-026-01639-w</w:t>
        </w:r>
      </w:hyperlink>
    </w:p>
    <w:p>
      <w:pPr>
        <w:spacing w:before="0" w:after="120"/>
      </w:pPr>
      <w:r>
        <w:rPr>
          <w:b/>
        </w:rPr>
        <w:t xml:space="preserve">Notes: </w:t>
      </w:r>
      <w:r>
        <w:t>abstract_source=nature_html</w:t>
      </w:r>
    </w:p>
    <w:p>
      <w:pPr>
        <w:spacing w:before="0" w:after="80" w:lineRule="auto" w:line="276"/>
      </w:pPr>
      <w:r>
        <w:rPr>
          <w:b/>
        </w:rPr>
        <w:t xml:space="preserve">摘要（ZH）: </w:t>
      </w:r>
      <w:r>
        <w:t>由于气候变暖，冰雹尺寸增大，预计到本世纪末，全球遭受冰雹破坏的可能性将大幅增加。然而，预计存在区域差异，中纬度地区的冰雹尺寸和损害会更大程度地增加，而热带和亚热带地区的冰雹尺寸和损害会减少。中高纬度地区冰雹灾害可能大幅增加，但亚热带和热带地区可能会减少。</w:t>
      </w:r>
    </w:p>
    <w:p>
      <w:pPr>
        <w:spacing w:before="0" w:after="200" w:lineRule="auto" w:line="276"/>
      </w:pPr>
      <w:r>
        <w:rPr>
          <w:b/>
        </w:rPr>
        <w:t xml:space="preserve">Abstract (EN): </w:t>
      </w:r>
      <w:r>
        <w:t>The global likelihood of damage from hailstorms is predicted to increase substantially by the end of the century, owing to increases in hailstone size as the climate warms. However, regional differences are expected, with greater increases in hailstone size and damage in mid-latitudes and reductions in the tropics and subtropics. Mid- and high-latitude regions could face large increases in hail damage, but the subtropics and tropics might see a reduction.</w:t>
      </w:r>
    </w:p>
    <w:p>
      <w:pPr>
        <w:spacing w:before="120" w:after="120"/>
      </w:pPr>
      <w:r>
        <w:rPr>
          <w:sz w:val="18"/>
        </w:rPr>
        <w:t>——————————————————————————————————————————————————————————————————————</w:t>
      </w:r>
    </w:p>
    <w:p>
      <w:pPr>
        <w:spacing w:before="160" w:after="40" w:line="240" w:lineRule="auto"/>
      </w:pPr>
      <w:r>
        <w:rPr>
          <w:b/>
        </w:rPr>
        <w:t xml:space="preserve">[321] </w:t>
      </w:r>
      <w:hyperlink r:id="rId856">
        <w:r>
          <w:rPr>
            <w:color w:val="1155CC"/>
            <w:u w:val="single"/>
          </w:rPr>
          <w:t>与生物学家会面，从鲸须、胡须和象牙中解读海洋哺乳动物的历史</w:t>
        </w:r>
      </w:hyperlink>
    </w:p>
    <w:p>
      <w:pPr>
        <w:spacing w:before="0" w:after="80"/>
      </w:pPr>
      <w:r>
        <w:rPr>
          <w:i/>
          <w:sz w:val="20"/>
        </w:rPr>
        <w:t>EN: Meet the biologists deciphering marine-mammal histories from baleen, whiskers and tusks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57">
        <w:r>
          <w:rPr>
            <w:color w:val="1155CC"/>
            <w:u w:val="single"/>
          </w:rPr>
          <w:t>10.1038/d41586-026-01622-5</w:t>
        </w:r>
      </w:hyperlink>
    </w:p>
    <w:p>
      <w:pPr>
        <w:spacing w:before="0" w:after="120"/>
      </w:pPr>
      <w:r>
        <w:rPr>
          <w:b/>
        </w:rPr>
        <w:t xml:space="preserve">Notes: </w:t>
      </w:r>
      <w:r>
        <w:t>abstract_source=nature_html</w:t>
      </w:r>
    </w:p>
    <w:p>
      <w:pPr>
        <w:spacing w:before="0" w:after="80" w:lineRule="auto" w:line="276"/>
      </w:pPr>
      <w:r>
        <w:rPr>
          <w:b/>
        </w:rPr>
        <w:t xml:space="preserve">摘要（ZH）: </w:t>
      </w:r>
      <w:r>
        <w:t>野生动物内分泌学的新兴领域正在颠覆科学家对怀孕和压力的理解 野生动物内分泌学的新兴领域正在颠覆科学家对怀孕和压力的理解</w:t>
      </w:r>
    </w:p>
    <w:p>
      <w:pPr>
        <w:spacing w:before="0" w:after="200" w:lineRule="auto" w:line="276"/>
      </w:pPr>
      <w:r>
        <w:rPr>
          <w:b/>
        </w:rPr>
        <w:t xml:space="preserve">Abstract (EN): </w:t>
      </w:r>
      <w:r>
        <w:t>The nascent field of wildlife endocrinology is upending scientists’ understanding of pregnancies and stress The nascent field of wildlife endocrinology is upending scientists’ understanding of pregnancies and stress</w:t>
      </w:r>
    </w:p>
    <w:p>
      <w:pPr>
        <w:spacing w:before="120" w:after="120"/>
      </w:pPr>
      <w:r>
        <w:rPr>
          <w:sz w:val="18"/>
        </w:rPr>
        <w:t>——————————————————————————————————————————————————————————————————————</w:t>
      </w:r>
    </w:p>
    <w:p>
      <w:pPr>
        <w:spacing w:before="160" w:after="40" w:line="240" w:lineRule="auto"/>
      </w:pPr>
      <w:r>
        <w:rPr>
          <w:b/>
        </w:rPr>
        <w:t xml:space="preserve">[322] </w:t>
      </w:r>
      <w:hyperlink r:id="rId858">
        <w:r>
          <w:rPr>
            <w:color w:val="1155CC"/>
            <w:u w:val="single"/>
          </w:rPr>
          <w:t>为什么非洲肺癌的低发病率是一种幻觉</w:t>
        </w:r>
      </w:hyperlink>
    </w:p>
    <w:p>
      <w:pPr>
        <w:spacing w:before="0" w:after="80"/>
      </w:pPr>
      <w:r>
        <w:rPr>
          <w:i/>
          <w:sz w:val="20"/>
        </w:rPr>
        <w:t>EN: Why Africa’s low rate of lung cancer is an illusion</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59">
        <w:r>
          <w:rPr>
            <w:color w:val="1155CC"/>
            <w:u w:val="single"/>
          </w:rPr>
          <w:t>10.1038/d41586-026-01462-3</w:t>
        </w:r>
      </w:hyperlink>
    </w:p>
    <w:p>
      <w:pPr>
        <w:spacing w:before="0" w:after="120"/>
      </w:pPr>
      <w:r>
        <w:rPr>
          <w:b/>
        </w:rPr>
        <w:t xml:space="preserve">Notes: </w:t>
      </w:r>
      <w:r>
        <w:t>abstract_source=nature_html</w:t>
      </w:r>
    </w:p>
    <w:p>
      <w:pPr>
        <w:spacing w:before="0" w:after="80" w:lineRule="auto" w:line="276"/>
      </w:pPr>
      <w:r>
        <w:rPr>
          <w:b/>
        </w:rPr>
        <w:t xml:space="preserve">摘要（ZH）: </w:t>
      </w:r>
      <w:r>
        <w:t>未能获取准确的数据正在歪曲世界各地非洲人后裔的健康状况。未能获取准确的数据正在歪曲世界各地非洲人后裔的健康状况。</w:t>
      </w:r>
    </w:p>
    <w:p>
      <w:pPr>
        <w:spacing w:before="0" w:after="200" w:lineRule="auto" w:line="276"/>
      </w:pPr>
      <w:r>
        <w:rPr>
          <w:b/>
        </w:rPr>
        <w:t xml:space="preserve">Abstract (EN): </w:t>
      </w:r>
      <w:r>
        <w:t>Failure to capture accurate data is misrepresenting the health of people of African descent around the world at home and abroad. Failure to capture accurate data is misrepresenting the health of people of African descent around the world at home and abroad.</w:t>
      </w:r>
    </w:p>
    <w:p>
      <w:pPr>
        <w:spacing w:before="120" w:after="120"/>
      </w:pPr>
      <w:r>
        <w:rPr>
          <w:sz w:val="18"/>
        </w:rPr>
        <w:t>——————————————————————————————————————————————————————————————————————</w:t>
      </w:r>
    </w:p>
    <w:p>
      <w:pPr>
        <w:spacing w:before="160" w:after="40" w:line="240" w:lineRule="auto"/>
      </w:pPr>
      <w:r>
        <w:rPr>
          <w:b/>
        </w:rPr>
        <w:t xml:space="preserve">[323] </w:t>
      </w:r>
      <w:hyperlink r:id="rId860">
        <w:r>
          <w:rPr>
            <w:color w:val="1155CC"/>
            <w:u w:val="single"/>
          </w:rPr>
          <w:t>审判中的记忆：何时信任目击者证词的新科学</w:t>
        </w:r>
      </w:hyperlink>
    </w:p>
    <w:p>
      <w:pPr>
        <w:spacing w:before="0" w:after="80"/>
      </w:pPr>
      <w:r>
        <w:rPr>
          <w:i/>
          <w:sz w:val="20"/>
        </w:rPr>
        <w:t>EN: Memory on trial: the new science of when to trust eyewitness testimony</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61">
        <w:r>
          <w:rPr>
            <w:color w:val="1155CC"/>
            <w:u w:val="single"/>
          </w:rPr>
          <w:t>10.1038/d41586-026-01618-1</w:t>
        </w:r>
      </w:hyperlink>
    </w:p>
    <w:p>
      <w:pPr>
        <w:spacing w:before="0" w:after="120"/>
      </w:pPr>
      <w:r>
        <w:rPr>
          <w:b/>
        </w:rPr>
        <w:t xml:space="preserve">Notes: </w:t>
      </w:r>
      <w:r>
        <w:t>abstract_source=nature_html</w:t>
      </w:r>
    </w:p>
    <w:p>
      <w:pPr>
        <w:spacing w:before="0" w:after="80" w:lineRule="auto" w:line="276"/>
      </w:pPr>
      <w:r>
        <w:rPr>
          <w:b/>
        </w:rPr>
        <w:t xml:space="preserve">摘要（ZH）: </w:t>
      </w:r>
      <w:r>
        <w:t>无辜者经常因证人的错误记忆而被定罪。新兴科学提出了一个令人惊讶的解决方案。无辜者经常因证人的错误记忆而被定罪。新兴科学提出了一个令人惊讶的解决方案。</w:t>
      </w:r>
    </w:p>
    <w:p>
      <w:pPr>
        <w:spacing w:before="0" w:after="200" w:lineRule="auto" w:line="276"/>
      </w:pPr>
      <w:r>
        <w:rPr>
          <w:b/>
        </w:rPr>
        <w:t xml:space="preserve">Abstract (EN): </w:t>
      </w:r>
      <w:r>
        <w:t>Innocent people are frequently convicted of crimes on the basis of a witness’s false memories. Emerging science poses a surprising solution. Innocent people are frequently convicted of crimes on the basis of a witness’s false memories. Emerging science poses a surprising solution.</w:t>
      </w:r>
    </w:p>
    <w:p>
      <w:pPr>
        <w:spacing w:before="120" w:after="120"/>
      </w:pPr>
      <w:r>
        <w:rPr>
          <w:sz w:val="18"/>
        </w:rPr>
        <w:t>——————————————————————————————————————————————————————————————————————</w:t>
      </w:r>
    </w:p>
    <w:p>
      <w:pPr>
        <w:spacing w:before="160" w:after="40" w:line="240" w:lineRule="auto"/>
      </w:pPr>
      <w:r>
        <w:rPr>
          <w:b/>
        </w:rPr>
        <w:t xml:space="preserve">[324] </w:t>
      </w:r>
      <w:hyperlink r:id="rId862">
        <w:r>
          <w:rPr>
            <w:color w:val="1155CC"/>
            <w:u w:val="single"/>
          </w:rPr>
          <w:t>基因表达模式可用于估计死亡风险和实际年龄</w:t>
        </w:r>
      </w:hyperlink>
    </w:p>
    <w:p>
      <w:pPr>
        <w:spacing w:before="0" w:after="80"/>
      </w:pPr>
      <w:r>
        <w:rPr>
          <w:i/>
          <w:sz w:val="20"/>
        </w:rPr>
        <w:t>EN: Gene-expression patterns can be used to estimate mortality risk and chronological age</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63">
        <w:r>
          <w:rPr>
            <w:color w:val="1155CC"/>
            <w:u w:val="single"/>
          </w:rPr>
          <w:t>10.1038/d41586-026-01326-w</w:t>
        </w:r>
      </w:hyperlink>
    </w:p>
    <w:p>
      <w:pPr>
        <w:spacing w:before="0" w:after="120"/>
      </w:pPr>
      <w:r>
        <w:rPr>
          <w:b/>
        </w:rPr>
        <w:t xml:space="preserve">Notes: </w:t>
      </w:r>
      <w:r>
        <w:t>abstract_source=nature_html</w:t>
      </w:r>
    </w:p>
    <w:p>
      <w:pPr>
        <w:spacing w:before="0" w:after="80" w:lineRule="auto" w:line="276"/>
      </w:pPr>
      <w:r>
        <w:rPr>
          <w:b/>
        </w:rPr>
        <w:t xml:space="preserve">摘要（ZH）: </w:t>
      </w:r>
      <w:r>
        <w:t>对啮齿动物、猴子和人类 RNA 转录本的大量分析揭示了衰老的特征，这可能会加速抗衰老干预措施的开发。对啮齿动物、猴子和人类 RNA 转录本的大量分析揭示了衰老的特征，这可能会加速抗衰老干预措施的开发。</w:t>
      </w:r>
    </w:p>
    <w:p>
      <w:pPr>
        <w:spacing w:before="0" w:after="200" w:lineRule="auto" w:line="276"/>
      </w:pPr>
      <w:r>
        <w:rPr>
          <w:b/>
        </w:rPr>
        <w:t xml:space="preserve">Abstract (EN): </w:t>
      </w:r>
      <w:r>
        <w:t>Massive analyses of RNA transcripts from rodents, monkeys and humans reveal hallmarks of ageing that could expedite the development of anti-ageing interventions. Massive analyses of RNA transcripts from rodents, monkeys and humans reveal hallmarks of ageing that could expedite the development of anti-ageing interventions.</w:t>
      </w:r>
    </w:p>
    <w:p>
      <w:pPr>
        <w:spacing w:before="120" w:after="120"/>
      </w:pPr>
      <w:r>
        <w:rPr>
          <w:sz w:val="18"/>
        </w:rPr>
        <w:t>——————————————————————————————————————————————————————————————————————</w:t>
      </w:r>
    </w:p>
    <w:p>
      <w:pPr>
        <w:spacing w:before="160" w:after="40" w:line="240" w:lineRule="auto"/>
      </w:pPr>
      <w:r>
        <w:rPr>
          <w:b/>
        </w:rPr>
        <w:t xml:space="preserve">[325] </w:t>
      </w:r>
      <w:hyperlink r:id="rId864">
        <w:r>
          <w:rPr>
            <w:color w:val="1155CC"/>
            <w:u w:val="single"/>
          </w:rPr>
          <w:t>肺癌和大脑之间的联系如何带来更好的治疗</w:t>
        </w:r>
      </w:hyperlink>
    </w:p>
    <w:p>
      <w:pPr>
        <w:spacing w:before="0" w:after="80"/>
      </w:pPr>
      <w:r>
        <w:rPr>
          <w:i/>
          <w:sz w:val="20"/>
        </w:rPr>
        <w:t>EN: How the connection between lung cancer and the brain could lead to better treatments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65">
        <w:r>
          <w:rPr>
            <w:color w:val="1155CC"/>
            <w:u w:val="single"/>
          </w:rPr>
          <w:t>10.1038/d41586-026-01458-z</w:t>
        </w:r>
      </w:hyperlink>
    </w:p>
    <w:p>
      <w:pPr>
        <w:spacing w:before="0" w:after="120"/>
      </w:pPr>
      <w:r>
        <w:rPr>
          <w:b/>
        </w:rPr>
        <w:t xml:space="preserve">Notes: </w:t>
      </w:r>
      <w:r>
        <w:t>abstract_source=nature_html</w:t>
      </w:r>
    </w:p>
    <w:p>
      <w:pPr>
        <w:spacing w:before="0" w:after="80" w:lineRule="auto" w:line="276"/>
      </w:pPr>
      <w:r>
        <w:rPr>
          <w:b/>
        </w:rPr>
        <w:t xml:space="preserve">摘要（ZH）: </w:t>
      </w:r>
      <w:r>
        <w:t>小细胞肺癌具有多种神经元特征的发现正在产生最终可以挽救生命的生物学见解。小细胞肺癌具有多种神经元特征的发现正在产生最终可以挽救生命的生物学见解。</w:t>
      </w:r>
    </w:p>
    <w:p>
      <w:pPr>
        <w:spacing w:before="0" w:after="200" w:lineRule="auto" w:line="276"/>
      </w:pPr>
      <w:r>
        <w:rPr>
          <w:b/>
        </w:rPr>
        <w:t xml:space="preserve">Abstract (EN): </w:t>
      </w:r>
      <w:r>
        <w:t>The discovery that small cell lung cancer has several neuronal features is yielding biological insights that could ultimately save lives. The discovery that small cell lung cancer has several neuronal features is yielding biological insights that could ultimately save lives.</w:t>
      </w:r>
    </w:p>
    <w:p>
      <w:pPr>
        <w:spacing w:before="120" w:after="120"/>
      </w:pPr>
      <w:r>
        <w:rPr>
          <w:sz w:val="18"/>
        </w:rPr>
        <w:t>——————————————————————————————————————————————————————————————————————</w:t>
      </w:r>
    </w:p>
    <w:p>
      <w:pPr>
        <w:spacing w:before="160" w:after="40" w:line="240" w:lineRule="auto"/>
      </w:pPr>
      <w:r>
        <w:rPr>
          <w:b/>
        </w:rPr>
        <w:t xml:space="preserve">[326] </w:t>
      </w:r>
      <w:hyperlink r:id="rId866">
        <w:r>
          <w:rPr>
            <w:color w:val="1155CC"/>
            <w:u w:val="single"/>
          </w:rPr>
          <w:t>独家：美国国家科学基金会暂停向顶尖大学提供新的研究资助</w:t>
        </w:r>
      </w:hyperlink>
    </w:p>
    <w:p>
      <w:pPr>
        <w:spacing w:before="0" w:after="80"/>
      </w:pPr>
      <w:r>
        <w:rPr>
          <w:i/>
          <w:sz w:val="20"/>
        </w:rPr>
        <w:t>EN: Exclusive: NSF puts new research grants to top universities on hold</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67">
        <w:r>
          <w:rPr>
            <w:color w:val="1155CC"/>
            <w:u w:val="single"/>
          </w:rPr>
          <w:t>10.1038/d41586-026-01667-6</w:t>
        </w:r>
      </w:hyperlink>
    </w:p>
    <w:p>
      <w:pPr>
        <w:spacing w:before="0" w:after="120"/>
      </w:pPr>
      <w:r>
        <w:rPr>
          <w:b/>
        </w:rPr>
        <w:t xml:space="preserve">Notes: </w:t>
      </w:r>
      <w:r>
        <w:t>abstract_source=nature_html</w:t>
      </w:r>
    </w:p>
    <w:p>
      <w:pPr>
        <w:spacing w:before="0" w:after="80" w:lineRule="auto" w:line="276"/>
      </w:pPr>
      <w:r>
        <w:rPr>
          <w:b/>
        </w:rPr>
        <w:t xml:space="preserve">摘要（ZH）: </w:t>
      </w:r>
      <w:r>
        <w:t>美国科学资助者再次限制对哈佛大学和其他机构的资助。美国科学资助者再次限制对哈佛大学和其他机构的资助。</w:t>
      </w:r>
    </w:p>
    <w:p>
      <w:pPr>
        <w:spacing w:before="0" w:after="200" w:lineRule="auto" w:line="276"/>
      </w:pPr>
      <w:r>
        <w:rPr>
          <w:b/>
        </w:rPr>
        <w:t xml:space="preserve">Abstract (EN): </w:t>
      </w:r>
      <w:r>
        <w:t>US science funder once again restricts awards to Harvard University and other institutions. US science funder once again restricts awards to Harvard University and other institutions.</w:t>
      </w:r>
    </w:p>
    <w:p>
      <w:pPr>
        <w:spacing w:before="120" w:after="120"/>
      </w:pPr>
      <w:r>
        <w:rPr>
          <w:sz w:val="18"/>
        </w:rPr>
        <w:t>——————————————————————————————————————————————————————————————————————</w:t>
      </w:r>
    </w:p>
    <w:p>
      <w:pPr>
        <w:spacing w:before="160" w:after="40" w:line="240" w:lineRule="auto"/>
      </w:pPr>
      <w:r>
        <w:rPr>
          <w:b/>
        </w:rPr>
        <w:t xml:space="preserve">[327] </w:t>
      </w:r>
      <w:hyperlink r:id="rId868">
        <w:r>
          <w:rPr>
            <w:color w:val="1155CC"/>
            <w:u w:val="single"/>
          </w:rPr>
          <w:t>肺癌研究的五个亮点</w:t>
        </w:r>
      </w:hyperlink>
    </w:p>
    <w:p>
      <w:pPr>
        <w:spacing w:before="0" w:after="80"/>
      </w:pPr>
      <w:r>
        <w:rPr>
          <w:i/>
          <w:sz w:val="20"/>
        </w:rPr>
        <w:t>EN: Five highlights from lung-cancer research</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69">
        <w:r>
          <w:rPr>
            <w:color w:val="1155CC"/>
            <w:u w:val="single"/>
          </w:rPr>
          <w:t>10.1038/d41586-026-01460-5</w:t>
        </w:r>
      </w:hyperlink>
    </w:p>
    <w:p>
      <w:pPr>
        <w:spacing w:before="0" w:after="120"/>
      </w:pPr>
      <w:r>
        <w:rPr>
          <w:b/>
        </w:rPr>
        <w:t xml:space="preserve">Notes: </w:t>
      </w:r>
      <w:r>
        <w:t>abstract_source=nature_html</w:t>
      </w:r>
    </w:p>
    <w:p>
      <w:pPr>
        <w:spacing w:before="0" w:after="80" w:lineRule="auto" w:line="276"/>
      </w:pPr>
      <w:r>
        <w:rPr>
          <w:b/>
        </w:rPr>
        <w:t xml:space="preserve">摘要（ZH）: </w:t>
      </w:r>
      <w:r>
        <w:t>治疗突破、筛查方法的改进以及近期研究的其他进展。治疗突破、筛查方法的改进以及近期研究的其他进展。</w:t>
      </w:r>
    </w:p>
    <w:p>
      <w:pPr>
        <w:spacing w:before="0" w:after="200" w:lineRule="auto" w:line="276"/>
      </w:pPr>
      <w:r>
        <w:rPr>
          <w:b/>
        </w:rPr>
        <w:t xml:space="preserve">Abstract (EN): </w:t>
      </w:r>
      <w:r>
        <w:t>Treatment breakthroughs, improved screening approaches and other developments from recent studies. Treatment breakthroughs, improved screening approaches and other developments from recent studies.</w:t>
      </w:r>
    </w:p>
    <w:p>
      <w:pPr>
        <w:spacing w:before="120" w:after="120"/>
      </w:pPr>
      <w:r>
        <w:rPr>
          <w:sz w:val="18"/>
        </w:rPr>
        <w:t>——————————————————————————————————————————————————————————————————————</w:t>
      </w:r>
    </w:p>
    <w:p>
      <w:pPr>
        <w:spacing w:before="160" w:after="40" w:line="240" w:lineRule="auto"/>
      </w:pPr>
      <w:r>
        <w:rPr>
          <w:b/>
        </w:rPr>
        <w:t xml:space="preserve">[328] </w:t>
      </w:r>
      <w:hyperlink r:id="rId870">
        <w:r>
          <w:rPr>
            <w:color w:val="1155CC"/>
            <w:u w:val="single"/>
          </w:rPr>
          <w:t>生物样本库分析揭示了超过 88,000 个与代谢特征的遗传关联</w:t>
        </w:r>
      </w:hyperlink>
    </w:p>
    <w:p>
      <w:pPr>
        <w:spacing w:before="0" w:after="80"/>
      </w:pPr>
      <w:r>
        <w:rPr>
          <w:i/>
          <w:sz w:val="20"/>
        </w:rPr>
        <w:t>EN: Biobank analysis reveals more than 88,000 genetic associations with metabolic traits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71">
        <w:r>
          <w:rPr>
            <w:color w:val="1155CC"/>
            <w:u w:val="single"/>
          </w:rPr>
          <w:t>10.1038/d41586-026-01571-z</w:t>
        </w:r>
      </w:hyperlink>
    </w:p>
    <w:p>
      <w:pPr>
        <w:spacing w:before="0" w:after="120"/>
      </w:pPr>
      <w:r>
        <w:rPr>
          <w:b/>
        </w:rPr>
        <w:t xml:space="preserve">Notes: </w:t>
      </w:r>
      <w:r>
        <w:t>abstract_source=nature_html</w:t>
      </w:r>
    </w:p>
    <w:p>
      <w:pPr>
        <w:spacing w:before="0" w:after="80" w:lineRule="auto" w:line="276"/>
      </w:pPr>
      <w:r>
        <w:rPr>
          <w:b/>
        </w:rPr>
        <w:t xml:space="preserve">摘要（ZH）: </w:t>
      </w:r>
      <w:r>
        <w:t>爱沙尼亚生物银行和英国生物银行的一项调查已确定了 8,000 多个基因组区域和代谢特征之间的 88,000 多个关联。样本的总大小使得能够检测到比以前更多的关联。这项研究发现了与万分之一个体中存在的遗传变异的关联。</w:t>
      </w:r>
    </w:p>
    <w:p>
      <w:pPr>
        <w:spacing w:before="0" w:after="200" w:lineRule="auto" w:line="276"/>
      </w:pPr>
      <w:r>
        <w:rPr>
          <w:b/>
        </w:rPr>
        <w:t xml:space="preserve">Abstract (EN): </w:t>
      </w:r>
      <w:r>
        <w:t>An investigation of the Estonian Biobank and the UK Biobank has identified more than 88,000 associations between more than 8,000 genomic regions and metabolic traits. The combined size of the sample enabled the detection of many more associations than in previous efforts. The study has enabled the discovery of associations with genetic variants present in only 1 in 10,000 individuals.</w:t>
      </w:r>
    </w:p>
    <w:p>
      <w:pPr>
        <w:spacing w:before="120" w:after="120"/>
      </w:pPr>
      <w:r>
        <w:rPr>
          <w:sz w:val="18"/>
        </w:rPr>
        <w:t>——————————————————————————————————————————————————————————————————————</w:t>
      </w:r>
    </w:p>
    <w:p>
      <w:pPr>
        <w:spacing w:before="160" w:after="40" w:line="240" w:lineRule="auto"/>
      </w:pPr>
      <w:r>
        <w:rPr>
          <w:b/>
        </w:rPr>
        <w:t xml:space="preserve">[329] </w:t>
      </w:r>
      <w:hyperlink r:id="rId872">
        <w:r>
          <w:rPr>
            <w:color w:val="1155CC"/>
            <w:u w:val="single"/>
          </w:rPr>
          <w:t>GDP 及其他：为什么将自然视为资本无法拯救地球</w:t>
        </w:r>
      </w:hyperlink>
    </w:p>
    <w:p>
      <w:pPr>
        <w:spacing w:before="0" w:after="80"/>
      </w:pPr>
      <w:r>
        <w:rPr>
          <w:i/>
          <w:sz w:val="20"/>
        </w:rPr>
        <w:t>EN: GDP and beyond: why treating nature as capital cannot save the planet</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73">
        <w:r>
          <w:rPr>
            <w:color w:val="1155CC"/>
            <w:u w:val="single"/>
          </w:rPr>
          <w:t>10.1038/d41586-026-01628-z</w:t>
        </w:r>
      </w:hyperlink>
    </w:p>
    <w:p>
      <w:pPr>
        <w:spacing w:before="0" w:after="120"/>
      </w:pPr>
      <w:r>
        <w:rPr>
          <w:b/>
        </w:rPr>
        <w:t xml:space="preserve">Notes: </w:t>
      </w:r>
      <w:r>
        <w:t>abstract_source=nature_html</w:t>
      </w:r>
    </w:p>
    <w:p>
      <w:pPr>
        <w:spacing w:before="0" w:after="80" w:lineRule="auto" w:line="276"/>
      </w:pPr>
      <w:r>
        <w:rPr>
          <w:b/>
        </w:rPr>
        <w:t xml:space="preserve">摘要（ZH）: </w:t>
      </w:r>
      <w:r>
        <w:t>全球风险太大，单靠市场是无法遏制的。政治考虑必须先于经济考虑。全球风险太大，单靠市场是无法遏制的。政治考虑必须先于经济考虑。</w:t>
      </w:r>
    </w:p>
    <w:p>
      <w:pPr>
        <w:spacing w:before="0" w:after="200" w:lineRule="auto" w:line="276"/>
      </w:pPr>
      <w:r>
        <w:rPr>
          <w:b/>
        </w:rPr>
        <w:t xml:space="preserve">Abstract (EN): </w:t>
      </w:r>
      <w:r>
        <w:t>Global risks are too great for markets alone to curb. Political considerations must come before economic ones. Global risks are too great for markets alone to curb. Political considerations must come before economic ones.</w:t>
      </w:r>
    </w:p>
    <w:p>
      <w:pPr>
        <w:spacing w:before="120" w:after="120"/>
      </w:pPr>
      <w:r>
        <w:rPr>
          <w:sz w:val="18"/>
        </w:rPr>
        <w:t>——————————————————————————————————————————————————————————————————————</w:t>
      </w:r>
    </w:p>
    <w:p>
      <w:pPr>
        <w:spacing w:before="160" w:after="40" w:line="240" w:lineRule="auto"/>
      </w:pPr>
      <w:r>
        <w:rPr>
          <w:b/>
        </w:rPr>
        <w:t xml:space="preserve">[330] </w:t>
      </w:r>
      <w:hyperlink r:id="rId874">
        <w:r>
          <w:rPr>
            <w:color w:val="1155CC"/>
            <w:u w:val="single"/>
          </w:rPr>
          <w:t>每日简报：已知的蛋白质宇宙变得更大了</w:t>
        </w:r>
      </w:hyperlink>
    </w:p>
    <w:p>
      <w:pPr>
        <w:spacing w:before="0" w:after="80"/>
      </w:pPr>
      <w:r>
        <w:rPr>
          <w:i/>
          <w:sz w:val="20"/>
        </w:rPr>
        <w:t>EN: Daily briefing: The known protein universe just got a lot bigger</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75">
        <w:r>
          <w:rPr>
            <w:color w:val="1155CC"/>
            <w:u w:val="single"/>
          </w:rPr>
          <w:t>10.1038/d41586-026-01713-3</w:t>
        </w:r>
      </w:hyperlink>
    </w:p>
    <w:p>
      <w:pPr>
        <w:spacing w:before="0" w:after="120"/>
      </w:pPr>
      <w:r>
        <w:rPr>
          <w:b/>
        </w:rPr>
        <w:t xml:space="preserve">Notes: </w:t>
      </w:r>
      <w:r>
        <w:t>abstract_source=nature_html</w:t>
      </w:r>
    </w:p>
    <w:p>
      <w:pPr>
        <w:spacing w:before="0" w:after="80" w:lineRule="auto" w:line="276"/>
      </w:pPr>
      <w:r>
        <w:rPr>
          <w:b/>
        </w:rPr>
        <w:t xml:space="preserve">摘要（ZH）: </w:t>
      </w:r>
      <w:r>
        <w:t>一种新的人工智能工具生成了超过十亿个预测蛋白质结构的图谱。另外，由十个机器人运行的生物实验室以及我们在刑事审判期间是否可以真正信任目击者的叙述。一种新的人工智能工具生成了超过十亿个预测蛋白质结构的图谱。另外，由十个机器人运行的生物实验室以及我们在刑事审判期间是否可以真正信任目击者的叙述。</w:t>
      </w:r>
    </w:p>
    <w:p>
      <w:pPr>
        <w:spacing w:before="0" w:after="200" w:lineRule="auto" w:line="276"/>
      </w:pPr>
      <w:r>
        <w:rPr>
          <w:b/>
        </w:rPr>
        <w:t xml:space="preserve">Abstract (EN): </w:t>
      </w:r>
      <w:r>
        <w:t>A new AI tool has generated an atlas of more than one billion predicted protein structures. Plus, a biology lab run by ten robots and whether we can truly trust eyewitness accounts during criminal trials. A new AI tool has generated an atlas of more than one billion predicted protein structures. Plus, a biology lab run by ten robots and whether we can truly trust eyewitness accounts during criminal trials.</w:t>
      </w:r>
    </w:p>
    <w:p>
      <w:pPr>
        <w:spacing w:before="120" w:after="120"/>
      </w:pPr>
      <w:r>
        <w:rPr>
          <w:sz w:val="18"/>
        </w:rPr>
        <w:t>——————————————————————————————————————————————————————————————————————</w:t>
      </w:r>
    </w:p>
    <w:p>
      <w:pPr>
        <w:spacing w:before="160" w:after="40" w:line="240" w:lineRule="auto"/>
      </w:pPr>
      <w:r>
        <w:rPr>
          <w:b/>
        </w:rPr>
        <w:t xml:space="preserve">[331] </w:t>
      </w:r>
      <w:hyperlink r:id="rId876">
        <w:r>
          <w:rPr>
            <w:color w:val="1155CC"/>
            <w:u w:val="single"/>
          </w:rPr>
          <w:t>空间细胞图谱中捕获的早期人类胚胎的器官形成</w:t>
        </w:r>
      </w:hyperlink>
    </w:p>
    <w:p>
      <w:pPr>
        <w:spacing w:before="0" w:after="80"/>
      </w:pPr>
      <w:r>
        <w:rPr>
          <w:i/>
          <w:sz w:val="20"/>
        </w:rPr>
        <w:t>EN: Organ formation in early human embryos captured in spatial cell atlas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77">
        <w:r>
          <w:rPr>
            <w:color w:val="1155CC"/>
            <w:u w:val="single"/>
          </w:rPr>
          <w:t>10.1038/d41586-026-01416-9</w:t>
        </w:r>
      </w:hyperlink>
    </w:p>
    <w:p>
      <w:pPr>
        <w:spacing w:before="0" w:after="120"/>
      </w:pPr>
      <w:r>
        <w:rPr>
          <w:b/>
        </w:rPr>
        <w:t xml:space="preserve">Notes: </w:t>
      </w:r>
      <w:r>
        <w:t>abstract_source=nature_html</w:t>
      </w:r>
    </w:p>
    <w:p>
      <w:pPr>
        <w:spacing w:before="0" w:after="80" w:lineRule="auto" w:line="276"/>
      </w:pPr>
      <w:r>
        <w:rPr>
          <w:b/>
        </w:rPr>
        <w:t xml:space="preserve">摘要（ZH）: </w:t>
      </w:r>
      <w:r>
        <w:t>整个人类胚胎在早期发育几周内的基因表达空间图提供了对驱动器官发生的分子程序的见解。整个人类胚胎在早期发育几周内的基因表达空间图提供了对驱动器官发生的分子程序的见解。</w:t>
      </w:r>
    </w:p>
    <w:p>
      <w:pPr>
        <w:spacing w:before="0" w:after="200" w:lineRule="auto" w:line="276"/>
      </w:pPr>
      <w:r>
        <w:rPr>
          <w:b/>
        </w:rPr>
        <w:t xml:space="preserve">Abstract (EN): </w:t>
      </w:r>
      <w:r>
        <w:t>Spatial maps of gene expression in whole human embryos across several weeks of early development offer insights into the molecular programs that drive organogenesis. Spatial maps of gene expression in whole human embryos across several weeks of early development offer insights into the molecular programs that drive organogenesis.</w:t>
      </w:r>
    </w:p>
    <w:p>
      <w:pPr>
        <w:spacing w:before="120" w:after="120"/>
      </w:pPr>
      <w:r>
        <w:rPr>
          <w:sz w:val="18"/>
        </w:rPr>
        <w:t>——————————————————————————————————————————————————————————————————————</w:t>
      </w:r>
    </w:p>
    <w:p>
      <w:pPr>
        <w:spacing w:before="160" w:after="40" w:line="240" w:lineRule="auto"/>
      </w:pPr>
      <w:r>
        <w:rPr>
          <w:b/>
        </w:rPr>
        <w:t xml:space="preserve">[332] </w:t>
      </w:r>
      <w:hyperlink r:id="rId878">
        <w:r>
          <w:rPr>
            <w:color w:val="1155CC"/>
            <w:u w:val="single"/>
          </w:rPr>
          <w:t>刮痧</w:t>
        </w:r>
      </w:hyperlink>
    </w:p>
    <w:p>
      <w:pPr>
        <w:spacing w:before="0" w:after="80"/>
      </w:pPr>
      <w:r>
        <w:rPr>
          <w:i/>
          <w:sz w:val="20"/>
        </w:rPr>
        <w:t>EN: Scraping</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79">
        <w:r>
          <w:rPr>
            <w:color w:val="1155CC"/>
            <w:u w:val="single"/>
          </w:rPr>
          <w:t>10.1038/d41586-026-01089-4</w:t>
        </w:r>
      </w:hyperlink>
    </w:p>
    <w:p>
      <w:pPr>
        <w:spacing w:before="0" w:after="120"/>
      </w:pPr>
      <w:r>
        <w:rPr>
          <w:b/>
        </w:rPr>
        <w:t xml:space="preserve">Notes: </w:t>
      </w:r>
      <w:r>
        <w:t>abstract_source=nature_html</w:t>
      </w:r>
    </w:p>
    <w:p>
      <w:pPr>
        <w:spacing w:before="0" w:after="80" w:lineRule="auto" w:line="276"/>
      </w:pPr>
      <w:r>
        <w:rPr>
          <w:b/>
        </w:rPr>
        <w:t xml:space="preserve">摘要（ZH）: </w:t>
      </w:r>
      <w:r>
        <w:t>供需。供需。</w:t>
      </w:r>
    </w:p>
    <w:p>
      <w:pPr>
        <w:spacing w:before="0" w:after="200" w:lineRule="auto" w:line="276"/>
      </w:pPr>
      <w:r>
        <w:rPr>
          <w:b/>
        </w:rPr>
        <w:t xml:space="preserve">Abstract (EN): </w:t>
      </w:r>
      <w:r>
        <w:t>Supply and demand. Supply and demand.</w:t>
      </w:r>
    </w:p>
    <w:p>
      <w:pPr>
        <w:spacing w:before="120" w:after="120"/>
      </w:pPr>
      <w:r>
        <w:rPr>
          <w:sz w:val="18"/>
        </w:rPr>
        <w:t>——————————————————————————————————————————————————————————————————————</w:t>
      </w:r>
    </w:p>
    <w:p>
      <w:pPr>
        <w:spacing w:before="160" w:after="40" w:line="240" w:lineRule="auto"/>
      </w:pPr>
      <w:r>
        <w:rPr>
          <w:b/>
        </w:rPr>
        <w:t xml:space="preserve">[333] </w:t>
      </w:r>
      <w:hyperlink r:id="rId880">
        <w:r>
          <w:rPr>
            <w:color w:val="1155CC"/>
            <w:u w:val="single"/>
          </w:rPr>
          <w:t>基因钟预测人类的死亡时间并评估“生物”年龄</w:t>
        </w:r>
      </w:hyperlink>
    </w:p>
    <w:p>
      <w:pPr>
        <w:spacing w:before="0" w:after="80"/>
      </w:pPr>
      <w:r>
        <w:rPr>
          <w:i/>
          <w:sz w:val="20"/>
        </w:rPr>
        <w:t>EN: Gene clock predicts time to death in humans — and assesses ‘biological’ age</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81">
        <w:r>
          <w:rPr>
            <w:color w:val="1155CC"/>
            <w:u w:val="single"/>
          </w:rPr>
          <w:t>10.1038/d41586-026-01661-y</w:t>
        </w:r>
      </w:hyperlink>
    </w:p>
    <w:p>
      <w:pPr>
        <w:spacing w:before="0" w:after="120"/>
      </w:pPr>
      <w:r>
        <w:rPr>
          <w:b/>
        </w:rPr>
        <w:t xml:space="preserve">Notes: </w:t>
      </w:r>
      <w:r>
        <w:t>abstract_source=nature_html</w:t>
      </w:r>
    </w:p>
    <w:p>
      <w:pPr>
        <w:spacing w:before="0" w:after="80" w:lineRule="auto" w:line="276"/>
      </w:pPr>
      <w:r>
        <w:rPr>
          <w:b/>
        </w:rPr>
        <w:t xml:space="preserve">摘要（ZH）: </w:t>
      </w:r>
      <w:r>
        <w:t>基于基因活性的细胞衰老时钟可能比以前的测量更敏感。基于基因活性的细胞衰老时钟可能比以前的测量更敏感。</w:t>
      </w:r>
    </w:p>
    <w:p>
      <w:pPr>
        <w:spacing w:before="0" w:after="200" w:lineRule="auto" w:line="276"/>
      </w:pPr>
      <w:r>
        <w:rPr>
          <w:b/>
        </w:rPr>
        <w:t xml:space="preserve">Abstract (EN): </w:t>
      </w:r>
      <w:r>
        <w:t>Cellular-ageing clocks based on gene activity could be more sensitive than previous measures. Cellular-ageing clocks based on gene activity could be more sensitive than previous measures.</w:t>
      </w:r>
    </w:p>
    <w:p>
      <w:pPr>
        <w:spacing w:before="120" w:after="120"/>
      </w:pPr>
      <w:r>
        <w:rPr>
          <w:sz w:val="18"/>
        </w:rPr>
        <w:t>——————————————————————————————————————————————————————————————————————</w:t>
      </w:r>
    </w:p>
    <w:p>
      <w:pPr>
        <w:spacing w:before="160" w:after="40" w:line="240" w:lineRule="auto"/>
      </w:pPr>
      <w:r>
        <w:rPr>
          <w:b/>
        </w:rPr>
        <w:t xml:space="preserve">[334] </w:t>
      </w:r>
      <w:hyperlink r:id="rId882">
        <w:r>
          <w:rPr>
            <w:color w:val="1155CC"/>
            <w:u w:val="single"/>
          </w:rPr>
          <w:t>人类血液干细胞会记住以前的炎症</w:t>
        </w:r>
      </w:hyperlink>
    </w:p>
    <w:p>
      <w:pPr>
        <w:spacing w:before="0" w:after="80"/>
      </w:pPr>
      <w:r>
        <w:rPr>
          <w:i/>
          <w:sz w:val="20"/>
        </w:rPr>
        <w:t>EN: Human blood stem cells remember previous inflammation</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83">
        <w:r>
          <w:rPr>
            <w:color w:val="1155CC"/>
            <w:u w:val="single"/>
          </w:rPr>
          <w:t>10.1038/d41586-026-01567-9</w:t>
        </w:r>
      </w:hyperlink>
    </w:p>
    <w:p>
      <w:pPr>
        <w:spacing w:before="0" w:after="120"/>
      </w:pPr>
      <w:r>
        <w:rPr>
          <w:b/>
        </w:rPr>
        <w:t xml:space="preserve">Notes: </w:t>
      </w:r>
      <w:r>
        <w:t>abstract_source=nature_html</w:t>
      </w:r>
    </w:p>
    <w:p>
      <w:pPr>
        <w:spacing w:before="0" w:after="80" w:lineRule="auto" w:line="276"/>
      </w:pPr>
      <w:r>
        <w:rPr>
          <w:b/>
        </w:rPr>
        <w:t xml:space="preserve">摘要（ZH）: </w:t>
      </w:r>
      <w:r>
        <w:t>研究表明，炎症应激会重新编程人类造血干细胞 (HSC) 的一个子集。这些炎症记忆 (HSC-iM) 细胞的分化程度降低，并将炎症相关基因程序传递给其免疫细胞后代。 HSC-iM 细胞随着年龄的增长而积累，在克隆性血液疾病中，与癌症相关的突变对 HSC-iM 细胞的影响比对其他 HSC 的影响更大。造血干细胞的一个子集将炎症程序传递给它们的免疫细胞后代。</w:t>
      </w:r>
    </w:p>
    <w:p>
      <w:pPr>
        <w:spacing w:before="0" w:after="200" w:lineRule="auto" w:line="276"/>
      </w:pPr>
      <w:r>
        <w:rPr>
          <w:b/>
        </w:rPr>
        <w:t xml:space="preserve">Abstract (EN): </w:t>
      </w:r>
      <w:r>
        <w:t>Inflammatory stress is shown to reprogram a subset of human haematopoietic stem cells (HSCs). These inflammatory memory (HSC-iM) cells have reduced differentiation and pass on inflammation-related gene programs to their immune-cell progeny. HSC-iM cells accumulate with age, and cancer-associated mutations affect HSC-iM cells more than they do other HSCs in clonal blood disorders. A subset of haematopoietic stem cells pass on an inflammatory program to their immune-cell progeny.</w:t>
      </w:r>
    </w:p>
    <w:p>
      <w:pPr>
        <w:spacing w:before="120" w:after="120"/>
      </w:pPr>
      <w:r>
        <w:rPr>
          <w:sz w:val="18"/>
        </w:rPr>
        <w:t>——————————————————————————————————————————————————————————————————————</w:t>
      </w:r>
    </w:p>
    <w:p>
      <w:pPr>
        <w:spacing w:before="160" w:after="40" w:line="240" w:lineRule="auto"/>
      </w:pPr>
      <w:r>
        <w:rPr>
          <w:b/>
        </w:rPr>
        <w:t xml:space="preserve">[335] </w:t>
      </w:r>
      <w:hyperlink r:id="rId884">
        <w:r>
          <w:rPr>
            <w:color w:val="1155CC"/>
            <w:u w:val="single"/>
          </w:rPr>
          <w:t>人工智能和简单的血液测试可以更早发现肺癌</w:t>
        </w:r>
      </w:hyperlink>
    </w:p>
    <w:p>
      <w:pPr>
        <w:spacing w:before="0" w:after="80"/>
      </w:pPr>
      <w:r>
        <w:rPr>
          <w:i/>
          <w:sz w:val="20"/>
        </w:rPr>
        <w:t>EN: AI and simple blood tests could catch lung cancer earlier</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85">
        <w:r>
          <w:rPr>
            <w:color w:val="1155CC"/>
            <w:u w:val="single"/>
          </w:rPr>
          <w:t>10.1038/d41586-026-01456-1</w:t>
        </w:r>
      </w:hyperlink>
    </w:p>
    <w:p>
      <w:pPr>
        <w:spacing w:before="0" w:after="120"/>
      </w:pPr>
      <w:r>
        <w:rPr>
          <w:b/>
        </w:rPr>
        <w:t xml:space="preserve">Notes: </w:t>
      </w:r>
      <w:r>
        <w:t>abstract_source=nature_html</w:t>
      </w:r>
    </w:p>
    <w:p>
      <w:pPr>
        <w:spacing w:before="0" w:after="80" w:lineRule="auto" w:line="276"/>
      </w:pPr>
      <w:r>
        <w:rPr>
          <w:b/>
        </w:rPr>
        <w:t xml:space="preserve">摘要（ZH）: </w:t>
      </w:r>
      <w:r>
        <w:t>目前，在美国，许多可以从中受益的人还无法进行肺癌筛查。但新的工具和数据很快就会扩大测试的范围。目前，在美国，许多可以从中受益的人还无法进行肺癌筛查。但新的工具和数据很快就会扩大测试的范围。</w:t>
      </w:r>
    </w:p>
    <w:p>
      <w:pPr>
        <w:spacing w:before="0" w:after="200" w:lineRule="auto" w:line="276"/>
      </w:pPr>
      <w:r>
        <w:rPr>
          <w:b/>
        </w:rPr>
        <w:t xml:space="preserve">Abstract (EN): </w:t>
      </w:r>
      <w:r>
        <w:t>Lung cancer screening is not currently available to a lot of people in the United States who could benefit from it. But new tools and data could soon broaden the tests’ reach. Lung cancer screening is not currently available to a lot of people in the United States who could benefit from it. But new tools and data could soon broaden the tests’ reach.</w:t>
      </w:r>
    </w:p>
    <w:p>
      <w:pPr>
        <w:spacing w:before="120" w:after="120"/>
      </w:pPr>
      <w:r>
        <w:rPr>
          <w:sz w:val="18"/>
        </w:rPr>
        <w:t>——————————————————————————————————————————————————————————————————————</w:t>
      </w:r>
    </w:p>
    <w:p>
      <w:pPr>
        <w:spacing w:before="160" w:after="40" w:line="240" w:lineRule="auto"/>
      </w:pPr>
      <w:r>
        <w:rPr>
          <w:b/>
        </w:rPr>
        <w:t xml:space="preserve">[336] </w:t>
      </w:r>
      <w:hyperlink r:id="rId886">
        <w:r>
          <w:rPr>
            <w:color w:val="1155CC"/>
            <w:u w:val="single"/>
          </w:rPr>
          <w:t>增强免疫力的药物正在降低肺癌的致命性</w:t>
        </w:r>
      </w:hyperlink>
    </w:p>
    <w:p>
      <w:pPr>
        <w:spacing w:before="0" w:after="80"/>
      </w:pPr>
      <w:r>
        <w:rPr>
          <w:i/>
          <w:sz w:val="20"/>
        </w:rPr>
        <w:t>EN: Drugs that boost immunity are making lung cancer less deadly</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87">
        <w:r>
          <w:rPr>
            <w:color w:val="1155CC"/>
            <w:u w:val="single"/>
          </w:rPr>
          <w:t>10.1038/d41586-026-01455-2</w:t>
        </w:r>
      </w:hyperlink>
    </w:p>
    <w:p>
      <w:pPr>
        <w:spacing w:before="0" w:after="120"/>
      </w:pPr>
      <w:r>
        <w:rPr>
          <w:b/>
        </w:rPr>
        <w:t xml:space="preserve">Notes: </w:t>
      </w:r>
      <w:r>
        <w:t>abstract_source=nature_html</w:t>
      </w:r>
    </w:p>
    <w:p>
      <w:pPr>
        <w:spacing w:before="0" w:after="80" w:lineRule="auto" w:line="276"/>
      </w:pPr>
      <w:r>
        <w:rPr>
          <w:b/>
        </w:rPr>
        <w:t xml:space="preserve">摘要（ZH）: </w:t>
      </w:r>
      <w:r>
        <w:t>创新药物可以延长生命，实验性疫苗甚至可以彻底预防这种疾病。创新药物可以延长生命，实验性疫苗甚至可以彻底预防这种疾病。</w:t>
      </w:r>
    </w:p>
    <w:p>
      <w:pPr>
        <w:spacing w:before="0" w:after="200" w:lineRule="auto" w:line="276"/>
      </w:pPr>
      <w:r>
        <w:rPr>
          <w:b/>
        </w:rPr>
        <w:t xml:space="preserve">Abstract (EN): </w:t>
      </w:r>
      <w:r>
        <w:t>Innovative drugs can extend life and an experimental vaccine might even prevent the disease outright. Innovative drugs can extend life and an experimental vaccine might even prevent the disease outright.</w:t>
      </w:r>
    </w:p>
    <w:p>
      <w:pPr>
        <w:spacing w:before="120" w:after="120"/>
      </w:pPr>
      <w:r>
        <w:rPr>
          <w:sz w:val="18"/>
        </w:rPr>
        <w:t>——————————————————————————————————————————————————————————————————————</w:t>
      </w:r>
    </w:p>
    <w:p>
      <w:pPr>
        <w:spacing w:before="160" w:after="40" w:line="240" w:lineRule="auto"/>
      </w:pPr>
      <w:r>
        <w:rPr>
          <w:b/>
        </w:rPr>
        <w:t xml:space="preserve">[337] </w:t>
      </w:r>
      <w:hyperlink r:id="rId888">
        <w:r>
          <w:rPr>
            <w:color w:val="1155CC"/>
            <w:u w:val="single"/>
          </w:rPr>
          <w:t>卷状晶体管：由柔性薄膜堆叠构建的 3D 电路</w:t>
        </w:r>
      </w:hyperlink>
    </w:p>
    <w:p>
      <w:pPr>
        <w:spacing w:before="0" w:after="80"/>
      </w:pPr>
      <w:r>
        <w:rPr>
          <w:i/>
          <w:sz w:val="20"/>
        </w:rPr>
        <w:t>EN: Transistors on a roll: 3D circuits built from stacks of flexible membranes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89">
        <w:r>
          <w:rPr>
            <w:color w:val="1155CC"/>
            <w:u w:val="single"/>
          </w:rPr>
          <w:t>10.1038/d41586-026-01413-y</w:t>
        </w:r>
      </w:hyperlink>
    </w:p>
    <w:p>
      <w:pPr>
        <w:spacing w:before="0" w:after="120"/>
      </w:pPr>
      <w:r>
        <w:rPr>
          <w:b/>
        </w:rPr>
        <w:t xml:space="preserve">Notes: </w:t>
      </w:r>
      <w:r>
        <w:t>abstract_source=nature_html</w:t>
      </w:r>
    </w:p>
    <w:p>
      <w:pPr>
        <w:spacing w:before="0" w:after="80" w:lineRule="auto" w:line="276"/>
      </w:pPr>
      <w:r>
        <w:rPr>
          <w:b/>
        </w:rPr>
        <w:t xml:space="preserve">摘要（ZH）: </w:t>
      </w:r>
      <w:r>
        <w:t>由可以卷到基板上的纳米膜制成的晶体管堆栈已用于制造 3D 电路。由可以卷到基板上的纳米膜制成的晶体管堆栈已用于制造 3D 电路。</w:t>
      </w:r>
    </w:p>
    <w:p>
      <w:pPr>
        <w:spacing w:before="0" w:after="200" w:lineRule="auto" w:line="276"/>
      </w:pPr>
      <w:r>
        <w:rPr>
          <w:b/>
        </w:rPr>
        <w:t xml:space="preserve">Abstract (EN): </w:t>
      </w:r>
      <w:r>
        <w:t>Stacks of transistors built from nanomembranes that can be rolled onto a substrate have been used to fabricate 3D circuits. Stacks of transistors built from nanomembranes that can be rolled onto a substrate have been used to fabricate 3D circuits.</w:t>
      </w:r>
    </w:p>
    <w:p>
      <w:pPr>
        <w:spacing w:before="120" w:after="120"/>
      </w:pPr>
      <w:r>
        <w:rPr>
          <w:sz w:val="18"/>
        </w:rPr>
        <w:t>——————————————————————————————————————————————————————————————————————</w:t>
      </w:r>
    </w:p>
    <w:p>
      <w:pPr>
        <w:spacing w:before="160" w:after="40" w:line="240" w:lineRule="auto"/>
      </w:pPr>
      <w:r>
        <w:rPr>
          <w:b/>
        </w:rPr>
        <w:t xml:space="preserve">[338] </w:t>
      </w:r>
      <w:hyperlink r:id="rId890">
        <w:r>
          <w:rPr>
            <w:color w:val="1155CC"/>
            <w:u w:val="single"/>
          </w:rPr>
          <w:t>我们对一个定制的人工智能诗歌实验室进行了振动编码。您也可以这样做。</w:t>
        </w:r>
      </w:hyperlink>
    </w:p>
    <w:p>
      <w:pPr>
        <w:spacing w:before="0" w:after="80"/>
      </w:pPr>
      <w:r>
        <w:rPr>
          <w:i/>
          <w:sz w:val="20"/>
        </w:rPr>
        <w:t>EN: We vibe-coded a custom AI poetry lab. Here’s how you can, too.</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91">
        <w:r>
          <w:rPr>
            <w:color w:val="1155CC"/>
            <w:u w:val="single"/>
          </w:rPr>
          <w:t>10.1038/d41586-026-01106-6</w:t>
        </w:r>
      </w:hyperlink>
    </w:p>
    <w:p>
      <w:pPr>
        <w:spacing w:before="0" w:after="120"/>
      </w:pPr>
      <w:r>
        <w:rPr>
          <w:b/>
        </w:rPr>
        <w:t xml:space="preserve">Notes: </w:t>
      </w:r>
      <w:r>
        <w:t>abstract_source=nature_html</w:t>
      </w:r>
    </w:p>
    <w:p>
      <w:pPr>
        <w:spacing w:before="0" w:after="80" w:lineRule="auto" w:line="276"/>
      </w:pPr>
      <w:r>
        <w:rPr>
          <w:b/>
        </w:rPr>
        <w:t xml:space="preserve">摘要（ZH）: </w:t>
      </w:r>
      <w:r>
        <w:t>三位编码经验有限的人文学者在几天之内就创建了一个人工智能研究平台。以下是他们建造的东西、学到的东西以及需要注意的事项。三位编码经验有限的人文学者在几天之内就创建了一个人工智能研究平台。以下是他们建造的东西、学到的东西以及需要注意的事项。</w:t>
      </w:r>
    </w:p>
    <w:p>
      <w:pPr>
        <w:spacing w:before="0" w:after="200" w:lineRule="auto" w:line="276"/>
      </w:pPr>
      <w:r>
        <w:rPr>
          <w:b/>
        </w:rPr>
        <w:t xml:space="preserve">Abstract (EN): </w:t>
      </w:r>
      <w:r>
        <w:t>Three humanities scholars with limited coding experience created an AI research platform in a matter of days. Here is what they built, what they learnt and what to watch out for. Three humanities scholars with limited coding experience created an AI research platform in a matter of days. Here is what they built, what they learnt and what to watch out for.</w:t>
      </w:r>
    </w:p>
    <w:p>
      <w:pPr>
        <w:spacing w:before="120" w:after="120"/>
      </w:pPr>
      <w:r>
        <w:rPr>
          <w:sz w:val="18"/>
        </w:rPr>
        <w:t>——————————————————————————————————————————————————————————————————————</w:t>
      </w:r>
    </w:p>
    <w:p>
      <w:pPr>
        <w:spacing w:before="160" w:after="40" w:line="240" w:lineRule="auto"/>
      </w:pPr>
      <w:r>
        <w:rPr>
          <w:b/>
        </w:rPr>
        <w:t xml:space="preserve">[339] </w:t>
      </w:r>
      <w:hyperlink r:id="rId892">
        <w:r>
          <w:rPr>
            <w:color w:val="1155CC"/>
            <w:u w:val="single"/>
          </w:rPr>
          <w:t>重新设计的算法消除了社交媒体源的毒害</w:t>
        </w:r>
      </w:hyperlink>
    </w:p>
    <w:p>
      <w:pPr>
        <w:spacing w:before="0" w:after="80"/>
      </w:pPr>
      <w:r>
        <w:rPr>
          <w:i/>
          <w:sz w:val="20"/>
        </w:rPr>
        <w:t>EN: Social‑media feeds are detoxified by a redesigned algorithm</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93">
        <w:r>
          <w:rPr>
            <w:color w:val="1155CC"/>
            <w:u w:val="single"/>
          </w:rPr>
          <w:t>10.1038/d41586-026-01636-z</w:t>
        </w:r>
      </w:hyperlink>
    </w:p>
    <w:p>
      <w:pPr>
        <w:spacing w:before="0" w:after="120"/>
      </w:pPr>
      <w:r>
        <w:rPr>
          <w:b/>
        </w:rPr>
        <w:t xml:space="preserve">Notes: </w:t>
      </w:r>
      <w:r>
        <w:t>abstract_source=nature_html</w:t>
      </w:r>
    </w:p>
    <w:p>
      <w:pPr>
        <w:spacing w:before="0" w:after="80" w:lineRule="auto" w:line="276"/>
      </w:pPr>
      <w:r>
        <w:rPr>
          <w:b/>
        </w:rPr>
        <w:t xml:space="preserve">摘要（ZH）: </w:t>
      </w:r>
      <w:r>
        <w:t>一项大规模实验测试了改变 Bluesky Feed 排名算法对 2024 年美国总统大选期间政治内容和看法的影响。通过使信息流更能代表用户，“多元化极端”算法减少了两极分化内容的暴露，并使对社会规范的看法更加准确，而不会降低用户的享受。与当前基于参与的模型相比，逆时间顺序和“多样化的极端”提要产生的不文明内容更少。</w:t>
      </w:r>
    </w:p>
    <w:p>
      <w:pPr>
        <w:spacing w:before="0" w:after="200" w:lineRule="auto" w:line="276"/>
      </w:pPr>
      <w:r>
        <w:rPr>
          <w:b/>
        </w:rPr>
        <w:t xml:space="preserve">Abstract (EN): </w:t>
      </w:r>
      <w:r>
        <w:t>A large-scale experiment tested the impact of changing the Bluesky feed-ranking algorithm on political content and perceptions during the 2024 US presidential election. By making feeds more representative of users, the ‘diversified extremity’ algorithm reduced exposure to polarizing content and made perceptions of social norms more accurate, without reducing user enjoyment. Reverse-chronological and ‘diversified extremity’ feeds result in less uncivil content than the current engagement-based model.</w:t>
      </w:r>
    </w:p>
    <w:p>
      <w:pPr>
        <w:spacing w:before="120" w:after="120"/>
      </w:pPr>
      <w:r>
        <w:rPr>
          <w:sz w:val="18"/>
        </w:rPr>
        <w:t>——————————————————————————————————————————————————————————————————————</w:t>
      </w:r>
    </w:p>
    <w:p>
      <w:pPr>
        <w:spacing w:before="160" w:after="40" w:line="240" w:lineRule="auto"/>
      </w:pPr>
      <w:r>
        <w:rPr>
          <w:b/>
        </w:rPr>
        <w:t xml:space="preserve">[340] </w:t>
      </w:r>
      <w:hyperlink r:id="rId894">
        <w:r>
          <w:rPr>
            <w:color w:val="1155CC"/>
            <w:u w:val="single"/>
          </w:rPr>
          <w:t>单片三维集成硅晶体管</w:t>
        </w:r>
      </w:hyperlink>
    </w:p>
    <w:p>
      <w:pPr>
        <w:spacing w:before="0" w:after="80"/>
      </w:pPr>
      <w:r>
        <w:rPr>
          <w:i/>
          <w:sz w:val="20"/>
        </w:rPr>
        <w:t>EN: Monolithic three-dimensional integration of silicon transistors</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95">
        <w:r>
          <w:rPr>
            <w:color w:val="1155CC"/>
            <w:u w:val="single"/>
          </w:rPr>
          <w:t>10.1038/s41586-026-10496-6</w:t>
        </w:r>
      </w:hyperlink>
    </w:p>
    <w:p>
      <w:pPr>
        <w:spacing w:before="0" w:after="120"/>
      </w:pPr>
      <w:r>
        <w:rPr>
          <w:b/>
        </w:rPr>
        <w:t xml:space="preserve">Notes: </w:t>
      </w:r>
      <w:r>
        <w:t>abstract_source=nature_html</w:t>
      </w:r>
    </w:p>
    <w:p>
      <w:pPr>
        <w:spacing w:before="0" w:after="80" w:lineRule="auto" w:line="276"/>
      </w:pPr>
      <w:r>
        <w:rPr>
          <w:b/>
        </w:rPr>
        <w:t xml:space="preserve">摘要（ZH）: </w:t>
      </w:r>
      <w:r>
        <w:t>单片三维 (3D) 集成电路在封装密度、能耗和互连带宽方面具有优势，但需要在与后端集成兼容的有限热预算的约束下在顶层形成高性能半导体和晶体管1,2。后端兼容晶体管是基于激光退火多晶硅、金属氧化物半导体、碳纳米管和二维硫属化物3、4、5 构建的。然而，它们的性能和可靠性远不如底层硅金属氧化物半导体场效应晶体管，这掩盖了单片 3D 集成提供的大部分改进。在这里，我们展示了均匀掺杂的超薄（≤10 nm）单晶硅纳米膜可以使用辊转印工艺垂直堆叠，该工艺可扩展到晶圆级并容忍衬底拓扑和表面粗糙度，从而能够在加工温度≤400°C的情况下在同一起始衬底上顺序制造多层互补无结晶体管。这些器件的性能接近前端硅金属氧化物半导体场效应晶体管，电流密度高于 650 µA µm−1，并具有亚 10 nm 层间配准，可实现高密度垂直集成。我们基于晶体管级粒度的三层集成垂直构建逻辑门，包括反相器、NAND、NOR 门和静态随机存取存储器单元。我们的演示提供了希望</w:t>
      </w:r>
    </w:p>
    <w:p>
      <w:pPr>
        <w:spacing w:before="0" w:after="200" w:lineRule="auto" w:line="276"/>
      </w:pPr>
      <w:r>
        <w:rPr>
          <w:b/>
        </w:rPr>
        <w:t xml:space="preserve">Abstract (EN): </w:t>
      </w:r>
      <w:r>
        <w:t>Monolithic, three-dimensional (3D) integrated circuits promise advantages in packing density, energy consumption and interconnectivity bandwidth but require forming high-performance semiconductors and transistors on top tiers under the constraint of a limited thermal budget compatible with back-end-of-line integration1,2. Back-end-of-line-compatible transistors have been built on laser-annealed polycrystalline silicon, metal-oxide semiconductors, carbon nanotubes and two-dimensional chalcogenides3,4,5. However, their performance and reliability are much inferior to bottom-tier silicon metal–oxide–semiconductor field-effect transistors, which mask most of the improvements offered by monolithic 3D integration. Here we show that uniformly doped, ultrathin (≤10 nm) single-crystalline silicon nanomembranes can be vertically stacked using a roll-transfer-printing process that is scalable to wafer-scale and tolerant to substrate topology and surface roughness, enabling multi-tiers of complementary junctionless transistors to be sequentially fabricated on the same starting substrate under a processing temperature ≤400 °C. These devices achieve performance approaching that of front-end-of-line silicon metal–oxide–semiconductor field-effect transistors with current density above 650 µA µm−1 and sub-10-nm inter-tier registration for high-density vertical integration. We vertically constructed logic gates, including inverters, NAND, NOR gates and static random-access memory cells, based on up to three-tier integration at transistor-level granularity. Our demonstrations provide a promising route towards silicon-based monolithic 3D circuits, especially for research and low-volume prototyping.</w:t>
      </w:r>
    </w:p>
    <w:p>
      <w:pPr>
        <w:spacing w:before="120" w:after="120"/>
      </w:pPr>
      <w:r>
        <w:rPr>
          <w:sz w:val="18"/>
        </w:rPr>
        <w:t>——————————————————————————————————————————————————————————————————————</w:t>
      </w:r>
    </w:p>
    <w:p>
      <w:pPr>
        <w:spacing w:before="160" w:after="40" w:line="240" w:lineRule="auto"/>
      </w:pPr>
      <w:r>
        <w:rPr>
          <w:b/>
        </w:rPr>
        <w:t xml:space="preserve">[341] </w:t>
      </w:r>
      <w:hyperlink r:id="rId896">
        <w:r>
          <w:rPr>
            <w:color w:val="1155CC"/>
            <w:u w:val="single"/>
          </w:rPr>
          <w:t>高红移处小红点的直接黑洞质量测量</w:t>
        </w:r>
      </w:hyperlink>
    </w:p>
    <w:p>
      <w:pPr>
        <w:spacing w:before="0" w:after="80"/>
      </w:pPr>
      <w:r>
        <w:rPr>
          <w:i/>
          <w:sz w:val="20"/>
        </w:rPr>
        <w:t>EN: A direct black-hole mass measurement in a little red dot at high redshift</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897">
        <w:r>
          <w:rPr>
            <w:color w:val="1155CC"/>
            <w:u w:val="single"/>
          </w:rPr>
          <w:t>10.1038/s41586-026-10579-4</w:t>
        </w:r>
      </w:hyperlink>
    </w:p>
    <w:p>
      <w:pPr>
        <w:spacing w:before="0" w:after="120"/>
      </w:pPr>
      <w:r>
        <w:rPr>
          <w:b/>
        </w:rPr>
        <w:t xml:space="preserve">Notes: </w:t>
      </w:r>
      <w:r>
        <w:t>abstract_source=nature_html</w:t>
      </w:r>
    </w:p>
    <w:p>
      <w:pPr>
        <w:spacing w:before="0" w:after="80" w:lineRule="auto" w:line="276"/>
      </w:pPr>
      <w:r>
        <w:rPr>
          <w:b/>
        </w:rPr>
        <w:t xml:space="preserve">摘要（ZH）: </w:t>
      </w:r>
      <w:r>
        <w:t>最近在红移边界发现的微弱活动星系核 (AGN) 揭示了大量具有光学红色连续体的宽 Hα 发射体，称为小红点 (LRD)1，占高红移宽线 AGN 群体的 15-30%2。由于 LRD 的特殊特性3、4、5、6，使用标准 AGN 场景对 LRD 进行建模已被证明具有挑战性。特别是，单历元维里质量估计在确定 LRD 黑洞质量方面的有效性受到质疑，一些模型声称质量可能被高估多达两个数量级7,8,9,10。在这里，我们报告了在红移为 7.04 的强透镜 LRD 中进行的直接动态黑洞质量测量。透镜效应与深光谱数据的结合揭示了一条与核星团不一致的旋转曲线，但可以通过围绕 5000 万太阳质量的点质量的开普勒旋转来很好地解释，这与维里黑洞质量估计一致。开普勒旋转为宿主星系中的任何恒星成分留下的空间很小，因为我们保守地推断 MBH/M⁎ &gt; 2（其中 MBH 是黑洞质量，M⁎ 是恒星质量）。这样一个“裸露”的黑洞，连同它近乎原始的环境，表明这个LRD是一个处于最早吸积阶段的巨大黑洞种子。</w:t>
      </w:r>
    </w:p>
    <w:p>
      <w:pPr>
        <w:spacing w:before="0" w:after="200" w:lineRule="auto" w:line="276"/>
      </w:pPr>
      <w:r>
        <w:rPr>
          <w:b/>
        </w:rPr>
        <w:t xml:space="preserve">Abstract (EN): </w:t>
      </w:r>
      <w:r>
        <w:t>Recent discoveries of faint active galactic nuclei (AGN) at the redshift frontier have revealed a plethora of broad Hα emitters with optically red continua, named little red dots (LRDs)1, which comprise 15–30% of the high-redshift broad-line AGN population2. Owing to their peculiar properties3,4,5,6, modelling LRDs with standard AGN scenarios has proven challenging. In particular, the validity of single-epoch virial mass estimates in determining the black-hole masses of LRDs has been called into question, with some models claiming that masses might be overestimated by up to two orders of magnitude7,8,9,10. Here we report a direct, dynamical black-hole mass measurement in a strongly lensed LRD at a redshift of 7.04. The combination of lensing with deep spectroscopic data reveals a rotation curve that is inconsistent with a nuclear star cluster, yet can be well explained by Keplerian rotation around a point mass of 50 million solar masses, consistent with virial black-hole mass estimates. The Keplerian rotation leaves little room for any stellar component in a host galaxy, as we conservatively infer MBH/M⁎ &gt; 2 (where MBH is the black-hole mass and M⁎ is the stellar mass). Such a ‘naked’ black hole, together with its near-pristine environment11, indicates that this LRD is a massive black-hole seed caught in its earliest accretion phase.</w:t>
      </w:r>
    </w:p>
    <w:p>
      <w:pPr>
        <w:spacing w:before="120" w:after="120"/>
      </w:pPr>
      <w:r>
        <w:rPr>
          <w:sz w:val="18"/>
        </w:rPr>
        <w:t>——————————————————————————————————————————————————————————————————————</w:t>
      </w:r>
    </w:p>
    <w:p>
      <w:pPr>
        <w:spacing w:before="160" w:after="40" w:line="240" w:lineRule="auto"/>
      </w:pPr>
      <w:r>
        <w:rPr>
          <w:b/>
        </w:rPr>
        <w:t xml:space="preserve">[342] </w:t>
      </w:r>
      <w:hyperlink r:id="rId898">
        <w:r>
          <w:rPr>
            <w:color w:val="1155CC"/>
            <w:u w:val="single"/>
          </w:rPr>
          <w:t>越小越强：褶皱二维高分子的拓扑承载</w:t>
        </w:r>
      </w:hyperlink>
    </w:p>
    <w:p>
      <w:pPr>
        <w:spacing w:before="0" w:after="80"/>
      </w:pPr>
      <w:r>
        <w:rPr>
          <w:i/>
          <w:sz w:val="20"/>
        </w:rPr>
        <w:t>EN: Smaller is Stronger: Topological Load-bearing of Crumpled 2D Macromolecule</w:t>
      </w:r>
    </w:p>
    <w:p>
      <w:pPr>
        <w:spacing w:before="0" w:after="120"/>
      </w:pPr>
      <w:r>
        <w:rPr>
          <w:b/>
        </w:rPr>
        <w:t xml:space="preserve">Source: </w:t>
      </w:r>
      <w:r>
        <w:t>National Science Review Advance Access</w:t>
      </w:r>
      <w:r>
        <w:t xml:space="preserve">    </w:t>
      </w:r>
      <w:r>
        <w:rPr>
          <w:b/>
        </w:rPr>
        <w:t xml:space="preserve">Pub date: </w:t>
      </w:r>
      <w:r>
        <w:t>2026-05-27 00:00:00+00:00</w:t>
      </w:r>
      <w:r>
        <w:t xml:space="preserve">    </w:t>
      </w:r>
      <w:r>
        <w:rPr>
          <w:b/>
        </w:rPr>
        <w:t xml:space="preserve">DOI: </w:t>
      </w:r>
      <w:hyperlink r:id="rId899">
        <w:r>
          <w:rPr>
            <w:color w:val="1155CC"/>
            <w:u w:val="single"/>
          </w:rPr>
          <w:t>10.1093/nsr/nwag305</w:t>
        </w:r>
      </w:hyperlink>
    </w:p>
    <w:p>
      <w:pPr>
        <w:spacing w:before="0" w:after="120"/>
      </w:pPr>
      <w:r>
        <w:rPr>
          <w:b/>
        </w:rPr>
        <w:t xml:space="preserve">Notes: </w:t>
      </w:r>
      <w:r>
        <w:t>abstract_source=rss_oup</w:t>
      </w:r>
    </w:p>
    <w:p>
      <w:pPr>
        <w:spacing w:before="0" w:after="80" w:lineRule="auto" w:line="276"/>
      </w:pPr>
      <w:r>
        <w:rPr>
          <w:b/>
        </w:rPr>
        <w:t xml:space="preserve">摘要（ZH）: </w:t>
      </w:r>
      <w:r>
        <w:t>二维 (2D) 大分子是原子级薄的材料，能够形成具有复杂拓扑的皱褶构型，定义了大分子力学的新范例。在这里，我们揭示了一种普遍的负尺寸效应，即较小的板材比较大的板材产生更强的承载能力。粗粒度分子动力学模拟表明，压缩压力或模量与 Föppl-von Kármán 数之间存在负比例关系，功率指数由起皱密度决定，但与材料类型无关。能量分析表明，较小的片材形成致密的脊网络，最大限度地减少自折叠，从而实现高效的载荷传递和能量吸收。在致密化过程中，1.5 的恒定脊与顶点增量比保留了小片材的优异脊密度。在纸张、铝箔、聚二甲基硅氧烷 (PDMS) 和硅橡胶上进行的实验证实了这种在不同长度尺度和不同材料类别中的行为。这项工作揭示了二维大分子​​中尺寸相关的褶皱的基本机制，并提供了设计具有可调承载特性的结构超材料的原理。</w:t>
      </w:r>
    </w:p>
    <w:p>
      <w:pPr>
        <w:spacing w:before="0" w:after="200" w:lineRule="auto" w:line="276"/>
      </w:pPr>
      <w:r>
        <w:rPr>
          <w:b/>
        </w:rPr>
        <w:t xml:space="preserve">Abstract (EN): </w:t>
      </w:r>
      <w:r>
        <w:t>Two-dimensional (2D) macromolecules are atomically thin materials capable of forming crumpled configurations with complex topologies, defining a new paradigm in macromolecular mechanics. Here, we unveil a universal negative size effect, where smaller sheets yield substantially stronger load-bearing capabilities than larger ones. Coarse-grained molecular dynamics simulations demonstrate a negative scaling between compression pressure or modulus and the Föppl-von Kármán number, with the power index determined by crumpling density but independent of material type. Energy analysis indicates that smaller sheets form dense ridge networks with minimizing self-folding, enabling efficient load transfer and energy absorption. During densification, a constant ridge-to-vertex increment ratio of 1.5 preserves the superior ridge density of small sheets. Experiments on paper, aluminum foil, polydimethylsiloxane (PDMS), and silicone rubber confirm this behavior across disparate length scales and across material classes. This work reveals the mechanics underlying size-dependent crumpling in 2D macromolecules and provides principles for designing structural metamaterials with tunable load-bearing characteristics.</w:t>
      </w:r>
    </w:p>
    <w:p>
      <w:pPr>
        <w:spacing w:before="120" w:after="120"/>
      </w:pPr>
      <w:r>
        <w:rPr>
          <w:sz w:val="18"/>
        </w:rPr>
        <w:t>——————————————————————————————————————————————————————————————————————</w:t>
      </w:r>
    </w:p>
    <w:p>
      <w:pPr>
        <w:spacing w:before="160" w:after="40" w:line="240" w:lineRule="auto"/>
      </w:pPr>
      <w:r>
        <w:rPr>
          <w:b/>
        </w:rPr>
        <w:t xml:space="preserve">[343] </w:t>
      </w:r>
      <w:hyperlink r:id="rId900">
        <w:r>
          <w:rPr>
            <w:color w:val="1155CC"/>
            <w:u w:val="single"/>
          </w:rPr>
          <w:t>Nature 正在将注册报告扩展到我们发表的所有领域</w:t>
        </w:r>
      </w:hyperlink>
    </w:p>
    <w:p>
      <w:pPr>
        <w:spacing w:before="0" w:after="80"/>
      </w:pPr>
      <w:r>
        <w:rPr>
          <w:i/>
          <w:sz w:val="20"/>
        </w:rPr>
        <w:t>EN: Nature is expanding Registered Reports to all the fields in which we publish</w:t>
      </w:r>
    </w:p>
    <w:p>
      <w:pPr>
        <w:spacing w:before="0" w:after="120"/>
      </w:pPr>
      <w:r>
        <w:rPr>
          <w:b/>
        </w:rPr>
        <w:t xml:space="preserve">Source: </w:t>
      </w:r>
      <w:r>
        <w:t>Nature</w:t>
      </w:r>
      <w:r>
        <w:t xml:space="preserve">    </w:t>
      </w:r>
      <w:r>
        <w:rPr>
          <w:b/>
        </w:rPr>
        <w:t xml:space="preserve">Pub date: </w:t>
      </w:r>
      <w:r>
        <w:t>2026-05-27 00:00:00+00:00</w:t>
      </w:r>
      <w:r>
        <w:t xml:space="preserve">    </w:t>
      </w:r>
      <w:r>
        <w:rPr>
          <w:b/>
        </w:rPr>
        <w:t xml:space="preserve">DOI: </w:t>
      </w:r>
      <w:hyperlink r:id="rId901">
        <w:r>
          <w:rPr>
            <w:color w:val="1155CC"/>
            <w:u w:val="single"/>
          </w:rPr>
          <w:t>10.1038/d41586-026-01629-y</w:t>
        </w:r>
      </w:hyperlink>
    </w:p>
    <w:p>
      <w:pPr>
        <w:spacing w:before="0" w:after="120"/>
      </w:pPr>
      <w:r>
        <w:rPr>
          <w:b/>
        </w:rPr>
        <w:t xml:space="preserve">Notes: </w:t>
      </w:r>
      <w:r>
        <w:t>abstract_source=nature_html</w:t>
      </w:r>
    </w:p>
    <w:p>
      <w:pPr>
        <w:spacing w:before="0" w:after="80" w:lineRule="auto" w:line="276"/>
      </w:pPr>
      <w:r>
        <w:rPr>
          <w:b/>
        </w:rPr>
        <w:t xml:space="preserve">摘要（ZH）: </w:t>
      </w:r>
      <w:r>
        <w:t>注册报告通过奖励重大问题、合理的方法和可靠的分析来提高科学主张的可信度。它们需要成为研究的标准工具。注册报告通过奖励重大问题、合理的方法和可靠的分析来提高科学主张的可信度。它们需要成为研究的标准工具。</w:t>
      </w:r>
    </w:p>
    <w:p>
      <w:pPr>
        <w:spacing w:before="0" w:after="200" w:lineRule="auto" w:line="276"/>
      </w:pPr>
      <w:r>
        <w:rPr>
          <w:b/>
        </w:rPr>
        <w:t xml:space="preserve">Abstract (EN): </w:t>
      </w:r>
      <w:r>
        <w:t>Registered Reports improve the credibility of scientific claims by rewarding big questions, sound methods and solid analyses. They need to become a standard tool in research. Registered Reports improve the credibility of scientific claims by rewarding big questions, sound methods and solid analyses. They need to become a standard tool in research.</w:t>
      </w:r>
    </w:p>
    <w:p>
      <w:pPr>
        <w:spacing w:before="120" w:after="120"/>
      </w:pPr>
      <w:r>
        <w:rPr>
          <w:sz w:val="18"/>
        </w:rPr>
        <w:t>——————————————————————————————————————————————————————————————————————</w:t>
      </w:r>
    </w:p>
    <w:p>
      <w:pPr>
        <w:spacing w:before="160" w:after="40" w:line="240" w:lineRule="auto"/>
      </w:pPr>
      <w:r>
        <w:rPr>
          <w:b/>
        </w:rPr>
        <w:t xml:space="preserve">[344] </w:t>
      </w:r>
      <w:hyperlink r:id="rId902">
        <w:r>
          <w:rPr>
            <w:color w:val="1155CC"/>
            <w:u w:val="single"/>
          </w:rPr>
          <w:t>揭示碳曲率对于改善高氯酸铵能量释放的作用（Adv. Mater. 30/2026）</w:t>
        </w:r>
      </w:hyperlink>
    </w:p>
    <w:p>
      <w:pPr>
        <w:spacing w:before="0" w:after="80"/>
      </w:pPr>
      <w:r>
        <w:rPr>
          <w:i/>
          <w:sz w:val="20"/>
        </w:rPr>
        <w:t>EN: Unveiling the Role of Curvature in Carbon for Improved Energy Release of Ammonium Perchlorate (Adv. Mater. 30/2026)</w:t>
      </w:r>
    </w:p>
    <w:p>
      <w:pPr>
        <w:spacing w:before="0" w:after="120"/>
      </w:pPr>
      <w:r>
        <w:rPr>
          <w:b/>
        </w:rPr>
        <w:t xml:space="preserve">Source: </w:t>
      </w:r>
      <w:r>
        <w:t>Wiley: Advanced Materials: Table of Contents</w:t>
      </w:r>
      <w:r>
        <w:t xml:space="preserve">    </w:t>
      </w:r>
      <w:r>
        <w:rPr>
          <w:b/>
        </w:rPr>
        <w:t xml:space="preserve">Pub date: </w:t>
      </w:r>
      <w:r>
        <w:t>2026-05-27 05:48:48+00:00</w:t>
      </w:r>
      <w:r>
        <w:t xml:space="preserve">    </w:t>
      </w:r>
      <w:r>
        <w:rPr>
          <w:b/>
        </w:rPr>
        <w:t xml:space="preserve">DOI: </w:t>
      </w:r>
      <w:hyperlink r:id="rId903">
        <w:r>
          <w:rPr>
            <w:color w:val="1155CC"/>
            <w:u w:val="single"/>
          </w:rPr>
          <w:t>10.1002/adma.73329</w:t>
        </w:r>
      </w:hyperlink>
    </w:p>
    <w:p>
      <w:pPr>
        <w:spacing w:before="0" w:after="120"/>
      </w:pPr>
      <w:r>
        <w:rPr>
          <w:b/>
        </w:rPr>
        <w:t xml:space="preserve">Notes: </w:t>
      </w:r>
      <w:r>
        <w:t>abstract_source=openalex</w:t>
      </w:r>
    </w:p>
    <w:p>
      <w:pPr>
        <w:spacing w:before="0" w:after="80" w:lineRule="auto" w:line="276"/>
      </w:pPr>
      <w:r>
        <w:rPr>
          <w:b/>
        </w:rPr>
        <w:t xml:space="preserve">摘要（ZH）: </w:t>
      </w:r>
      <w:r>
        <w:t>改进高氯酸铵的能量释放这项工作将碳曲率确立为高氯酸铵催化能量释放的关键但被忽视的描述符。将机器学习与 DFT 相结合表明，高曲率 CNT 优化了 p 带中心，从根本上增强了 HClO4 的吸附。这种曲率驱动机制能够增强能量释放，为先进的高能材料设计定义了几何电子活动框架。更多详细信息，请参阅 Wenming Yang、Xu Zhu、Zhijian Yang 及其同事的研究文章 (DOI: 10.1002/adma.202504755)。</w:t>
      </w:r>
    </w:p>
    <w:p>
      <w:pPr>
        <w:spacing w:before="0" w:after="200" w:lineRule="auto" w:line="276"/>
      </w:pPr>
      <w:r>
        <w:rPr>
          <w:b/>
        </w:rPr>
        <w:t xml:space="preserve">Abstract (EN): </w:t>
      </w:r>
      <w:r>
        <w:t>Improved Energy Release of Ammonium Perchlorate This work establishes carbon curvature as a pivotal yet overlooked descriptor for catalytic energy release of ammonium perchlorate. Integrating machine learning with DFT reveals that high-curvature CNTs optimize the p band center, fundamentally strengthening HClO4 adsorption. This curvature-driven mechanism enables enhanced energy release, defining a geometry electronic activity framework for advanced energetic materials design. More details can be found in the Research Article by Wenming Yang, Xu Zhao, Zhijian Yang, and co-workers (DOI: 10.1002/adma.202504755).</w:t>
      </w:r>
    </w:p>
    <w:p>
      <w:pPr>
        <w:spacing w:before="120" w:after="120"/>
      </w:pPr>
      <w:r>
        <w:rPr>
          <w:sz w:val="18"/>
        </w:rPr>
        <w:t>——————————————————————————————————————————————————————————————————————</w:t>
      </w:r>
    </w:p>
    <w:p>
      <w:pPr>
        <w:spacing w:before="160" w:after="40" w:line="240" w:lineRule="auto"/>
      </w:pPr>
      <w:r>
        <w:rPr>
          <w:b/>
        </w:rPr>
        <w:t xml:space="preserve">[345] </w:t>
      </w:r>
      <w:hyperlink r:id="rId904">
        <w:r>
          <w:rPr>
            <w:color w:val="1155CC"/>
            <w:u w:val="single"/>
          </w:rPr>
          <w:t>结构工程超软 PEDOT:PSS 纤维微电极，具有增强的神经接口电化学性能</w:t>
        </w:r>
      </w:hyperlink>
    </w:p>
    <w:p>
      <w:pPr>
        <w:spacing w:before="0" w:after="80"/>
      </w:pPr>
      <w:r>
        <w:rPr>
          <w:i/>
          <w:sz w:val="20"/>
        </w:rPr>
        <w:t>EN: Structurally engineered ultrasoft PEDOT:PSS fiber microelectrodes with enhanced electrochemical performance for neural interfaces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05">
        <w:r>
          <w:rPr>
            <w:color w:val="1155CC"/>
            <w:u w:val="single"/>
          </w:rPr>
          <w:t>10.1126/sciadv.aee2754</w:t>
        </w:r>
      </w:hyperlink>
    </w:p>
    <w:p>
      <w:pPr>
        <w:spacing w:before="0" w:after="120"/>
      </w:pPr>
      <w:r>
        <w:rPr>
          <w:b/>
        </w:rPr>
        <w:t xml:space="preserve">Notes: </w:t>
      </w:r>
      <w:r>
        <w:t>abstract_source=crossref</w:t>
      </w:r>
    </w:p>
    <w:p>
      <w:pPr>
        <w:spacing w:before="0" w:after="80" w:lineRule="auto" w:line="276"/>
      </w:pPr>
      <w:r>
        <w:rPr>
          <w:b/>
        </w:rPr>
        <w:t xml:space="preserve">摘要（ZH）: </w:t>
      </w:r>
      <w:r>
        <w:t>稳定可靠的神经接口对于慢性神经系统疾病的诊断和治疗至关重要。柔性神经探针对于此目的特别重要，因为它们可以最大限度地减少组织损伤和炎症反应，同时保持稳定的电极-组织耦合；然而，同时实现高电气性能和类组织力学仍然具有挑战性。在这里，我们提出了一种聚（3,4-乙撑二氧噻吩）聚苯乙烯磺酸盐（PEDOT:PSS）纤维微电极（PFME），这是一种全有机神经探针，能够记录单神经元活动，并具有长期连接的潜力。 PFME 完全由有机成分组成，无需热处理即可制造。此外，后处理工艺能够选择性地去除 PSS 粘合剂网络，同时促进 PEDOT 链排列，以优化机械顺应性和电化学性能。在体内，PFME 可实现小鼠海马体的稳定单单元记录。植入 1 周后的组织学分析显示，与传统探针引起的神经胶质激活相比，神经胶质激活程度最低。这种结构设计的 PFME 建立了一条实现慢性应用微创神经接口平台的途径。</w:t>
      </w:r>
    </w:p>
    <w:p>
      <w:pPr>
        <w:spacing w:before="0" w:after="200" w:lineRule="auto" w:line="276"/>
      </w:pPr>
      <w:r>
        <w:rPr>
          <w:b/>
        </w:rPr>
        <w:t xml:space="preserve">Abstract (EN): </w:t>
      </w:r>
      <w:r>
        <w:t>Stable and reliable neural interfacing is essential for the diagnosis and treatment of chronic neurological disorders. Flexible neural probes are particularly important for this purpose, as they minimize tissue damage and inflammatory responses while maintaining stable electrode-tissue coupling; however, achieving both high electrical performance and tissue-like mechanics remains challenging. Here, we present a poly(3,4-ethylenedioxythiophene) polystyrene sulfonate (PEDOT:PSS) fiber microelectrode (PFME), an all-organic neural probe capable of recording single-neuron activities with potential for long-term interfacing. The PFME is entirely composed of organic components and fabricated without thermal processing. In addition, the posttreatment process enables to selectively remove PSS binder networks while promoting PEDOT chain alignment to optimize mechanical compliance and electrochemical performance. In vivo, the PFME enables stable single-unit recordings from the mouse hippocampus. Histological analysis after 1 week of implantation reveals minimal glial activation comparable to that elicited by a conventional probe. This structurally engineered PFME establishes a pathway to achieve minimally invasive neural interfacing platforms for chronic applications.</w:t>
      </w:r>
    </w:p>
    <w:p>
      <w:pPr>
        <w:spacing w:before="120" w:after="120"/>
      </w:pPr>
      <w:r>
        <w:rPr>
          <w:sz w:val="18"/>
        </w:rPr>
        <w:t>——————————————————————————————————————————————————————————————————————</w:t>
      </w:r>
    </w:p>
    <w:p>
      <w:pPr>
        <w:spacing w:before="160" w:after="40" w:line="240" w:lineRule="auto"/>
      </w:pPr>
      <w:r>
        <w:rPr>
          <w:b/>
        </w:rPr>
        <w:t xml:space="preserve">[346] </w:t>
      </w:r>
      <w:hyperlink r:id="rId906">
        <w:r>
          <w:rPr>
            <w:color w:val="1155CC"/>
            <w:u w:val="single"/>
          </w:rPr>
          <w:t>用于智能早期火灾探测的集成无线深紫外传感系统</w:t>
        </w:r>
      </w:hyperlink>
    </w:p>
    <w:p>
      <w:pPr>
        <w:spacing w:before="0" w:after="80"/>
      </w:pPr>
      <w:r>
        <w:rPr>
          <w:i/>
          <w:sz w:val="20"/>
        </w:rPr>
        <w:t>EN: An integrated wireless deep-UV sensing system for intelligent early fire detection</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07">
        <w:r>
          <w:rPr>
            <w:color w:val="1155CC"/>
            <w:u w:val="single"/>
          </w:rPr>
          <w:t>10.1126/sciadv.aef4143</w:t>
        </w:r>
      </w:hyperlink>
    </w:p>
    <w:p>
      <w:pPr>
        <w:spacing w:before="0" w:after="120"/>
      </w:pPr>
      <w:r>
        <w:rPr>
          <w:b/>
        </w:rPr>
        <w:t xml:space="preserve">Notes: </w:t>
      </w:r>
      <w:r>
        <w:t>abstract_source=crossref</w:t>
      </w:r>
    </w:p>
    <w:p>
      <w:pPr>
        <w:spacing w:before="0" w:after="80" w:lineRule="auto" w:line="276"/>
      </w:pPr>
      <w:r>
        <w:rPr>
          <w:b/>
        </w:rPr>
        <w:t xml:space="preserve">摘要（ZH）: </w:t>
      </w:r>
      <w:r>
        <w:t>从荒地到工业设施，失控的火灾已成为紧迫的全球威胁，造成广泛的生态破坏、生命损失和经济破坏。根本挑战是在点火阶段缺乏快速可靠的检测。一旦火势蔓延，扑救就会变得越来越困难，损害也会升级。烟雾探测器和热成像等传统方法不足以应对野火和大规模火灾场景。有效的系统需要准确检测、无误激活、在各种恶劣环境下稳定的性能，以及低功耗或零偏置光电检测，以便在远程位置连续使用。在这里，我们报告了一种无线、灵活的深紫外线 (DUV) 传感平台，该平台可以在单个集成单元中满足这些要求。该平台结合了氧化锌锡纳米复合光电探测器、柔性电路集成、便携式电源和蓝牙通信。该传感器具有选择性日盲 DUV 响应、在机械应力和长时间循环下稳定运行（100 次弯曲循环后保持率为 92.5%，180 天后保持率为 96.7%），以及与自主部署兼容的节能性能。响应曲线的数据驱动分析允许机器学习模型对火焰类型进行分类并估计距离，通过提供有关火焰类型和相对距离的附加信息，将系统扩展到二元火灾检测之外。这种综合方法为可靠的火灾监测提供了一条实用途径，与早期火灾监测工作相关。</w:t>
      </w:r>
    </w:p>
    <w:p>
      <w:pPr>
        <w:spacing w:before="0" w:after="200" w:lineRule="auto" w:line="276"/>
      </w:pPr>
      <w:r>
        <w:rPr>
          <w:b/>
        </w:rPr>
        <w:t xml:space="preserve">Abstract (EN): </w:t>
      </w:r>
      <w:r>
        <w:t>Uncontrolled fires, from wildlands to industrial facilities, have become a pressing global threat, causing widespread ecological damage, loss of life, and economic disruption. The fundamental challenge is the lack of rapid and reliable detection at the ignition stage. Once flames spread, suppression becomes increasingly difficult and damage escalates. Conventional methods such as smoke detectors and thermal imaging fall short for wildfire and large-scale fire scenarios. Effective systems require accurate detection without false activation, stable performance under varied and harsh environments, and low power or zero-bias photodetection for continuous use in remote locations. Here, we report a wireless and flexible deep-ultraviolet (DUV) sensing platform that addresses these requirements in a single integrated unit. The platform combines a zinc tin oxide nanocomposite photodetector, flexible circuit integration, portable power, and Bluetooth communication. The sensor shows a selective solar-blind DUV response, stable operation under mechanical stress and extended cycling (92.5% retention after 100 bending cycles and 96.7% after 180 days), and energy-efficient performance compatible with autonomous deployment. Data-driven analysis of response curves allows for machine learning models that classify flame types and estimate distance, extending the system beyond binary fire detection by providing additional information on flame type and relative distance. This integrated approach provides a practical route to reliable fire monitoring, relevant to early-stage fire monitoring concepts for wildfire and industrial safety applications.</w:t>
      </w:r>
    </w:p>
    <w:p>
      <w:pPr>
        <w:spacing w:before="120" w:after="120"/>
      </w:pPr>
      <w:r>
        <w:rPr>
          <w:sz w:val="18"/>
        </w:rPr>
        <w:t>——————————————————————————————————————————————————————————————————————</w:t>
      </w:r>
    </w:p>
    <w:p>
      <w:pPr>
        <w:spacing w:before="160" w:after="40" w:line="240" w:lineRule="auto"/>
      </w:pPr>
      <w:r>
        <w:rPr>
          <w:b/>
        </w:rPr>
        <w:t xml:space="preserve">[347] </w:t>
      </w:r>
      <w:hyperlink r:id="rId908">
        <w:r>
          <w:rPr>
            <w:color w:val="1155CC"/>
            <w:u w:val="single"/>
          </w:rPr>
          <w:t>受犰狳启发的软机器主动变形骨骼</w:t>
        </w:r>
      </w:hyperlink>
    </w:p>
    <w:p>
      <w:pPr>
        <w:spacing w:before="0" w:after="80"/>
      </w:pPr>
      <w:r>
        <w:rPr>
          <w:i/>
          <w:sz w:val="20"/>
        </w:rPr>
        <w:t>EN: Armadillo-inspired active morphing skeletons for soft machines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09">
        <w:r>
          <w:rPr>
            <w:color w:val="1155CC"/>
            <w:u w:val="single"/>
          </w:rPr>
          <w:t>10.1126/sciadv.aed2516</w:t>
        </w:r>
      </w:hyperlink>
    </w:p>
    <w:p>
      <w:pPr>
        <w:spacing w:before="0" w:after="120"/>
      </w:pPr>
      <w:r>
        <w:rPr>
          <w:b/>
        </w:rPr>
        <w:t xml:space="preserve">Notes: </w:t>
      </w:r>
      <w:r>
        <w:t>abstract_source=crossref</w:t>
      </w:r>
    </w:p>
    <w:p>
      <w:pPr>
        <w:spacing w:before="0" w:after="80" w:lineRule="auto" w:line="276"/>
      </w:pPr>
      <w:r>
        <w:rPr>
          <w:b/>
        </w:rPr>
        <w:t xml:space="preserve">摘要（ZH）: </w:t>
      </w:r>
      <w:r>
        <w:t>犰狳可以快速将其身体重新配置为刚性、封闭的球体，以主动响应外部威胁，将自适应形状变化与强大的机械保护相结合，这在工程系统中很少实现。这种快速重新配置是通过实时传感和肌肉激活来实现的，而外骨骼和内骨骼的协同协调提供了结构刚度和抗冲击性。受这种自然策略的启发，我们提出了一种称为形态互锁保护模块（MIPM）的主动变形骨架。该架构将曲率一致的分段外骨骼与受脊柱启发的互锁内骨骼框架集成在一起，形成协调的承重骨架。肌肉状液晶弹性体复合层驱动结构转变，而嵌入式传感层检测外部威胁并自动触发局部焦耳加热以驱动液晶弹性体层。这使得多模态变形行为成为可能，例如卷曲、滚动和抓握，而不会影响结构完整性。 MIPM 可承受冲击、穿刺和集中负载，同时在恶劣条件下承载和保护易碎的有效负载。集成蓝牙模块有利于无线、不受限制的操作，从而扩大了其对危险或难以进入的环境的适用性。通过在统一的内外骨骼框架内结合自适应形态、实时感觉反馈和按需机械硬化，这项工作提出了一种先前未识别的</w:t>
      </w:r>
    </w:p>
    <w:p>
      <w:pPr>
        <w:spacing w:before="0" w:after="200" w:lineRule="auto" w:line="276"/>
      </w:pPr>
      <w:r>
        <w:rPr>
          <w:b/>
        </w:rPr>
        <w:t xml:space="preserve">Abstract (EN): </w:t>
      </w:r>
      <w:r>
        <w:t>Armadillos can rapidly reconfigure their body into a rigid, enclosed sphere in active response to external threats, combining adaptive shape change with robust mechanical protection, which is rarely achieved in engineered systems. This rapid reconfiguration is achieved through real-time sensing and muscle activation, while the synergistic coordination of the exoskeleton and endoskeleton provides structural stiffness and impact resistance. Inspired by this natural strategy, we present an active morphing skeleton called morpho-interlocking protective module (MIPM). The architecture integrates curvature-conforming segmented exoskeleton with a spine-inspired interlocking endoskeleton framework, forming a coordinated load-bearing skeleton. A muscle-like liquid crystal elastomer composite layer drives structural transformation, while an embedded sensing layer detects external threats and autonomously triggers localized Joule heating for actuation of the liquid crystal elastomer layer. This enables multimodal morphing behaviors such as curling, rolling, and grasping, without compromising the structural integrity. The MIPM withstands impact, puncture, and concentrated loading while carrying and protecting fragile payloads in harsh conditions. An integrated Bluetooth module facilitates wireless, untethered operation, broadening its applicability to hazardous or inaccessible environments. By combining adaptive morphology, real-time sensory feedback, and on-demand mechanical stiffening within a unified internal-external skeletal framework, this work presents a previously unidentified paradigm for concurrent morphing and protection, with broad applicability across adaptive systems ranging from soft robotics to next-generation flexible electronics.</w:t>
      </w:r>
    </w:p>
    <w:p>
      <w:pPr>
        <w:spacing w:before="120" w:after="120"/>
      </w:pPr>
      <w:r>
        <w:rPr>
          <w:sz w:val="18"/>
        </w:rPr>
        <w:t>——————————————————————————————————————————————————————————————————————</w:t>
      </w:r>
    </w:p>
    <w:p>
      <w:pPr>
        <w:spacing w:before="160" w:after="40" w:line="240" w:lineRule="auto"/>
      </w:pPr>
      <w:r>
        <w:rPr>
          <w:b/>
        </w:rPr>
        <w:t xml:space="preserve">[348] </w:t>
      </w:r>
      <w:hyperlink r:id="rId910">
        <w:r>
          <w:rPr>
            <w:color w:val="1155CC"/>
            <w:u w:val="single"/>
          </w:rPr>
          <w:t>TPM1驱动色素性视网膜炎中的细胞骨架-免疫代谢耦合和LGALS9/CD45介导的神经炎症传播</w:t>
        </w:r>
      </w:hyperlink>
    </w:p>
    <w:p>
      <w:pPr>
        <w:spacing w:before="0" w:after="80"/>
      </w:pPr>
      <w:r>
        <w:rPr>
          <w:i/>
          <w:sz w:val="20"/>
        </w:rPr>
        <w:t>EN: TPM1 drives cytoskeleton-immunometabolism coupling and LGALS9/CD45-mediated neuroinflammatory propagation in retinitis pigmentosa</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11">
        <w:r>
          <w:rPr>
            <w:color w:val="1155CC"/>
            <w:u w:val="single"/>
          </w:rPr>
          <w:t>10.1126/sciadv.aea6467</w:t>
        </w:r>
      </w:hyperlink>
    </w:p>
    <w:p>
      <w:pPr>
        <w:spacing w:before="0" w:after="120"/>
      </w:pPr>
      <w:r>
        <w:rPr>
          <w:b/>
        </w:rPr>
        <w:t xml:space="preserve">Notes: </w:t>
      </w:r>
      <w:r>
        <w:t>abstract_source=crossref</w:t>
      </w:r>
    </w:p>
    <w:p>
      <w:pPr>
        <w:spacing w:before="0" w:after="80" w:lineRule="auto" w:line="276"/>
      </w:pPr>
      <w:r>
        <w:rPr>
          <w:b/>
        </w:rPr>
        <w:t xml:space="preserve">摘要（ZH）: </w:t>
      </w:r>
      <w:r>
        <w:t>色素性视网膜炎 (RP) 是最常见的遗传性视网膜变性，其特点是进行性光感受器丧失，且尚无批准的疾病缓解疗法。虽然小胶质细胞驱动的神经炎症加速了 RP 的进展，但其维持机制仍然难以捉摸。通过对视网膜变性 10 (rd10) 小鼠进行综合多组学分析，我们确定原肌球蛋白 1 (TPM1) 是一种以前未被识别的细胞骨架免疫调节因子，可协调 RP 中的空间神经炎症。基因消融</w:t>
      </w:r>
      <w:r>
        <w:t xml:space="preserve"> </w:t>
      </w:r>
      <w:r>
        <w:t>总温度1</w:t>
      </w:r>
      <w:r>
        <w:t xml:space="preserve"> </w:t>
      </w:r>
      <w:r>
        <w:t>减弱小胶质细胞反应性并保留视力，而过度表达通过四个互锁轴触发自我强化炎症：（i）TPM1介导的激活蛋白1（AP-1）过度激活通过丝裂原激活蛋白激酶（MAPK）激酶/细胞外信号调节激酶3依赖性MAPK信号传导启动衰老相关分泌表型（SASP）； (ii) SASP 随后介导吞噬作用减少； (三)</w:t>
      </w:r>
      <w:r>
        <w:t xml:space="preserve"> </w:t>
      </w:r>
      <w:r>
        <w:t>Tpm1-Apoe/Fabp5</w:t>
      </w:r>
      <w:r>
        <w:t xml:space="preserve"> </w:t>
      </w:r>
      <w:r>
        <w:t>轴破坏导致脂滴积累和胆固醇结晶； (iv) galectin-9 (LGALS9)/CD45 介导的小胶质细胞间信号传导在视网膜上传播炎症信号。我们的工作将 TPM1 重新定义为自我维持的神经退行性循环的关键，在这种循环中，细胞骨架功能障碍会加剧免疫代谢崩溃。这些发现揭示了针对 TPM1 中枢（尤其是 LGALS9/CD45 轴）的精准治疗策略，以破坏炎症循环，同时保持视网膜稳态。</w:t>
      </w:r>
    </w:p>
    <w:p>
      <w:pPr>
        <w:spacing w:before="0" w:after="200" w:lineRule="auto" w:line="276"/>
      </w:pPr>
      <w:r>
        <w:rPr>
          <w:b/>
        </w:rPr>
        <w:t xml:space="preserve">Abstract (EN): </w:t>
      </w:r>
      <w:r>
        <w:t>Retinitis pigmentosa (RP), the most prevalent inherited retinal degeneration, features progressive photoreceptor loss with no approved disease-modifying therapies. While microglia-driven neuroinflammation accelerates RP progression, its sustaining mechanisms remain elusive. Through integrated multiomics profiling of retinal degeneration 10 (rd10) mice, we identify tropomyosin 1 (TPM1) as a previously unrecognized cytoskeletal-immune regulator orchestrating spatial neuroinflammation in RP. Genetic ablation of</w:t>
      </w:r>
      <w:r>
        <w:t xml:space="preserve"> </w:t>
      </w:r>
      <w:r>
        <w:t>Tpm1</w:t>
      </w:r>
      <w:r>
        <w:t xml:space="preserve"> </w:t>
      </w:r>
      <w:r>
        <w:t>attenuated microglial reactivity and preserved vision, whereas overexpression triggered self-reinforcing inflammation via four interlocked axes: (i) TPM1-mediated activator protein-1 (AP-1) hyperactivation initiates senescence-associated secretory phenotype (SASP) through mitogen-activated protein kinase (MAPK) kinase/extracellular signal–regulated kinase 3–dependent MAPK signaling; (ii) SASP subsequently mediates reduced phagocytosis; (iii)</w:t>
      </w:r>
      <w:r>
        <w:t xml:space="preserve"> </w:t>
      </w:r>
      <w:r>
        <w:t>Tpm1-Apoe/Fabp5</w:t>
      </w:r>
      <w:r>
        <w:t xml:space="preserve"> </w:t>
      </w:r>
      <w:r>
        <w:t>axis disruption precipitates lipid droplet accumulation with cholesterol crystallization; (iv) galectin-9 (LGALS9)/CD45-mediated intermicroglial signaling propagates inflammatory signals across the retina. Our work redefines TPM1 as a linchpin in self-sustaining neurodegeneration cycles, where cytoskeletal dysfunction fuels immunometabolic collapse. These findings unveil precision therapeutic strategies targeting TPM1 hubs—notably the LGALS9/CD45 axis—to disrupt inflammatory cycles while preserving retinal homeostasis.</w:t>
      </w:r>
    </w:p>
    <w:p>
      <w:pPr>
        <w:spacing w:before="120" w:after="120"/>
      </w:pPr>
      <w:r>
        <w:rPr>
          <w:sz w:val="18"/>
        </w:rPr>
        <w:t>——————————————————————————————————————————————————————————————————————</w:t>
      </w:r>
    </w:p>
    <w:p>
      <w:pPr>
        <w:spacing w:before="160" w:after="40" w:line="240" w:lineRule="auto"/>
      </w:pPr>
      <w:r>
        <w:rPr>
          <w:b/>
        </w:rPr>
        <w:t xml:space="preserve">[349] </w:t>
      </w:r>
      <w:hyperlink r:id="rId912">
        <w:r>
          <w:rPr>
            <w:color w:val="1155CC"/>
            <w:u w:val="single"/>
          </w:rPr>
          <w:t>基于自旋轨道扭矩的密钥生成系统，通过不可逆的物理变化实现密钥隐藏和攻击检测</w:t>
        </w:r>
      </w:hyperlink>
    </w:p>
    <w:p>
      <w:pPr>
        <w:spacing w:before="0" w:after="80"/>
      </w:pPr>
      <w:r>
        <w:rPr>
          <w:i/>
          <w:sz w:val="20"/>
        </w:rPr>
        <w:t>EN: A spin-orbit torque–based key generation system with key concealment and attack detection through irreversible physical changes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13">
        <w:r>
          <w:rPr>
            <w:color w:val="1155CC"/>
            <w:u w:val="single"/>
          </w:rPr>
          <w:t>10.1126/sciadv.aeb2698</w:t>
        </w:r>
      </w:hyperlink>
    </w:p>
    <w:p>
      <w:pPr>
        <w:spacing w:before="0" w:after="120"/>
      </w:pPr>
      <w:r>
        <w:rPr>
          <w:b/>
        </w:rPr>
        <w:t xml:space="preserve">Notes: </w:t>
      </w:r>
      <w:r>
        <w:t>abstract_source=crossref</w:t>
      </w:r>
    </w:p>
    <w:p>
      <w:pPr>
        <w:spacing w:before="0" w:after="80" w:lineRule="auto" w:line="276"/>
      </w:pPr>
      <w:r>
        <w:rPr>
          <w:b/>
        </w:rPr>
        <w:t xml:space="preserve">摘要（ZH）: </w:t>
      </w:r>
      <w:r>
        <w:t>密钥存储设备的机密性决定了密码系统的可信度。现有的攻击检测方法通常依赖于监视设备的外部变化，这可以被攻击者规避。这项工作提出了一种使用自旋轨道扭矩（SOT）设备的统一密钥生成和保护方案。通过在同一设备内统一静态和动态熵源，密钥生成系统既可以充当物理上不可克隆的函数，也可以充当真正的随机数生成器。在空闲状态下，设备仅保留随机数并隐藏任何可提取的密钥。非法密钥访问会不可逆转地破坏存储的随机数，从而提供强大的攻击检测机制。比较器电路标记非法密钥提取活动，确保用户能够及时检测并撤销受损的密钥。这种方法将密钥生成、隐藏和检测合并到单个物理平台中，提供基于硬件的、不可伪造的密钥保护方法。</w:t>
      </w:r>
    </w:p>
    <w:p>
      <w:pPr>
        <w:spacing w:before="0" w:after="200" w:lineRule="auto" w:line="276"/>
      </w:pPr>
      <w:r>
        <w:rPr>
          <w:b/>
        </w:rPr>
        <w:t xml:space="preserve">Abstract (EN): </w:t>
      </w:r>
      <w:r>
        <w:t>The confidentiality of key storage devices determines the trustworthiness of cryptographic systems. Existing attack detection methods typically depend on monitoring external variations of devices, which can be circumvented by attackers. This work presents a unified key generation and protection scheme using spin-orbit torque (SOT) devices. By unifying static and dynamic entropy sources within the same devices, the key generation system functions both as physically unclonable functions and as true random number generators. In idle states, devices retain only random numbers and conceal any extractable key. Illegal key access irreversibly destroys stored random numbers, offering a robust attack detection mechanism. A comparator circuit flags illegal key extraction activity, ensuring that the user can promptly detect and revoke compromised keys. This approach merges key generation, concealment, and detection into a single physical platform, providing a hardware-rooted, unforgeable method for key protection.</w:t>
      </w:r>
    </w:p>
    <w:p>
      <w:pPr>
        <w:spacing w:before="120" w:after="120"/>
      </w:pPr>
      <w:r>
        <w:rPr>
          <w:sz w:val="18"/>
        </w:rPr>
        <w:t>——————————————————————————————————————————————————————————————————————</w:t>
      </w:r>
    </w:p>
    <w:p>
      <w:pPr>
        <w:spacing w:before="160" w:after="40" w:line="240" w:lineRule="auto"/>
      </w:pPr>
      <w:r>
        <w:rPr>
          <w:b/>
        </w:rPr>
        <w:t xml:space="preserve">[350] </w:t>
      </w:r>
      <w:hyperlink r:id="rId914">
        <w:r>
          <w:rPr>
            <w:color w:val="1155CC"/>
            <w:u w:val="single"/>
          </w:rPr>
          <w:t>公民更喜欢哪些移民？ 100 个联合实验的荟萃再分析</w:t>
        </w:r>
      </w:hyperlink>
    </w:p>
    <w:p>
      <w:pPr>
        <w:spacing w:before="0" w:after="80"/>
      </w:pPr>
      <w:r>
        <w:rPr>
          <w:i/>
          <w:sz w:val="20"/>
        </w:rPr>
        <w:t>EN: Which immigrants do citizens prefer? A meta-reanalysis of 100 conjoint experiments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15">
        <w:r>
          <w:rPr>
            <w:color w:val="1155CC"/>
            <w:u w:val="single"/>
          </w:rPr>
          <w:t>10.1126/sciadv.adz2271</w:t>
        </w:r>
      </w:hyperlink>
    </w:p>
    <w:p>
      <w:pPr>
        <w:spacing w:before="0" w:after="120"/>
      </w:pPr>
      <w:r>
        <w:rPr>
          <w:b/>
        </w:rPr>
        <w:t xml:space="preserve">Notes: </w:t>
      </w:r>
      <w:r>
        <w:t>abstract_source=crossref</w:t>
      </w:r>
    </w:p>
    <w:p>
      <w:pPr>
        <w:spacing w:before="0" w:after="80" w:lineRule="auto" w:line="276"/>
      </w:pPr>
      <w:r>
        <w:rPr>
          <w:b/>
        </w:rPr>
        <w:t xml:space="preserve">摘要（ZH）: </w:t>
      </w:r>
      <w:r>
        <w:t>在过去的十年中，社会科学领域的一篇重要文献研究了东道国社会公众对移民的态度。其中，一种著名的实验方法——联合设计，参与者的任务是在随机资料之间进行评分或选择——已被可靠地用于了解移民特征如何影响入学偏好。我们整理了来自 100 项独立研究的复制数据集，涵盖 1,475,403 份移民资料，并由来自 36 个国家的 142,817 名调查受访者评估了 26 个随机属性。荟萃分析强化了既定的发现：经济、文化、人道主义和程序因素都会影响评估。荟萃重新分析表明，不同国家和人口群体的偏好大致相似。然而，它们还揭示了两种额外的模式：随着时间的推移，经济因素的影响力变得越来越大，而且根据人们在更广泛的移民辩论中的立场，对个人移民的评估也存在很大差异。这些发现揭示了正在进行的争论，并指出了未来研究的富有成果的领域。</w:t>
      </w:r>
    </w:p>
    <w:p>
      <w:pPr>
        <w:spacing w:before="0" w:after="200" w:lineRule="auto" w:line="276"/>
      </w:pPr>
      <w:r>
        <w:rPr>
          <w:b/>
        </w:rPr>
        <w:t xml:space="preserve">Abstract (EN): </w:t>
      </w:r>
      <w:r>
        <w:t>In the past decade, an important literature in the social sciences has examined public attitudes toward immigrants in host societies. In it, a prominent experimental method—the conjoint design, where participants are tasked with rating or choosing between randomized profiles—has been used reliably to understand how immigrant characteristics shape admission preferences. We collate replication datasets from 100 individual studies spanning 1,475,403 immigrant profiles with 26 randomized attributes evaluated by 142,817 survey respondents from 36 countries. Meta-analyses reinforce well-established findings: Economic, cultural, humanitarian, and procedural factors all influence evaluations. Meta-reanalyses show that preferences are broadly similar across countries and demographic groups. However, they also reveal two additional patterns: Economic considerations have become more influential over time, and evaluations of individual immigrants differ sharply depending on where people stand on the broader immigration debate. These findings shed light on ongoing debates and point to fruitful areas for future research.</w:t>
      </w:r>
    </w:p>
    <w:p>
      <w:pPr>
        <w:spacing w:before="120" w:after="120"/>
      </w:pPr>
      <w:r>
        <w:rPr>
          <w:sz w:val="18"/>
        </w:rPr>
        <w:t>——————————————————————————————————————————————————————————————————————</w:t>
      </w:r>
    </w:p>
    <w:p>
      <w:pPr>
        <w:spacing w:before="160" w:after="40" w:line="240" w:lineRule="auto"/>
      </w:pPr>
      <w:r>
        <w:rPr>
          <w:b/>
        </w:rPr>
        <w:t xml:space="preserve">[351] </w:t>
      </w:r>
      <w:hyperlink r:id="rId916">
        <w:r>
          <w:rPr>
            <w:color w:val="1155CC"/>
            <w:u w:val="single"/>
          </w:rPr>
          <w:t>MR-AIV 通过基于物理的 AI 揭示体内全脑流体流动</w:t>
        </w:r>
      </w:hyperlink>
    </w:p>
    <w:p>
      <w:pPr>
        <w:spacing w:before="0" w:after="80"/>
      </w:pPr>
      <w:r>
        <w:rPr>
          <w:i/>
          <w:sz w:val="20"/>
        </w:rPr>
        <w:t>EN: MR-AIV reveals in vivo brain-wide fluid flow with physics-informed AI</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17">
        <w:r>
          <w:rPr>
            <w:color w:val="1155CC"/>
            <w:u w:val="single"/>
          </w:rPr>
          <w:t>10.1126/sciadv.aeb0404</w:t>
        </w:r>
      </w:hyperlink>
    </w:p>
    <w:p>
      <w:pPr>
        <w:spacing w:before="0" w:after="120"/>
      </w:pPr>
      <w:r>
        <w:rPr>
          <w:b/>
        </w:rPr>
        <w:t xml:space="preserve">Notes: </w:t>
      </w:r>
      <w:r>
        <w:t>abstract_source=crossref</w:t>
      </w:r>
    </w:p>
    <w:p>
      <w:pPr>
        <w:spacing w:before="0" w:after="80" w:lineRule="auto" w:line="276"/>
      </w:pPr>
      <w:r>
        <w:rPr>
          <w:b/>
        </w:rPr>
        <w:t xml:space="preserve">摘要（ZH）: </w:t>
      </w:r>
      <w:r>
        <w:t>脑脊液和间质液的循环在清除大脑中的代谢废物方面发挥着至关重要的作用，其破坏与神经系统疾病有关。然而，直接测量全脑液体运输，尤其是大脑深部的液体运输，仍然难以实现。在这里，我们介绍磁共振人工智能测速（MR-AIV），这是一个具有专门的物理信息架构和优化方法的框架，可以从动态对比度增强磁共振成像（DCE-MRI）重建三维流体速度场。 MR-AIV 揭示了全脑速度图，同时提供了组织渗透性和压力场的估计，这些数量是其他方法无法获得的。应用于大脑时，MR-AIV 揭示了间质和血管周围流动的功能景观，定量区分缓慢扩散驱动的运输 [∼0.1 微米每秒 (μm/s)] 和快速平流流动 (∼3 μm/s)。这种方法能够对健康和疾病中的大脑清除机制和流体动力学进行新的研究，并在从地球物理学到组织力学的其他多孔介质系统中具有广泛的潜在应用。</w:t>
      </w:r>
    </w:p>
    <w:p>
      <w:pPr>
        <w:spacing w:before="0" w:after="200" w:lineRule="auto" w:line="276"/>
      </w:pPr>
      <w:r>
        <w:rPr>
          <w:b/>
        </w:rPr>
        <w:t xml:space="preserve">Abstract (EN): </w:t>
      </w:r>
      <w:r>
        <w:t>The circulation of cerebrospinal and interstitial fluid plays a vital role in clearing metabolic waste from the brain, and its disruption has been linked to neurological disorders. However, directly measuring brain-wide fluid transport, especially in the deep brain, has remained elusive. Here, we introduce magnetic resonance artificial intelligence velocimetry (MR-AIV), a framework featuring a specialized physics-informed architecture and optimization method that reconstructs three-dimensional fluid velocity fields from dynamic contrast-enhanced magnetic resonance imaging (DCE-MRI). MR-AIV unveils brain-wide velocity maps while providing estimates of tissue permeability and pressure fields, quantities inaccessible to other methods. Applied to the brain, MR-AIV reveals a functional landscape of interstitial and perivascular flow, quantitatively distinguishing slow diffusion-driven transport [∼0.1 micrometers per second (μm/s)] from rapid advective flow (∼3 μm/s). This approach enables new investigations into brain clearance mechanisms and fluid dynamics in health and disease, with broad potential applications to other porous medium systems, from geophysics to tissue mechanics.</w:t>
      </w:r>
    </w:p>
    <w:p>
      <w:pPr>
        <w:spacing w:before="120" w:after="120"/>
      </w:pPr>
      <w:r>
        <w:rPr>
          <w:sz w:val="18"/>
        </w:rPr>
        <w:t>——————————————————————————————————————————————————————————————————————</w:t>
      </w:r>
    </w:p>
    <w:p>
      <w:pPr>
        <w:spacing w:before="160" w:after="40" w:line="240" w:lineRule="auto"/>
      </w:pPr>
      <w:r>
        <w:rPr>
          <w:b/>
        </w:rPr>
        <w:t xml:space="preserve">[352] </w:t>
      </w:r>
      <w:hyperlink r:id="rId918">
        <w:r>
          <w:rPr>
            <w:color w:val="1155CC"/>
            <w:u w:val="single"/>
          </w:rPr>
          <w:t>用于广谱病原体防御的活性蛋白质捕获水凝胶</w:t>
        </w:r>
      </w:hyperlink>
    </w:p>
    <w:p>
      <w:pPr>
        <w:spacing w:before="0" w:after="80"/>
      </w:pPr>
      <w:r>
        <w:rPr>
          <w:i/>
          <w:sz w:val="20"/>
        </w:rPr>
        <w:t>EN: Active protein-capturing hydrogel for broad-spectrum pathogen defense</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19">
        <w:r>
          <w:rPr>
            <w:color w:val="1155CC"/>
            <w:u w:val="single"/>
          </w:rPr>
          <w:t>10.1126/sciadv.aed2483</w:t>
        </w:r>
      </w:hyperlink>
    </w:p>
    <w:p>
      <w:pPr>
        <w:spacing w:before="0" w:after="120"/>
      </w:pPr>
      <w:r>
        <w:rPr>
          <w:b/>
        </w:rPr>
        <w:t xml:space="preserve">Notes: </w:t>
      </w:r>
      <w:r>
        <w:t>abstract_source=crossref</w:t>
      </w:r>
    </w:p>
    <w:p>
      <w:pPr>
        <w:spacing w:before="0" w:after="80" w:lineRule="auto" w:line="276"/>
      </w:pPr>
      <w:r>
        <w:rPr>
          <w:b/>
        </w:rPr>
        <w:t xml:space="preserve">摘要（ZH）: </w:t>
      </w:r>
      <w:r>
        <w:t>蛋白质制剂，包括病毒颗粒和过敏蛋白，在感染、炎症和免疫失调中发挥着核心作用，但很少有材料可以通过直接蛋白质捕获来广泛中和它们。在这里，我们提出了一种可吸入蛋白质捕集器（IPT），这是一种活性水凝胶，可通过 NHS-胺化学快速固定多种含胺生物分子。结构优化使 IPT 能够稳定地掺入高密度的反应性 NHS 酯，这些酯在生理条件下仍保持功能，从而能够在粘膜表面有效捕获蛋白质。水合后，粉状 IPT 迅速形成活性屏障，在几分钟内共价捕获蛋白质和蛋白质颗粒。这种非选择性捕获机制使 IPT 能够结合病毒颗粒、花粉或真菌释放的过敏原以及组胺等可溶性免疫介质。在多种动物模型中，包括过敏性鼻炎、花粉引起的过敏和病毒感染，IPT 在阻断致病蛋白和减缓疾病进展方面始终优于商业屏障喷雾剂。这些结果使 IPT 成为生物界面广谱保护的多功能平台。</w:t>
      </w:r>
    </w:p>
    <w:p>
      <w:pPr>
        <w:spacing w:before="0" w:after="200" w:lineRule="auto" w:line="276"/>
      </w:pPr>
      <w:r>
        <w:rPr>
          <w:b/>
        </w:rPr>
        <w:t xml:space="preserve">Abstract (EN): </w:t>
      </w:r>
      <w:r>
        <w:t>Proteinaceous agents, including viral particles and allergenic proteins, play central roles in infection, inflammation, and immune dysregulation, yet few materials can broadly neutralize them through direct protein capture. Here, we present an inhalable protein trap (IPT), an active hydrogel that rapidly immobilizes diverse amine-containing biomolecules via NHS-amine chemistry. Structural optimization enables IPT to stably incorporate a high density of reactive NHS esters that remain functional under physiological conditions, allowing efficient protein capture at mucosal surfaces. Upon hydration, powdery IPT rapidly forms an active barrier that covalently traps proteins and proteinaceous particles within minutes. This nonselective capture mechanism allows IPT to bind viral particles, allergens released from pollen or fungi, and soluble immune mediators such as histamine. Across multiple animal models, including allergic rhinitis, pollen-induced allergy, and viral infection, IPT consistently outperformed commercial barrier sprays in blocking pathogenic proteins and mitigating disease progression. These results establish IPT as a versatile platform for broad-spectrum protection at biological interfaces.</w:t>
      </w:r>
    </w:p>
    <w:p>
      <w:pPr>
        <w:spacing w:before="120" w:after="120"/>
      </w:pPr>
      <w:r>
        <w:rPr>
          <w:sz w:val="18"/>
        </w:rPr>
        <w:t>——————————————————————————————————————————————————————————————————————</w:t>
      </w:r>
    </w:p>
    <w:p>
      <w:pPr>
        <w:spacing w:before="160" w:after="40" w:line="240" w:lineRule="auto"/>
      </w:pPr>
      <w:r>
        <w:rPr>
          <w:b/>
        </w:rPr>
        <w:t xml:space="preserve">[353] </w:t>
      </w:r>
      <w:hyperlink r:id="rId920">
        <w:r>
          <w:rPr>
            <w:color w:val="1155CC"/>
            <w:u w:val="single"/>
          </w:rPr>
          <w:t>鹿科朊病毒向非人类灵长类动物的有限传播为了解慢性消耗性疾病的人畜共患潜力提供了见解</w:t>
        </w:r>
      </w:hyperlink>
    </w:p>
    <w:p>
      <w:pPr>
        <w:spacing w:before="0" w:after="80"/>
      </w:pPr>
      <w:r>
        <w:rPr>
          <w:i/>
          <w:sz w:val="20"/>
        </w:rPr>
        <w:t>EN: Limited transmission of cervid prions to nonhuman primates provides insights into the zoonotic potential of chronic wasting disease</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21">
        <w:r>
          <w:rPr>
            <w:color w:val="1155CC"/>
            <w:u w:val="single"/>
          </w:rPr>
          <w:t>10.1126/sciadv.aeb7613</w:t>
        </w:r>
      </w:hyperlink>
    </w:p>
    <w:p>
      <w:pPr>
        <w:spacing w:before="0" w:after="120"/>
      </w:pPr>
      <w:r>
        <w:rPr>
          <w:b/>
        </w:rPr>
        <w:t xml:space="preserve">Notes: </w:t>
      </w:r>
      <w:r>
        <w:t>abstract_source=crossref</w:t>
      </w:r>
    </w:p>
    <w:p>
      <w:pPr>
        <w:spacing w:before="0" w:after="80" w:lineRule="auto" w:line="276"/>
      </w:pPr>
      <w:r>
        <w:rPr>
          <w:b/>
        </w:rPr>
        <w:t xml:space="preserve">摘要（ZH）: </w:t>
      </w:r>
      <w:r>
        <w:t>慢性消耗性疾病（CWD）是鹿科动物的一种不断扩大的朊病毒病。 CWD 朊病毒在环境中持续存在，通过排泄物排出，并在受感染鹿科动物的组织中积聚，引起人们对其人畜共患潜力的担忧。我们利用食蟹猴探索了 CWD 的人畜共患潜力。尽管大多数接种的猕猴仍然没有症状，但敏感的体外朊病毒扩增测定显示猕猴组织中的朊病毒水平较低。用猕猴组织接种转基因小鼠和田鼠诱导了朊病毒病，连续传代后实现了 100% 的传播率。对这些发现的一种解释是，CWD 朊病毒保留了跨物种的感染性，并且灵长类动物感染可能表现不典型，但仍然能够传播。我们的结果挑战了早期的结论，这些结论最大限度地降低了 CWD 的人畜共患风险，并强调了持续监测的必要性。</w:t>
      </w:r>
    </w:p>
    <w:p>
      <w:pPr>
        <w:spacing w:before="0" w:after="200" w:lineRule="auto" w:line="276"/>
      </w:pPr>
      <w:r>
        <w:rPr>
          <w:b/>
        </w:rPr>
        <w:t xml:space="preserve">Abstract (EN): </w:t>
      </w:r>
      <w:r>
        <w:t>Chronic wasting disease (CWD) is an expanding prion disease of cervids. CWD prions persist in the environment, are shed in excreta, and accumulate in tissues of infected cervids, raising concerns about its zoonotic potential. Using cynomolgus macaques, we explored the zoonotic potential of CWD. Although most inoculated macaques remained asymptomatic, sensitive in vitro prion amplification assays revealed low levels of prions in macaque tissues. Inoculation of transgenic mice and bank voles with macaque tissues induced prion disease, achieving 100% transmission rates upon serial passage. One interpretation of these findings is that CWD prions retain infectivity across species and that primate infection may manifest atypically while still enabling transmission. Our results challenge earlier conclusions that minimize the zoonotic risk of CWD and underscore the need for continued surveillance.</w:t>
      </w:r>
    </w:p>
    <w:p>
      <w:pPr>
        <w:spacing w:before="120" w:after="120"/>
      </w:pPr>
      <w:r>
        <w:rPr>
          <w:sz w:val="18"/>
        </w:rPr>
        <w:t>——————————————————————————————————————————————————————————————————————</w:t>
      </w:r>
    </w:p>
    <w:p>
      <w:pPr>
        <w:spacing w:before="160" w:after="40" w:line="240" w:lineRule="auto"/>
      </w:pPr>
      <w:r>
        <w:rPr>
          <w:b/>
        </w:rPr>
        <w:t xml:space="preserve">[354] </w:t>
      </w:r>
      <w:hyperlink r:id="rId922">
        <w:r>
          <w:rPr>
            <w:color w:val="1155CC"/>
            <w:u w:val="single"/>
          </w:rPr>
          <w:t>磷酸化重塑有丝分裂中心体基质，产生二分 γ-微管蛋白复合物对接位点</w:t>
        </w:r>
      </w:hyperlink>
    </w:p>
    <w:p>
      <w:pPr>
        <w:spacing w:before="0" w:after="80"/>
      </w:pPr>
      <w:r>
        <w:rPr>
          <w:i/>
          <w:sz w:val="20"/>
        </w:rPr>
        <w:t>EN: Phosphorylation remodels the mitotic centrosome matrix to generate bipartite γ-tubulin complex docking sites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23">
        <w:r>
          <w:rPr>
            <w:color w:val="1155CC"/>
            <w:u w:val="single"/>
          </w:rPr>
          <w:t>10.1126/sciadv.aed6539</w:t>
        </w:r>
      </w:hyperlink>
    </w:p>
    <w:p>
      <w:pPr>
        <w:spacing w:before="0" w:after="120"/>
      </w:pPr>
      <w:r>
        <w:rPr>
          <w:b/>
        </w:rPr>
        <w:t xml:space="preserve">Notes: </w:t>
      </w:r>
      <w:r>
        <w:t>abstract_source=crossref</w:t>
      </w:r>
    </w:p>
    <w:p>
      <w:pPr>
        <w:spacing w:before="0" w:after="80" w:lineRule="auto" w:line="276"/>
      </w:pPr>
      <w:r>
        <w:rPr>
          <w:b/>
        </w:rPr>
        <w:t xml:space="preserve">摘要（ZH）: </w:t>
      </w:r>
      <w:r>
        <w:t>有丝分裂中心体由蛋白质基质包围的中心粒组成，蛋白质基质对接并激活γ-微管蛋白复合物（γTuC）以使微管成核以进行纺锤体组装。在有丝分裂进入过程中，中心体的磷酸化会重塑 CDK5 调节亚基相关蛋白 2 (CDK5RAP2) 家族基质蛋白，以产生 γTuC 对接位点。我们使用以下方法来解决这种转换的机制</w:t>
      </w:r>
      <w:r>
        <w:t xml:space="preserve"> </w:t>
      </w:r>
      <w:r>
        <w:t>秀丽隐杆线虫</w:t>
      </w:r>
      <w:r>
        <w:t xml:space="preserve"> </w:t>
      </w:r>
      <w:r>
        <w:t>主轴缺陷 (SPD-5) 作为型号。我们发现 SPD-5​​ 包含两个区域，即磷酸化调节的 γTuC 结合区 1 (PRGB1) 和 PRGB2，每个区域都足以进行 Polo 样激酶 1 (PLK1) 磷酸化调节的 γTuC 结合。我们定义了每个区域的关键磷酸位点，并揭示了它们内部和之间的相互作用介导的自抑制。 PRGB2 是二聚体，需要含有莫扎特家族微生物蛋白 MZT-1 的 γTuC 才能结合，而 PRGB1 是单体，独立于 MZT-1 结合。我们的结果支持一个模型，其中 PLK1 磷酸化诱导构象变化，使 MZT-1 依赖的 PRGB2 参与，进而减轻 PRGB1 抑制。这种多步骤机制将通过限制微管成核的空间和时间来确保稳健的主轴组装。</w:t>
      </w:r>
    </w:p>
    <w:p>
      <w:pPr>
        <w:spacing w:before="0" w:after="200" w:lineRule="auto" w:line="276"/>
      </w:pPr>
      <w:r>
        <w:rPr>
          <w:b/>
        </w:rPr>
        <w:t xml:space="preserve">Abstract (EN): </w:t>
      </w:r>
      <w:r>
        <w:t>Mitotic centrosomes consist of centrioles surrounded by a proteinaceous matrix that docks and activates γ-tubulin complexes (γTuCs) to nucleate microtubules for spindle assembly. During mitotic entry, phosphorylation at centrosomes remodels CDK5 regulatory subunit associated protein 2 (CDK5RAP2) family matrix proteins to generate γTuC docking sites. We address the mechanism of this conversion using</w:t>
      </w:r>
      <w:r>
        <w:t xml:space="preserve"> </w:t>
      </w:r>
      <w:r>
        <w:t>Caenorhabditis elegans</w:t>
      </w:r>
      <w:r>
        <w:t xml:space="preserve"> </w:t>
      </w:r>
      <w:r>
        <w:t>SPindle Defective (SPD-5) as a model. We show that SPD-5 contains two regions, phospho-regulated γTuC binding region 1 (PRGB1) and PRGB2, that are each sufficient for polo-like kinase 1 (PLK1) phosphorylation–regulated γTuC binding. We define key phosphosites in each region and uncover autoinhibition mediated by interactions within and between them. PRGB2 is dimeric and requires γTuCs containing the Mozart family microprotein MZT-1 for binding, whereas PRGB1 is monomeric and binds independently of MZT-1. Our results support a model in which PLK1 phosphorylation induces a conformational change that enables MZT-1–dependent PRGB2 engagement, which in turn relieves PRGB1 inhibition. Such a multistep mechanism would ensure robust spindle assembly by restricting microtubule nucleation in space and time.</w:t>
      </w:r>
    </w:p>
    <w:p>
      <w:pPr>
        <w:spacing w:before="120" w:after="120"/>
      </w:pPr>
      <w:r>
        <w:rPr>
          <w:sz w:val="18"/>
        </w:rPr>
        <w:t>——————————————————————————————————————————————————————————————————————</w:t>
      </w:r>
    </w:p>
    <w:p>
      <w:pPr>
        <w:spacing w:before="160" w:after="40" w:line="240" w:lineRule="auto"/>
      </w:pPr>
      <w:r>
        <w:rPr>
          <w:b/>
        </w:rPr>
        <w:t xml:space="preserve">[355] </w:t>
      </w:r>
      <w:hyperlink r:id="rId924">
        <w:r>
          <w:rPr>
            <w:color w:val="1155CC"/>
            <w:u w:val="single"/>
          </w:rPr>
          <w:t>具有蒸发有机薄膜的无极化集成二阶非线​​性光学</w:t>
        </w:r>
      </w:hyperlink>
    </w:p>
    <w:p>
      <w:pPr>
        <w:spacing w:before="0" w:after="80"/>
      </w:pPr>
      <w:r>
        <w:rPr>
          <w:i/>
          <w:sz w:val="20"/>
        </w:rPr>
        <w:t>EN: Poling-free integrated second-order nonlinear optics with evaporated organic thin films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25">
        <w:r>
          <w:rPr>
            <w:color w:val="1155CC"/>
            <w:u w:val="single"/>
          </w:rPr>
          <w:t>10.1126/sciadv.aeg3170</w:t>
        </w:r>
      </w:hyperlink>
    </w:p>
    <w:p>
      <w:pPr>
        <w:spacing w:before="0" w:after="120"/>
      </w:pPr>
      <w:r>
        <w:rPr>
          <w:b/>
        </w:rPr>
        <w:t xml:space="preserve">Notes: </w:t>
      </w:r>
      <w:r>
        <w:t>abstract_source=crossref</w:t>
      </w:r>
    </w:p>
    <w:p>
      <w:pPr>
        <w:spacing w:before="0" w:after="80" w:lineRule="auto" w:line="276"/>
      </w:pPr>
      <w:r>
        <w:rPr>
          <w:b/>
        </w:rPr>
        <w:t xml:space="preserve">摘要（ZH）: </w:t>
      </w:r>
      <w:r>
        <w:t>积分二阶 [χ</w:t>
      </w:r>
      <w:r>
        <w:t xml:space="preserve"> </w:t>
      </w:r>
      <w:r>
        <w:t>(2)</w:t>
      </w:r>
      <w:r>
        <w:t xml:space="preserve"> </w:t>
      </w:r>
      <w:r>
        <w:t>] 光子学是下一代经典和量子技术的基础，可实现从频率转换和高速调制到纠缠光子生成的各种应用。然而，该领域目前因缺乏将高非线性性能与可扩展、CMOS 兼容制造相结合的材料而受到限制。具有大χ的气相沉积有机薄膜</w:t>
      </w:r>
      <w:r>
        <w:t xml:space="preserve"> </w:t>
      </w:r>
      <w:r>
        <w:t>(2)</w:t>
      </w:r>
      <w:r>
        <w:t xml:space="preserve"> </w:t>
      </w:r>
      <w:r>
        <w:t>无需电场极化的非线性提供了一种通用的解决方案，理论上可以在无源平台上实现独立的有机电路和异构集成。然而，将这些薄膜转化为功能性光子器件仍然是猜测。在这里，我们通过利用薄膜的巨大双折射（Δ</w:t>
      </w:r>
      <w:r>
        <w:t xml:space="preserve"> </w:t>
      </w:r>
      <w:r>
        <w:t>n</w:t>
      </w:r>
      <w:r>
        <w:t xml:space="preserve"> </w:t>
      </w:r>
      <w:r>
        <w:t>≈ −0.2) 以匹配基本模式 (TE</w:t>
      </w:r>
      <w:r>
        <w:rPr>
          <w:vertAlign w:val="subscript"/>
        </w:rPr>
        <w:t>00</w:t>
      </w:r>
      <w:r>
        <w:t>→ TM</w:t>
      </w:r>
      <w:r>
        <w:rPr>
          <w:vertAlign w:val="subscript"/>
        </w:rPr>
        <w:t>00</w:t>
      </w:r>
      <w:r>
        <w:t>），从而保持高模态重叠。由此产生的效率为</w:t>
      </w:r>
      <w:r>
        <w:t xml:space="preserve"> </w:t>
      </w:r>
      <w:r>
        <w:t>η</w:t>
      </w:r>
      <w:r>
        <w:t xml:space="preserve"> </w:t>
      </w:r>
      <w:r>
        <w:t>L</w:t>
      </w:r>
      <w:r>
        <w:t xml:space="preserve"> </w:t>
      </w:r>
      <w:r>
        <w:t>=</w:t>
      </w:r>
      <w:r>
        <w:rPr>
          <w:vertAlign w:val="subscript"/>
        </w:rPr>
        <w:t>29</w:t>
      </w:r>
      <w:r>
        <w:t>%</w:t>
      </w:r>
      <w:r>
        <w:t xml:space="preserve"> </w:t>
      </w:r>
      <w:r>
        <w:t>瓦</w:t>
      </w:r>
      <w:r>
        <w:t xml:space="preserve"> </w:t>
      </w:r>
      <w:r>
        <w:t>-</w:t>
      </w:r>
      <w:r>
        <w:rPr>
          <w:vertAlign w:val="subscript"/>
        </w:rPr>
        <w:t>1</w:t>
      </w:r>
    </w:p>
    <w:p>
      <w:pPr>
        <w:spacing w:before="0" w:after="200" w:lineRule="auto" w:line="276"/>
      </w:pPr>
      <w:r>
        <w:rPr>
          <w:b/>
        </w:rPr>
        <w:t xml:space="preserve">Abstract (EN): </w:t>
      </w:r>
      <w:r>
        <w:t>Integrated second-order [χ</w:t>
      </w:r>
      <w:r>
        <w:t xml:space="preserve"> </w:t>
      </w:r>
      <w:r>
        <w:t>(2)</w:t>
      </w:r>
      <w:r>
        <w:t xml:space="preserve"> </w:t>
      </w:r>
      <w:r>
        <w:t>] photonics underpins next-generation classical and quantum technologies, enabling applications ranging from frequency conversion and high-speed modulation to entangled photon generation. However, the field is now limited by a lack of materials that combine high nonlinear performance with scalable, CMOS-compatible fabrication. Vapor-deposited organic thin films having large χ</w:t>
      </w:r>
      <w:r>
        <w:t xml:space="preserve"> </w:t>
      </w:r>
      <w:r>
        <w:t>(2)</w:t>
      </w:r>
      <w:r>
        <w:t xml:space="preserve"> </w:t>
      </w:r>
      <w:r>
        <w:t>nonlinearities without electric field poling offer a versatile solution, theoretically enabling both standalone organic circuits and heterogeneous integration on passive platforms. Yet, the translation of these films into functional photonic devices has remained speculative. Here, we demonstrate phase-matched second-harmonic generation in strip-loaded waveguides by harnessing the film’s giant birefringence (Δ</w:t>
      </w:r>
      <w:r>
        <w:t xml:space="preserve"> </w:t>
      </w:r>
      <w:r>
        <w:t>n</w:t>
      </w:r>
      <w:r>
        <w:t xml:space="preserve"> </w:t>
      </w:r>
      <w:r>
        <w:t>≈ −0.2) to match fundamental modes (TE</w:t>
      </w:r>
      <w:r>
        <w:rPr>
          <w:vertAlign w:val="subscript"/>
        </w:rPr>
        <w:t>00</w:t>
      </w:r>
      <w:r>
        <w:t>→ TM</w:t>
      </w:r>
      <w:r>
        <w:rPr>
          <w:vertAlign w:val="subscript"/>
        </w:rPr>
        <w:t>00</w:t>
      </w:r>
      <w:r>
        <w:t>), thereby maintaining high modal overlap. The resulting efficiency of</w:t>
      </w:r>
      <w:r>
        <w:t xml:space="preserve"> </w:t>
      </w:r>
      <w:r>
        <w:t>η</w:t>
      </w:r>
      <w:r>
        <w:t xml:space="preserve"> </w:t>
      </w:r>
      <w:r>
        <w:t>L</w:t>
      </w:r>
      <w:r>
        <w:t xml:space="preserve"> </w:t>
      </w:r>
      <w:r>
        <w:t>=</w:t>
      </w:r>
      <w:r>
        <w:rPr>
          <w:vertAlign w:val="subscript"/>
        </w:rPr>
        <w:t>29</w:t>
      </w:r>
      <w:r>
        <w:t>%</w:t>
      </w:r>
      <w:r>
        <w:t xml:space="preserve"> </w:t>
      </w:r>
      <w:r>
        <w:t>W</w:t>
      </w:r>
      <w:r>
        <w:t xml:space="preserve"> </w:t>
      </w:r>
      <w:r>
        <w:t>−</w:t>
      </w:r>
      <w:r>
        <w:rPr>
          <w:vertAlign w:val="subscript"/>
        </w:rPr>
        <w:t>1</w:t>
      </w:r>
      <w:r>
        <w:t xml:space="preserve"> </w:t>
      </w:r>
      <w:r>
        <w:t>cm</w:t>
      </w:r>
      <w:r>
        <w:t xml:space="preserve"> </w:t>
      </w:r>
      <w:r>
        <w:t>−</w:t>
      </w:r>
      <w:r>
        <w:rPr>
          <w:vertAlign w:val="subscript"/>
        </w:rPr>
        <w:t>2</w:t>
      </w:r>
      <w:r>
        <w:t xml:space="preserve"> </w:t>
      </w:r>
      <w:r>
        <w:t>rivals that of strip-loaded waveguides on thin-film lithium niobate. These results establish spontaneously oriented organics as a promising material class for the integration of second-order nonlinear functionalities on arbitrary substrates.</w:t>
      </w:r>
    </w:p>
    <w:p>
      <w:pPr>
        <w:spacing w:before="120" w:after="120"/>
      </w:pPr>
      <w:r>
        <w:rPr>
          <w:sz w:val="18"/>
        </w:rPr>
        <w:t>——————————————————————————————————————————————————————————————————————</w:t>
      </w:r>
    </w:p>
    <w:p>
      <w:pPr>
        <w:spacing w:before="160" w:after="40" w:line="240" w:lineRule="auto"/>
      </w:pPr>
      <w:r>
        <w:rPr>
          <w:b/>
        </w:rPr>
        <w:t xml:space="preserve">[356] </w:t>
      </w:r>
      <w:hyperlink r:id="rId926">
        <w:r>
          <w:rPr>
            <w:color w:val="1155CC"/>
            <w:u w:val="single"/>
          </w:rPr>
          <w:t>一股增强且向南移动的西风急流减轻了亚洲旱地因变暖引起的干燥</w:t>
        </w:r>
      </w:hyperlink>
    </w:p>
    <w:p>
      <w:pPr>
        <w:spacing w:before="0" w:after="80"/>
      </w:pPr>
      <w:r>
        <w:rPr>
          <w:i/>
          <w:sz w:val="20"/>
        </w:rPr>
        <w:t>EN: A strengthened and southward-shifted westerly jet mitigates warming-induced drying across Asian drylands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27">
        <w:r>
          <w:rPr>
            <w:color w:val="1155CC"/>
            <w:u w:val="single"/>
          </w:rPr>
          <w:t>10.1126/sciadv.aed7890</w:t>
        </w:r>
      </w:hyperlink>
    </w:p>
    <w:p>
      <w:pPr>
        <w:spacing w:before="0" w:after="120"/>
      </w:pPr>
      <w:r>
        <w:rPr>
          <w:b/>
        </w:rPr>
        <w:t xml:space="preserve">Notes: </w:t>
      </w:r>
      <w:r>
        <w:t>abstract_source=crossref</w:t>
      </w:r>
    </w:p>
    <w:p>
      <w:pPr>
        <w:spacing w:before="0" w:after="80" w:lineRule="auto" w:line="276"/>
      </w:pPr>
      <w:r>
        <w:rPr>
          <w:b/>
        </w:rPr>
        <w:t xml:space="preserve">摘要（ZH）: </w:t>
      </w:r>
      <w:r>
        <w:t>欧亚副热带西风急流（ESWJ）是欧亚大陆环流系统的重要组成部分，自1979年以来，由于气溶胶排放不均匀，该急流在夏季逐渐减弱。其未来在人类活动（包括清洁空气政策）下的演变仍然不确定，但对于亚洲中纬度旱地的气候适应至关重要。通过多情景预测，我们表明，ESWJ 预计将扭转其历史减弱趋势，并在 2025 年至 2100 年期间转为加强。这种加剧是由于温室气体（GHG）浓度增加和人为气溶胶减少造成的。气溶胶的减少主要引发了从减弱到增强的转变，这种转变在 2010 年左右就已经出现，而温室气体强迫还导致了向南的迁移。这些环流变化增强了进入中亚的动态水分平流，部分抵消了“干燥变得干燥”的范式，并导致区域可用水量的变化有限。虽然最近的研究强调了气溶胶减少的变暖效应，但我们的研究结果强调了环流动态在塑造区域水文气候安全方面的关键作用。</w:t>
      </w:r>
    </w:p>
    <w:p>
      <w:pPr>
        <w:spacing w:before="0" w:after="200" w:lineRule="auto" w:line="276"/>
      </w:pPr>
      <w:r>
        <w:rPr>
          <w:b/>
        </w:rPr>
        <w:t xml:space="preserve">Abstract (EN): </w:t>
      </w:r>
      <w:r>
        <w:t>The Eurasian Subtropical Westerly Jet (ESWJ), a key component of the Eurasia circulation system, has weakened in summer since 1979 due to uneven aerosol emissions. Its future evolution under human activities, including clean air policies, remains uncertain yet critical for climate adaptation in mid-latitude Asian drylands. Using multiscenario projections, we show that the ESWJ is projected to reverse its historical weakening trend and turn to strengthen during 2025–2100. This intensification arises from both increasing greenhouse gas (GHG) concentrations and declining anthropogenic aerosols. Aerosol reduction primarily triggers the transition from weakening to strengthening, already emerging around 2010, while GHG forcing additionally induces a southward displacement. These circulation changes enhance dynamic moisture advection into Central Asia, partially offsetting the “dry-get-drier” paradigm and resulting in limited changes in regional water availability. While recent studies have emphasized the warming effects of aerosol reduction, our findings highlight the critical role of circulation dynamics in shaping regional hydroclimatic security.</w:t>
      </w:r>
    </w:p>
    <w:p>
      <w:pPr>
        <w:spacing w:before="120" w:after="120"/>
      </w:pPr>
      <w:r>
        <w:rPr>
          <w:sz w:val="18"/>
        </w:rPr>
        <w:t>——————————————————————————————————————————————————————————————————————</w:t>
      </w:r>
    </w:p>
    <w:p>
      <w:pPr>
        <w:spacing w:before="160" w:after="40" w:line="240" w:lineRule="auto"/>
      </w:pPr>
      <w:r>
        <w:rPr>
          <w:b/>
        </w:rPr>
        <w:t xml:space="preserve">[357] </w:t>
      </w:r>
      <w:hyperlink r:id="rId928">
        <w:r>
          <w:rPr>
            <w:color w:val="1155CC"/>
            <w:u w:val="single"/>
          </w:rPr>
          <w:t>使用场聚焦 DNA-碳纳米管网在哺乳动物细胞中进行生物电钙转运和激活</w:t>
        </w:r>
      </w:hyperlink>
    </w:p>
    <w:p>
      <w:pPr>
        <w:spacing w:before="0" w:after="80"/>
      </w:pPr>
      <w:r>
        <w:rPr>
          <w:i/>
          <w:sz w:val="20"/>
        </w:rPr>
        <w:t>EN: Bioelectric calcium transport and activation in mammalian cells using field-focused DNA-carbon nanotube meshes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29">
        <w:r>
          <w:rPr>
            <w:color w:val="1155CC"/>
            <w:u w:val="single"/>
          </w:rPr>
          <w:t>10.1126/sciadv.aed4736</w:t>
        </w:r>
      </w:hyperlink>
    </w:p>
    <w:p>
      <w:pPr>
        <w:spacing w:before="0" w:after="120"/>
      </w:pPr>
      <w:r>
        <w:rPr>
          <w:b/>
        </w:rPr>
        <w:t xml:space="preserve">Notes: </w:t>
      </w:r>
      <w:r>
        <w:t>abstract_source=crossref</w:t>
      </w:r>
    </w:p>
    <w:p>
      <w:pPr>
        <w:spacing w:before="0" w:after="80" w:lineRule="auto" w:line="276"/>
      </w:pPr>
      <w:r>
        <w:rPr>
          <w:b/>
        </w:rPr>
        <w:t xml:space="preserve">摘要（ZH）: </w:t>
      </w:r>
      <w:r>
        <w:t>生物学中的电信号是离子的。安全调制需要能够在软膜上将电子与离子耦合而不会造成损伤的界面。我们推出了 DNA-FOCUS，一种膜保形、DNA 编程的碳纳米管生物界面，它可以在活细胞上自组装，将 DNA 包裹的单壁碳纳米管编织成超柔性的网格。亚伏偏压被凝结成膜上的纳米热点，降低进入阻力并接合内源性钙渗透离子通道。亚伏刺激驱动持续的 Ca</w:t>
      </w:r>
      <w:r>
        <w:t xml:space="preserve"> </w:t>
      </w:r>
      <w:r>
        <w:t>2+</w:t>
      </w:r>
      <w:r>
        <w:t xml:space="preserve"> </w:t>
      </w:r>
      <w:r>
        <w:t>跨多个谱系的涌入，电压敏感染料和阻抗读数显示出更强的耦合。反应发生时没有过量的 ROS 或活力丧失。聚焦领域还可以实现温和的电穿孔以进行质粒递送，增强机械电转导，并调节神经元兴奋性。转录分析和功能验证证实了 NFAT 的激活，并且在自然杀伤细胞中，它促进了穿孔素和 IFN-γ 的释放，并具有更高的肿瘤杀伤力。这种可编程、无基质接口支持低电压电调制，以实现高通量分析和治疗增强。</w:t>
      </w:r>
    </w:p>
    <w:p>
      <w:pPr>
        <w:spacing w:before="0" w:after="200" w:lineRule="auto" w:line="276"/>
      </w:pPr>
      <w:r>
        <w:rPr>
          <w:b/>
        </w:rPr>
        <w:t xml:space="preserve">Abstract (EN): </w:t>
      </w:r>
      <w:r>
        <w:t>Electrical signaling in biology is ionic. Safe modulation needs interfaces that couple electrons to ions at soft membranes without injury. We present DNA-FOCUS, a membrane-conformal, DNA-programmed carbon-nanotube biointerface that self-assembles on living cells, weaving DNA-wrapped SWCNTs into an ultraflexible mesh. A subvolt bias is condensed into nanometer hotspots at the membrane, lowering access resistance and engaging endogenous calcium-permeable ion channels. Subvolt stimulation drives sustained Ca</w:t>
      </w:r>
      <w:r>
        <w:t xml:space="preserve"> </w:t>
      </w:r>
      <w:r>
        <w:t>2+</w:t>
      </w:r>
      <w:r>
        <w:t xml:space="preserve"> </w:t>
      </w:r>
      <w:r>
        <w:t>influx across multiple lineages, with voltage-sensitive dye and impedance readouts showing stronger coupling. Responses occur without excess ROS or loss of viability. The focused field also enables gentle electroporation for plasmid delivery, augments mechano-electrical transduction, and modulates neuronal excitability. Transcriptional analysis and functional validation confirm NFAT activation, and in natural killer cells, it boosts perforin and IFN-γ release with higher tumor killing. This programmable, substrate-free interface supports low-voltage electro-modulation for high-throughput analytics and therapeutic augmentation.</w:t>
      </w:r>
    </w:p>
    <w:p>
      <w:pPr>
        <w:spacing w:before="120" w:after="120"/>
      </w:pPr>
      <w:r>
        <w:rPr>
          <w:sz w:val="18"/>
        </w:rPr>
        <w:t>——————————————————————————————————————————————————————————————————————</w:t>
      </w:r>
    </w:p>
    <w:p>
      <w:pPr>
        <w:spacing w:before="160" w:after="40" w:line="240" w:lineRule="auto"/>
      </w:pPr>
      <w:r>
        <w:rPr>
          <w:b/>
        </w:rPr>
        <w:t xml:space="preserve">[358] </w:t>
      </w:r>
      <w:hyperlink r:id="rId930">
        <w:r>
          <w:rPr>
            <w:color w:val="1155CC"/>
            <w:u w:val="single"/>
          </w:rPr>
          <w:t>路廷格液体中电子关联的飞秒调制</w:t>
        </w:r>
      </w:hyperlink>
    </w:p>
    <w:p>
      <w:pPr>
        <w:spacing w:before="0" w:after="80"/>
      </w:pPr>
      <w:r>
        <w:rPr>
          <w:i/>
          <w:sz w:val="20"/>
        </w:rPr>
        <w:t>EN: Femtosecond modulation of electron correlations in a Luttinger liquid</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31">
        <w:r>
          <w:rPr>
            <w:color w:val="1155CC"/>
            <w:u w:val="single"/>
          </w:rPr>
          <w:t>10.1126/sciadv.aec7494</w:t>
        </w:r>
      </w:hyperlink>
    </w:p>
    <w:p>
      <w:pPr>
        <w:spacing w:before="0" w:after="120"/>
      </w:pPr>
      <w:r>
        <w:rPr>
          <w:b/>
        </w:rPr>
        <w:t xml:space="preserve">Notes: </w:t>
      </w:r>
      <w:r>
        <w:t>abstract_source=crossref</w:t>
      </w:r>
    </w:p>
    <w:p>
      <w:pPr>
        <w:spacing w:before="0" w:after="80" w:lineRule="auto" w:line="276"/>
      </w:pPr>
      <w:r>
        <w:rPr>
          <w:b/>
        </w:rPr>
        <w:t xml:space="preserve">摘要（ZH）: </w:t>
      </w:r>
      <w:r>
        <w:t>拉廷格液体出现在具有强电子相互作用的一维金属中，表现出有趣的近平衡特性，例如自旋电荷分离和幂律相关性。尽管这些相互作用表明存在快速、独特的非平衡动力学，但这种现象在超短时间尺度上仍然很大程度上未被探索。在这里，我们使用飞秒激光激发来弱耗尽Li的Luttinger带中的电子密度</w:t>
      </w:r>
      <w:r>
        <w:t xml:space="preserve"> </w:t>
      </w:r>
      <w:r>
        <w:t>0.9</w:t>
      </w:r>
      <w:r>
        <w:t xml:space="preserve"> </w:t>
      </w:r>
      <w:r>
        <w:t>莫</w:t>
      </w:r>
      <w:r>
        <w:rPr>
          <w:vertAlign w:val="subscript"/>
        </w:rPr>
        <w:t>6</w:t>
      </w:r>
      <w:r>
        <w:t>氧</w:t>
      </w:r>
      <w:r>
        <w:t xml:space="preserve"> </w:t>
      </w:r>
      <w:r>
        <w:t>17 号</w:t>
      </w:r>
      <w:r>
        <w:t xml:space="preserve"> </w:t>
      </w:r>
      <w:r>
        <w:t>并通过时间和角度分辨光电子能谱跟踪响应。通过将测量的电子分布拟合到有限温度卢廷格液体模型，我们观察到卢廷格指数快速下降，从而量化了电子相互作用的强度。随后，与传统费米液体中的热电子通过电子声子耦合在皮秒内缓慢弛豫不同，Li中的热电子</w:t>
      </w:r>
      <w:r>
        <w:t xml:space="preserve"> </w:t>
      </w:r>
      <w:r>
        <w:t>0.9</w:t>
      </w:r>
      <w:r>
        <w:t xml:space="preserve"> </w:t>
      </w:r>
      <w:r>
        <w:t>莫</w:t>
      </w:r>
      <w:r>
        <w:rPr>
          <w:vertAlign w:val="subscript"/>
        </w:rPr>
        <w:t>6</w:t>
      </w:r>
      <w:r>
        <w:t>氧</w:t>
      </w:r>
      <w:r>
        <w:t xml:space="preserve"> </w:t>
      </w:r>
      <w:r>
        <w:t>17 号</w:t>
      </w:r>
      <w:r>
        <w:t xml:space="preserve"> </w:t>
      </w:r>
      <w:r>
        <w:t>通过非平衡集体等离子体激元的激发，在约 100 飞秒的短时间内松弛。路廷格指数和电子温度的极快演化（包括激发、恢复和等离激元驱动调制之间数十飞秒的时滞）揭示了以前未知的低维材料中量子多体相互作用的调制途径。</w:t>
      </w:r>
    </w:p>
    <w:p>
      <w:pPr>
        <w:spacing w:before="0" w:after="200" w:lineRule="auto" w:line="276"/>
      </w:pPr>
      <w:r>
        <w:rPr>
          <w:b/>
        </w:rPr>
        <w:t xml:space="preserve">Abstract (EN): </w:t>
      </w:r>
      <w:r>
        <w:t>Luttinger liquids emerge in one-dimensional metals with strong electron interactions, exhibiting intriguing near-equilibrium properties such as spin-charge separation and power-law correlations. Although these interactions suggest fast, distinctive out-of-equilibrium dynamics, such phenomena remain largely unexplored on ultrashort timescales. Here, we use femtosecond laser excitation to weakly deplete the electron density in the Luttinger band of Li</w:t>
      </w:r>
      <w:r>
        <w:t xml:space="preserve"> </w:t>
      </w:r>
      <w:r>
        <w:t>0.9</w:t>
      </w:r>
      <w:r>
        <w:t xml:space="preserve"> </w:t>
      </w:r>
      <w:r>
        <w:t>Mo</w:t>
      </w:r>
      <w:r>
        <w:rPr>
          <w:vertAlign w:val="subscript"/>
        </w:rPr>
        <w:t>6</w:t>
      </w:r>
      <w:r>
        <w:t>O</w:t>
      </w:r>
      <w:r>
        <w:rPr>
          <w:vertAlign w:val="subscript"/>
        </w:rPr>
        <w:t>17</w:t>
      </w:r>
      <w:r>
        <w:t>and track the response via time- and angle-resolved photoemission spectroscopy. By fitting the measured electron distributions to a finite-temperature Luttinger liquid model, we observe a fast drop in the Luttinger exponent, quantifying the strength of electron interactions. Subsequently, unlike hot electrons in conventional Fermi liquids that slowly relax within picoseconds via electron-phonon coupling, hot electrons in Li</w:t>
      </w:r>
      <w:r>
        <w:t xml:space="preserve"> </w:t>
      </w:r>
      <w:r>
        <w:t>0.9</w:t>
      </w:r>
      <w:r>
        <w:t xml:space="preserve"> </w:t>
      </w:r>
      <w:r>
        <w:t>Mo</w:t>
      </w:r>
      <w:r>
        <w:rPr>
          <w:vertAlign w:val="subscript"/>
        </w:rPr>
        <w:t>6</w:t>
      </w:r>
      <w:r>
        <w:t>O</w:t>
      </w:r>
      <w:r>
        <w:rPr>
          <w:vertAlign w:val="subscript"/>
        </w:rPr>
        <w:t>17</w:t>
      </w:r>
      <w:r>
        <w:t>relax within a short time of ~100 femtoseconds, through the excitation of a nonequilibrium collective plasmon. The extremely fast evolution of the Luttinger exponent and electron temperature—including a tens of femtosecond time lag between excitation, recovery, and plasmon-driven modulation—reveals previously unidentified pathways for modulating quantum many-body interactions in low-dimensional materials.</w:t>
      </w:r>
    </w:p>
    <w:p>
      <w:pPr>
        <w:spacing w:before="120" w:after="120"/>
      </w:pPr>
      <w:r>
        <w:rPr>
          <w:sz w:val="18"/>
        </w:rPr>
        <w:t>——————————————————————————————————————————————————————————————————————</w:t>
      </w:r>
    </w:p>
    <w:p>
      <w:pPr>
        <w:spacing w:before="160" w:after="40" w:line="240" w:lineRule="auto"/>
      </w:pPr>
      <w:r>
        <w:rPr>
          <w:b/>
        </w:rPr>
        <w:t xml:space="preserve">[359] </w:t>
      </w:r>
      <w:hyperlink r:id="rId932">
        <w:r>
          <w:rPr>
            <w:color w:val="1155CC"/>
            <w:u w:val="single"/>
          </w:rPr>
          <w:t>通过机器学习潜力了解水的密度最大值</w:t>
        </w:r>
      </w:hyperlink>
    </w:p>
    <w:p>
      <w:pPr>
        <w:spacing w:before="0" w:after="80"/>
      </w:pPr>
      <w:r>
        <w:rPr>
          <w:i/>
          <w:sz w:val="20"/>
        </w:rPr>
        <w:t>EN: Understanding the density maximum of water with machine-learned potentials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33">
        <w:r>
          <w:rPr>
            <w:color w:val="1155CC"/>
            <w:u w:val="single"/>
          </w:rPr>
          <w:t>10.1126/sciadv.aec6748</w:t>
        </w:r>
      </w:hyperlink>
    </w:p>
    <w:p>
      <w:pPr>
        <w:spacing w:before="0" w:after="120"/>
      </w:pPr>
      <w:r>
        <w:rPr>
          <w:b/>
        </w:rPr>
        <w:t xml:space="preserve">Notes: </w:t>
      </w:r>
      <w:r>
        <w:t>abstract_source=crossref</w:t>
      </w:r>
    </w:p>
    <w:p>
      <w:pPr>
        <w:spacing w:before="0" w:after="80" w:lineRule="auto" w:line="276"/>
      </w:pPr>
      <w:r>
        <w:rPr>
          <w:b/>
        </w:rPr>
        <w:t xml:space="preserve">摘要（ZH）: </w:t>
      </w:r>
      <w:r>
        <w:t>融化后，在环境压力下，水的密度继续随温度增加，直至达到 4°C 左右的最大值。近一个世纪以来，这种现象被定性地归因于有序和无序结构的混合。在这里，我们使用深度神经网络，利用先进密度泛函理论的电子结构数据来训练机器学习 (ML) 水原子间势。值得注意的是，利用 ML 势的分子动力学模拟再现了实验水密度异常和热膨胀系数。对计算的氢键网络的详细结构分析表明，密度异常是由一种新兴的液体结构引起的，该结构在短距离内保持近乎理想的四面体配位，但在中距离内崩溃。我们的研究结果指出了比传统图像更微妙的导致密度最大值的机制，强调了不同长度尺度上结构排序的集体作用。</w:t>
      </w:r>
    </w:p>
    <w:p>
      <w:pPr>
        <w:spacing w:before="0" w:after="200" w:lineRule="auto" w:line="276"/>
      </w:pPr>
      <w:r>
        <w:rPr>
          <w:b/>
        </w:rPr>
        <w:t xml:space="preserve">Abstract (EN): </w:t>
      </w:r>
      <w:r>
        <w:t>After melting, at ambient pressure, the density of water continues to increase with temperature until it reaches a maximum around 4°C. For nearly a century, this phenomenon has been qualitatively attributed to a mixture of ordered and disordered structures. Here, we use a deep neural network to train a machine-learned (ML) interatomic potential for water using electronic structure data from advanced density functional theory. Notably, molecular dynamics simulations with the ML potential reproduce both the experimental water density anomaly and the thermal expansion coefficient. Detailed structural analysis of the computed hydrogen-bond network reveals that the density anomaly arises from an emergent liquid structure that retains nearly ideal tetrahedral coordination at short range but collapses at intermediate range. Our findings point to a more delicate mechanism causing the density maximum than the conventional picture, emphasizing the collective roles of structural orderings at different length scales.</w:t>
      </w:r>
    </w:p>
    <w:p>
      <w:pPr>
        <w:spacing w:before="120" w:after="120"/>
      </w:pPr>
      <w:r>
        <w:rPr>
          <w:sz w:val="18"/>
        </w:rPr>
        <w:t>——————————————————————————————————————————————————————————————————————</w:t>
      </w:r>
    </w:p>
    <w:p>
      <w:pPr>
        <w:spacing w:before="160" w:after="40" w:line="240" w:lineRule="auto"/>
      </w:pPr>
      <w:r>
        <w:rPr>
          <w:b/>
        </w:rPr>
        <w:t xml:space="preserve">[360] </w:t>
      </w:r>
      <w:hyperlink r:id="rId934">
        <w:r>
          <w:rPr>
            <w:color w:val="1155CC"/>
            <w:u w:val="single"/>
          </w:rPr>
          <w:t>多光子场诱导的 HgTe 拓扑态</w:t>
        </w:r>
      </w:hyperlink>
    </w:p>
    <w:p>
      <w:pPr>
        <w:spacing w:before="0" w:after="80"/>
      </w:pPr>
      <w:r>
        <w:rPr>
          <w:i/>
          <w:sz w:val="20"/>
        </w:rPr>
        <w:t>EN: Multiple photon field–induced topological states in bulk HgTe</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35">
        <w:r>
          <w:rPr>
            <w:color w:val="1155CC"/>
            <w:u w:val="single"/>
          </w:rPr>
          <w:t>10.1126/sciadv.aea5823</w:t>
        </w:r>
      </w:hyperlink>
    </w:p>
    <w:p>
      <w:pPr>
        <w:spacing w:before="0" w:after="120"/>
      </w:pPr>
      <w:r>
        <w:rPr>
          <w:b/>
        </w:rPr>
        <w:t xml:space="preserve">Notes: </w:t>
      </w:r>
      <w:r>
        <w:t>abstract_source=crossref</w:t>
      </w:r>
    </w:p>
    <w:p>
      <w:pPr>
        <w:spacing w:before="0" w:after="80" w:lineRule="auto" w:line="276"/>
      </w:pPr>
      <w:r>
        <w:rPr>
          <w:b/>
        </w:rPr>
        <w:t xml:space="preserve">摘要（ZH）: </w:t>
      </w:r>
      <w:r>
        <w:t>可以利用强的光-物质相互作用来改变处于热平衡状态和非热平衡状态的量子材料的特性。最近的研究表明，光子结构中的电磁场可以与凝聚态物质系统杂交，从而产生光子场修饰的集体量子。在这里，我们表明光子结构中的光子场（包括光腔和波导）通过偏振介导的对称破缺机制在固体中诱导出现的拓扑相。利用最先进的量子电动力学密度泛函理论计算，我们证明了强光-物质耦合可以重新配置 HgTe 的电子和离子结构，从而驱动系统进入外尔相、节线相或拓扑绝缘体相。这些相位取决于耦合强度中样品的相对方向。与激光驱动现象相反，光子场引起的对称性破缺是由稳态光子-物质杂化引起的，从而能够出现多种鲁棒的拓扑态。我们的研究表明，光子结构中的真空涨落可用于设计材料特性并根据需要实现量子材料中丰富的拓扑现象。</w:t>
      </w:r>
    </w:p>
    <w:p>
      <w:pPr>
        <w:spacing w:before="0" w:after="200" w:lineRule="auto" w:line="276"/>
      </w:pPr>
      <w:r>
        <w:rPr>
          <w:b/>
        </w:rPr>
        <w:t xml:space="preserve">Abstract (EN): </w:t>
      </w:r>
      <w:r>
        <w:t>Strong light-matter interactions can be exploited to modify properties of quantum materials both in and out of thermal equilibrium. Recent studies suggest that electromagnetic fields in photonic structures can hybridize with condensed matter systems, resulting in photon field–dressed collective quantum. Here, we show that photon fields in photonic structures, including optical cavities and waveguides, induce emergent topological phases in solids through polarization-mediated symmetry-breaking mechanisms. Using state-of-the-art quantum electrodynamic density functional theory calculations, we demonstrate that strong light-matter coupling can reconfigure both the electronic and ionic structures of HgTe, driving the system into Weyl, nodal-line, or topological insulator phases. These phases depend on the relative orientation of the sample in the coupling strength. In contrast with laser-driven phenomena, the photon field–induced symmetry breaking arises from steady-state photon-matter hybridization, enabling multiple robust topological states to emerge. Our study demonstrates that vacuum fluctuations in photonic structures can be used to engineer material properties and realize rich topological phenomena in quantum materials on demand.</w:t>
      </w:r>
    </w:p>
    <w:p>
      <w:pPr>
        <w:spacing w:before="120" w:after="120"/>
      </w:pPr>
      <w:r>
        <w:rPr>
          <w:sz w:val="18"/>
        </w:rPr>
        <w:t>——————————————————————————————————————————————————————————————————————</w:t>
      </w:r>
    </w:p>
    <w:p>
      <w:pPr>
        <w:spacing w:before="160" w:after="40" w:line="240" w:lineRule="auto"/>
      </w:pPr>
      <w:r>
        <w:rPr>
          <w:b/>
        </w:rPr>
        <w:t xml:space="preserve">[361] </w:t>
      </w:r>
      <w:hyperlink r:id="rId936">
        <w:r>
          <w:rPr>
            <w:color w:val="1155CC"/>
            <w:u w:val="single"/>
          </w:rPr>
          <w:t>脂质纳米盘中P2X2受体的配体识别和通道开放机制</w:t>
        </w:r>
      </w:hyperlink>
    </w:p>
    <w:p>
      <w:pPr>
        <w:spacing w:before="0" w:after="80"/>
      </w:pPr>
      <w:r>
        <w:rPr>
          <w:i/>
          <w:sz w:val="20"/>
        </w:rPr>
        <w:t>EN: Mechanisms of ligand recognition and channel opening for P2X2 receptors in lipid nanodiscs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37">
        <w:r>
          <w:rPr>
            <w:color w:val="1155CC"/>
            <w:u w:val="single"/>
          </w:rPr>
          <w:t>10.1126/sciadv.aee4242</w:t>
        </w:r>
      </w:hyperlink>
    </w:p>
    <w:p>
      <w:pPr>
        <w:spacing w:before="0" w:after="120"/>
      </w:pPr>
      <w:r>
        <w:rPr>
          <w:b/>
        </w:rPr>
        <w:t xml:space="preserve">Notes: </w:t>
      </w:r>
      <w:r>
        <w:t>abstract_source=crossref</w:t>
      </w:r>
    </w:p>
    <w:p>
      <w:pPr>
        <w:spacing w:before="0" w:after="80" w:lineRule="auto" w:line="276"/>
      </w:pPr>
      <w:r>
        <w:rPr>
          <w:b/>
        </w:rPr>
        <w:t xml:space="preserve">摘要（ZH）: </w:t>
      </w:r>
      <w:r>
        <w:t>细胞外腺苷 5'-三磷酸 (ATP) 激活 P2X 受体通道 (P2XR)，在免疫和神经系统中发挥重要作用。去垢剂中 P2XR 的可用结构表明，当孔打开时，ATP 与胞外结构域的结合会导致跨膜区域内的亚基界面断裂。在这里，我们报告了处于 apo 闭合状态的脂质纳米盘中的人 P2X2R 的冷冻电子显微镜结构，其中含有 ATP</w:t>
      </w:r>
      <w:r>
        <w:t xml:space="preserve"> </w:t>
      </w:r>
      <w:r>
        <w:t>4−</w:t>
      </w:r>
      <w:r>
        <w:t>, 镁-ATP</w:t>
      </w:r>
      <w:r>
        <w:t xml:space="preserve"> </w:t>
      </w:r>
      <w:r>
        <w:t>2−</w:t>
      </w:r>
      <w:r>
        <w:t>和苏拉明结合。我们发现独特的 Arg 残基与 γ-PO 相互作用</w:t>
      </w:r>
      <w:r>
        <w:rPr>
          <w:vertAlign w:val="subscript"/>
        </w:rPr>
        <w:t>4</w:t>
      </w:r>
      <w:r>
        <w:t>ATP 的</w:t>
      </w:r>
      <w:r>
        <w:t xml:space="preserve"> </w:t>
      </w:r>
      <w:r>
        <w:t>4−</w:t>
      </w:r>
      <w:r>
        <w:t>位于 P2X2R 中，并且是该亚型对 ATP 的要求的基础</w:t>
      </w:r>
      <w:r>
        <w:t xml:space="preserve"> </w:t>
      </w:r>
      <w:r>
        <w:t>4−</w:t>
      </w:r>
      <w:r>
        <w:t>。当 ATP 发生时，会发生通道开放和脱敏</w:t>
      </w:r>
      <w:r>
        <w:t xml:space="preserve"> </w:t>
      </w:r>
      <w:r>
        <w:t>4−</w:t>
      </w:r>
      <w:r>
        <w:t>结合，而当 Mg-ATP 时通道保持关闭</w:t>
      </w:r>
      <w:r>
        <w:t xml:space="preserve"> </w:t>
      </w:r>
      <w:r>
        <w:t>2−</w:t>
      </w:r>
      <w:r>
        <w:t>绑定。外叶中部分分解的脂质的连续带稳定了闭合状态，并且脂质的存在防止了通道打开时亚基界面的切断。这些发现建立了类膜环境中 P2X2R 门控的关键机制原理，为未来的机制研究和治疗开发提供了框架。</w:t>
      </w:r>
    </w:p>
    <w:p>
      <w:pPr>
        <w:spacing w:before="0" w:after="200" w:lineRule="auto" w:line="276"/>
      </w:pPr>
      <w:r>
        <w:rPr>
          <w:b/>
        </w:rPr>
        <w:t xml:space="preserve">Abstract (EN): </w:t>
      </w:r>
      <w:r>
        <w:t>Extracellular adenosine 5′-triphosphate (ATP) activates P2X receptor channels (P2XRs) that serve important roles in the immune and nervous systems. Available structures of P2XRs in detergents reveal that ATP binding to the extracellular domain leads to severing of subunit interfaces within transmembrane regions as the pore opens. Here we report cryo–electron microscopy structures of the human P2X2R in lipid nanodiscs in an apo closed state, with ATP</w:t>
      </w:r>
      <w:r>
        <w:t xml:space="preserve"> </w:t>
      </w:r>
      <w:r>
        <w:t>4−</w:t>
      </w:r>
      <w:r>
        <w:t>, Mg-ATP</w:t>
      </w:r>
      <w:r>
        <w:t xml:space="preserve"> </w:t>
      </w:r>
      <w:r>
        <w:t>2−</w:t>
      </w:r>
      <w:r>
        <w:t>, and suramin bound. We find that a unique Arg residue interacts with the γ-PO</w:t>
      </w:r>
      <w:r>
        <w:rPr>
          <w:vertAlign w:val="subscript"/>
        </w:rPr>
        <w:t>4</w:t>
      </w:r>
      <w:r>
        <w:t>of ATP</w:t>
      </w:r>
      <w:r>
        <w:t xml:space="preserve"> </w:t>
      </w:r>
      <w:r>
        <w:t>4−</w:t>
      </w:r>
      <w:r>
        <w:t>in P2X2R and underlies the requirement of this subtype for ATP</w:t>
      </w:r>
      <w:r>
        <w:t xml:space="preserve"> </w:t>
      </w:r>
      <w:r>
        <w:t>4−</w:t>
      </w:r>
      <w:r>
        <w:t>. Channel opening and desensitization occur when ATP</w:t>
      </w:r>
      <w:r>
        <w:t xml:space="preserve"> </w:t>
      </w:r>
      <w:r>
        <w:t>4−</w:t>
      </w:r>
      <w:r>
        <w:t>binds, whereas the channel remains closed when Mg-ATP</w:t>
      </w:r>
      <w:r>
        <w:t xml:space="preserve"> </w:t>
      </w:r>
      <w:r>
        <w:t>2−</w:t>
      </w:r>
      <w:r>
        <w:t>binds. A continuous belt of partially resolved lipids in the outer leaflet stabilizes the closed state, and the presence of lipids prevents the severing of subunit interfaces as the channel opens. These findings establish key mechanistic principles of gating for P2X2R in a membrane-like environment, providing a framework for future mechanistic studies and therapeutic development.</w:t>
      </w:r>
    </w:p>
    <w:p>
      <w:pPr>
        <w:spacing w:before="120" w:after="120"/>
      </w:pPr>
      <w:r>
        <w:rPr>
          <w:sz w:val="18"/>
        </w:rPr>
        <w:t>——————————————————————————————————————————————————————————————————————</w:t>
      </w:r>
    </w:p>
    <w:p>
      <w:pPr>
        <w:spacing w:before="160" w:after="40" w:line="240" w:lineRule="auto"/>
      </w:pPr>
      <w:r>
        <w:rPr>
          <w:b/>
        </w:rPr>
        <w:t xml:space="preserve">[362] </w:t>
      </w:r>
      <w:hyperlink r:id="rId938">
        <w:r>
          <w:rPr>
            <w:color w:val="1155CC"/>
            <w:u w:val="single"/>
          </w:rPr>
          <w:t>水面无人机揭示飓风海空阻力饱和度和海况依赖性</w:t>
        </w:r>
      </w:hyperlink>
    </w:p>
    <w:p>
      <w:pPr>
        <w:spacing w:before="0" w:after="80"/>
      </w:pPr>
      <w:r>
        <w:rPr>
          <w:i/>
          <w:sz w:val="20"/>
        </w:rPr>
        <w:t>EN: Hurricane air-sea drag saturation and sea-state dependence revealed by surface drones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39">
        <w:r>
          <w:rPr>
            <w:color w:val="1155CC"/>
            <w:u w:val="single"/>
          </w:rPr>
          <w:t>10.1126/sciadv.aec7422</w:t>
        </w:r>
      </w:hyperlink>
    </w:p>
    <w:p>
      <w:pPr>
        <w:spacing w:before="0" w:after="120"/>
      </w:pPr>
      <w:r>
        <w:rPr>
          <w:b/>
        </w:rPr>
        <w:t xml:space="preserve">Notes: </w:t>
      </w:r>
      <w:r>
        <w:t>abstract_source=crossref</w:t>
      </w:r>
    </w:p>
    <w:p>
      <w:pPr>
        <w:spacing w:before="0" w:after="80" w:lineRule="auto" w:line="276"/>
      </w:pPr>
      <w:r>
        <w:rPr>
          <w:b/>
        </w:rPr>
        <w:t xml:space="preserve">摘要（ZH）: </w:t>
      </w:r>
      <w:r>
        <w:t>海洋为热带气旋 (TC) 提供能量，并通过表面摩擦减缓其风速，这对海洋施加了称为风应力的力。阻力系数（</w:t>
      </w:r>
      <w:r>
        <w:t xml:space="preserve"> </w:t>
      </w:r>
      <w:r>
        <w:t>C</w:t>
      </w:r>
      <w:r>
        <w:t xml:space="preserve"> </w:t>
      </w:r>
      <w:r>
        <w:t>d</w:t>
      </w:r>
      <w:r>
        <w:t xml:space="preserve"> </w:t>
      </w:r>
      <w:r>
        <w:t>）是将风速转换为风应力的关键参数，目前在预报模型中根据低至中度海洋风收集的不完整数据进行估计。在这里，我们使用 11 场大西洋飓风的测量数据来量化</w:t>
      </w:r>
      <w:r>
        <w:t xml:space="preserve"> </w:t>
      </w:r>
      <w:r>
        <w:t>C</w:t>
      </w:r>
      <w:r>
        <w:t xml:space="preserve"> </w:t>
      </w:r>
      <w:r>
        <w:t>d</w:t>
      </w:r>
      <w:r>
        <w:t xml:space="preserve"> </w:t>
      </w:r>
      <w:r>
        <w:t>风速高达每秒 44 米，表面波浪高达 14 米。发现</w:t>
      </w:r>
      <w:r>
        <w:t xml:space="preserve"> </w:t>
      </w:r>
      <w:r>
        <w:t>C</w:t>
      </w:r>
      <w:r>
        <w:t xml:space="preserve"> </w:t>
      </w:r>
      <w:r>
        <w:t>d</w:t>
      </w:r>
      <w:r>
        <w:t xml:space="preserve"> </w:t>
      </w:r>
      <w:r>
        <w:t>当风速超过每秒 30 米时，风速趋于平稳，但并没有像之前的间接方法所建议的那样明显下降。风场和波浪场相互作用的原因</w:t>
      </w:r>
      <w:r>
        <w:t xml:space="preserve"> </w:t>
      </w:r>
      <w:r>
        <w:t>C</w:t>
      </w:r>
      <w:r>
        <w:t xml:space="preserve"> </w:t>
      </w:r>
      <w:r>
        <w:t>d</w:t>
      </w:r>
      <w:r>
        <w:t xml:space="preserve"> </w:t>
      </w:r>
      <w:r>
        <w:t>风暴的运动左侧（风和浪错位）比右侧高 20 ± 2%。这些结果直接量化了基本的热带气旋海气相互作用参数，并证明了不同的热带气旋象限特定风波相互作用的重要性。</w:t>
      </w:r>
    </w:p>
    <w:p>
      <w:pPr>
        <w:spacing w:before="0" w:after="200" w:lineRule="auto" w:line="276"/>
      </w:pPr>
      <w:r>
        <w:rPr>
          <w:b/>
        </w:rPr>
        <w:t xml:space="preserve">Abstract (EN): </w:t>
      </w:r>
      <w:r>
        <w:t>The ocean supplies energy for tropical cyclones (TCs) and slows their winds through surface friction, which exerts a force on the ocean termed wind stress. The drag coefficient (</w:t>
      </w:r>
      <w:r>
        <w:t xml:space="preserve"> </w:t>
      </w:r>
      <w:r>
        <w:t>C</w:t>
      </w:r>
      <w:r>
        <w:t xml:space="preserve"> </w:t>
      </w:r>
      <w:r>
        <w:t>d</w:t>
      </w:r>
      <w:r>
        <w:t xml:space="preserve"> </w:t>
      </w:r>
      <w:r>
        <w:t>) is the key parameter that converts wind speed to wind stress and is currently estimated in forecast models from incomplete data collected in low-to-moderate ocean winds. Here, we use measurements from 11 Atlantic hurricanes to quantify</w:t>
      </w:r>
      <w:r>
        <w:t xml:space="preserve"> </w:t>
      </w:r>
      <w:r>
        <w:t>C</w:t>
      </w:r>
      <w:r>
        <w:t xml:space="preserve"> </w:t>
      </w:r>
      <w:r>
        <w:t>d</w:t>
      </w:r>
      <w:r>
        <w:t xml:space="preserve"> </w:t>
      </w:r>
      <w:r>
        <w:t>in winds up to 44 meters per second and surface waves up to 14 meters. It is found that</w:t>
      </w:r>
      <w:r>
        <w:t xml:space="preserve"> </w:t>
      </w:r>
      <w:r>
        <w:t>C</w:t>
      </w:r>
      <w:r>
        <w:t xml:space="preserve"> </w:t>
      </w:r>
      <w:r>
        <w:t>d</w:t>
      </w:r>
      <w:r>
        <w:t xml:space="preserve"> </w:t>
      </w:r>
      <w:r>
        <w:t>levels off, as wind speed surpasses 30 meters per second but does not decrease appreciably as suggested by previous indirect methods. Interaction of the wind and wave fields causes</w:t>
      </w:r>
      <w:r>
        <w:t xml:space="preserve"> </w:t>
      </w:r>
      <w:r>
        <w:t>C</w:t>
      </w:r>
      <w:r>
        <w:t xml:space="preserve"> </w:t>
      </w:r>
      <w:r>
        <w:t>d</w:t>
      </w:r>
      <w:r>
        <w:t xml:space="preserve"> </w:t>
      </w:r>
      <w:r>
        <w:t>to be 20 ± 2% higher on the motion-left side of a storm, where wind and waves are misaligned, than on the right. These results quantify directly a fundamental TC air-sea interaction parameter and demonstrate the importance of distinct TC quadrant-specific wind-wave interactions.</w:t>
      </w:r>
    </w:p>
    <w:p>
      <w:pPr>
        <w:spacing w:before="120" w:after="120"/>
      </w:pPr>
      <w:r>
        <w:rPr>
          <w:sz w:val="18"/>
        </w:rPr>
        <w:t>——————————————————————————————————————————————————————————————————————</w:t>
      </w:r>
    </w:p>
    <w:p>
      <w:pPr>
        <w:spacing w:before="160" w:after="40" w:line="240" w:lineRule="auto"/>
      </w:pPr>
      <w:r>
        <w:rPr>
          <w:b/>
        </w:rPr>
        <w:t xml:space="preserve">[363] </w:t>
      </w:r>
      <w:hyperlink r:id="rId940">
        <w:r>
          <w:rPr>
            <w:color w:val="1155CC"/>
            <w:u w:val="single"/>
          </w:rPr>
          <w:t>复杂与简单的 N-亚硝胺：针对未来测试范式的综合遗传毒性和计算机致癌性评估</w:t>
        </w:r>
      </w:hyperlink>
    </w:p>
    <w:p>
      <w:pPr>
        <w:spacing w:before="0" w:after="80"/>
      </w:pPr>
      <w:r>
        <w:rPr>
          <w:i/>
          <w:sz w:val="20"/>
        </w:rPr>
        <w:t>EN: Complex versus simple N-nitrosamines: Comprehensive genotoxicity and in silico carcinogenicity assessment toward future testing paradigms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41">
        <w:r>
          <w:rPr>
            <w:color w:val="1155CC"/>
            <w:u w:val="single"/>
          </w:rPr>
          <w:t>10.1126/sciadv.aee8680</w:t>
        </w:r>
      </w:hyperlink>
    </w:p>
    <w:p>
      <w:pPr>
        <w:spacing w:before="0" w:after="120"/>
      </w:pPr>
      <w:r>
        <w:rPr>
          <w:b/>
        </w:rPr>
        <w:t xml:space="preserve">Notes: </w:t>
      </w:r>
      <w:r>
        <w:t>abstract_source=crossref</w:t>
      </w:r>
    </w:p>
    <w:p>
      <w:pPr>
        <w:spacing w:before="0" w:after="80" w:lineRule="auto" w:line="276"/>
      </w:pPr>
      <w:r>
        <w:rPr>
          <w:b/>
        </w:rPr>
        <w:t xml:space="preserve">摘要（ZH）: </w:t>
      </w:r>
      <w:r>
        <w:t>检测</w:t>
      </w:r>
      <w:r>
        <w:t xml:space="preserve"> </w:t>
      </w:r>
      <w:r>
        <w:t>氮</w:t>
      </w:r>
      <w:r>
        <w:t xml:space="preserve"> </w:t>
      </w:r>
      <w:r>
        <w:t>-自 2018 年以来，药品中的亚硝胺一直是行业和监管机构关注的焦点。这促使人们对其致突变潜力和缓解策略进行了广泛研究。我们对 25 个结构多样化的项目进行了综合评估</w:t>
      </w:r>
      <w:r>
        <w:t xml:space="preserve"> </w:t>
      </w:r>
      <w:r>
        <w:t>氮</w:t>
      </w:r>
      <w:r>
        <w:t xml:space="preserve"> </w:t>
      </w:r>
      <w:r>
        <w:t>-使用体外（艾姆斯测试）、体内（肝彗星、Big Blue 转基因突变和双链测序）和计算机方法[量子力学建模和细胞色素 P450 (CYP) 结合分析] 来检测亚硝胺。结果显示各测定结果具有很强的一致性，并揭示复杂的活性药物成分 (API) 衍生的或工艺相关的杂质 (PRI) 衍生的</w:t>
      </w:r>
      <w:r>
        <w:t xml:space="preserve"> </w:t>
      </w:r>
      <w:r>
        <w:t>氮</w:t>
      </w:r>
      <w:r>
        <w:t xml:space="preserve"> </w:t>
      </w:r>
      <w:r>
        <w:t>-亚硝胺通常不具有致突变性或具有低致突变性。体内定量数据能够推导特定化合物的可接受摄入量（AI），根据结构特征的评估，经常超出监管限制。双链测序表现出优于传统测定的灵敏度，并且量子力学模型被证明对于效力预测是有效的。提出了一种证据权重决策树来派生集成实验和计算数据的人工智能，这减少了动物测试并支持与风险相称的药品补救工作。</w:t>
      </w:r>
    </w:p>
    <w:p>
      <w:pPr>
        <w:spacing w:before="0" w:after="200" w:lineRule="auto" w:line="276"/>
      </w:pPr>
      <w:r>
        <w:rPr>
          <w:b/>
        </w:rPr>
        <w:t xml:space="preserve">Abstract (EN): </w:t>
      </w:r>
      <w:r>
        <w:t>The detection of</w:t>
      </w:r>
      <w:r>
        <w:t xml:space="preserve"> </w:t>
      </w:r>
      <w:r>
        <w:t>N</w:t>
      </w:r>
      <w:r>
        <w:t xml:space="preserve"> </w:t>
      </w:r>
      <w:r>
        <w:t>-nitrosamines in pharmaceuticals has been a focus for industry and regulatory authorities since 2018. This has prompted extensive research into their mutagenic potential and mitigation strategies. We present a comprehensive evaluation of 25 structurally diverse</w:t>
      </w:r>
      <w:r>
        <w:t xml:space="preserve"> </w:t>
      </w:r>
      <w:r>
        <w:t>N</w:t>
      </w:r>
      <w:r>
        <w:t xml:space="preserve"> </w:t>
      </w:r>
      <w:r>
        <w:t>-nitrosamines using in vitro (Ames test), in vivo (liver comet, Big Blue transgenic mutation, and duplex sequencing), and in silico methods [quantum mechanical modeling and cytochrome P450 (CYP)–binding analysis]. Results show strong concordance across assays and reveal that complex active pharmaceutical ingredient (API)–derived or process-related impurity (PRI)–derived</w:t>
      </w:r>
      <w:r>
        <w:t xml:space="preserve"> </w:t>
      </w:r>
      <w:r>
        <w:t>N</w:t>
      </w:r>
      <w:r>
        <w:t xml:space="preserve"> </w:t>
      </w:r>
      <w:r>
        <w:t>-nitrosamines are often not mutagenic or have low mutagenic potency. Quantitative in vivo data enabled the derivation of compound-specific acceptable intakes (AIs), frequently exceeding regulatory limits based on an assessment of structural features. Duplex sequencing demonstrated superior sensitivity over traditional assays, and quantum mechanical models proved effective for potency prediction. A weight-of-evidence decision tree to derive AIs that integrates experimental and computational data is proposed, which reduces animal testing and supports drug product remediation efforts that are commensurate with risk.</w:t>
      </w:r>
    </w:p>
    <w:p>
      <w:pPr>
        <w:spacing w:before="120" w:after="120"/>
      </w:pPr>
      <w:r>
        <w:rPr>
          <w:sz w:val="18"/>
        </w:rPr>
        <w:t>——————————————————————————————————————————————————————————————————————</w:t>
      </w:r>
    </w:p>
    <w:p>
      <w:pPr>
        <w:spacing w:before="160" w:after="40" w:line="240" w:lineRule="auto"/>
      </w:pPr>
      <w:r>
        <w:rPr>
          <w:b/>
        </w:rPr>
        <w:t xml:space="preserve">[364] </w:t>
      </w:r>
      <w:hyperlink r:id="rId942">
        <w:r>
          <w:rPr>
            <w:color w:val="1155CC"/>
            <w:u w:val="single"/>
          </w:rPr>
          <w:t>实时 microCT 揭示珊瑚的生长、收缩、防御和再生策略</w:t>
        </w:r>
      </w:hyperlink>
    </w:p>
    <w:p>
      <w:pPr>
        <w:spacing w:before="0" w:after="80"/>
      </w:pPr>
      <w:r>
        <w:rPr>
          <w:i/>
          <w:sz w:val="20"/>
        </w:rPr>
        <w:t>EN: Coral growth, retraction, defense, and regenerative strategies revealed by live microCT</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43">
        <w:r>
          <w:rPr>
            <w:color w:val="1155CC"/>
            <w:u w:val="single"/>
          </w:rPr>
          <w:t>10.1126/sciadv.aee3183</w:t>
        </w:r>
      </w:hyperlink>
    </w:p>
    <w:p>
      <w:pPr>
        <w:spacing w:before="0" w:after="120"/>
      </w:pPr>
      <w:r>
        <w:rPr>
          <w:b/>
        </w:rPr>
        <w:t xml:space="preserve">Notes: </w:t>
      </w:r>
      <w:r>
        <w:t>abstract_source=crossref</w:t>
      </w:r>
    </w:p>
    <w:p>
      <w:pPr>
        <w:spacing w:before="0" w:after="80" w:lineRule="auto" w:line="276"/>
      </w:pPr>
      <w:r>
        <w:rPr>
          <w:b/>
        </w:rPr>
        <w:t xml:space="preserve">摘要（ZH）: </w:t>
      </w:r>
      <w:r>
        <w:t>了解珊瑚如何构建和重塑骨骼是解释珊瑚礁恢复能力的关键，但大多数见解都来自静态成像。使用纵向活体显微 CT，我们以微米分辨率追踪了相同的珊瑚群落数周至​​数月。珊瑚骨骼的形成不是一个统一的增生过程，而是多个程序的动态整合，包括垂直和水平模式生长、先前未描述的针对竞争对手的防御墙构建、具有可逆扩张和收缩的探索性边缘行为，以及有利于快速、不精确但有效的基质扩张的骨骼再生。时间分辨成像将菌落规模的生长与微尺度事件联系起来，表明所有模式都取决于骨骼微粒融合和分层基质沉积之间的平衡，并由组织预图案化引导。除了珊瑚之外，该框架还可以推广到研究不同生物矿化生物体的骨骼动力学。</w:t>
      </w:r>
    </w:p>
    <w:p>
      <w:pPr>
        <w:spacing w:before="0" w:after="200" w:lineRule="auto" w:line="276"/>
      </w:pPr>
      <w:r>
        <w:rPr>
          <w:b/>
        </w:rPr>
        <w:t xml:space="preserve">Abstract (EN): </w:t>
      </w:r>
      <w:r>
        <w:t>Understanding how corals build and remodel their skeletons is key to explaining reef resilience, yet most insights come from static imaging. Using longitudinal live microCT, we tracked the same coral colonies over weeks to months at micrometer resolution. Coral skeleton formation is not a uniform accretion process but a dynamic integration of multiple programs, including vertical and horizontal patterned growth, previously undescribed defensive wall-building against competitors, exploratory edge behavior with reversible expansions and retractions, and skeletal regeneration favoring rapid, imprecise yet effective matrix expansion. Time-resolved imaging links colony-scale growth to microscale events, showing that all modes depend on balances between fusion of skeletal microparticles and layered matrix deposition, guided by tissue prepatterning. Beyond corals, this framework generalizes to studying skeletal dynamics across diverse biomineralizing organisms.</w:t>
      </w:r>
    </w:p>
    <w:p>
      <w:pPr>
        <w:spacing w:before="120" w:after="120"/>
      </w:pPr>
      <w:r>
        <w:rPr>
          <w:sz w:val="18"/>
        </w:rPr>
        <w:t>——————————————————————————————————————————————————————————————————————</w:t>
      </w:r>
    </w:p>
    <w:p>
      <w:pPr>
        <w:spacing w:before="160" w:after="40" w:line="240" w:lineRule="auto"/>
      </w:pPr>
      <w:r>
        <w:rPr>
          <w:b/>
        </w:rPr>
        <w:t xml:space="preserve">[365] </w:t>
      </w:r>
      <w:hyperlink r:id="rId944">
        <w:r>
          <w:rPr>
            <w:color w:val="1155CC"/>
            <w:u w:val="single"/>
          </w:rPr>
          <w:t>植物免疫受体通过将毛毛虫检测与捕食者招募联系起来介导三营养相互作用</w:t>
        </w:r>
      </w:hyperlink>
    </w:p>
    <w:p>
      <w:pPr>
        <w:spacing w:before="0" w:after="80"/>
      </w:pPr>
      <w:r>
        <w:rPr>
          <w:i/>
          <w:sz w:val="20"/>
        </w:rPr>
        <w:t>EN: A plant immune receptor mediates tritrophic interactions by linking caterpillar detection to predator recruitment</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45">
        <w:r>
          <w:rPr>
            <w:color w:val="1155CC"/>
            <w:u w:val="single"/>
          </w:rPr>
          <w:t>10.1126/sciadv.aec3229</w:t>
        </w:r>
      </w:hyperlink>
    </w:p>
    <w:p>
      <w:pPr>
        <w:spacing w:before="0" w:after="120"/>
      </w:pPr>
      <w:r>
        <w:rPr>
          <w:b/>
        </w:rPr>
        <w:t xml:space="preserve">Notes: </w:t>
      </w:r>
      <w:r>
        <w:t>abstract_source=crossref</w:t>
      </w:r>
    </w:p>
    <w:p>
      <w:pPr>
        <w:spacing w:before="0" w:after="80" w:lineRule="auto" w:line="276"/>
      </w:pPr>
      <w:r>
        <w:rPr>
          <w:b/>
        </w:rPr>
        <w:t xml:space="preserve">摘要（ZH）: </w:t>
      </w:r>
      <w:r>
        <w:t>植物针对昆虫食草而部署直接和间接防御。特定的抗食草动物反应涉及识别食草动物相关分子模式（HAMP）的细胞表面免疫受体，但这种分子相互作用在自然环境中的生态相关性仍未得到探索。在这里，我们通过墨西哥的实验室和现场实验证明，菜豆叶子中的 inceptin 受体 (INR) 在识别 inceptin（毛毛虫口腔分泌物中的 HAMP）后协调三营养相互作用。 INR 天然存在无效突变的近等基因系表明，inceptin 识别不仅会放大伤口反应，还会激活草食动物特异性免疫途径，触发独特的挥发性混合物的排放，招募捕食性黄蜂，有效清除植物中的毛毛虫。这些发现提供了明确的分子与生态之间的联系，揭示了单个免疫受体如何介导自然界中生态相关的植物-昆虫-捕食者相互作用。</w:t>
      </w:r>
    </w:p>
    <w:p>
      <w:pPr>
        <w:spacing w:before="0" w:after="200" w:lineRule="auto" w:line="276"/>
      </w:pPr>
      <w:r>
        <w:rPr>
          <w:b/>
        </w:rPr>
        <w:t xml:space="preserve">Abstract (EN): </w:t>
      </w:r>
      <w:r>
        <w:t>Plants deploy direct and indirect defenses in response to insect herbivory. The specific antiherbivore responses involve cell surface immune receptors that recognize herbivore-associated molecular patterns (HAMPs), yet the ecological relevance of this molecular interplay in natural settings remains unexplored. Here, we demonstrate with laboratory and field experimentation in Mexico that the inceptin receptor (INR) in the leaves of common bean orchestrates a tritrophic interaction upon recognition of inceptin, a HAMP in caterpillar oral secretions. Near-isogenic lines with a naturally occurring null mutation in INR revealed that inceptin recognition does not only amplify the wound response but activates an herbivore-specific immune pathway to trigger the emission of a distinctive volatile blend that recruits predatory wasps to effectively remove caterpillars from the plants. These findings provide a definitive molecular-to-ecological link, revealing how a single immune receptor mediates ecologically relevant plant-insect-predator interactions in nature.</w:t>
      </w:r>
    </w:p>
    <w:p>
      <w:pPr>
        <w:spacing w:before="120" w:after="120"/>
      </w:pPr>
      <w:r>
        <w:rPr>
          <w:sz w:val="18"/>
        </w:rPr>
        <w:t>——————————————————————————————————————————————————————————————————————</w:t>
      </w:r>
    </w:p>
    <w:p>
      <w:pPr>
        <w:spacing w:before="160" w:after="40" w:line="240" w:lineRule="auto"/>
      </w:pPr>
      <w:r>
        <w:rPr>
          <w:b/>
        </w:rPr>
        <w:t xml:space="preserve">[366] </w:t>
      </w:r>
      <w:hyperlink r:id="rId946">
        <w:r>
          <w:rPr>
            <w:color w:val="1155CC"/>
            <w:u w:val="single"/>
          </w:rPr>
          <w:t>用于全橡胶多路复用近红外光电晶体管阵列的橡胶半导体异质结膜</w:t>
        </w:r>
      </w:hyperlink>
    </w:p>
    <w:p>
      <w:pPr>
        <w:spacing w:before="0" w:after="80"/>
      </w:pPr>
      <w:r>
        <w:rPr>
          <w:i/>
          <w:sz w:val="20"/>
        </w:rPr>
        <w:t>EN: A rubbery semiconducting heterojunction film for fully rubbery multiplexed near-infrared phototransistor arrays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47">
        <w:r>
          <w:rPr>
            <w:color w:val="1155CC"/>
            <w:u w:val="single"/>
          </w:rPr>
          <w:t>10.1126/sciadv.aee2602</w:t>
        </w:r>
      </w:hyperlink>
    </w:p>
    <w:p>
      <w:pPr>
        <w:spacing w:before="0" w:after="120"/>
      </w:pPr>
      <w:r>
        <w:rPr>
          <w:b/>
        </w:rPr>
        <w:t xml:space="preserve">Notes: </w:t>
      </w:r>
      <w:r>
        <w:t>abstract_source=crossref</w:t>
      </w:r>
    </w:p>
    <w:p>
      <w:pPr>
        <w:spacing w:before="0" w:after="80" w:lineRule="auto" w:line="276"/>
      </w:pPr>
      <w:r>
        <w:rPr>
          <w:b/>
        </w:rPr>
        <w:t xml:space="preserve">摘要（ZH）: </w:t>
      </w:r>
      <w:r>
        <w:t>具有固有拉伸性和出色载流子收集效率的高灵敏度光电检测半导体对于橡胶光电晶体管的发展至关重要。然而，将此类材料大规模制造成高性能、多路复用橡胶近红外光电晶体管阵列仍然具有挑战性。在此，我们报道了一种具有独特纳米网结构的高掺杂橡胶状半导体纳米膜，通过精确控制三元共混物的成分制成，该三元共混物包含半导体聚合物（DPP-TT）、分子掺杂剂（F4TCNQ）和弹性基质（聚氨酯）。这种独特的架构提供了高载流子迁移率和卓越的机械拉伸性。所开发的橡胶光电晶体管及其多路复用阵列即使在 50% 的应变下也能保持电气功能。值得注意的是，多路复用光电晶体管阵列保持高成像保真度，即使在变形状态下也能够再现清晰的图案。此外，我们还演示了该成像系统作为二维可拉伸条形码的应用，利用其多通道、依赖于照明的响应。这项工作为高性能橡胶光电子产品的可扩展生产提供了一条可行的途径。</w:t>
      </w:r>
    </w:p>
    <w:p>
      <w:pPr>
        <w:spacing w:before="0" w:after="200" w:lineRule="auto" w:line="276"/>
      </w:pPr>
      <w:r>
        <w:rPr>
          <w:b/>
        </w:rPr>
        <w:t xml:space="preserve">Abstract (EN): </w:t>
      </w:r>
      <w:r>
        <w:t>High-sensitivity photodetecting semiconductors with intrinsic stretchability and excellent charge carrier collection efficiency are imperative for the advancement of rubbery phototransistors. However, the scalable manufacturing of such materials into high-performance, multiplexed rubbery near-infrared phototransistor arrays remains challenging. Herein, we report a highly doped, rubbery semiconducting nanofilm with a unique nanoweb structure, fabricated by precisely controlling the composition of a ternary blend, comprising a semiconducting polymer (DPP-TT), a molecular dopant (F4TCNQ), and an elastic matrix (polyurethane). This unique architecture provides both high charge carrier mobility and exceptional mechanical stretchability. The developed rubbery phototransistors and their multiplexed arrays maintain electrical functionality even under 50% strain. Notably, the multiplexed phototransistor array maintains high imaging fidelity, capable of reproducing well-defined patterns even in deformed states. Furthermore, we demonstrate the application of this imaging system as a two-dimensional stretchable barcode, leveraging its multichannel, illumination-dependent responses. This work provides a viable pathway for the scalable production of high-performance rubbery optoelectronics.</w:t>
      </w:r>
    </w:p>
    <w:p>
      <w:pPr>
        <w:spacing w:before="120" w:after="120"/>
      </w:pPr>
      <w:r>
        <w:rPr>
          <w:sz w:val="18"/>
        </w:rPr>
        <w:t>——————————————————————————————————————————————————————————————————————</w:t>
      </w:r>
    </w:p>
    <w:p>
      <w:pPr>
        <w:spacing w:before="160" w:after="40" w:line="240" w:lineRule="auto"/>
      </w:pPr>
      <w:r>
        <w:rPr>
          <w:b/>
        </w:rPr>
        <w:t xml:space="preserve">[367] </w:t>
      </w:r>
      <w:hyperlink r:id="rId948">
        <w:r>
          <w:rPr>
            <w:color w:val="1155CC"/>
            <w:u w:val="single"/>
          </w:rPr>
          <w:t>PlasmidGPT：质粒分析和生成的生成框架</w:t>
        </w:r>
      </w:hyperlink>
    </w:p>
    <w:p>
      <w:pPr>
        <w:spacing w:before="0" w:after="80"/>
      </w:pPr>
      <w:r>
        <w:rPr>
          <w:i/>
          <w:sz w:val="20"/>
        </w:rPr>
        <w:t>EN: PlasmidGPT: A generative framework for plasmid analysis and generation</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49">
        <w:r>
          <w:rPr>
            <w:color w:val="1155CC"/>
            <w:u w:val="single"/>
          </w:rPr>
          <w:t>10.1126/sciadv.aee6916</w:t>
        </w:r>
      </w:hyperlink>
    </w:p>
    <w:p>
      <w:pPr>
        <w:spacing w:before="0" w:after="120"/>
      </w:pPr>
      <w:r>
        <w:rPr>
          <w:b/>
        </w:rPr>
        <w:t xml:space="preserve">Notes: </w:t>
      </w:r>
      <w:r>
        <w:t>abstract_source=crossref</w:t>
      </w:r>
    </w:p>
    <w:p>
      <w:pPr>
        <w:spacing w:before="0" w:after="80" w:lineRule="auto" w:line="276"/>
      </w:pPr>
      <w:r>
        <w:rPr>
          <w:b/>
        </w:rPr>
        <w:t xml:space="preserve">摘要（ZH）: </w:t>
      </w:r>
      <w:r>
        <w:t>我们引入 PlasmidGPT，这是一种在 Addgene 的 153,208 个工程质粒序列上进行预训练的生成语言模型。 PlasmidGPT 学习信息丰富的序列嵌入，从而实现跨实验室研究主题的可视化以及跨载体类型的质粒多样性分析。利用这些嵌入，PlasmidGPT 可以准确预测工程质粒的特征，并在起源实验室预测中实现最先进的性能。学习到的表示也可以推广到天然质粒，从而能够在门和属水平上进行宿主分类学预测。此外，PlasmidGPT 可以通过使用预定义的输入序列或指定的设计约束来控制功能性质粒序列的生成，产生重现真实质粒的部分共现和同线性的输出。</w:t>
      </w:r>
    </w:p>
    <w:p>
      <w:pPr>
        <w:spacing w:before="0" w:after="200" w:lineRule="auto" w:line="276"/>
      </w:pPr>
      <w:r>
        <w:rPr>
          <w:b/>
        </w:rPr>
        <w:t xml:space="preserve">Abstract (EN): </w:t>
      </w:r>
      <w:r>
        <w:t>We introduce PlasmidGPT, a generative language model pretrained on 153,208 engineered plasmid sequences from Addgene. PlasmidGPT learns informative sequence embeddings that enable visualization of research topics across laboratories and analysis of plasmid diversity across vector types. Leveraging these embeddings, PlasmidGPT accurately predicts features of engineered plasmids and achieves state-of-the-art performance in lab-of-origin prediction. The learned representations also generalize to natural plasmids, enabling host taxonomy prediction at both the phylum and genus level. Moreover, PlasmidGPT enables controlled generation of functional plasmid sequences by using either a predefined input sequence or specified design constraints, producing outputs that recapitulate the part co-occurrence and synteny of real plasmids.</w:t>
      </w:r>
    </w:p>
    <w:p>
      <w:pPr>
        <w:spacing w:before="120" w:after="120"/>
      </w:pPr>
      <w:r>
        <w:rPr>
          <w:sz w:val="18"/>
        </w:rPr>
        <w:t>——————————————————————————————————————————————————————————————————————</w:t>
      </w:r>
    </w:p>
    <w:p>
      <w:pPr>
        <w:spacing w:before="160" w:after="40" w:line="240" w:lineRule="auto"/>
      </w:pPr>
      <w:r>
        <w:rPr>
          <w:b/>
        </w:rPr>
        <w:t xml:space="preserve">[368] </w:t>
      </w:r>
      <w:hyperlink r:id="rId950">
        <w:r>
          <w:rPr>
            <w:color w:val="1155CC"/>
            <w:u w:val="single"/>
          </w:rPr>
          <w:t>投射定义的下丘脑输出差异调节产热和脂肪分解</w:t>
        </w:r>
      </w:hyperlink>
    </w:p>
    <w:p>
      <w:pPr>
        <w:spacing w:before="0" w:after="80"/>
      </w:pPr>
      <w:r>
        <w:rPr>
          <w:i/>
          <w:sz w:val="20"/>
        </w:rPr>
        <w:t>EN: Projection-defined hypothalamic outputs differentially regulate thermogenesis and lipolysis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51">
        <w:r>
          <w:rPr>
            <w:color w:val="1155CC"/>
            <w:u w:val="single"/>
          </w:rPr>
          <w:t>10.1073/pnas.2535878123</w:t>
        </w:r>
      </w:hyperlink>
    </w:p>
    <w:p>
      <w:pPr>
        <w:spacing w:before="0" w:after="120"/>
      </w:pPr>
      <w:r>
        <w:rPr>
          <w:b/>
        </w:rPr>
        <w:t xml:space="preserve">Notes: </w:t>
      </w:r>
      <w:r>
        <w:t>abstract_source=crossref</w:t>
      </w:r>
    </w:p>
    <w:p>
      <w:pPr>
        <w:spacing w:before="0" w:after="80" w:lineRule="auto" w:line="276"/>
      </w:pPr>
      <w:r>
        <w:rPr>
          <w:b/>
        </w:rPr>
        <w:t xml:space="preserve">摘要（ZH）: </w:t>
      </w:r>
      <w:r>
        <w:t>下丘脑腹内侧区 (VMH) 是能量稳态的关键调节因子，将中枢神经活动与外周代谢功能联系起来。在 VMH 内，表达类固醇生成因子 1 (SF-1；VMH</w:t>
      </w:r>
      <w:r>
        <w:t xml:space="preserve"> </w:t>
      </w:r>
      <w:r>
        <w:t>SF1</w:t>
      </w:r>
      <w:r>
        <w:t xml:space="preserve"> </w:t>
      </w:r>
      <w:r>
        <w:t>）对于调节能量消耗至关重要，但它们差异控制不同脂肪库的预测定义途径仍不清楚。在这里，我们在 SF1-Cre 小鼠中使用投影特异性光遗传学和化学遗传学操作来识别两种解剖学和功能上不同的 VMH</w:t>
      </w:r>
      <w:r>
        <w:t xml:space="preserve"> </w:t>
      </w:r>
      <w:r>
        <w:t>SF1</w:t>
      </w:r>
      <w:r>
        <w:t xml:space="preserve"> </w:t>
      </w:r>
      <w:r>
        <w:t>具有互补代谢作用的输出途径。激活VMH</w:t>
      </w:r>
      <w:r>
        <w:t xml:space="preserve"> </w:t>
      </w:r>
      <w:r>
        <w:t>SF1</w:t>
      </w:r>
      <w:r>
        <w:t xml:space="preserve"> </w:t>
      </w:r>
      <w:r>
        <w:t>→头端导水管周围灰质 (rPAG) 投射选择性刺激棕色脂肪组织中的生热作用，提高其温度和生热基因表达，而 VMH 的激活</w:t>
      </w:r>
      <w:r>
        <w:t xml:space="preserve"> </w:t>
      </w:r>
      <w:r>
        <w:t>SF1</w:t>
      </w:r>
      <w:r>
        <w:t xml:space="preserve"> </w:t>
      </w:r>
      <w:r>
        <w:t>→室旁丘脑（PVT）通路促进白色脂肪组织中的脂肪分解，而不参与产热程序。这两种效应都需要完整的神经支配和目标区域活动。这些发现表明 VMH</w:t>
      </w:r>
      <w:r>
        <w:t xml:space="preserve"> </w:t>
      </w:r>
      <w:r>
        <w:t>SF1</w:t>
      </w:r>
      <w:r>
        <w:t xml:space="preserve"> </w:t>
      </w:r>
      <w:r>
        <w:t>神经元指导不同的下丘脑输出途径来差异调节生热和脂质动员，描绘出一个模块化的神经框架，用于灵活的、状态依赖的能量消耗和底物利用的协调。</w:t>
      </w:r>
    </w:p>
    <w:p>
      <w:pPr>
        <w:spacing w:before="0" w:after="200" w:lineRule="auto" w:line="276"/>
      </w:pPr>
      <w:r>
        <w:rPr>
          <w:b/>
        </w:rPr>
        <w:t xml:space="preserve">Abstract (EN): </w:t>
      </w:r>
      <w:r>
        <w:t>The ventromedial hypothalamus (VMH) is a key regulator of energy homeostasis, linking central neural activity to peripheral metabolic function. Within the VMH, neurons expressing steroidogenic factor-1 (SF-1; VMH</w:t>
      </w:r>
      <w:r>
        <w:t xml:space="preserve"> </w:t>
      </w:r>
      <w:r>
        <w:t>SF1</w:t>
      </w:r>
      <w:r>
        <w:t xml:space="preserve"> </w:t>
      </w:r>
      <w:r>
        <w:t>) are essential for regulating energy expenditure, yet the projection-defined pathways through which they differentially control distinct adipose depots remains unclear. Here, we use projection-specific optogenetic and chemogenetic manipulations in SF1-Cre mice to identify two anatomically and functionally distinct VMH</w:t>
      </w:r>
      <w:r>
        <w:t xml:space="preserve"> </w:t>
      </w:r>
      <w:r>
        <w:t>SF1</w:t>
      </w:r>
      <w:r>
        <w:t xml:space="preserve"> </w:t>
      </w:r>
      <w:r>
        <w:t>output pathways with complementary metabolic roles. Activation of the VMH</w:t>
      </w:r>
      <w:r>
        <w:t xml:space="preserve"> </w:t>
      </w:r>
      <w:r>
        <w:t>SF1</w:t>
      </w:r>
      <w:r>
        <w:t xml:space="preserve"> </w:t>
      </w:r>
      <w:r>
        <w:t>→rostral periaqueductal gray (rPAG) projection selectively stimulates thermogenesis in brown adipose tissue, elevating its temperature and thermogenic gene expression, whereas activation of the VMH</w:t>
      </w:r>
      <w:r>
        <w:t xml:space="preserve"> </w:t>
      </w:r>
      <w:r>
        <w:t>SF1</w:t>
      </w:r>
      <w:r>
        <w:t xml:space="preserve"> </w:t>
      </w:r>
      <w:r>
        <w:t>→paraventricular thalamus (PVT) pathway promotes lipolysis in white adipose tissue without engaging thermogenic programs. Both effects require intact innervation and target-region activity. These findings reveal that VMH</w:t>
      </w:r>
      <w:r>
        <w:t xml:space="preserve"> </w:t>
      </w:r>
      <w:r>
        <w:t>SF1</w:t>
      </w:r>
      <w:r>
        <w:t xml:space="preserve"> </w:t>
      </w:r>
      <w:r>
        <w:t>neurons direct distinct hypothalamic output pathways to differentially regulate thermogenesis and lipid mobilization, delineating a modular neural framework for flexible, state-dependent coordination of energy expenditure and substrate utilization.</w:t>
      </w:r>
    </w:p>
    <w:p>
      <w:pPr>
        <w:spacing w:before="120" w:after="120"/>
      </w:pPr>
      <w:r>
        <w:rPr>
          <w:sz w:val="18"/>
        </w:rPr>
        <w:t>——————————————————————————————————————————————————————————————————————</w:t>
      </w:r>
    </w:p>
    <w:p>
      <w:pPr>
        <w:spacing w:before="160" w:after="40" w:line="240" w:lineRule="auto"/>
      </w:pPr>
      <w:r>
        <w:rPr>
          <w:b/>
        </w:rPr>
        <w:t xml:space="preserve">[369] </w:t>
      </w:r>
      <w:hyperlink r:id="rId952">
        <w:r>
          <w:rPr>
            <w:color w:val="1155CC"/>
            <w:u w:val="single"/>
          </w:rPr>
          <w:t>NF1 和 SPRED1/2 通过 RAS-MAPK 独立功能进行协作</w:t>
        </w:r>
      </w:hyperlink>
    </w:p>
    <w:p>
      <w:pPr>
        <w:spacing w:before="0" w:after="80"/>
      </w:pPr>
      <w:r>
        <w:rPr>
          <w:i/>
          <w:sz w:val="20"/>
        </w:rPr>
        <w:t>EN: NF1 and SPRED1/2 cooperate through RAS-MAPK-independent functions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53">
        <w:r>
          <w:rPr>
            <w:color w:val="1155CC"/>
            <w:u w:val="single"/>
          </w:rPr>
          <w:t>10.1073/pnas.2535319123</w:t>
        </w:r>
      </w:hyperlink>
    </w:p>
    <w:p>
      <w:pPr>
        <w:spacing w:before="0" w:after="120"/>
      </w:pPr>
      <w:r>
        <w:rPr>
          <w:b/>
        </w:rPr>
        <w:t xml:space="preserve">Notes: </w:t>
      </w:r>
      <w:r>
        <w:t>abstract_source=crossref</w:t>
      </w:r>
    </w:p>
    <w:p>
      <w:pPr>
        <w:spacing w:before="0" w:after="80" w:lineRule="auto" w:line="276"/>
      </w:pPr>
      <w:r>
        <w:rPr>
          <w:b/>
        </w:rPr>
        <w:t xml:space="preserve">摘要（ZH）: </w:t>
      </w:r>
      <w:r>
        <w:t>神经纤维蛋白，1 型神经纤维瘤病的蛋白质产物（</w:t>
      </w:r>
      <w:r>
        <w:t xml:space="preserve"> </w:t>
      </w:r>
      <w:r>
        <w:t>NF1</w:t>
      </w:r>
      <w:r>
        <w:t xml:space="preserve"> </w:t>
      </w:r>
      <w:r>
        <w:t>) 基因，需要与 SPRED 直接结合相互作用来负向调节 RAS-MAPK 通路。虽然刺激 RAS 内在 GTP 酶活性的神经纤维蛋白区域仅占整个蛋白质的一小部分，但很大程度上</w:t>
      </w:r>
      <w:r>
        <w:t xml:space="preserve"> </w:t>
      </w:r>
      <w:r>
        <w:t>NF1</w:t>
      </w:r>
      <w:r>
        <w:t xml:space="preserve"> </w:t>
      </w:r>
      <w:r>
        <w:t>结构域及其相关的机械功能仍然难以捉摸。在这里，我们证明了 NF1 和 SPRED1/2 协调控制调节的不依赖于 RAS 的生化和信号传导功能。利用 CRISPR-Cas9 方法进行消融</w:t>
      </w:r>
      <w:r>
        <w:t xml:space="preserve"> </w:t>
      </w:r>
      <w:r>
        <w:t>NF1</w:t>
      </w:r>
      <w:r>
        <w:t xml:space="preserve"> </w:t>
      </w:r>
      <w:r>
        <w:t>或</w:t>
      </w:r>
      <w:r>
        <w:t xml:space="preserve"> </w:t>
      </w:r>
      <w:r>
        <w:t>SPRED1/2</w:t>
      </w:r>
      <w:r>
        <w:t xml:space="preserve"> </w:t>
      </w:r>
      <w:r>
        <w:t>在表达 KRAS4b 野生型变体或致癌基因的等基因“RASless”小鼠胚胎成纤维细胞 (MEF) 细胞系中</w:t>
      </w:r>
      <w:r>
        <w:t xml:space="preserve"> </w:t>
      </w:r>
      <w:r>
        <w:t>克拉斯</w:t>
      </w:r>
      <w:r>
        <w:t xml:space="preserve"> </w:t>
      </w:r>
      <w:r>
        <w:t>-突变，我们显示 SPRED1/2 表型丢失和 NF1 丢失，并且它们的配合是调节 MAPK-AKT 信号传导所必需的。此外，NF1 或 SPRED1/2 缺失还导致 RAS 家族 GTPase、RRAS 和 RRAS2 的有效抑制，其发生与 RAS 或 AKT 通路激活无关。对 NF1 或 SPRED1/2 敲除 MEF 细胞的转录组微阵列分析揭示了 RAS 独立、NF1–SPRED1/2 依赖性基因特征的特定子集，其中这些相同的基因也受到神经纤维蛋白的 RAS-GTPase 功能的直接调节。这些 NF1–SPRED1/2 依赖性下游信号传导效应器的调节进一步得到证实</w:t>
      </w:r>
    </w:p>
    <w:p>
      <w:pPr>
        <w:spacing w:before="0" w:after="200" w:lineRule="auto" w:line="276"/>
      </w:pPr>
      <w:r>
        <w:rPr>
          <w:b/>
        </w:rPr>
        <w:t xml:space="preserve">Abstract (EN): </w:t>
      </w:r>
      <w:r>
        <w:t>Neurofibromin, the protein product of the neurofibromatosis type 1 (</w:t>
      </w:r>
      <w:r>
        <w:t xml:space="preserve"> </w:t>
      </w:r>
      <w:r>
        <w:t>NF1</w:t>
      </w:r>
      <w:r>
        <w:t xml:space="preserve"> </w:t>
      </w:r>
      <w:r>
        <w:t>) gene, requires the direct binding interaction with SPRED to negatively regulate the RAS-MAPK pathway. Although the region of neurofibromin that stimulates the intrinsic GTPase activity of RAS represents only a small percentage of the entire protein, a large degree of the</w:t>
      </w:r>
      <w:r>
        <w:t xml:space="preserve"> </w:t>
      </w:r>
      <w:r>
        <w:t>NF1</w:t>
      </w:r>
      <w:r>
        <w:t xml:space="preserve"> </w:t>
      </w:r>
      <w:r>
        <w:t>structural domains and their correlating mechanistic functions remain elusive. Here, we demonstrate RAS-independent biochemical and signaling functions regulated by the coordinate control of NF1 and SPRED1/2. Utilizing CRISPR-Cas9 methods to ablate</w:t>
      </w:r>
      <w:r>
        <w:t xml:space="preserve"> </w:t>
      </w:r>
      <w:r>
        <w:t>NF1</w:t>
      </w:r>
      <w:r>
        <w:t xml:space="preserve"> </w:t>
      </w:r>
      <w:r>
        <w:t>or</w:t>
      </w:r>
      <w:r>
        <w:t xml:space="preserve"> </w:t>
      </w:r>
      <w:r>
        <w:t>SPRED1/2</w:t>
      </w:r>
      <w:r>
        <w:t xml:space="preserve"> </w:t>
      </w:r>
      <w:r>
        <w:t>in isogenic “RASless” mouse embryonic fibroblast (MEF) cell lines expressing either the KRAS4b wild-type variant or an oncogenic</w:t>
      </w:r>
      <w:r>
        <w:t xml:space="preserve"> </w:t>
      </w:r>
      <w:r>
        <w:t>KRAS</w:t>
      </w:r>
      <w:r>
        <w:t xml:space="preserve"> </w:t>
      </w:r>
      <w:r>
        <w:t>-mutation, we show loss of SPRED1/2 phenocopies NF1 loss and their cooperation is required to modulate MAPK-AKT signaling. Moreover, NF1 or SPRED1/2 loss also resulted in a potent suppression of the RAS family GTPases, RRAS and RRAS2, occurring independently of RAS or AKT pathway activation. A transcriptome microarray analysis of the NF1 or SPRED1/2 knockout MEF cells revealed a specific subset of RAS-independent, NF1–SPRED1/2-dependent gene signatures, in which these same genes were also directly regulated by the RAS-GTPase function of neurofibromin. The modulation of these NF1–SPRED1/2-dependent downstream signaling effectors were further corroborated in Schwann cell models derived from Neurofibromatosis type I patients that consisted of either plexiform neurofibroma cells or unaffected nerve cells abrogated of NF1 or neurofibromin RAS-GAP activity. Taken together, this study provides RAS-independent functions that are dependent on the cooperation of NF1 and SPRED1/2 in a manner that is uncoupled from canonical MAPK signaling.</w:t>
      </w:r>
    </w:p>
    <w:p>
      <w:pPr>
        <w:spacing w:before="120" w:after="120"/>
      </w:pPr>
      <w:r>
        <w:rPr>
          <w:sz w:val="18"/>
        </w:rPr>
        <w:t>——————————————————————————————————————————————————————————————————————</w:t>
      </w:r>
    </w:p>
    <w:p>
      <w:pPr>
        <w:spacing w:before="160" w:after="40" w:line="240" w:lineRule="auto"/>
      </w:pPr>
      <w:r>
        <w:rPr>
          <w:b/>
        </w:rPr>
        <w:t xml:space="preserve">[370] </w:t>
      </w:r>
      <w:hyperlink r:id="rId954">
        <w:r>
          <w:rPr>
            <w:color w:val="1155CC"/>
            <w:u w:val="single"/>
          </w:rPr>
          <w:t>生态学尚未为人工智能做好准备——这为何如此重要</w:t>
        </w:r>
      </w:hyperlink>
    </w:p>
    <w:p>
      <w:pPr>
        <w:spacing w:before="0" w:after="80"/>
      </w:pPr>
      <w:r>
        <w:rPr>
          <w:i/>
          <w:sz w:val="20"/>
        </w:rPr>
        <w:t>EN: Ecology is not yet ready for AI—and why that matters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55">
        <w:r>
          <w:rPr>
            <w:color w:val="1155CC"/>
            <w:u w:val="single"/>
          </w:rPr>
          <w:t>10.1073/pnas.2533976123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[371] </w:t>
      </w:r>
      <w:hyperlink r:id="rId956">
        <w:r>
          <w:rPr>
            <w:color w:val="1155CC"/>
            <w:u w:val="single"/>
          </w:rPr>
          <w:t>长期微生物群落实验中进化诱导的状态转变</w:t>
        </w:r>
      </w:hyperlink>
    </w:p>
    <w:p>
      <w:pPr>
        <w:spacing w:before="0" w:after="80"/>
      </w:pPr>
      <w:r>
        <w:rPr>
          <w:i/>
          <w:sz w:val="20"/>
        </w:rPr>
        <w:t>EN: Evolution induced state shifts in a long-term microbial community experiment</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57">
        <w:r>
          <w:rPr>
            <w:color w:val="1155CC"/>
            <w:u w:val="single"/>
          </w:rPr>
          <w:t>10.1073/pnas.2533269123</w:t>
        </w:r>
      </w:hyperlink>
    </w:p>
    <w:p>
      <w:pPr>
        <w:spacing w:before="0" w:after="120"/>
      </w:pPr>
      <w:r>
        <w:rPr>
          <w:b/>
        </w:rPr>
        <w:t xml:space="preserve">Notes: </w:t>
      </w:r>
      <w:r>
        <w:t>abstract_source=crossref</w:t>
      </w:r>
    </w:p>
    <w:p>
      <w:pPr>
        <w:spacing w:before="0" w:after="80" w:lineRule="auto" w:line="276"/>
      </w:pPr>
      <w:r>
        <w:rPr>
          <w:b/>
        </w:rPr>
        <w:t xml:space="preserve">摘要（ZH）: </w:t>
      </w:r>
      <w:r>
        <w:t>生物群落是支撑生态系统功能的复杂、动态系统，但其长期动态和可预测性仍然知之甚少。了解达尔文进化论如何通过生态进化反馈塑造这些系统是生态学和进化论的一个核心挑战。使用简化的微生物组合的实验研究对控制群落状态的生态原理产生了重要的见解。然而，一个重要的知识差距是成员物种内的选择如何驱动多物种系统中群落状态的变化。在这里，我们提出了一项为期四年的进化实验，涉及在两种环境中繁殖的 23 种合成细菌群落：对照培养基和补充了抗生素链霉素的相同培养基。通过对群落组成和基因组进化的综合分析，我们量化了物种丰度的时间变化和单个群落成员的进化轨迹。实验持续时间的延长使得能够检测仅在较长的进化时间尺度上发生的适应性突变和群落状态转变。我们表明，群落动态是环境依赖性的，并且在重复中是可重复的，并且先前对链霉素敏感的物种中链霉素抗性的进化本身可以引起群落状态的突然转变。我们的结果直接证明了多物种群落内的生态进化反馈，揭示了单个适应性突变如何重组复杂的生态网络。</w:t>
      </w:r>
    </w:p>
    <w:p>
      <w:pPr>
        <w:spacing w:before="0" w:after="200" w:lineRule="auto" w:line="276"/>
      </w:pPr>
      <w:r>
        <w:rPr>
          <w:b/>
        </w:rPr>
        <w:t xml:space="preserve">Abstract (EN): </w:t>
      </w:r>
      <w:r>
        <w:t>Biological communities are complex, dynamic systems that underpin ecosystem functionality, yet their long-term dynamics and predictability remain poorly understood. Understanding how Darwinian evolution shapes these systems through eco-evolutionary feedback is a central challenge in ecology and evolution. Experimental studies using simplified microbial assemblages have yielded important insights into the ecological principles governing community states. However, an important knowledge gap is how selection within member species drives changes of community state in multispecies systems. Here, we present a four-year evolution experiment involving a 23-species synthetic bacterial community propagated in two environments: a control medium and the same medium supplemented with the antibiotic streptomycin. Through combined analyses of community composition and genome evolution, we quantified the temporal changes in species abundances and the evolutionary trajectories of individual community members. The extended duration of the experiment enabled the detection of adaptive mutations and community state shifts that occur only over long evolutionary timescales. We show that community dynamics are environment dependent and reproducible across replicates and that evolution of streptomycin resistance in a previously streptomycin-sensitive species on its own can induce abrupt community state shifts. Our results provide a direct demonstration of eco-evolutionary feedbacks within a multispecies community, revealing how a single adaptive mutation can reorganize complex ecological networks.</w:t>
      </w:r>
    </w:p>
    <w:p>
      <w:pPr>
        <w:spacing w:before="120" w:after="120"/>
      </w:pPr>
      <w:r>
        <w:rPr>
          <w:sz w:val="18"/>
        </w:rPr>
        <w:t>——————————————————————————————————————————————————————————————————————</w:t>
      </w:r>
    </w:p>
    <w:p>
      <w:pPr>
        <w:spacing w:before="160" w:after="40" w:line="240" w:lineRule="auto"/>
      </w:pPr>
      <w:r>
        <w:rPr>
          <w:b/>
        </w:rPr>
        <w:t xml:space="preserve">[372] </w:t>
      </w:r>
      <w:hyperlink r:id="rId958">
        <w:r>
          <w:rPr>
            <w:color w:val="1155CC"/>
            <w:u w:val="single"/>
          </w:rPr>
          <w:t>使用图案化 DNA 切口调整有丝分裂重组以进行精密嵌合分析</w:t>
        </w:r>
      </w:hyperlink>
    </w:p>
    <w:p>
      <w:pPr>
        <w:spacing w:before="0" w:after="80"/>
      </w:pPr>
      <w:r>
        <w:rPr>
          <w:i/>
          <w:sz w:val="20"/>
        </w:rPr>
        <w:t>EN: Tuning mitotic recombination with patterned DNA nicks for precision mosaic analysis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59">
        <w:r>
          <w:rPr>
            <w:color w:val="1155CC"/>
            <w:u w:val="single"/>
          </w:rPr>
          <w:t>10.1073/pnas.2531265123</w:t>
        </w:r>
      </w:hyperlink>
    </w:p>
    <w:p>
      <w:pPr>
        <w:spacing w:before="0" w:after="120"/>
      </w:pPr>
      <w:r>
        <w:rPr>
          <w:b/>
        </w:rPr>
        <w:t xml:space="preserve">Notes: </w:t>
      </w:r>
      <w:r>
        <w:t>abstract_source=crossref</w:t>
      </w:r>
    </w:p>
    <w:p>
      <w:pPr>
        <w:spacing w:before="0" w:after="80" w:lineRule="auto" w:line="276"/>
      </w:pPr>
      <w:r>
        <w:rPr>
          <w:b/>
        </w:rPr>
        <w:t xml:space="preserve">摘要（ZH）: </w:t>
      </w:r>
      <w:r>
        <w:t>基于 CRISPR/Cas9 的嵌合分析是体内遗传学的强大工具，但受到与 DNA 双链断裂相关的细胞毒性和诱变的限制。在这里，我们将 Cas9 衍生的切口酶建立为更安全、更可靠的替代品，用于诱导有丝分裂重组。</w:t>
      </w:r>
      <w:r>
        <w:t xml:space="preserve"> </w:t>
      </w:r>
      <w:r>
        <w:t>果蝇</w:t>
      </w:r>
      <w:r>
        <w:t xml:space="preserve"> </w:t>
      </w:r>
      <w:r>
        <w:t>。我们证明单链切口足以生成嵌合克隆并系统地剖析控制该过程的参数。我们发现克隆频率可以通过 gRNA 切口模式来控制，与单个切口相比，同一条 DNA 链上的两个相距较远的切口可协同增强重组超过九倍。基于这些发现，我们提出了切口诱导交叉的机制模型，并提供了用于生成组织特异性切口酶的多功能工具包。这项工作通过 gRNA 诱导的交换建立了基于切口酶的嵌合分析，作为高保真克隆分析的优越方法，从而能够更精确地研究发育和疾病中的基因功能。</w:t>
      </w:r>
    </w:p>
    <w:p>
      <w:pPr>
        <w:spacing w:before="0" w:after="200" w:lineRule="auto" w:line="276"/>
      </w:pPr>
      <w:r>
        <w:rPr>
          <w:b/>
        </w:rPr>
        <w:t xml:space="preserve">Abstract (EN): </w:t>
      </w:r>
      <w:r>
        <w:t>CRISPR/Cas9-based mosaic analysis is a powerful tool for in vivo genetics but is limited by cytotoxicity and mutagenesis associated with DNA double-strand breaks. Here, we establish Cas9-derived nickases as safer and more reliable alternatives for inducing mitotic recombination in</w:t>
      </w:r>
      <w:r>
        <w:t xml:space="preserve"> </w:t>
      </w:r>
      <w:r>
        <w:t>Drosophila</w:t>
      </w:r>
      <w:r>
        <w:t xml:space="preserve"> </w:t>
      </w:r>
      <w:r>
        <w:t>. We demonstrate that single-strand nicks are sufficient to generate mosaic clones and systematically dissect the parameters governing this process. We find that clone frequency can be controlled by the gRNA nicking pattern, with two distant nicks on the same DNA strand synergistically enhancing recombination by over ninefold compared to a single nick. Based on these findings, we propose a mechanistic model for nick-induced crossover and provide a versatile toolkit for generating tissue-specific nickases. This work establishes nickase-based mosaic analysis by gRNA-induced crossing-over as a superior method for high-fidelity clonal analysis, enabling more precise investigation of gene function in development and disease.</w:t>
      </w:r>
    </w:p>
    <w:p>
      <w:pPr>
        <w:spacing w:before="120" w:after="120"/>
      </w:pPr>
      <w:r>
        <w:rPr>
          <w:sz w:val="18"/>
        </w:rPr>
        <w:t>——————————————————————————————————————————————————————————————————————</w:t>
      </w:r>
    </w:p>
    <w:p>
      <w:pPr>
        <w:spacing w:before="160" w:after="40" w:line="240" w:lineRule="auto"/>
      </w:pPr>
      <w:r>
        <w:rPr>
          <w:b/>
        </w:rPr>
        <w:t xml:space="preserve">[373] </w:t>
      </w:r>
      <w:hyperlink r:id="rId960">
        <w:r>
          <w:rPr>
            <w:color w:val="1155CC"/>
            <w:u w:val="single"/>
          </w:rPr>
          <w:t>工程化闭壳、双组分、480 个亚基核衣壳</w:t>
        </w:r>
      </w:hyperlink>
    </w:p>
    <w:p>
      <w:pPr>
        <w:spacing w:before="0" w:after="80"/>
      </w:pPr>
      <w:r>
        <w:rPr>
          <w:i/>
          <w:sz w:val="20"/>
        </w:rPr>
        <w:t>EN: An engineered closed-shell, two-component, 480-subunit nucleocapsid</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61">
        <w:r>
          <w:rPr>
            <w:color w:val="1155CC"/>
            <w:u w:val="single"/>
          </w:rPr>
          <w:t>10.1073/pnas.2530090123</w:t>
        </w:r>
      </w:hyperlink>
    </w:p>
    <w:p>
      <w:pPr>
        <w:spacing w:before="0" w:after="120"/>
      </w:pPr>
      <w:r>
        <w:rPr>
          <w:b/>
        </w:rPr>
        <w:t xml:space="preserve">Notes: </w:t>
      </w:r>
      <w:r>
        <w:t>abstract_source=crossref</w:t>
      </w:r>
    </w:p>
    <w:p>
      <w:pPr>
        <w:spacing w:before="0" w:after="80" w:lineRule="auto" w:line="276"/>
      </w:pPr>
      <w:r>
        <w:rPr>
          <w:b/>
        </w:rPr>
        <w:t xml:space="preserve">摘要（ZH）: </w:t>
      </w:r>
      <w:r>
        <w:t>自组装蛋白质笼是生物技术和医学应用中有价值的纳米级容器。双组件系统由于其潜在的功能复杂性而特别有吸引力。在这项研究中，我们证明了 240 个亚基核衣壳 NC-4 的亚基（之前已进化为包装和保护其编码 mRNA）可以在不破坏笼组装或结构的情况下分裂成两个片段，从而生成一个由两部分组成的 480 个亚基衣壳。这种修改在笼的外表面引入了额外的终端，为功能化创造了机会。我们通过将肽和蛋白质标签基因附加到分裂 NC-4 (spNC-4) 的外表面来利用这些新位点，通过翻译后修饰实现位点特异性糖基化，并通过靶向抗体招募实现细胞特异性递送。我们的研究结果拓宽了 NC-4 核衣壳的用途。通过扩展，分裂结合不同货物的相关蛋白质区室可以为需要同时封装和可定制表面修饰的生物技术应用提供一个强大的平台。</w:t>
      </w:r>
    </w:p>
    <w:p>
      <w:pPr>
        <w:spacing w:before="0" w:after="200" w:lineRule="auto" w:line="276"/>
      </w:pPr>
      <w:r>
        <w:rPr>
          <w:b/>
        </w:rPr>
        <w:t xml:space="preserve">Abstract (EN): </w:t>
      </w:r>
      <w:r>
        <w:t>Self-assembling protein cages are valuable nanoscale containers for biotechnology and medical applications. Two-component systems are especially attractive due to their potential for functional complexity. In this study, we demonstrate that the subunits of the 240-subunit nucleocapsid NC-4, which was previously evolved to package and protect its encoding mRNA, can be split into two fragments without disrupting cage assembly or structure, generating a two-component, 480-subunit capsid. This modification introduces additional termini on the cage’s exterior surface, creating opportunities for functionalization. We exploited these new sites by genetically appending peptide and protein tags to the exterior surface of split NC-4 (spNC-4), enabling site-specific glycosylation via posttranslational modification and cell-specific delivery by targeted antibody recruitment. Our findings broaden the utility of the NC-4 nucleocapsid. By extension, splitting related protein compartments that bind diverse cargoes could offer a robust platform for biotechnological applications requiring simultaneous encapsulation and customizable surface modification.</w:t>
      </w:r>
    </w:p>
    <w:p>
      <w:pPr>
        <w:spacing w:before="120" w:after="120"/>
      </w:pPr>
      <w:r>
        <w:rPr>
          <w:sz w:val="18"/>
        </w:rPr>
        <w:t>——————————————————————————————————————————————————————————————————————</w:t>
      </w:r>
    </w:p>
    <w:p>
      <w:pPr>
        <w:spacing w:before="160" w:after="40" w:line="240" w:lineRule="auto"/>
      </w:pPr>
      <w:r>
        <w:rPr>
          <w:b/>
        </w:rPr>
        <w:t xml:space="preserve">[374] </w:t>
      </w:r>
      <w:hyperlink r:id="rId962">
        <w:r>
          <w:rPr>
            <w:color w:val="1155CC"/>
            <w:u w:val="single"/>
          </w:rPr>
          <w:t>同伴对西点军校学员内战忠诚度的影响</w:t>
        </w:r>
      </w:hyperlink>
    </w:p>
    <w:p>
      <w:pPr>
        <w:spacing w:before="0" w:after="80"/>
      </w:pPr>
      <w:r>
        <w:rPr>
          <w:i/>
          <w:sz w:val="20"/>
        </w:rPr>
        <w:t>EN: Peer influence on West Point cadets’ Civil War allegiances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63">
        <w:r>
          <w:rPr>
            <w:color w:val="1155CC"/>
            <w:u w:val="single"/>
          </w:rPr>
          <w:t>10.1073/pnas.2529668123</w:t>
        </w:r>
      </w:hyperlink>
    </w:p>
    <w:p>
      <w:pPr>
        <w:spacing w:before="0" w:after="120"/>
      </w:pPr>
      <w:r>
        <w:rPr>
          <w:b/>
        </w:rPr>
        <w:t xml:space="preserve">Notes: </w:t>
      </w:r>
      <w:r>
        <w:t>abstract_source=crossref</w:t>
      </w:r>
    </w:p>
    <w:p>
      <w:pPr>
        <w:spacing w:before="0" w:after="80" w:lineRule="auto" w:line="276"/>
      </w:pPr>
      <w:r>
        <w:rPr>
          <w:b/>
        </w:rPr>
        <w:t xml:space="preserve">摘要（ZH）: </w:t>
      </w:r>
      <w:r>
        <w:t>在两极分化的环境中，社交网络和同伴影响是否会影响重大生活决策？我们通过研究美国内战期间同龄人如何影响西点军校学员的忠诚度来探讨这个问题。利用自由州学员比例的准随机变化，我们分析了学员关于加入哪支军队的决定如何取决于同龄人的构成。我们有三个主要发现。首先，存在强烈而显着的同伴效应：来自自由州的同学比例较高，显着增加了来自奴隶州的学员加入联邦军队的可能性。其次，同伴效应因地理位置而异，最显着的是学员所在州或县的奴隶人口比例，以及学员在 1860 年自己的奴隶所有权。第三，共同的经历（例如在美墨战争中一起服役、连续服兵役以及属于同一群体）放大了同伴效应，这表明持续的互动很重要。</w:t>
      </w:r>
    </w:p>
    <w:p>
      <w:pPr>
        <w:spacing w:before="0" w:after="200" w:lineRule="auto" w:line="276"/>
      </w:pPr>
      <w:r>
        <w:rPr>
          <w:b/>
        </w:rPr>
        <w:t xml:space="preserve">Abstract (EN): </w:t>
      </w:r>
      <w:r>
        <w:t>Do social networks and peer influence shape major life decisions in polarized settings? We explore this question by examining how peers influenced the allegiances of West Point cadets during the American Civil War. Leveraging quasi-random variations in the proportion of cadets from Free States, we analyze how cadets’ decisions about which army to join depended on the composition of their peers. We have three main findings. First, there was a strong and significant peer effect: a higher proportion of classmates from Free States significantly increased the likelihood that cadets from Slave States joined the Union Army. Second, the peer effect varies with geography, most notably with the slave population share in cadets’ home states or counties, and with cadets’ own slave ownership in 1860. Third, peer effects were amplified by shared experiences such as having served together in the Mexican-American War, continuous military service, and belonging to the same cohort, suggesting that sustained interaction is important.</w:t>
      </w:r>
    </w:p>
    <w:p>
      <w:pPr>
        <w:spacing w:before="120" w:after="120"/>
      </w:pPr>
      <w:r>
        <w:rPr>
          <w:sz w:val="18"/>
        </w:rPr>
        <w:t>——————————————————————————————————————————————————————————————————————</w:t>
      </w:r>
    </w:p>
    <w:p>
      <w:pPr>
        <w:spacing w:before="160" w:after="40" w:line="240" w:lineRule="auto"/>
      </w:pPr>
      <w:r>
        <w:rPr>
          <w:b/>
        </w:rPr>
        <w:t xml:space="preserve">[375] </w:t>
      </w:r>
      <w:hyperlink r:id="rId964">
        <w:r>
          <w:rPr>
            <w:color w:val="1155CC"/>
            <w:u w:val="single"/>
          </w:rPr>
          <w:t>对同伴状态的早期神经协调可以预测青少年未来的社交网络位置和受欢迎程度</w:t>
        </w:r>
      </w:hyperlink>
    </w:p>
    <w:p>
      <w:pPr>
        <w:spacing w:before="0" w:after="80"/>
      </w:pPr>
      <w:r>
        <w:rPr>
          <w:i/>
          <w:sz w:val="20"/>
        </w:rPr>
        <w:t>EN: Early neural attunement to peer status predicts future social network position and popularity in adolescents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65">
        <w:r>
          <w:rPr>
            <w:color w:val="1155CC"/>
            <w:u w:val="single"/>
          </w:rPr>
          <w:t>10.1073/pnas.2536452123</w:t>
        </w:r>
      </w:hyperlink>
    </w:p>
    <w:p>
      <w:pPr>
        <w:spacing w:before="0" w:after="120"/>
      </w:pPr>
      <w:r>
        <w:rPr>
          <w:b/>
        </w:rPr>
        <w:t xml:space="preserve">Notes: </w:t>
      </w:r>
      <w:r>
        <w:t>abstract_source=crossref</w:t>
      </w:r>
    </w:p>
    <w:p>
      <w:pPr>
        <w:spacing w:before="0" w:after="80" w:lineRule="auto" w:line="276"/>
      </w:pPr>
      <w:r>
        <w:rPr>
          <w:b/>
        </w:rPr>
        <w:t xml:space="preserve">摘要（ZH）: </w:t>
      </w:r>
      <w:r>
        <w:t>受欢迎程度是社会地位的一个关键标志，但支持其在新形成的社会群体中出现的现象仍不清楚。我们结合功能神经影像学和纵向全校社交网络分析来跟踪青少年整个高中第一年，研究对不同社会地位同龄人的早期神经反应是否预示着以后的受欢迎程度。在这里，我们表明，当观察不受欢迎的同龄人与受欢迎的同龄人的面孔时，尤其是在海马体中，更大的神经分化预示着学年结束时会出现更大的受欢迎程度。这种关系是由年中社交网络中心性，尤其是亲密中心性来调节的，这反映了同龄人更容易联系到。这些发现表明，早期对同龄人地位的神经协调决定了青少年如何融入他们的社交网络，这反过来又有助于他们后来获得受欢迎程度。更一般地说，这些发现揭示了神经和社交网络层面的过程如何共同推动青少年适应不断变化的社会景观和获得社会地位。</w:t>
      </w:r>
    </w:p>
    <w:p>
      <w:pPr>
        <w:spacing w:before="0" w:after="200" w:lineRule="auto" w:line="276"/>
      </w:pPr>
      <w:r>
        <w:rPr>
          <w:b/>
        </w:rPr>
        <w:t xml:space="preserve">Abstract (EN): </w:t>
      </w:r>
      <w:r>
        <w:t>Popularity is a key marker of social status, yet the phenomena that support its emergence within newly forming social groups remain unclear. We combined functional neuroimaging and longitudinal school-wide social network analysis to track adolescents throughout their first year of high school, examining whether early neural responses to peers of varying social status predict later popularity. Here, we show that greater neural differentiation when viewing the faces of unpopular versus popular peers, particularly in the hippocampus, forecasts greater perceived popularity at the end of the school year. This relationship is mediated by midyear social network centrality, especially in-closeness centrality, which reflects being more easily reachable by peers. These findings suggest that early neural attunement to the status of their peers shapes how adolescents become embedded in their social networks, which in turn contributes to later gains in their own perceived popularity. More generally, these findings reveal how neural and social network-level processes jointly drive adolescents’ navigation of evolving social landscapes and attainment of social status.</w:t>
      </w:r>
    </w:p>
    <w:p>
      <w:pPr>
        <w:spacing w:before="120" w:after="120"/>
      </w:pPr>
      <w:r>
        <w:rPr>
          <w:sz w:val="18"/>
        </w:rPr>
        <w:t>——————————————————————————————————————————————————————————————————————</w:t>
      </w:r>
    </w:p>
    <w:p>
      <w:pPr>
        <w:spacing w:before="160" w:after="40" w:line="240" w:lineRule="auto"/>
      </w:pPr>
      <w:r>
        <w:rPr>
          <w:b/>
        </w:rPr>
        <w:t xml:space="preserve">[376] </w:t>
      </w:r>
      <w:hyperlink r:id="rId966">
        <w:r>
          <w:rPr>
            <w:color w:val="1155CC"/>
            <w:u w:val="single"/>
          </w:rPr>
          <w:t>受欢迎程度和领导地位的神经表征与日常生活中的一致性有关</w:t>
        </w:r>
      </w:hyperlink>
    </w:p>
    <w:p>
      <w:pPr>
        <w:spacing w:before="0" w:after="80"/>
      </w:pPr>
      <w:r>
        <w:rPr>
          <w:i/>
          <w:sz w:val="20"/>
        </w:rPr>
        <w:t>EN: Neural representations of popularity and leadership status relate to conformity in daily life</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67">
        <w:r>
          <w:rPr>
            <w:color w:val="1155CC"/>
            <w:u w:val="single"/>
          </w:rPr>
          <w:t>10.1073/pnas.2526584123</w:t>
        </w:r>
      </w:hyperlink>
    </w:p>
    <w:p>
      <w:pPr>
        <w:spacing w:before="0" w:after="120"/>
      </w:pPr>
      <w:r>
        <w:rPr>
          <w:b/>
        </w:rPr>
        <w:t xml:space="preserve">Notes: </w:t>
      </w:r>
      <w:r>
        <w:t>abstract_source=crossref</w:t>
      </w:r>
    </w:p>
    <w:p>
      <w:pPr>
        <w:spacing w:before="0" w:after="80" w:lineRule="auto" w:line="276"/>
      </w:pPr>
      <w:r>
        <w:rPr>
          <w:b/>
        </w:rPr>
        <w:t xml:space="preserve">摘要（ZH）: </w:t>
      </w:r>
      <w:r>
        <w:t>个人有动力提高自己的社会地位。为了成功实现这一目标，人们必须跟踪其社交领域中其他人的信息，监控群体规范，并战略性地调整自己的行为。本研究采用功能性 MRI 和生态瞬时评估方法，对属于 9 个社会群体的 92 名大学生进行了样本分析，以阐明这些过程背后的神经机制及其与饮酒背景下的从众关系。当年轻人被动地看着现实生活中的社会群体同龄人的面孔时，涉及评价和社会认知的大脑系统会自发地以相互依赖的方式跟踪有关社会目标的受欢迎程度和领导地位的信息。这些神经评价的个体差异与不同的从众程度系统地相关。在一个关键的评估大脑区域——腹内侧前额叶皮层（vmPFC）中，那些对比自己受欢迎程度和领导地位相对较高的同龄人的面孔做出更强反应的学生，更有可能将他们的饮酒行为与群体的日常生活规范保持一致。这些结果为参与评价和社会认知的大脑系统如何灵活跟踪现实生活中社会群体中同伴受欢迎程度和领导地位的信息提供了证据，并为越来越多的关于社会比较过程塑造一致性的神经机制的文献做出了贡献。我们的研究强调 vmPFC 作为一个中心枢纽，可以自发地跟踪这些个体之间的状态差异。</w:t>
      </w:r>
    </w:p>
    <w:p>
      <w:pPr>
        <w:spacing w:before="0" w:after="200" w:lineRule="auto" w:line="276"/>
      </w:pPr>
      <w:r>
        <w:rPr>
          <w:b/>
        </w:rPr>
        <w:t xml:space="preserve">Abstract (EN): </w:t>
      </w:r>
      <w:r>
        <w:t>Individuals are motivated to increase their social status. To succeed in this pursuit, people must track information about others in their social sphere, monitor group norms, and adjust their behavior strategically. This study employed functional MRI and ecological momentary assessment methods in a sample of 92 college students belonging to 9 social groups to elucidate the neural mechanisms underlying these processes and their relationship to conformity in the context of alcohol use. When young adults passively looked at faces of their real-life social group peers, brain systems implicated in valuation and social cognition spontaneously tracked information about the popularity and leadership status of the social targets in an interdependent manner. Individual differences in these neural valuations were systematically associated with varying levels of conformity. Students who had stronger responses to faces of peers with relatively higher popularity and leadership status than themselves in one key valuation brain region, the ventromedial prefrontal cortex (vmPFC), were more likely to align their drinking behavior with their groups’ norms in everyday life. These results provide evidence for how brain systems involved in valuation and social cognition flexibly track information about peers’ popularity and leadership status in real-life social groups and contribute to a growing literature on the neural mechanisms through which social comparison processes shape conformity. Our study highlights the vmPFC as a central hub that spontaneously tracks status differences between the self and peers and uses this information to guide behavior to match group norms.</w:t>
      </w:r>
    </w:p>
    <w:p>
      <w:pPr>
        <w:spacing w:before="120" w:after="120"/>
      </w:pPr>
      <w:r>
        <w:rPr>
          <w:sz w:val="18"/>
        </w:rPr>
        <w:t>——————————————————————————————————————————————————————————————————————</w:t>
      </w:r>
    </w:p>
    <w:p>
      <w:pPr>
        <w:spacing w:before="160" w:after="40" w:line="240" w:lineRule="auto"/>
      </w:pPr>
      <w:r>
        <w:rPr>
          <w:b/>
        </w:rPr>
        <w:t xml:space="preserve">[377] </w:t>
      </w:r>
      <w:hyperlink r:id="rId968">
        <w:r>
          <w:rPr>
            <w:color w:val="1155CC"/>
            <w:u w:val="single"/>
          </w:rPr>
          <w:t>FimH 的单域变体揭示了细菌粘附素的超慢构象动力学和捕获键形成</w:t>
        </w:r>
      </w:hyperlink>
    </w:p>
    <w:p>
      <w:pPr>
        <w:spacing w:before="0" w:after="80"/>
      </w:pPr>
      <w:r>
        <w:rPr>
          <w:i/>
          <w:sz w:val="20"/>
        </w:rPr>
        <w:t>EN: Ultraslow conformational dynamics and catch bond formation of a bacterial adhesin revealed by a single-domain variant of FimH</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69">
        <w:r>
          <w:rPr>
            <w:color w:val="1155CC"/>
            <w:u w:val="single"/>
          </w:rPr>
          <w:t>10.1073/pnas.2519139123</w:t>
        </w:r>
      </w:hyperlink>
    </w:p>
    <w:p>
      <w:pPr>
        <w:spacing w:before="0" w:after="120"/>
      </w:pPr>
      <w:r>
        <w:rPr>
          <w:b/>
        </w:rPr>
        <w:t xml:space="preserve">Notes: </w:t>
      </w:r>
      <w:r>
        <w:t>abstract_source=crossref</w:t>
      </w:r>
    </w:p>
    <w:p>
      <w:pPr>
        <w:spacing w:before="0" w:after="80" w:lineRule="auto" w:line="276"/>
      </w:pPr>
      <w:r>
        <w:rPr>
          <w:b/>
        </w:rPr>
        <w:t xml:space="preserve">摘要（ZH）: </w:t>
      </w:r>
      <w:r>
        <w:t>细菌菌毛粘附素（例如 FimH）对于宿主在泌尿道等感染部位遇到的机械力下的定植和持久性至关重要。尿路致病性关键毒力因子 FimH 的分子机制</w:t>
      </w:r>
      <w:r>
        <w:t xml:space="preserve"> </w:t>
      </w:r>
      <w:r>
        <w:t>大肠杆菌</w:t>
      </w:r>
      <w:r>
        <w:t xml:space="preserve"> </w:t>
      </w:r>
      <w:r>
        <w:t>，通过构象转换调节其与宿主细胞表面甘露糖部分的结合仍不完全清楚。 FimH 在一系列构象中发挥作用，包括低亲和力 (LAS)、中亲和力 (HAS) 和高亲和力 (HAS) 状态，并形成在力作用下反常强化的捕获键。由于实验限制限制了对配体触发的构象转变和力诱导的长寿命相互作用背后的关键动态现象的理解，控制这些转变的变构途径仍然不清楚。这种理解对于针对细菌粘附的药物发现工作至关重要。在这里，我们提出了一个模型系统，它在缺乏菌毛蛋白结构域的情况下完全概括了 FimH 的构象库。我们的研究结果表明，凝集素结构域中的单个突变可以稳定 LAS，同时允许配体结合诱导的向 HAS 样构象的转变并形成捕获键，从而反映了天然 FimH 粘附素的行为。我们提出了一种动态变构机制，涉及超慢、低频动力学，使 FimH 在静态和力条件下都能维持与甘露糖的长期相互作用。</w:t>
      </w:r>
    </w:p>
    <w:p>
      <w:pPr>
        <w:spacing w:before="0" w:after="200" w:lineRule="auto" w:line="276"/>
      </w:pPr>
      <w:r>
        <w:rPr>
          <w:b/>
        </w:rPr>
        <w:t xml:space="preserve">Abstract (EN): </w:t>
      </w:r>
      <w:r>
        <w:t>Bacterial fimbrial adhesins such as FimH are critical for host colonization and persistence under the mechanical forces encountered at sites of infection such as the urinary tract. The molecular mechanisms by which FimH, a key virulence factor of uropathogenic</w:t>
      </w:r>
      <w:r>
        <w:t xml:space="preserve"> </w:t>
      </w:r>
      <w:r>
        <w:t>Escherichia coli</w:t>
      </w:r>
      <w:r>
        <w:t xml:space="preserve"> </w:t>
      </w:r>
      <w:r>
        <w:t>, regulates its binding to host cell surface mannose moieties through conformational switching remain incompletely understood. FimH operates across a range of conformations that includes low- (LAS), intermediate-, and high-affinity (HAS) states and forms catch bonds that paradoxically strengthen under force. The allosteric pathways governing these transitions remain poorly defined due to experimental limitations that restrict understanding of key dynamic phenomena that underlie ligand-triggered conformational shifts and force-induced long-lived interactions. Such understanding is central to drug discovery efforts to target bacterial adhesion. Here, we present a model system that fully recapitulates the conformational repertoire of FimH in the absence of its pilin domain. Our findings demonstrate that a single mutation in the lectin domain stabilizes the LAS while allowing for ligand-binding-induced transition to a HAS-like conformation and catch bond formation, mirroring the behavior of the native FimH adhesin. We propose a dynamic allosteric mechanism that involves ultraslow, low-frequency dynamics for the ability of FimH to sustain long-lived interactions with mannose, under both static and force conditions.</w:t>
      </w:r>
    </w:p>
    <w:p>
      <w:pPr>
        <w:spacing w:before="120" w:after="120"/>
      </w:pPr>
      <w:r>
        <w:rPr>
          <w:sz w:val="18"/>
        </w:rPr>
        <w:t>——————————————————————————————————————————————————————————————————————</w:t>
      </w:r>
    </w:p>
    <w:p>
      <w:pPr>
        <w:spacing w:before="160" w:after="40" w:line="240" w:lineRule="auto"/>
      </w:pPr>
      <w:r>
        <w:rPr>
          <w:b/>
        </w:rPr>
        <w:t xml:space="preserve">[378] </w:t>
      </w:r>
      <w:hyperlink r:id="rId970">
        <w:r>
          <w:rPr>
            <w:color w:val="1155CC"/>
            <w:u w:val="single"/>
          </w:rPr>
          <w:t>CTCF直接结合G-四链体结构来调节基因组拓扑和基因表达</w:t>
        </w:r>
      </w:hyperlink>
    </w:p>
    <w:p>
      <w:pPr>
        <w:spacing w:before="0" w:after="80"/>
      </w:pPr>
      <w:r>
        <w:rPr>
          <w:i/>
          <w:sz w:val="20"/>
        </w:rPr>
        <w:t>EN: CTCF directly binds G-quadruplex structures to regulate genome topology and gene expression</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71">
        <w:r>
          <w:rPr>
            <w:color w:val="1155CC"/>
            <w:u w:val="single"/>
          </w:rPr>
          <w:t>10.1073/pnas.2509164123</w:t>
        </w:r>
      </w:hyperlink>
    </w:p>
    <w:p>
      <w:pPr>
        <w:spacing w:before="0" w:after="120"/>
      </w:pPr>
      <w:r>
        <w:rPr>
          <w:b/>
        </w:rPr>
        <w:t xml:space="preserve">Notes: </w:t>
      </w:r>
      <w:r>
        <w:t>abstract_source=crossref</w:t>
      </w:r>
    </w:p>
    <w:p>
      <w:pPr>
        <w:spacing w:before="0" w:after="80" w:lineRule="auto" w:line="276"/>
      </w:pPr>
      <w:r>
        <w:rPr>
          <w:b/>
        </w:rPr>
        <w:t xml:space="preserve">摘要（ZH）: </w:t>
      </w:r>
      <w:r>
        <w:t>DNA G 四链体 (G4) 是非 B 型二级 DNA 结构，普遍存在于哺乳动物基因组的关键调控区域，并且在进化过程中高度保守。然而，G4 对基因组功能不同方面的贡献机制尚不清楚。在这里，我们对不同拓扑的 G4 进行了蛋白质组学筛选，以揭示 G4 在核小体重塑、副斑点组装、RNA 剪接和三维基因组组织的基因组调节因子中的结合活性。在这些突出的热门产品中，我们发现基因组结构蛋白 CCCTC 结合因子 (CTCF) 是最强的 G4 结合剂之一。基于这一发现，我们对 CTCF-G4 相互作用进行了广泛的生化验证，并鉴定了 CTCF 突变体，该突变体在其共有双链 DNA 基序上对 G4 具有明显的亲和力。通过实施成熟的方法和开发额外的 G4 作图工具，我们定义了基因组 G4 的综合目录，并证明了它们与 CTCF 结合的密切关联。利用具有 G4 特异性 CTCF 突变体的小鼠胚胎干细胞的遗传重建，我们定义了 G4 在调节 CTCF 占用、染色质循环和基因表达中的作用。我们的研究表明，G4 连接的染色质环更强、更持久，并且对 CTCF 耗竭不太敏感。总的来说，我们的工作确定了 CTCF 的 G4 结合活性，并为 G4 结构的功能意义提供了重要见解。</w:t>
      </w:r>
    </w:p>
    <w:p>
      <w:pPr>
        <w:spacing w:before="0" w:after="200" w:lineRule="auto" w:line="276"/>
      </w:pPr>
      <w:r>
        <w:rPr>
          <w:b/>
        </w:rPr>
        <w:t xml:space="preserve">Abstract (EN): </w:t>
      </w:r>
      <w:r>
        <w:t>DNA G-quadruplexes (G4s) are non-B-form secondary DNA structures that are prevalent at key regulatory regions in mammalian genome and are highly conserved across evolution. However, the mechanisms by which G4s contribute to distinct facets of genome function are not well understood. Here, we conduct a proteomics screen with G4s of diverse topologies to uncover G4 binding activities in genomic regulators of nucleosome remodeling, paraspeckle assembly, RNA splicing, and three-dimensional genome organization. Among the prominent hits, we identify the genomic architectural protein, CCCTC-binding factor (CTCF), as one of the strongest G4 binders. Building on this finding, we perform extensive biochemical validation of CTCF–G4 interaction and identify a CTCF mutant, with pronounced affinity for G4s over its consensus double-stranded DNA motif. By implementing well-established approaches and developing additional G4 mapping tools, we define a comprehensive catalog of genomic G4s and demonstrate their close association with CTCF binding. Using genetic reconstitution of mouse embryonic stem cells with a G4-specific CTCF mutant, we define the role of G4s in regulating CTCF occupancy, chromatin looping, and gene expression. Our studies reveal that G4-linked chromatin loops are stronger, persistent, and less sensitive to CTCF depletion. Collectively, our work establishes the G4 binding activity of CTCF and provides key insights into the functional significance of G4 structures.</w:t>
      </w:r>
    </w:p>
    <w:p>
      <w:pPr>
        <w:spacing w:before="120" w:after="120"/>
      </w:pPr>
      <w:r>
        <w:rPr>
          <w:sz w:val="18"/>
        </w:rPr>
        <w:t>——————————————————————————————————————————————————————————————————————</w:t>
      </w:r>
    </w:p>
    <w:p>
      <w:pPr>
        <w:spacing w:before="160" w:after="40" w:line="240" w:lineRule="auto"/>
      </w:pPr>
      <w:r>
        <w:rPr>
          <w:b/>
        </w:rPr>
        <w:t xml:space="preserve">[379] </w:t>
      </w:r>
      <w:hyperlink r:id="rId972">
        <w:r>
          <w:rPr>
            <w:color w:val="1155CC"/>
            <w:u w:val="single"/>
          </w:rPr>
          <w:t>通道团队合作：ATP 和脂质合作门控 P2X 受体</w:t>
        </w:r>
      </w:hyperlink>
    </w:p>
    <w:p>
      <w:pPr>
        <w:spacing w:before="0" w:after="80"/>
      </w:pPr>
      <w:r>
        <w:rPr>
          <w:i/>
          <w:sz w:val="20"/>
        </w:rPr>
        <w:t>EN: Channeling teamwork: ATP and lipids cooperate to gate P2X receptors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73">
        <w:r>
          <w:rPr>
            <w:color w:val="1155CC"/>
            <w:u w:val="single"/>
          </w:rPr>
          <w:t>10.1126/sciadv.aei2053</w:t>
        </w:r>
      </w:hyperlink>
    </w:p>
    <w:p>
      <w:pPr>
        <w:spacing w:before="0" w:after="120"/>
      </w:pPr>
      <w:r>
        <w:rPr>
          <w:b/>
        </w:rPr>
        <w:t xml:space="preserve">Notes: </w:t>
      </w:r>
      <w:r>
        <w:t>abstract_source=crossref</w:t>
      </w:r>
    </w:p>
    <w:p>
      <w:pPr>
        <w:spacing w:before="0" w:after="80" w:lineRule="auto" w:line="276"/>
      </w:pPr>
      <w:r>
        <w:rPr>
          <w:b/>
        </w:rPr>
        <w:t xml:space="preserve">摘要（ZH）: </w:t>
      </w:r>
      <w:r>
        <w:t>在脂质环境中解析的 P2X 受体结构揭示了亚型特异性配体识别、药物敏感性和通道门控如何耦合。</w:t>
      </w:r>
    </w:p>
    <w:p>
      <w:pPr>
        <w:spacing w:before="0" w:after="200" w:lineRule="auto" w:line="276"/>
      </w:pPr>
      <w:r>
        <w:rPr>
          <w:b/>
        </w:rPr>
        <w:t xml:space="preserve">Abstract (EN): </w:t>
      </w:r>
      <w:r>
        <w:t>P2X receptor structures resolved in a lipid environment reveal how subtype-specific ligand recognition, drug sensitivity, and channel gating are coupled.</w:t>
      </w:r>
    </w:p>
    <w:p>
      <w:pPr>
        <w:spacing w:before="120" w:after="120"/>
      </w:pPr>
      <w:r>
        <w:rPr>
          <w:sz w:val="18"/>
        </w:rPr>
        <w:t>——————————————————————————————————————————————————————————————————————</w:t>
      </w:r>
    </w:p>
    <w:p>
      <w:pPr>
        <w:spacing w:before="160" w:after="40" w:line="240" w:lineRule="auto"/>
      </w:pPr>
      <w:r>
        <w:rPr>
          <w:b/>
        </w:rPr>
        <w:t xml:space="preserve">[380] </w:t>
      </w:r>
      <w:hyperlink r:id="rId974">
        <w:r>
          <w:rPr>
            <w:color w:val="1155CC"/>
            <w:u w:val="single"/>
          </w:rPr>
          <w:t>气候变暖和植被绿化导致近期干旱激增</w:t>
        </w:r>
      </w:hyperlink>
    </w:p>
    <w:p>
      <w:pPr>
        <w:spacing w:before="0" w:after="80"/>
      </w:pPr>
      <w:r>
        <w:rPr>
          <w:i/>
          <w:sz w:val="20"/>
        </w:rPr>
        <w:t>EN: Warming and vegetation greening drive recent surge in flash droughts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75">
        <w:r>
          <w:rPr>
            <w:color w:val="1155CC"/>
            <w:u w:val="single"/>
          </w:rPr>
          <w:t>10.1126/sciadv.aea8452</w:t>
        </w:r>
      </w:hyperlink>
    </w:p>
    <w:p>
      <w:pPr>
        <w:spacing w:before="0" w:after="120"/>
      </w:pPr>
      <w:r>
        <w:rPr>
          <w:b/>
        </w:rPr>
        <w:t xml:space="preserve">Notes: </w:t>
      </w:r>
      <w:r>
        <w:t>abstract_source=crossref</w:t>
      </w:r>
    </w:p>
    <w:p>
      <w:pPr>
        <w:spacing w:before="0" w:after="80" w:lineRule="auto" w:line="276"/>
      </w:pPr>
      <w:r>
        <w:rPr>
          <w:b/>
        </w:rPr>
        <w:t xml:space="preserve">摘要（ZH）: </w:t>
      </w:r>
      <w:r>
        <w:t>突发干旱变得更加频繁，但这种变化的潜在机制仍不清楚。使用可解释的基于人工智能的聚类框架以及再分析产品和地球系统模型，我们表明全球突发干旱的主要驱动机制已经从降水主导转向温度、蒸腾和降水的复合效应。这种转变导致过去十年来突发干旱激增，土壤干旱发展更加迅速、严重和持久。人为变暖和植被绿化是观察到的激增的主要驱动因素。自 2017 年以来，这种转变已经超出了自然气候变率的范围，主要发生在欧亚大陆、亚马逊和非洲，使约 6.5 亿人面临威胁，初级生产力每年减少 0.15 ± 0.1 拍克。我们的结果表明，生物圈和大气对人为强迫的反应已经改变了突发干旱的驱动因素，强调了迫切需要有针对性的缓解策略。</w:t>
      </w:r>
    </w:p>
    <w:p>
      <w:pPr>
        <w:spacing w:before="0" w:after="200" w:lineRule="auto" w:line="276"/>
      </w:pPr>
      <w:r>
        <w:rPr>
          <w:b/>
        </w:rPr>
        <w:t xml:space="preserve">Abstract (EN): </w:t>
      </w:r>
      <w:r>
        <w:t>Flash droughts have become more frequent, yet their underlying mechanisms of such changes remain unclear. Using an explainable artificial intelligence–based clustering framework with reanalysis products and Earth system models, we show that the major driving mechanisms of global flash droughts have shifted from precipitation dominance to a compound effect of temperature, transpiration, and precipitation. This transition drives a surge in flash droughts over the past decade, with more rapidly developing, severe, and enduring soil droughts. Anthropogenic warming and vegetation greening are the main drivers of the observed surge. The transition, which has emerged beyond natural climate variability since 2017 and is mainly detected in Eurasia, Amazon, and Africa, exposes ~650 million people under threat and reduces gross primary productivity by 0.15 ± 0.1 petagrams of carbon per year. Our results demonstrate that biosphere and atmosphere responses to anthropogenic forcing have altered flash drought drivers, emphasizing the urgent need for targeted mitigation strategies.</w:t>
      </w:r>
    </w:p>
    <w:p>
      <w:pPr>
        <w:spacing w:before="120" w:after="120"/>
      </w:pPr>
      <w:r>
        <w:rPr>
          <w:sz w:val="18"/>
        </w:rPr>
        <w:t>——————————————————————————————————————————————————————————————————————</w:t>
      </w:r>
    </w:p>
    <w:p>
      <w:pPr>
        <w:spacing w:before="160" w:after="40" w:line="240" w:lineRule="auto"/>
      </w:pPr>
      <w:r>
        <w:rPr>
          <w:b/>
        </w:rPr>
        <w:t xml:space="preserve">[381] </w:t>
      </w:r>
      <w:hyperlink r:id="rId976">
        <w:r>
          <w:rPr>
            <w:color w:val="1155CC"/>
            <w:u w:val="single"/>
          </w:rPr>
          <w:t>分子离合器上的力负载控制细胞片状伪足的稳定性</w:t>
        </w:r>
      </w:hyperlink>
    </w:p>
    <w:p>
      <w:pPr>
        <w:spacing w:before="0" w:after="80"/>
      </w:pPr>
      <w:r>
        <w:rPr>
          <w:i/>
          <w:sz w:val="20"/>
        </w:rPr>
        <w:t>EN: Force loading on molecular clutches governs the stability of cell lamellipodia</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77">
        <w:r>
          <w:rPr>
            <w:color w:val="1155CC"/>
            <w:u w:val="single"/>
          </w:rPr>
          <w:t>10.1073/pnas.2604349123</w:t>
        </w:r>
      </w:hyperlink>
    </w:p>
    <w:p>
      <w:pPr>
        <w:spacing w:before="0" w:after="120"/>
      </w:pPr>
      <w:r>
        <w:rPr>
          <w:b/>
        </w:rPr>
        <w:t xml:space="preserve">Notes: </w:t>
      </w:r>
      <w:r>
        <w:t>abstract_source=crossref</w:t>
      </w:r>
    </w:p>
    <w:p>
      <w:pPr>
        <w:spacing w:before="0" w:after="80" w:lineRule="auto" w:line="276"/>
      </w:pPr>
      <w:r>
        <w:rPr>
          <w:b/>
        </w:rPr>
        <w:t xml:space="preserve">摘要（ZH）: </w:t>
      </w:r>
      <w:r>
        <w:t>细胞利用片状伪足（富含肌动蛋白的薄膜突起）来探测其微环境的机械特性。在机械传感过程中，板状伪足经常表现出突出-缩回循环形式的动态不稳定性。然而，这种机械不稳定性是如何在机械传导过程中产生的仍然知之甚少。在这里，我们开发了一个用于板状足动力学的最小机械化学模型，该模型集成了膜变形、肌球蛋白收缩性和粘附分子（分子离合器）的结合动力学。通过随机模拟和分析平均场分析，我们证明了肌球蛋白驱动的逆行流施加的加载速率和力大小控制离合器结合动力学，控制片状足稳定性和细胞机械传感。具体来说，缓慢的加载速率促进持续的离合器接合和牵引力积累，而高的力大小会破坏束缚的离合器。它们的时间相互作用引起板状伪足的突出-缩回循环。此外，该模型预测了对肌球蛋白扰动的双相反应，与定量实验观察结果一致。总体而言，该理论模型强调力加载是驱动片状足不稳定性和细胞机械传感的关键机械输入，增进了我们对细胞扩散过程中机械传导的理解。</w:t>
      </w:r>
    </w:p>
    <w:p>
      <w:pPr>
        <w:spacing w:before="0" w:after="200" w:lineRule="auto" w:line="276"/>
      </w:pPr>
      <w:r>
        <w:rPr>
          <w:b/>
        </w:rPr>
        <w:t xml:space="preserve">Abstract (EN): </w:t>
      </w:r>
      <w:r>
        <w:t>Cells use lamellipodia, thin actin-rich membrane protrusions, to probe the mechanical properties of their microenvironment. During mechanosensing, lamellipodia often exhibit dynamic instability in the form of protrusion-retraction cycles. However, how this mechanical instability arises during mechanotransduction remains poorly understood. Here, we develop a minimal mechanochemical model for lamellipodial dynamics that integrates membrane deformation, myosin contractility, and binding kinetics of adhesion molecules (molecular clutches). Through stochastic simulations and analytical mean-field analysis, we demonstrate that both loading rate and force magnitude applied by myosin-driven retrograde flow control the clutch binding kinetics, governing lamellipodial stability and cellular mechanosensing. Specifically, a slow loading rate promotes sustained clutch engagement and traction buildup, while a high force magnitude ruptures bound clutches. Their temporal interplay gives rise to protrusion-retraction cycles in lamellipodia. Furthermore, the model predicts a biphasic response to myosin perturbation, consistent with quantitative experimental observations. Overall, the theoretical model highlights force loading as the key mechanical input driving lamellipodial instability and cellular mechanosensing, advancing our understanding of mechanotransduction during cell spreading.</w:t>
      </w:r>
    </w:p>
    <w:p>
      <w:pPr>
        <w:spacing w:before="120" w:after="120"/>
      </w:pPr>
      <w:r>
        <w:rPr>
          <w:sz w:val="18"/>
        </w:rPr>
        <w:t>——————————————————————————————————————————————————————————————————————</w:t>
      </w:r>
    </w:p>
    <w:p>
      <w:pPr>
        <w:spacing w:before="160" w:after="40" w:line="240" w:lineRule="auto"/>
      </w:pPr>
      <w:r>
        <w:rPr>
          <w:b/>
        </w:rPr>
        <w:t xml:space="preserve">[382] </w:t>
      </w:r>
      <w:hyperlink r:id="rId978">
        <w:r>
          <w:rPr>
            <w:color w:val="1155CC"/>
            <w:u w:val="single"/>
          </w:rPr>
          <w:t>美金刚对 NMDA 受体的状态特异性抑制可深入了解 NMDAR 通道阻滞剂的耐受性</w:t>
        </w:r>
      </w:hyperlink>
    </w:p>
    <w:p>
      <w:pPr>
        <w:spacing w:before="0" w:after="80"/>
      </w:pPr>
      <w:r>
        <w:rPr>
          <w:i/>
          <w:sz w:val="20"/>
        </w:rPr>
        <w:t>EN: State-specific inhibition of NMDA receptors by memantine provides insight into NMDAR channel blocker tolerability</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79">
        <w:r>
          <w:rPr>
            <w:color w:val="1155CC"/>
            <w:u w:val="single"/>
          </w:rPr>
          <w:t>10.1126/sciadv.aec3154</w:t>
        </w:r>
      </w:hyperlink>
    </w:p>
    <w:p>
      <w:pPr>
        <w:spacing w:before="0" w:after="120"/>
      </w:pPr>
      <w:r>
        <w:rPr>
          <w:b/>
        </w:rPr>
        <w:t xml:space="preserve">Notes: </w:t>
      </w:r>
      <w:r>
        <w:t>abstract_source=crossref</w:t>
      </w:r>
    </w:p>
    <w:p>
      <w:pPr>
        <w:spacing w:before="0" w:after="80" w:lineRule="auto" w:line="276"/>
      </w:pPr>
      <w:r>
        <w:rPr>
          <w:b/>
        </w:rPr>
        <w:t xml:space="preserve">摘要（ZH）: </w:t>
      </w:r>
      <w:r>
        <w:t>氮</w:t>
      </w:r>
      <w:r>
        <w:t xml:space="preserve"> </w:t>
      </w:r>
      <w:r>
        <w:t>-甲基-</w:t>
      </w:r>
      <w:r>
        <w:t>d</w:t>
      </w:r>
      <w:r>
        <w:t xml:space="preserve"> </w:t>
      </w:r>
      <w:r>
        <w:t>-天冬氨酸 (NMDA) 受体 (NMDAR) 是钙离子 (Ca</w:t>
      </w:r>
      <w:r>
        <w:t xml:space="preserve"> </w:t>
      </w:r>
      <w:r>
        <w:t>2+</w:t>
      </w:r>
      <w:r>
        <w:t xml:space="preserve"> </w:t>
      </w:r>
      <w:r>
        <w:t>）正常神经元功能所需的流入。过多的 NMDAR 介导的 Ca</w:t>
      </w:r>
      <w:r>
        <w:t xml:space="preserve"> </w:t>
      </w:r>
      <w:r>
        <w:t>2+</w:t>
      </w:r>
      <w:r>
        <w:t xml:space="preserve"> </w:t>
      </w:r>
      <w:r>
        <w:t>流入具有神经毒性并与神经系统疾病相关。美金刚和氯胺酮是两种 NMDAR 拮抗剂，在 NMDAR 通道中具有重叠的结合位点，具有很高的临床意义。美金刚是一种耐受性良好的阿尔茨海默病药物，而氯胺酮是一种速效抗抑郁药，具有滥用潜力和拟精神病作用。美金刚和氯胺酮不同耐受性的机制仍然难以捉摸。我们在此表明，美金刚（而非氯胺酮）对重组和天然 NMDAR 的抑制随着细胞内 Ca 的增加而增加</w:t>
      </w:r>
      <w:r>
        <w:t xml:space="preserve"> </w:t>
      </w:r>
      <w:r>
        <w:t>2+</w:t>
      </w:r>
      <w:r>
        <w:t xml:space="preserve"> </w:t>
      </w:r>
      <w:r>
        <w:t>浓度（[Ca</w:t>
      </w:r>
      <w:r>
        <w:t xml:space="preserve"> </w:t>
      </w:r>
      <w:r>
        <w:t>2+</w:t>
      </w:r>
      <w:r>
        <w:t xml:space="preserve"> </w:t>
      </w:r>
      <w:r>
        <w:t>]</w:t>
      </w:r>
      <w:r>
        <w:t xml:space="preserve"> </w:t>
      </w:r>
      <w:r>
        <w:t>我</w:t>
      </w:r>
      <w:r>
        <w:t xml:space="preserve"> </w:t>
      </w:r>
      <w:r>
        <w:t>）。 [钙</w:t>
      </w:r>
      <w:r>
        <w:t xml:space="preserve"> </w:t>
      </w:r>
      <w:r>
        <w:t>2+</w:t>
      </w:r>
      <w:r>
        <w:t xml:space="preserve"> </w:t>
      </w:r>
      <w:r>
        <w:t>]</w:t>
      </w:r>
      <w:r>
        <w:t xml:space="preserve"> </w:t>
      </w:r>
      <w:r>
        <w:t>我</w:t>
      </w:r>
      <w:r>
        <w:t xml:space="preserve"> </w:t>
      </w:r>
      <w:r>
        <w:t>依赖性抑制是由脱敏受体状态的稳定引起的，并且取决于 NMDAR 亚型。神经保护测定和突触后电流记录表明，在神经毒性条件下，美金刚（而非氯胺酮）优先抑制 NMDAR。我们的结果揭示了一种状态特异性拮抗作用，可以选择性地靶向与疾病相关的 NMDAR 亚群。</w:t>
      </w:r>
    </w:p>
    <w:p>
      <w:pPr>
        <w:spacing w:before="0" w:after="200" w:lineRule="auto" w:line="276"/>
      </w:pPr>
      <w:r>
        <w:rPr>
          <w:b/>
        </w:rPr>
        <w:t xml:space="preserve">Abstract (EN): </w:t>
      </w:r>
      <w:r>
        <w:t>N</w:t>
      </w:r>
      <w:r>
        <w:t xml:space="preserve"> </w:t>
      </w:r>
      <w:r>
        <w:t>-methyl-</w:t>
      </w:r>
      <w:r>
        <w:t>d</w:t>
      </w:r>
      <w:r>
        <w:t xml:space="preserve"> </w:t>
      </w:r>
      <w:r>
        <w:t>-aspartate (NMDA) receptors (NMDARs) are key mediators of calcium ion (Ca</w:t>
      </w:r>
      <w:r>
        <w:t xml:space="preserve"> </w:t>
      </w:r>
      <w:r>
        <w:t>2+</w:t>
      </w:r>
      <w:r>
        <w:t xml:space="preserve"> </w:t>
      </w:r>
      <w:r>
        <w:t>) influx required for proper neuronal function. Excessive NMDAR-mediated Ca</w:t>
      </w:r>
      <w:r>
        <w:t xml:space="preserve"> </w:t>
      </w:r>
      <w:r>
        <w:t>2+</w:t>
      </w:r>
      <w:r>
        <w:t xml:space="preserve"> </w:t>
      </w:r>
      <w:r>
        <w:t>influx is neurotoxic and associated with neurological disease. Memantine and ketamine, two NMDAR antagonists with overlapping binding sites in the NMDAR channel, are of high clinical interest. Whereas memantine is a well-tolerated Alzheimer’s disease medication, ketamine is a fast-acting antidepressant with abuse potential and psychotomimetic effects. The mechanisms underlying the disparate tolerability of memantine and ketamine remain elusive. We show here that inhibition of recombinant and native NMDARs by memantine, but not ketamine, increases with increasing intracellular Ca</w:t>
      </w:r>
      <w:r>
        <w:t xml:space="preserve"> </w:t>
      </w:r>
      <w:r>
        <w:t>2+</w:t>
      </w:r>
      <w:r>
        <w:t xml:space="preserve"> </w:t>
      </w:r>
      <w:r>
        <w:t>concentration ([Ca</w:t>
      </w:r>
      <w:r>
        <w:t xml:space="preserve"> </w:t>
      </w:r>
      <w:r>
        <w:t>2+</w:t>
      </w:r>
      <w:r>
        <w:t xml:space="preserve"> </w:t>
      </w:r>
      <w:r>
        <w:t>]</w:t>
      </w:r>
      <w:r>
        <w:t xml:space="preserve"> </w:t>
      </w:r>
      <w:r>
        <w:t>i</w:t>
      </w:r>
      <w:r>
        <w:t xml:space="preserve"> </w:t>
      </w:r>
      <w:r>
        <w:t>). [Ca</w:t>
      </w:r>
      <w:r>
        <w:t xml:space="preserve"> </w:t>
      </w:r>
      <w:r>
        <w:t>2+</w:t>
      </w:r>
      <w:r>
        <w:t xml:space="preserve"> </w:t>
      </w:r>
      <w:r>
        <w:t>]</w:t>
      </w:r>
      <w:r>
        <w:t xml:space="preserve"> </w:t>
      </w:r>
      <w:r>
        <w:t>i</w:t>
      </w:r>
      <w:r>
        <w:t xml:space="preserve"> </w:t>
      </w:r>
      <w:r>
        <w:t>-dependent inhibition results from stabilization of a desensitized receptor state and depends on NMDAR subtype. Neuroprotection assays and postsynaptic current recordings show that memantine, but not ketamine, preferentially inhibits NMDARs under neurotoxic conditions. Our results reveal a form of state-specific antagonism that allows for the selective targeting of NMDAR subpopulations involved in disease.</w:t>
      </w:r>
    </w:p>
    <w:p>
      <w:pPr>
        <w:spacing w:before="120" w:after="120"/>
      </w:pPr>
      <w:r>
        <w:rPr>
          <w:sz w:val="18"/>
        </w:rPr>
        <w:t>——————————————————————————————————————————————————————————————————————</w:t>
      </w:r>
    </w:p>
    <w:p>
      <w:pPr>
        <w:spacing w:before="160" w:after="40" w:line="240" w:lineRule="auto"/>
      </w:pPr>
      <w:r>
        <w:rPr>
          <w:b/>
        </w:rPr>
        <w:t xml:space="preserve">[383] </w:t>
      </w:r>
      <w:hyperlink r:id="rId980">
        <w:r>
          <w:rPr>
            <w:color w:val="1155CC"/>
            <w:u w:val="single"/>
          </w:rPr>
          <w:t>敌意的等级制度：为什么公民更喜欢某些移民？</w:t>
        </w:r>
      </w:hyperlink>
    </w:p>
    <w:p>
      <w:pPr>
        <w:spacing w:before="0" w:after="80"/>
      </w:pPr>
      <w:r>
        <w:rPr>
          <w:i/>
          <w:sz w:val="20"/>
        </w:rPr>
        <w:t>EN: Hierarchies of hostility: Why do citizens prefer certain immigrants?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81">
        <w:r>
          <w:rPr>
            <w:color w:val="1155CC"/>
            <w:u w:val="single"/>
          </w:rPr>
          <w:t>10.1126/sciadv.aei1159</w:t>
        </w:r>
      </w:hyperlink>
    </w:p>
    <w:p>
      <w:pPr>
        <w:spacing w:before="0" w:after="120"/>
      </w:pPr>
      <w:r>
        <w:rPr>
          <w:b/>
        </w:rPr>
        <w:t xml:space="preserve">Notes: </w:t>
      </w:r>
      <w:r>
        <w:t>abstract_source=crossref</w:t>
      </w:r>
    </w:p>
    <w:p>
      <w:pPr>
        <w:spacing w:before="0" w:after="80" w:lineRule="auto" w:line="276"/>
      </w:pPr>
      <w:r>
        <w:rPr>
          <w:b/>
        </w:rPr>
        <w:t xml:space="preserve">摘要（ZH）: </w:t>
      </w:r>
      <w:r>
        <w:t>对 100 项研究进行了重新分析，调查了公民更喜欢哪些移民，强调了为什么某些移民受到青睐，以及是什么造成了“好”和“坏”移民的二分法。</w:t>
      </w:r>
    </w:p>
    <w:p>
      <w:pPr>
        <w:spacing w:before="0" w:after="200" w:lineRule="auto" w:line="276"/>
      </w:pPr>
      <w:r>
        <w:rPr>
          <w:b/>
        </w:rPr>
        <w:t xml:space="preserve">Abstract (EN): </w:t>
      </w:r>
      <w:r>
        <w:t>A reanalysis of 100 studies examining which immigrants citizens prefer highlights why some immigrants are favored and what creates dichotomies of “good” and “bad” immigrants.</w:t>
      </w:r>
    </w:p>
    <w:p>
      <w:pPr>
        <w:spacing w:before="120" w:after="120"/>
      </w:pPr>
      <w:r>
        <w:rPr>
          <w:sz w:val="18"/>
        </w:rPr>
        <w:t>——————————————————————————————————————————————————————————————————————</w:t>
      </w:r>
    </w:p>
    <w:p>
      <w:pPr>
        <w:spacing w:before="160" w:after="40" w:line="240" w:lineRule="auto"/>
      </w:pPr>
      <w:r>
        <w:rPr>
          <w:b/>
        </w:rPr>
        <w:t xml:space="preserve">[384] </w:t>
      </w:r>
      <w:hyperlink r:id="rId982">
        <w:r>
          <w:rPr>
            <w:color w:val="1155CC"/>
            <w:u w:val="single"/>
          </w:rPr>
          <w:t>界面电场在脂肪酸涂层的微滴气溶胶上产生超碱性外壳</w:t>
        </w:r>
      </w:hyperlink>
    </w:p>
    <w:p>
      <w:pPr>
        <w:spacing w:before="0" w:after="80"/>
      </w:pPr>
      <w:r>
        <w:rPr>
          <w:i/>
          <w:sz w:val="20"/>
        </w:rPr>
        <w:t>EN: Interfacial electric fields create hyperalkaline shells on fatty acid–coated microdroplet aerosols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83">
        <w:r>
          <w:rPr>
            <w:color w:val="1155CC"/>
            <w:u w:val="single"/>
          </w:rPr>
          <w:t>10.1073/pnas.2604717123</w:t>
        </w:r>
      </w:hyperlink>
    </w:p>
    <w:p>
      <w:pPr>
        <w:spacing w:before="0" w:after="120"/>
      </w:pPr>
      <w:r>
        <w:rPr>
          <w:b/>
        </w:rPr>
        <w:t xml:space="preserve">Notes: </w:t>
      </w:r>
      <w:r>
        <w:t>abstract_source=crossref</w:t>
      </w:r>
    </w:p>
    <w:p>
      <w:pPr>
        <w:spacing w:before="0" w:after="80" w:lineRule="auto" w:line="276"/>
      </w:pPr>
      <w:r>
        <w:rPr>
          <w:b/>
        </w:rPr>
        <w:t xml:space="preserve">摘要（ZH）: </w:t>
      </w:r>
      <w:r>
        <w:t>气溶胶酸度 (pH) 是控制大气多相化学的基本特性，因为它影响污染物分配、二次有机气溶胶形成和痕量金属溶解度。热力学模型通常假设亚微米颗粒的内部均匀性；然而，通过生物质燃烧产生的新鲜气溶胶通常具有复杂的核壳形态，其中水核被有机表面活性剂包裹。在这里，我们报告说，涂有硬脂酸的硫酸铵水溶液微滴存在尺寸依赖性的“碱性壳”，硬脂酸是生物质燃烧中普遍存在的成分。使用单液滴表面增强拉曼光谱和共焦荧光成像，我们确定了一个临界尺寸范围（50 至 150 µm），其中表面活性剂单层的排列产生强界面电场（~10</w:t>
      </w:r>
      <w:r>
        <w:rPr>
          <w:vertAlign w:val="subscript"/>
        </w:rPr>
        <w:t>8</w:t>
      </w:r>
      <w:r>
        <w:t>V/米）。该场驱动质子和氢氧根离子的局部分配，维持超碱性表面壳（pH ~ 9 至 11）。我们将这种现象归因于反馈回路，与本体平衡不同，涉及表面活性剂偶极子排列、氢氧化物的疏水限制和界面电荷转移。这些发现为整体热力学预测增添了关键的细微差别，表明虽然气溶胶核心保持酸性，但有机涂层气溶胶的界面可以充当大气中独特的高pH微反应器，有可能加速碱催化反应并改变生物质排放的环境命运。</w:t>
      </w:r>
    </w:p>
    <w:p>
      <w:pPr>
        <w:spacing w:before="0" w:after="200" w:lineRule="auto" w:line="276"/>
      </w:pPr>
      <w:r>
        <w:rPr>
          <w:b/>
        </w:rPr>
        <w:t xml:space="preserve">Abstract (EN): </w:t>
      </w:r>
      <w:r>
        <w:t>Aerosol acidity (pH) is a fundamental property governing atmospheric multiphase chemistry, as it influences pollutant partitioning, secondary organic aerosol formation, and trace metal solubility. Thermodynamic models typically assume the internal homogeneity of submicron particles; however, fresh aerosols produced via biomass burning often possess complex core–shell morphologies wherein an aqueous core is coated by organic surfactants. Here, we report that a size-dependent “alkaline shell” exists for aqueous ammonium sulfate microdroplets coated with stearic acid, a ubiquitous constituent of biomass burning. Using single-droplet surface-enhanced Raman spectroscopy and confocal fluorescence imaging, we identify a critical size regime (50 to 150 µm) where alignment of the surfactant monolayer generates strong interfacial electric fields (~10</w:t>
      </w:r>
      <w:r>
        <w:rPr>
          <w:vertAlign w:val="subscript"/>
        </w:rPr>
        <w:t>8</w:t>
      </w:r>
      <w:r>
        <w:t>V/m). This field drives local partitioning of protons and hydroxide ions, sustaining a hyperalkaline surface shell (pH ~9 to 11). We attribute this phenomenon to a feedback loop, distinct from bulk equilibria, involving surfactant dipole alignment, hydrophobic confinement of hydroxide, and interfacial charge transfer. These findings add critical nuance to bulk thermodynamic predictions, demonstrating that while the aerosol core remains acidic, the interface of organic-coated aerosols can act as a unique, high-pH microreactor in the atmosphere, potentially accelerating base-catalyzed reactions and altering the environmental fate of biomass emissions.</w:t>
      </w:r>
    </w:p>
    <w:p>
      <w:pPr>
        <w:spacing w:before="120" w:after="120"/>
      </w:pPr>
      <w:r>
        <w:rPr>
          <w:sz w:val="18"/>
        </w:rPr>
        <w:t>——————————————————————————————————————————————————————————————————————</w:t>
      </w:r>
    </w:p>
    <w:p>
      <w:pPr>
        <w:spacing w:before="160" w:after="40" w:line="240" w:lineRule="auto"/>
      </w:pPr>
      <w:r>
        <w:rPr>
          <w:b/>
        </w:rPr>
        <w:t xml:space="preserve">[385] </w:t>
      </w:r>
      <w:hyperlink r:id="rId984">
        <w:r>
          <w:rPr>
            <w:color w:val="1155CC"/>
            <w:u w:val="single"/>
          </w:rPr>
          <w:t>组织流变学捕获的上皮囊肿之间的相互作用动态</w:t>
        </w:r>
      </w:hyperlink>
    </w:p>
    <w:p>
      <w:pPr>
        <w:spacing w:before="0" w:after="80"/>
      </w:pPr>
      <w:r>
        <w:rPr>
          <w:i/>
          <w:sz w:val="20"/>
        </w:rPr>
        <w:t>EN: Interaction dynamics between epithelial cysts captured by tissue rheology</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85">
        <w:r>
          <w:rPr>
            <w:color w:val="1155CC"/>
            <w:u w:val="single"/>
          </w:rPr>
          <w:t>10.1073/pnas.2520003123</w:t>
        </w:r>
      </w:hyperlink>
    </w:p>
    <w:p>
      <w:pPr>
        <w:spacing w:before="0" w:after="120"/>
      </w:pPr>
      <w:r>
        <w:rPr>
          <w:b/>
        </w:rPr>
        <w:t xml:space="preserve">Notes: </w:t>
      </w:r>
      <w:r>
        <w:t>abstract_source=crossref</w:t>
      </w:r>
    </w:p>
    <w:p>
      <w:pPr>
        <w:spacing w:before="0" w:after="80" w:lineRule="auto" w:line="276"/>
      </w:pPr>
      <w:r>
        <w:rPr>
          <w:b/>
        </w:rPr>
        <w:t xml:space="preserve">摘要（ZH）: </w:t>
      </w:r>
      <w:r>
        <w:t>上皮囊肿是参与形态发生的最小结构。它们是被单层上皮包围的充满液体的空腔。在发育过程中，囊肿生长，它们的相互作用塑造了器官。虽然它们作为单一结构的生长动力学得到了很好的表征，但它们相互作用背后的物理机制仍然知之甚少。在这里，我们基于微加工、定量生物学和理论设计了一种相互作用的囊肿双联体的最小检测方法，以表明 Madin-Darby 犬肾 (MDCK) 囊肿相互作用本质上是由其上皮单层的流变特性决定的。我们报告了相互作用的两个阶段：细胞单层的聚结和管腔融合，速度相似，均为 0.3 μm/h。我们通过使用 E-钙粘蛋白敲除 MDCK 细胞减少细胞间粘附来调节相互作用表型的分布，并且我们报告 E-钙粘蛋白耗竭促进管腔融合。值得注意的是，两种细胞系之间的聚结和融合动力学是保守的。为了了解守恒速度和细胞间粘附的影响，我们将囊肿双联体的机械行为建模为复杂流体，以预测由粘度、拉伸依赖性单层张力和细胞间粘附能决定的速度。我们通过使用微量移液器抽吸和管腔引流的流变实验来测量这些参数，涵盖整个拉伸范围。该分析的一个关键见解是，考虑张力对拉伸的依赖性对于捕获囊肿相互作用期间观察到的动态至关重要。利用这些流变学</w:t>
      </w:r>
    </w:p>
    <w:p>
      <w:pPr>
        <w:spacing w:before="0" w:after="200" w:lineRule="auto" w:line="276"/>
      </w:pPr>
      <w:r>
        <w:rPr>
          <w:b/>
        </w:rPr>
        <w:t xml:space="preserve">Abstract (EN): </w:t>
      </w:r>
      <w:r>
        <w:t>Epithelial cysts are minimal structures involved in morphogenesis. They are fluid-filled cavities surrounded by an epithelial monolayer. During development, cyst grow and their interactions shape organs. While their growth dynamics as single structures are well characterized, physical mechanisms underlying their interaction remain poorly understood. Here, we design a minimal assay of interacting cyst doublets based on microfabrication, quantitative biology, and theory to show that Madin–Darby canine kidney (MDCK) cysts interaction is essentially determined by rheological properties of their epithelial monolayers. We report two phases of interaction: coalescence of cellular monolayers and lumen fusion, with similar speeds of 0.3 μm/h. We modulate the distribution of interaction phenotypes by reducing cell–cell adhesion using E-cadherin knock-out MDCK cells, and we report that E-cadherin depletion promotes lumen fusion. Remarkably, dynamics of coalescence and fusion are conserved between both cell lines. To understand the conserved speeds and the effect of cell–cell adhesion, we model the mechanical behavior of cyst doublets as a complex fluid to predict a speed determined by viscosity, stretch-dependent monolayer tension, and adhesion energy between cells. We measure these parameters through rheological experiments using micropipette aspiration and lumen drainage, spanningthe full range of stretch. A key insight from this analysis is that accounting for tension’s dependence on stretch is essential to capture dynamics observed during cyst interaction. Using these rheological measurements, we successfully recapitulate the conserved speed. We show that Caco-2 cyst interactions follow similar rules. Altogether, our results open perspectives to understand tissue dynamics during organogenesis through simple physical arguments.</w:t>
      </w:r>
    </w:p>
    <w:p>
      <w:pPr>
        <w:spacing w:before="120" w:after="120"/>
      </w:pPr>
      <w:r>
        <w:rPr>
          <w:sz w:val="18"/>
        </w:rPr>
        <w:t>——————————————————————————————————————————————————————————————————————</w:t>
      </w:r>
    </w:p>
    <w:p>
      <w:pPr>
        <w:spacing w:before="160" w:after="40" w:line="240" w:lineRule="auto"/>
      </w:pPr>
      <w:r>
        <w:rPr>
          <w:b/>
        </w:rPr>
        <w:t xml:space="preserve">[386] </w:t>
      </w:r>
      <w:hyperlink r:id="rId986">
        <w:r>
          <w:rPr>
            <w:color w:val="1155CC"/>
            <w:u w:val="single"/>
          </w:rPr>
          <w:t>植物通过调节蛋白质稳态来耐受大量质体误译</w:t>
        </w:r>
      </w:hyperlink>
    </w:p>
    <w:p>
      <w:pPr>
        <w:spacing w:before="0" w:after="80"/>
      </w:pPr>
      <w:r>
        <w:rPr>
          <w:i/>
          <w:sz w:val="20"/>
        </w:rPr>
        <w:t>EN: Plants tolerate substantial rates of plastid mistranslation via regulated proteostasis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87">
        <w:r>
          <w:rPr>
            <w:color w:val="1155CC"/>
            <w:u w:val="single"/>
          </w:rPr>
          <w:t>10.1073/pnas.2537357123</w:t>
        </w:r>
      </w:hyperlink>
    </w:p>
    <w:p>
      <w:pPr>
        <w:spacing w:before="0" w:after="120"/>
      </w:pPr>
      <w:r>
        <w:rPr>
          <w:b/>
        </w:rPr>
        <w:t xml:space="preserve">Notes: </w:t>
      </w:r>
      <w:r>
        <w:t>abstract_source=crossref</w:t>
      </w:r>
    </w:p>
    <w:p>
      <w:pPr>
        <w:spacing w:before="0" w:after="80" w:lineRule="auto" w:line="276"/>
      </w:pPr>
      <w:r>
        <w:rPr>
          <w:b/>
        </w:rPr>
        <w:t xml:space="preserve">摘要（ZH）: </w:t>
      </w:r>
      <w:r>
        <w:t>在细菌中，蛋白质错误翻译可以提高应激耐受性。线粒体和质体从细菌进化而来，并使用原核型表达机制来合成蛋白质。有趣的是，真菌和动物线粒体对误译高度敏感，例如致命的线粒体心肌病中的误译。植物细胞的反应尚不清楚。谷氨酰转移 RNA (Gln-tRNA</w:t>
      </w:r>
      <w:r>
        <w:t xml:space="preserve"> </w:t>
      </w:r>
      <w:r>
        <w:t>谷氨酰胺</w:t>
      </w:r>
      <w:r>
        <w:t xml:space="preserve"> </w:t>
      </w:r>
      <w:r>
        <w:t>）的细菌和内共生细胞器是间接合成的。最初，tRNA</w:t>
      </w:r>
      <w:r>
        <w:t xml:space="preserve"> </w:t>
      </w:r>
      <w:r>
        <w:t>谷氨酰胺</w:t>
      </w:r>
      <w:r>
        <w:t xml:space="preserve"> </w:t>
      </w:r>
      <w:r>
        <w:t>被谷氨酸氨酰化。随后，Gln 通过氨酰基-tRNA 酰胺基转移酶复合物 GatCAB 的转酰胺基作用产生。因此，GatCAB 活性受损会产生错误加载的 Glu-tRNA</w:t>
      </w:r>
      <w:r>
        <w:t xml:space="preserve"> </w:t>
      </w:r>
      <w:r>
        <w:t>谷氨酰胺</w:t>
      </w:r>
      <w:r>
        <w:t xml:space="preserve"> </w:t>
      </w:r>
      <w:r>
        <w:t>。 GatCAB水平降低的拟南芥突变体为植物细胞器误译提供了全面的见解：我们的蛋白质组学分析揭示了细胞器表达的蛋白质复合物中突变体特异性的高质体和低线粒体Gln-to-Glu错掺率，质体中仅出现适度的蛋白质丰度变化，而线粒体中没有变化。我们确定了有效的补偿机制，可以减轻突变体误译升高的生理后果。有趣的是，温度胁迫下的野生型植物也改变了 Gln-to-Glu 错误掺入，而 Gln-to-Glu 超误翻译突变体的温度适应则不同。我们的研究表明，对细胞器误译的反应</w:t>
      </w:r>
    </w:p>
    <w:p>
      <w:pPr>
        <w:spacing w:before="0" w:after="200" w:lineRule="auto" w:line="276"/>
      </w:pPr>
      <w:r>
        <w:rPr>
          <w:b/>
        </w:rPr>
        <w:t xml:space="preserve">Abstract (EN): </w:t>
      </w:r>
      <w:r>
        <w:t>In bacteria, protein mistranslation can improve stress tolerance. Mitochondria and plastids evolved from bacteria and use a prokaryotic-type expression machinery to synthesize proteins. Interestingly, fungi and animal mitochondria are highly sensitive to mistranslation, which for instance manifests in lethal mitochondrial cardiomyopathy disorder. The response in plant cells is unknown. Glutaminyl-transfer RNAs (Gln-tRNA</w:t>
      </w:r>
      <w:r>
        <w:t xml:space="preserve"> </w:t>
      </w:r>
      <w:r>
        <w:t>Gln</w:t>
      </w:r>
      <w:r>
        <w:t xml:space="preserve"> </w:t>
      </w:r>
      <w:r>
        <w:t>) of bacteria and endosymbiotic organelles are synthesized indirectly. Initially, tRNA</w:t>
      </w:r>
      <w:r>
        <w:t xml:space="preserve"> </w:t>
      </w:r>
      <w:r>
        <w:t>Gln</w:t>
      </w:r>
      <w:r>
        <w:t xml:space="preserve"> </w:t>
      </w:r>
      <w:r>
        <w:t>is aminoacylated with glutamate. Subsequently, Gln is produced through trans-amidation by the aminoacyl-tRNA amido-transferase complex GatCAB. Consequentially, compromised GatCAB activity yields misloaded Glu-tRNA</w:t>
      </w:r>
      <w:r>
        <w:t xml:space="preserve"> </w:t>
      </w:r>
      <w:r>
        <w:t>Gln</w:t>
      </w:r>
      <w:r>
        <w:t xml:space="preserve"> </w:t>
      </w:r>
      <w:r>
        <w:t>. Arabidopsis mutants with decreased GatCAB levels provide global insights into organellar mistranslation in plants: Our proteomics analyses revealed mutant-specific high plastid and low mitochondrial Gln-to-Glu misincorporation rates in organellar-expressed protein complexes with only modest protein abundance changes in plastids and none in mitochondria. We identify efficient compensatory mechanisms that mitigate the physiological consequences of elevated mistranslation in mutants. Interestingly, wild-type plants under temperature stress also have altered Gln-to-Glu misincorporation while temperature acclimation differs in Gln-to-Glu hypermistranslating mutants. Our study indicates that the response toward organellar mistranslation varies among eukaryotes and enables future detailed investigation of mistranslation compensation mechanisms in plant cells.</w:t>
      </w:r>
    </w:p>
    <w:p>
      <w:pPr>
        <w:spacing w:before="120" w:after="120"/>
      </w:pPr>
      <w:r>
        <w:rPr>
          <w:sz w:val="18"/>
        </w:rPr>
        <w:t>——————————————————————————————————————————————————————————————————————</w:t>
      </w:r>
    </w:p>
    <w:p>
      <w:pPr>
        <w:spacing w:before="160" w:after="40" w:line="240" w:lineRule="auto"/>
      </w:pPr>
      <w:r>
        <w:rPr>
          <w:b/>
        </w:rPr>
        <w:t xml:space="preserve">[387] </w:t>
      </w:r>
      <w:hyperlink r:id="rId988">
        <w:r>
          <w:rPr>
            <w:color w:val="1155CC"/>
            <w:u w:val="single"/>
          </w:rPr>
          <w:t>阴燃燃烧产生的塑料亚微米颗粒的独特特性</w:t>
        </w:r>
      </w:hyperlink>
    </w:p>
    <w:p>
      <w:pPr>
        <w:spacing w:before="0" w:after="80"/>
      </w:pPr>
      <w:r>
        <w:rPr>
          <w:i/>
          <w:sz w:val="20"/>
        </w:rPr>
        <w:t>EN: Distinct properties of plastic-derived submicrometer particles from smoldering burning</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89">
        <w:r>
          <w:rPr>
            <w:color w:val="1155CC"/>
            <w:u w:val="single"/>
          </w:rPr>
          <w:t>10.1126/sciadv.aec8184</w:t>
        </w:r>
      </w:hyperlink>
    </w:p>
    <w:p>
      <w:pPr>
        <w:spacing w:before="0" w:after="120"/>
      </w:pPr>
      <w:r>
        <w:rPr>
          <w:b/>
        </w:rPr>
        <w:t xml:space="preserve">Notes: </w:t>
      </w:r>
      <w:r>
        <w:t>abstract_source=crossref</w:t>
      </w:r>
    </w:p>
    <w:p>
      <w:pPr>
        <w:spacing w:before="0" w:after="80" w:lineRule="auto" w:line="276"/>
      </w:pPr>
      <w:r>
        <w:rPr>
          <w:b/>
        </w:rPr>
        <w:t xml:space="preserve">摘要（ZH）: </w:t>
      </w:r>
      <w:r>
        <w:t>塑料的广泛使用和处置不当，在废物燃烧过程中向大气中释放了大量颗粒。我们将这些热产生的颗粒定义为塑料衍生的亚微米颗粒（PDSP），这是一类尚不清楚的污染物。我们提供的直接证据表明，PDSP 不同于主要通过机械过程形成的传统微米和纳米塑料颗粒。我们表明，PDSP 含有改变的聚合物质和在阴燃过程中通过广泛的热分解和化学转化产生的含氧化合物的混合物。挥发性分布表明 PDSP 以半固态存在，其粘度低于其原始聚合物。当暴露于羟基自由基（大气中的主要氧化剂）时，PDSP 表现出比原始聚合物颗粒更高的反应性，形成高度氧化的气溶胶物质，其反应速率与典型的大气有机气溶胶相当。这些发现表明，塑料阴燃引入了一类以前未被识别的大气活性颗粒，对其对全球塑料预算的贡献、在大气中的持久性以及对人类健康和气候相关过程的潜在影响产生影响。</w:t>
      </w:r>
    </w:p>
    <w:p>
      <w:pPr>
        <w:spacing w:before="0" w:after="200" w:lineRule="auto" w:line="276"/>
      </w:pPr>
      <w:r>
        <w:rPr>
          <w:b/>
        </w:rPr>
        <w:t xml:space="preserve">Abstract (EN): </w:t>
      </w:r>
      <w:r>
        <w:t>Widespread plastic use and mismanaged disposal release substantial amounts of particles into the atmosphere during waste burning. We define these thermally generated particles as plastic-derived submicrometer particles (PDSPs), a poorly characterized class of contaminants. We provide direct evidence that PDSPs are distinct from conventional micro- and nanoplastic particles that are formed mainly by mechanical processes. We show that PDSPs contain mixtures of altered polymeric substances and oxygenated compounds produced by extensive thermal decomposition and chemical transformations during smoldering. Volatility distributions suggest that PDSPs exist in semisolid phase states with lower viscosities than their original polymers. Upon exposure to hydroxyl radicals, the principal oxidant in the atmosphere, PDSPs exhibit higher reactivity than the original polymer particles, forming highly oxidized aerosol species at reaction rates comparable to typical atmospheric organic aerosols. These findings demonstrate that plastic smoldering introduces a previously unrecognized class of atmospherically active particles, with implications for their contribution to global plastic budgets, persistence in the atmosphere, and potential effects on human health and climate-relevant processes.</w:t>
      </w:r>
    </w:p>
    <w:p>
      <w:pPr>
        <w:spacing w:before="120" w:after="120"/>
      </w:pPr>
      <w:r>
        <w:rPr>
          <w:sz w:val="18"/>
        </w:rPr>
        <w:t>——————————————————————————————————————————————————————————————————————</w:t>
      </w:r>
    </w:p>
    <w:p>
      <w:pPr>
        <w:spacing w:before="160" w:after="40" w:line="240" w:lineRule="auto"/>
      </w:pPr>
      <w:r>
        <w:rPr>
          <w:b/>
        </w:rPr>
        <w:t xml:space="preserve">[388] </w:t>
      </w:r>
      <w:hyperlink r:id="rId990">
        <w:r>
          <w:rPr>
            <w:color w:val="1155CC"/>
            <w:u w:val="single"/>
          </w:rPr>
          <w:t>早中新世以来南半球西风不对称的演变</w:t>
        </w:r>
      </w:hyperlink>
    </w:p>
    <w:p>
      <w:pPr>
        <w:spacing w:before="0" w:after="80"/>
      </w:pPr>
      <w:r>
        <w:rPr>
          <w:i/>
          <w:sz w:val="20"/>
        </w:rPr>
        <w:t>EN: Evolution of Southern Hemisphere Westerly asymmetry since the Early Miocene</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991">
        <w:r>
          <w:rPr>
            <w:color w:val="1155CC"/>
            <w:u w:val="single"/>
          </w:rPr>
          <w:t>10.1126/sciadv.aee0530</w:t>
        </w:r>
      </w:hyperlink>
    </w:p>
    <w:p>
      <w:pPr>
        <w:spacing w:before="0" w:after="120"/>
      </w:pPr>
      <w:r>
        <w:rPr>
          <w:b/>
        </w:rPr>
        <w:t xml:space="preserve">Notes: </w:t>
      </w:r>
      <w:r>
        <w:t>abstract_source=crossref</w:t>
      </w:r>
    </w:p>
    <w:p>
      <w:pPr>
        <w:spacing w:before="0" w:after="80" w:lineRule="auto" w:line="276"/>
      </w:pPr>
      <w:r>
        <w:rPr>
          <w:b/>
        </w:rPr>
        <w:t xml:space="preserve">摘要（ZH）: </w:t>
      </w:r>
      <w:r>
        <w:t>南半球西风带 (SHW) 是地球气候系统的重要组成部分，因为它们调节整个南半球的湿度、温度和海洋环流。它们还通过大气和海洋遥相关影响北半球。然而，它们的变化很少受到过去温暖气候间隔的限制，可以作为未来可能的气候演变的类比。在这里，我们提供了南太平洋沉积物的地球化学和磁性数据，以重建早中新世以来的尘埃来源。我们发现，风成尘源在大约 840 万年前从南美洲中部转移到了澳大利亚。我们的气候模拟还表明，强大的中新世副热带急流促进了沙尘从中南美洲输送到南太平洋。如果中新世中期被用作未来变暖的可能类比，我们认为在温暖的气候状态下，SHW 往往在纬向上更加不对称，并且 SHW 不对称性可能对未来的气候预测很重要。</w:t>
      </w:r>
    </w:p>
    <w:p>
      <w:pPr>
        <w:spacing w:before="0" w:after="200" w:lineRule="auto" w:line="276"/>
      </w:pPr>
      <w:r>
        <w:rPr>
          <w:b/>
        </w:rPr>
        <w:t xml:space="preserve">Abstract (EN): </w:t>
      </w:r>
      <w:r>
        <w:t>The Southern Hemisphere Westerlies (SHW) are a crucial component of Earth’s climate system because they regulate moisture, temperature, and ocean circulation throughout the Southern Hemisphere. They also affect the Northern Hemisphere through atmospheric and oceanic teleconnections. Yet, their variations are poorly constrained for past warm climate intervals that could serve as analogs for possible future climate evolution. Here we present geochemical and magnetic data from South Pacific Ocean sediments to reconstruct dust provenance since the Early Miocene. We find that the eolian dust source shifted from Central South America to Australia at ~8.4 million years ago. Our climate simulations also suggest that a strong middle Miocene subtropical jet facilitated dust transport from Central South America to the South Pacific Ocean. If the middle Miocene is used as a possible analog for future warming, we suggest that the SHW tends to be more zonally asymmetric in warm climate states and that SHW asymmetry may be important for future climate projections.</w:t>
      </w:r>
    </w:p>
    <w:p>
      <w:pPr>
        <w:spacing w:before="120" w:after="120"/>
      </w:pPr>
      <w:r>
        <w:rPr>
          <w:sz w:val="18"/>
        </w:rPr>
        <w:t>——————————————————————————————————————————————————————————————————————</w:t>
      </w:r>
    </w:p>
    <w:p>
      <w:pPr>
        <w:spacing w:before="160" w:after="40" w:line="240" w:lineRule="auto"/>
      </w:pPr>
      <w:r>
        <w:rPr>
          <w:b/>
        </w:rPr>
        <w:t xml:space="preserve">[389] </w:t>
      </w:r>
      <w:hyperlink r:id="rId992">
        <w:r>
          <w:rPr>
            <w:color w:val="1155CC"/>
            <w:u w:val="single"/>
          </w:rPr>
          <w:t>人类运动学习过程中全脑神经轨迹的动态压缩</w:t>
        </w:r>
      </w:hyperlink>
    </w:p>
    <w:p>
      <w:pPr>
        <w:spacing w:before="0" w:after="80"/>
      </w:pPr>
      <w:r>
        <w:rPr>
          <w:i/>
          <w:sz w:val="20"/>
        </w:rPr>
        <w:t>EN: Dynamic compression of whole-brain neural trajectories during human motor learning</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93">
        <w:r>
          <w:rPr>
            <w:color w:val="1155CC"/>
            <w:u w:val="single"/>
          </w:rPr>
          <w:t>10.1073/pnas.2601546123</w:t>
        </w:r>
      </w:hyperlink>
    </w:p>
    <w:p>
      <w:pPr>
        <w:spacing w:before="0" w:after="120"/>
      </w:pPr>
      <w:r>
        <w:rPr>
          <w:b/>
        </w:rPr>
        <w:t xml:space="preserve">Notes: </w:t>
      </w:r>
      <w:r>
        <w:t>abstract_source=crossref</w:t>
      </w:r>
    </w:p>
    <w:p>
      <w:pPr>
        <w:spacing w:before="0" w:after="80" w:lineRule="auto" w:line="276"/>
      </w:pPr>
      <w:r>
        <w:rPr>
          <w:b/>
        </w:rPr>
        <w:t xml:space="preserve">摘要（ZH）: </w:t>
      </w:r>
      <w:r>
        <w:t>运动学习涉及广泛分布的网络中大脑活动的动态重新配置。然而，支撑这一过程的全脑功能状态的即时演变仍然未知。在这里，将基于流形的轨迹分析应用于人类功能磁共振成像数据，我们发现了运动学习的一个基本特征：神经状态转换在初始学习期间受到严格限制（表现为轨迹几何形状的急剧压缩），并随着性能稳定而放松这些限制。这种密切跟踪行为错误的效应在一天后的重新学习过程中得到了重现，并在独立的运动学习数据集中得到了进一步验证。区域分析表明，这些全球变化是由区域活动调节的主要来源从感觉运动网络转变为认知控制网络所驱动的。总之，我们的结果提出了学习的基本原则，即全脑功能动态被压缩以响应错误，为理解大规模神经活动如何指导行为适应提供了一个框架。</w:t>
      </w:r>
    </w:p>
    <w:p>
      <w:pPr>
        <w:spacing w:before="0" w:after="200" w:lineRule="auto" w:line="276"/>
      </w:pPr>
      <w:r>
        <w:rPr>
          <w:b/>
        </w:rPr>
        <w:t xml:space="preserve">Abstract (EN): </w:t>
      </w:r>
      <w:r>
        <w:t>Motor learning involves the dynamic reconfiguration of brain activity across widely distributed networks. Yet, the moment-to-moment evolution of the whole-brain functional states underpinning this process remains unknown. Here, applying manifold-based trajectory analyses to human fMRI data, we uncover a fundamental signature of motor learning: Neural state transitions are sharply constrained during initial learning—manifesting as a sharp compression of trajectory geometry—and relax these constraints as performance stabilizes. This effect, which closely tracked behavioral error, was recapitulated during relearning a day later and was further validated in an independent motor learning dataset. Regional analyses indicated that these global changes were driven by a shift in the dominant source of regional activity modulation from sensorimotor to cognitive control networks. Together, our results suggest a fundamental principle of learning, where whole-brain functional dynamics are compressed in response to errors, providing a framework for understanding how large-scale neural activity guides behavioral adaptation.</w:t>
      </w:r>
    </w:p>
    <w:p>
      <w:pPr>
        <w:spacing w:before="120" w:after="120"/>
      </w:pPr>
      <w:r>
        <w:rPr>
          <w:sz w:val="18"/>
        </w:rPr>
        <w:t>——————————————————————————————————————————————————————————————————————</w:t>
      </w:r>
    </w:p>
    <w:p>
      <w:pPr>
        <w:spacing w:before="160" w:after="40" w:line="240" w:lineRule="auto"/>
      </w:pPr>
      <w:r>
        <w:rPr>
          <w:b/>
        </w:rPr>
        <w:t xml:space="preserve">[390] </w:t>
      </w:r>
      <w:hyperlink r:id="rId994">
        <w:r>
          <w:rPr>
            <w:color w:val="1155CC"/>
            <w:u w:val="single"/>
          </w:rPr>
          <w:t>二维材料中应变引起的确定性莫尔超晶格</w:t>
        </w:r>
      </w:hyperlink>
    </w:p>
    <w:p>
      <w:pPr>
        <w:spacing w:before="0" w:after="80"/>
      </w:pPr>
      <w:r>
        <w:rPr>
          <w:i/>
          <w:sz w:val="20"/>
        </w:rPr>
        <w:t>EN: Strain-induced deterministic moiré superlattices in 2D materials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95">
        <w:r>
          <w:rPr>
            <w:color w:val="1155CC"/>
            <w:u w:val="single"/>
          </w:rPr>
          <w:t>10.1073/pnas.2602234123</w:t>
        </w:r>
      </w:hyperlink>
    </w:p>
    <w:p>
      <w:pPr>
        <w:spacing w:before="0" w:after="120"/>
      </w:pPr>
      <w:r>
        <w:rPr>
          <w:b/>
        </w:rPr>
        <w:t xml:space="preserve">Notes: </w:t>
      </w:r>
      <w:r>
        <w:t>abstract_source=crossref</w:t>
      </w:r>
    </w:p>
    <w:p>
      <w:pPr>
        <w:spacing w:before="0" w:after="80" w:lineRule="auto" w:line="276"/>
      </w:pPr>
      <w:r>
        <w:rPr>
          <w:b/>
        </w:rPr>
        <w:t xml:space="preserve">摘要（ZH）: </w:t>
      </w:r>
      <w:r>
        <w:t>二维（2D）材料中的莫尔超晶格是通过原子层之间的晶格失配或旋转失准来实现的。在这里，我们使用可扩展的过程将摩尔纹的形成扩展到过渡金属二硫属化物中的异质应变，该过程确定性地诱导二维材料的应变。通过应用图案化薄膜应力源并用扫描透射电子显微镜探测所得原子结构，我们直接解决了产生莫尔超晶格的诱导异质应变、晶格变形和堆叠变化。我们发现单轴和双轴异质应变会产生不同的莫尔图案，包括条纹和扭曲的六边形几何形状。这种重建在MoS2中莫尔超晶格的域边界处产生面内极性扭曲</w:t>
      </w:r>
      <w:r>
        <w:rPr>
          <w:vertAlign w:val="subscript"/>
        </w:rPr>
        <w:t>2</w:t>
      </w:r>
      <w:r>
        <w:t>，产生与扭曲引起的偏振纹理不同的偏振纹理。使用完善的可扩展流程确定性地构建莫尔图案，为在 2D 材料中设计新的莫尔几何形状提供了机会。</w:t>
      </w:r>
    </w:p>
    <w:p>
      <w:pPr>
        <w:spacing w:before="0" w:after="200" w:lineRule="auto" w:line="276"/>
      </w:pPr>
      <w:r>
        <w:rPr>
          <w:b/>
        </w:rPr>
        <w:t xml:space="preserve">Abstract (EN): </w:t>
      </w:r>
      <w:r>
        <w:t>Moiré superlattices in two-dimensional (2D) materials have been realized through lattice mismatch or rotational misalignment between atomic layers. Here, we extend moiré formation to heterostrain in transition metal dichalcogenides using a scalable process that deterministically induces strain to 2D materials. By applying patterned thin-film stressors and probing the resulting atomic structure with scanning transmission electron microscopy, we directly resolve the induced heterostrain, lattice deformations, and stacking variations that produce the moiré superlattice. We find that uniaxial and biaxial heterostrain give rise to distinct moiré patterns, including stripes and distorted hexagonal geometries. Such reconstruction creates in-plane polar distortions at the domain boundaries of the moiré superlattice in MoS</w:t>
      </w:r>
      <w:r>
        <w:rPr>
          <w:vertAlign w:val="subscript"/>
        </w:rPr>
        <w:t>2</w:t>
      </w:r>
      <w:r>
        <w:t>, producing polarization textures different from those induced by twisting. The deterministic construction of moiré patterns using a well-established scalable process opens opportunities to design new moiré geometries in 2D materials.</w:t>
      </w:r>
    </w:p>
    <w:p>
      <w:pPr>
        <w:spacing w:before="120" w:after="120"/>
      </w:pPr>
      <w:r>
        <w:rPr>
          <w:sz w:val="18"/>
        </w:rPr>
        <w:t>——————————————————————————————————————————————————————————————————————</w:t>
      </w:r>
    </w:p>
    <w:p>
      <w:pPr>
        <w:spacing w:before="160" w:after="40" w:line="240" w:lineRule="auto"/>
      </w:pPr>
      <w:r>
        <w:rPr>
          <w:b/>
        </w:rPr>
        <w:t xml:space="preserve">[391] </w:t>
      </w:r>
      <w:hyperlink r:id="rId996">
        <w:r>
          <w:rPr>
            <w:color w:val="1155CC"/>
            <w:u w:val="single"/>
          </w:rPr>
          <w:t>翻转浮游生物</w:t>
        </w:r>
      </w:hyperlink>
    </w:p>
    <w:p>
      <w:pPr>
        <w:spacing w:before="0" w:after="80"/>
      </w:pPr>
      <w:r>
        <w:rPr>
          <w:i/>
          <w:sz w:val="20"/>
        </w:rPr>
        <w:t>EN: Flipping plankton</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97">
        <w:r>
          <w:rPr>
            <w:color w:val="1155CC"/>
            <w:u w:val="single"/>
          </w:rPr>
          <w:t>10.1073/pnas.2603416123</w:t>
        </w:r>
      </w:hyperlink>
    </w:p>
    <w:p>
      <w:pPr>
        <w:spacing w:before="0" w:after="120"/>
      </w:pPr>
      <w:r>
        <w:rPr>
          <w:b/>
        </w:rPr>
        <w:t xml:space="preserve">Notes: </w:t>
      </w:r>
      <w:r>
        <w:t>abstract_source=crossref</w:t>
      </w:r>
    </w:p>
    <w:p>
      <w:pPr>
        <w:spacing w:before="0" w:after="80" w:lineRule="auto" w:line="276"/>
      </w:pPr>
      <w:r>
        <w:rPr>
          <w:b/>
        </w:rPr>
        <w:t xml:space="preserve">摘要（ZH）: </w:t>
      </w:r>
      <w:r>
        <w:t>在浮游有孔虫（海洋浮游动物）的化石记录中，壳卷绕方向的突然的、全球性的逆转是一个显着且反复出现的特征，但它们的进化意义一直是个谜。由于卷曲方向是一个简单的二元特征，因此这种变化通常被解释为环境诱导的表型反应，而不是进化变化的指标，尽管越来越明显的是，遗传变异可以具有不同的卷曲偏好。在这里，我们综合了从始新世到近代（最后 56 Mya）的多个案例研究的最新证据。卷绕翻转发生在数千年或更短的时间尺度上，跨越不同的类群和海洋盆地，其速度太突然，无法用渐进的性状进化来解释。相反，这些快速、同步的卷绕逆转可能预示着神秘的物种形成和间歇性的种群扫描，与不同的栖息地偏好和水体分布相关。在大多数情况下，这种替换不会在化石记录中留下什么痕迹，但当竞争群体在盘绕偏好上存在差异时，戏剧性的、地质上突然的盘绕反转就变得可见。这些发现挑战了仅通过生殖隔离来界定浮游有孔虫物种的假设，而是支持了由公海栖息地划分介导的生态物种形成模型。因此，贝壳卷绕方向不是一种适应性特征，而是作为塑造海洋微型浮游生物多样性的隐藏进化动力学的偶然标记。</w:t>
      </w:r>
    </w:p>
    <w:p>
      <w:pPr>
        <w:spacing w:before="0" w:after="200" w:lineRule="auto" w:line="276"/>
      </w:pPr>
      <w:r>
        <w:rPr>
          <w:b/>
        </w:rPr>
        <w:t xml:space="preserve">Abstract (EN): </w:t>
      </w:r>
      <w:r>
        <w:t>Sudden, global reversals in shell coiling direction are a striking and recurrent feature in the fossil record of planktonic foraminifera (marine zooplankton), yet their evolutionary significance has been a mystery. Because coiling direction is a simple, binary character, such shifts have often been interpreted as environmentally induced phenotypic responses rather than indicators of evolutionary change, although it is increasingly evident that genetic variants can have different coiling preferences. Here, we synthesize recent evidence from multiple case studies spanning the Eocene to the Recent (the last 56 Mya). Coiling flips occur on timescales of thousands of years or less, across diverse taxa and ocean basins, far too abruptly to be explained by gradual trait evolution. Instead, these rapid, synchronous coiling reversals may signal cryptic speciation and episodic population sweeps, associated with distinct habitat preferences and water mass distributions. In most cases such replacements would leave little trace in the fossil record, but when competing groups differ in coiling preference, a dramatic and geologically abrupt coiling reversal becomes visible. These findings challenge the assumption that reproductive isolation alone delimits species in planktonic foraminifera and instead supports a model of ecological speciation mediated by habitat partitioning in the open ocean. Shell coiling direction thus serves not as an adaptive trait, but as a fortuitous marker of hidden evolutionary dynamics shaping marine microplankton diversity.</w:t>
      </w:r>
    </w:p>
    <w:p>
      <w:pPr>
        <w:spacing w:before="120" w:after="120"/>
      </w:pPr>
      <w:r>
        <w:rPr>
          <w:sz w:val="18"/>
        </w:rPr>
        <w:t>——————————————————————————————————————————————————————————————————————</w:t>
      </w:r>
    </w:p>
    <w:p>
      <w:pPr>
        <w:spacing w:before="160" w:after="40" w:line="240" w:lineRule="auto"/>
      </w:pPr>
      <w:r>
        <w:rPr>
          <w:b/>
        </w:rPr>
        <w:t xml:space="preserve">[392] </w:t>
      </w:r>
      <w:hyperlink r:id="rId998">
        <w:r>
          <w:rPr>
            <w:color w:val="1155CC"/>
            <w:u w:val="single"/>
          </w:rPr>
          <w:t>多重基因编辑能够对番茄中的必需维生素和其他促进健康的植物营养素进行多重生物强化</w:t>
        </w:r>
      </w:hyperlink>
    </w:p>
    <w:p>
      <w:pPr>
        <w:spacing w:before="0" w:after="80"/>
      </w:pPr>
      <w:r>
        <w:rPr>
          <w:i/>
          <w:sz w:val="20"/>
        </w:rPr>
        <w:t>EN: Multiplex gene editing enables the multibiofortification of essential vitamins and other health-promoting phytonutrients in tomato</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999">
        <w:r>
          <w:rPr>
            <w:color w:val="1155CC"/>
            <w:u w:val="single"/>
          </w:rPr>
          <w:t>10.1073/pnas.2603937123</w:t>
        </w:r>
      </w:hyperlink>
    </w:p>
    <w:p>
      <w:pPr>
        <w:spacing w:before="0" w:after="120"/>
      </w:pPr>
      <w:r>
        <w:rPr>
          <w:b/>
        </w:rPr>
        <w:t xml:space="preserve">Notes: </w:t>
      </w:r>
      <w:r>
        <w:t>abstract_source=crossref</w:t>
      </w:r>
    </w:p>
    <w:p>
      <w:pPr>
        <w:spacing w:before="0" w:after="80" w:lineRule="auto" w:line="276"/>
      </w:pPr>
      <w:r>
        <w:rPr>
          <w:b/>
        </w:rPr>
        <w:t xml:space="preserve">摘要（ZH）: </w:t>
      </w:r>
      <w:r>
        <w:t>膳食中必需微量营养素和其他植物营养素的缺乏是全球健康和经济负担，导致“隐性饥饿”和慢性疾病。虽然基因组编辑已被用来改善作物的个体营养性状，但通过同时修改多种不同代谢途径的多重生物强化更具挑战性。在这里，我们设计了多重 CRISPR-Cas 策略来编辑番茄中的五个关键基因：</w:t>
      </w:r>
      <w:r>
        <w:t xml:space="preserve"> </w:t>
      </w:r>
      <w:r>
        <w:t>SL7-DR2</w:t>
      </w:r>
      <w:r>
        <w:t xml:space="preserve"> </w:t>
      </w:r>
      <w:r>
        <w:t>,</w:t>
      </w:r>
      <w:r>
        <w:t xml:space="preserve"> </w:t>
      </w:r>
      <w:r>
        <w:t>slGAD3</w:t>
      </w:r>
      <w:r>
        <w:t xml:space="preserve"> </w:t>
      </w:r>
      <w:r>
        <w:t>,</w:t>
      </w:r>
      <w:r>
        <w:t xml:space="preserve"> </w:t>
      </w:r>
      <w:r>
        <w:t>SGR1</w:t>
      </w:r>
      <w:r>
        <w:t xml:space="preserve"> </w:t>
      </w:r>
      <w:r>
        <w:t>,</w:t>
      </w:r>
      <w:r>
        <w:t xml:space="preserve"> </w:t>
      </w:r>
      <w:r>
        <w:t>SGGP1</w:t>
      </w:r>
      <w:r>
        <w:t xml:space="preserve"> </w:t>
      </w:r>
      <w:r>
        <w:t>, 和</w:t>
      </w:r>
      <w:r>
        <w:t xml:space="preserve"> </w:t>
      </w:r>
      <w:r>
        <w:t>SGGP2</w:t>
      </w:r>
      <w:r>
        <w:t xml:space="preserve"> </w:t>
      </w:r>
      <w:r>
        <w:t>。这种方法成功地产生了五重突变体（</w:t>
      </w:r>
      <w:r>
        <w:t xml:space="preserve"> </w:t>
      </w:r>
      <w:r>
        <w:t>5m</w:t>
      </w:r>
      <w:r>
        <w:t xml:space="preserve"> </w:t>
      </w:r>
      <w:r>
        <w:t>) 番茄品系同时添加了七种促进健康的化合物：维生素 D</w:t>
      </w:r>
      <w:r>
        <w:rPr>
          <w:vertAlign w:val="subscript"/>
        </w:rPr>
        <w:t>3</w:t>
      </w:r>
      <w:r>
        <w:t>（0至0.70 μg/g干重）、维生素C（高达2.53倍）、维生素原A/β-胡萝卜素（高达3.86倍）、α-胡萝卜素（高达2.47倍）、叶黄素（高达3.26倍）、番茄红素（高达7.07倍）和γ-氨基丁酸（GABA，高达 5.26 倍）。值得注意的是，这些多重生物强化番茄在植物生长或果实质量方面没有表现出显着的权衡。摘自</w:t>
      </w:r>
      <w:r>
        <w:t xml:space="preserve"> </w:t>
      </w:r>
      <w:r>
        <w:t>5m</w:t>
      </w:r>
      <w:r>
        <w:t xml:space="preserve"> </w:t>
      </w:r>
      <w:r>
        <w:t>西红柿在体外显示出对结直肠癌细胞增殖的增强抑制作用。这种抗增殖作用在体内得到了验证，其中膳食补充剂</w:t>
      </w:r>
      <w:r>
        <w:t xml:space="preserve"> </w:t>
      </w:r>
      <w:r>
        <w:t>5m</w:t>
      </w:r>
      <w:r>
        <w:t xml:space="preserve"> </w:t>
      </w:r>
      <w:r>
        <w:t>番茄粉显着</w:t>
      </w:r>
    </w:p>
    <w:p>
      <w:pPr>
        <w:spacing w:before="0" w:after="200" w:lineRule="auto" w:line="276"/>
      </w:pPr>
      <w:r>
        <w:rPr>
          <w:b/>
        </w:rPr>
        <w:t xml:space="preserve">Abstract (EN): </w:t>
      </w:r>
      <w:r>
        <w:t>Dietary deficiencies in essential micronutrients and other phytonutrients represent a global health and economic burden, contributing to “hidden hunger” and chronic diseases. While genome editing has been employed to improve individual nutritional traits in crops, multibiofortification through simultaneous modification of multiple distinct metabolic pathways is more challenging. Here, we designed a multiplex CRISPR-Cas strategy to edit five key genes in tomato:</w:t>
      </w:r>
      <w:r>
        <w:t xml:space="preserve"> </w:t>
      </w:r>
      <w:r>
        <w:t>Sl7-DR2</w:t>
      </w:r>
      <w:r>
        <w:t xml:space="preserve"> </w:t>
      </w:r>
      <w:r>
        <w:t>,</w:t>
      </w:r>
      <w:r>
        <w:t xml:space="preserve"> </w:t>
      </w:r>
      <w:r>
        <w:t>SlGAD3</w:t>
      </w:r>
      <w:r>
        <w:t xml:space="preserve"> </w:t>
      </w:r>
      <w:r>
        <w:t>,</w:t>
      </w:r>
      <w:r>
        <w:t xml:space="preserve"> </w:t>
      </w:r>
      <w:r>
        <w:t>SlSGR1</w:t>
      </w:r>
      <w:r>
        <w:t xml:space="preserve"> </w:t>
      </w:r>
      <w:r>
        <w:t>,</w:t>
      </w:r>
      <w:r>
        <w:t xml:space="preserve"> </w:t>
      </w:r>
      <w:r>
        <w:t>SlGGP1</w:t>
      </w:r>
      <w:r>
        <w:t xml:space="preserve"> </w:t>
      </w:r>
      <w:r>
        <w:t>, and</w:t>
      </w:r>
      <w:r>
        <w:t xml:space="preserve"> </w:t>
      </w:r>
      <w:r>
        <w:t>SlGGP2</w:t>
      </w:r>
      <w:r>
        <w:t xml:space="preserve"> </w:t>
      </w:r>
      <w:r>
        <w:t>. This approach successfully generated quintuple mutant (</w:t>
      </w:r>
      <w:r>
        <w:t xml:space="preserve"> </w:t>
      </w:r>
      <w:r>
        <w:t>5m</w:t>
      </w:r>
      <w:r>
        <w:t xml:space="preserve"> </w:t>
      </w:r>
      <w:r>
        <w:t>) tomato lines simultaneously biofortified with seven health-promoting compounds: vitamin D</w:t>
      </w:r>
      <w:r>
        <w:rPr>
          <w:vertAlign w:val="subscript"/>
        </w:rPr>
        <w:t>3</w:t>
      </w:r>
      <w:r>
        <w:t>(from 0 to 0.70 μg/g dry weight), vitamin C (up to 2.53-fold), provitamin A/β-carotene (up to 3.86-fold), α-carotene (up to 2.47-fold), lutein (up to 3.26-fold), lycopene (up to 7.07-fold), and γ-aminobutyric acid (GABA, up to 5.26-fold). Notably, these multibiofortified tomatoes exhibited no significant trade-offs in plant growth or fruit quality. Extracts from</w:t>
      </w:r>
      <w:r>
        <w:t xml:space="preserve"> </w:t>
      </w:r>
      <w:r>
        <w:t>5m</w:t>
      </w:r>
      <w:r>
        <w:t xml:space="preserve"> </w:t>
      </w:r>
      <w:r>
        <w:t>tomatoes showed enhanced suppression of colorectal cancer cell proliferation in vitro. This antiproliferative effect was validated in vivo, where dietary supplementation with</w:t>
      </w:r>
      <w:r>
        <w:t xml:space="preserve"> </w:t>
      </w:r>
      <w:r>
        <w:t>5m</w:t>
      </w:r>
      <w:r>
        <w:t xml:space="preserve"> </w:t>
      </w:r>
      <w:r>
        <w:t>tomato powder significantly inhibited tumor growth in a mouse xenograft model. Our work demonstrates an effective strategy for developing a next generation of “functional foods” through multibiofortification, creating a single, nutrient-dense crop that combats both micronutrient malnutrition and chronic diseases.</w:t>
      </w:r>
    </w:p>
    <w:p>
      <w:pPr>
        <w:spacing w:before="120" w:after="120"/>
      </w:pPr>
      <w:r>
        <w:rPr>
          <w:sz w:val="18"/>
        </w:rPr>
        <w:t>——————————————————————————————————————————————————————————————————————</w:t>
      </w:r>
    </w:p>
    <w:p>
      <w:pPr>
        <w:spacing w:before="160" w:after="40" w:line="240" w:lineRule="auto"/>
      </w:pPr>
      <w:r>
        <w:rPr>
          <w:b/>
        </w:rPr>
        <w:t xml:space="preserve">[393] </w:t>
      </w:r>
      <w:hyperlink r:id="rId1000">
        <w:r>
          <w:rPr>
            <w:color w:val="1155CC"/>
            <w:u w:val="single"/>
          </w:rPr>
          <w:t>约翰·克拉克 (John Clarke)、米歇尔·H·德沃雷 (Michel H. Devoret) 和约翰·马蒂尼斯 (John M. Martinis) 简介：2025 年诺贝尔物理学奖获得者</w:t>
        </w:r>
      </w:hyperlink>
    </w:p>
    <w:p>
      <w:pPr>
        <w:spacing w:before="0" w:after="80"/>
      </w:pPr>
      <w:r>
        <w:rPr>
          <w:i/>
          <w:sz w:val="20"/>
        </w:rPr>
        <w:t>EN: Profile of John Clarke, Michel H. Devoret, and John M. Martinis: 2025 Nobel laureates in Physics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1001">
        <w:r>
          <w:rPr>
            <w:color w:val="1155CC"/>
            <w:u w:val="single"/>
          </w:rPr>
          <w:t>10.1073/pnas.2604018123</w:t>
        </w:r>
      </w:hyperlink>
    </w:p>
    <w:p>
      <w:pPr>
        <w:spacing w:before="0" w:after="120"/>
      </w:pPr>
      <w:r>
        <w:rPr>
          <w:b/>
        </w:rPr>
        <w:t xml:space="preserve">Notes: </w:t>
      </w:r>
      <w:r>
        <w:t>abstract_source=crossref</w:t>
      </w:r>
    </w:p>
    <w:p>
      <w:pPr>
        <w:spacing w:before="0" w:after="80" w:lineRule="auto" w:line="276"/>
      </w:pPr>
      <w:r>
        <w:rPr>
          <w:b/>
        </w:rPr>
        <w:t xml:space="preserve">摘要（ZH）: </w:t>
      </w:r>
      <w:r>
        <w:t>瑞典皇家科学院将 2025 年诺贝尔物理学奖联合授予约翰·克拉克 (John Clarke)、米歇尔·H·德沃雷 (Michel H. Devoret) 和约翰·M·马丁尼斯 (John M. Martinis)，以表彰他们在电路中的宏观量子力学隧道效应和能量量子化方面的基础性发现。这项获得殊荣的工作主要是在 20 世纪 80 年代中期在加州大学伯克利分校约翰·克拉克 (John Clarke) 实验室进行的，正如《科学》杂志上的两篇文章所述</w:t>
      </w:r>
      <w:r>
        <w:t xml:space="preserve"> </w:t>
      </w:r>
      <w:r>
        <w:t>物理评论快报</w:t>
      </w:r>
      <w:r>
        <w:t xml:space="preserve"> </w:t>
      </w:r>
      <w:r>
        <w:t>[M。 H.德沃雷特、J.M.马蒂尼斯、J.克拉克、</w:t>
      </w:r>
      <w:r>
        <w:t xml:space="preserve"> </w:t>
      </w:r>
      <w:r>
        <w:t>物理。莱特牧师。</w:t>
      </w:r>
      <w:r>
        <w:rPr>
          <w:vertAlign w:val="subscript"/>
        </w:rPr>
        <w:t>55</w:t>
      </w:r>
      <w:r>
        <w:t>，1908-1911（1985）； J. M. 马蒂尼斯、M. H. 德沃雷特、J. 克拉克、</w:t>
      </w:r>
      <w:r>
        <w:t xml:space="preserve"> </w:t>
      </w:r>
      <w:r>
        <w:t>物理。莱特牧师。</w:t>
      </w:r>
      <w:r>
        <w:rPr>
          <w:vertAlign w:val="subscript"/>
        </w:rPr>
        <w:t>55</w:t>
      </w:r>
      <w:r>
        <w:t>，1543–1546（1985）]。这项工作有效地弥合了原子的微观世界和人类工程的宏观世界之间的差距。</w:t>
      </w:r>
    </w:p>
    <w:p>
      <w:pPr>
        <w:spacing w:before="0" w:after="200" w:lineRule="auto" w:line="276"/>
      </w:pPr>
      <w:r>
        <w:rPr>
          <w:b/>
        </w:rPr>
        <w:t xml:space="preserve">Abstract (EN): </w:t>
      </w:r>
      <w:r>
        <w:t>The Royal Swedish Academy of Sciences awarded the 2025 Nobel Prize in Physics jointly to John Clarke, Michel H. Devoret, and John M. Martinis for their foundational discovery of macroscopic quantum mechanical tunneling and energy quantization in electrical circuits. The work that was honored was conducted primarily in the mid-1980s in John Clarke’s laboratory at the University of California—Berkeley, as described in two articles in</w:t>
      </w:r>
      <w:r>
        <w:t xml:space="preserve"> </w:t>
      </w:r>
      <w:r>
        <w:t>Physical Review Letters</w:t>
      </w:r>
      <w:r>
        <w:t xml:space="preserve"> </w:t>
      </w:r>
      <w:r>
        <w:t>[M. H. Devoret, J. M. Martinis, J. Clarke,</w:t>
      </w:r>
      <w:r>
        <w:t xml:space="preserve"> </w:t>
      </w:r>
      <w:r>
        <w:t>Phys. Rev. Lett.</w:t>
      </w:r>
      <w:r>
        <w:rPr>
          <w:vertAlign w:val="subscript"/>
        </w:rPr>
        <w:t>55</w:t>
      </w:r>
      <w:r>
        <w:t>, 1908–1911 (1985); J. M. Martinis, M. H. Devoret, J. Clarke,</w:t>
      </w:r>
      <w:r>
        <w:t xml:space="preserve"> </w:t>
      </w:r>
      <w:r>
        <w:t>Phys. Rev. Lett.</w:t>
      </w:r>
      <w:r>
        <w:rPr>
          <w:vertAlign w:val="subscript"/>
        </w:rPr>
        <w:t>55</w:t>
      </w:r>
      <w:r>
        <w:t>, 1543–1546 (1985)]. This work effectively bridged the gap between the microscopic world of atoms and the macroscopic world of human-scale engineering.</w:t>
      </w:r>
    </w:p>
    <w:p>
      <w:pPr>
        <w:spacing w:before="120" w:after="120"/>
      </w:pPr>
      <w:r>
        <w:rPr>
          <w:sz w:val="18"/>
        </w:rPr>
        <w:t>——————————————————————————————————————————————————————————————————————</w:t>
      </w:r>
    </w:p>
    <w:p>
      <w:pPr>
        <w:spacing w:before="160" w:after="40" w:line="240" w:lineRule="auto"/>
      </w:pPr>
      <w:r>
        <w:rPr>
          <w:b/>
        </w:rPr>
        <w:t xml:space="preserve">[394] </w:t>
      </w:r>
      <w:hyperlink r:id="rId1002">
        <w:r>
          <w:rPr>
            <w:color w:val="1155CC"/>
            <w:u w:val="single"/>
          </w:rPr>
          <w:t>Kagome 超导体中对密度波的相敏证据</w:t>
        </w:r>
      </w:hyperlink>
    </w:p>
    <w:p>
      <w:pPr>
        <w:spacing w:before="0" w:after="80"/>
      </w:pPr>
      <w:r>
        <w:rPr>
          <w:i/>
          <w:sz w:val="20"/>
        </w:rPr>
        <w:t>EN: Phase-sensitive evidence for pair density waves in a kagome superconductor</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1003">
        <w:r>
          <w:rPr>
            <w:color w:val="1155CC"/>
            <w:u w:val="single"/>
          </w:rPr>
          <w:t>10.1073/pnas.2604142123</w:t>
        </w:r>
      </w:hyperlink>
    </w:p>
    <w:p>
      <w:pPr>
        <w:spacing w:before="0" w:after="120"/>
      </w:pPr>
      <w:r>
        <w:rPr>
          <w:b/>
        </w:rPr>
        <w:t xml:space="preserve">Notes: </w:t>
      </w:r>
      <w:r>
        <w:t>abstract_source=crossref</w:t>
      </w:r>
    </w:p>
    <w:p>
      <w:pPr>
        <w:spacing w:before="0" w:after="80" w:lineRule="auto" w:line="276"/>
      </w:pPr>
      <w:r>
        <w:rPr>
          <w:b/>
        </w:rPr>
        <w:t xml:space="preserve">摘要（ZH）: </w:t>
      </w:r>
      <w:r>
        <w:t>对密度波（PDW）表现出超导有序参数的周期性幅度和符号调制。长期以来，人们一直认为这种配对状态对非磁性散射高度敏感，但其实验实现仍然难以捉摸。在这里，我们在 30 mK 的基础温度下使用设计原子非磁性杂质和高精度扫描隧道显微镜 (STM)，在 kagome 超导体中发现了非磁性 PDW 破坏效应。我们通过具有超导尖端的 Josephson STM 检测到 2 × 2 对密度调制，并通过普通 STM 检测到 2 × 2 配对间隙调制。我们发现，在戈薇​​晶格中掺杂稀释的等价非磁性杂质后，这两种情况下的配对调制都得到了显着抑制，而电荷顺序和均匀超导性仍然保持稳健。我们进一步确定了原子掺杂剂与 PDW 局部抑制之间的相关性。我们将这些发现归因于戈薇中 PDW 的相位调制所产生的非磁性断对效应。</w:t>
      </w:r>
      <w:r>
        <w:t xml:space="preserve"> </w:t>
      </w:r>
      <w:r>
        <w:t>d</w:t>
      </w:r>
      <w:r>
        <w:t xml:space="preserve"> </w:t>
      </w:r>
      <w:r>
        <w:t>-轨道。结合理论联系起来的其他最先进的光谱学和输运测量中的特征，我们的研究结果支持戈薇超导体的基态作为与超导环路电流相关的拓扑相。</w:t>
      </w:r>
    </w:p>
    <w:p>
      <w:pPr>
        <w:spacing w:before="0" w:after="200" w:lineRule="auto" w:line="276"/>
      </w:pPr>
      <w:r>
        <w:rPr>
          <w:b/>
        </w:rPr>
        <w:t xml:space="preserve">Abstract (EN): </w:t>
      </w:r>
      <w:r>
        <w:t>Pair density wave (PDW) exhibits periodic amplitude and sign modulations of the superconducting order parameter. Such a pairing state has long been proposed to be highly sensitive to nonmagnetic scattering, but its experimental realization remains elusive. Here, we find a nonmagnetic PDW-breaking effect in a kagome superconductor, using designer atomic nonmagnetic impurities and high-precision scanning tunneling microscopy (STM) at a base temperature of 30 mK. We detect 2 × 2 pair density modulations by Josephson STM with a superconducting tip and 2 × 2 pairing gap modulations by normal STM. We find that the pairing modulations in both cases are substantially suppressed upon doping the kagome lattice with dilute isovalent nonmagnetic impurities, whereas the charge order and uniform superconductivity remain robust. We further identify the correlation between atomic dopants and the local suppression of PDW. We attribute these findings to a nonmagnetic pair-breaking effect, arising from the phase modulation of PDW in the kagome</w:t>
      </w:r>
      <w:r>
        <w:t xml:space="preserve"> </w:t>
      </w:r>
      <w:r>
        <w:t>d</w:t>
      </w:r>
      <w:r>
        <w:t xml:space="preserve"> </w:t>
      </w:r>
      <w:r>
        <w:t>-orbital. Taken together with its signatures in other state-of-the-art spectroscopy and transport measurements linked by theory, our findings support the ground state of the kagome superconductor as a correlated topological phase with superconducting loop currents.</w:t>
      </w:r>
    </w:p>
    <w:p>
      <w:pPr>
        <w:spacing w:before="120" w:after="120"/>
      </w:pPr>
      <w:r>
        <w:rPr>
          <w:sz w:val="18"/>
        </w:rPr>
        <w:t>——————————————————————————————————————————————————————————————————————</w:t>
      </w:r>
    </w:p>
    <w:p>
      <w:pPr>
        <w:spacing w:before="160" w:after="40" w:line="240" w:lineRule="auto"/>
      </w:pPr>
      <w:r>
        <w:rPr>
          <w:b/>
        </w:rPr>
        <w:t xml:space="preserve">[395] </w:t>
      </w:r>
      <w:hyperlink r:id="rId1004">
        <w:r>
          <w:rPr>
            <w:color w:val="1155CC"/>
            <w:u w:val="single"/>
          </w:rPr>
          <w:t>修改后的多醇生物合成三步绕行途径在芽殖酵母中在进化上是保守的</w:t>
        </w:r>
      </w:hyperlink>
    </w:p>
    <w:p>
      <w:pPr>
        <w:spacing w:before="0" w:after="80"/>
      </w:pPr>
      <w:r>
        <w:rPr>
          <w:i/>
          <w:sz w:val="20"/>
        </w:rPr>
        <w:t>EN: The revised three-step detour pathway in dolichol biosynthesis is evolutionarily conserved in budding yeast</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1005">
        <w:r>
          <w:rPr>
            <w:color w:val="1155CC"/>
            <w:u w:val="single"/>
          </w:rPr>
          <w:t>10.1073/pnas.2613147123</w:t>
        </w:r>
      </w:hyperlink>
    </w:p>
    <w:p>
      <w:pPr>
        <w:spacing w:before="0" w:after="120"/>
      </w:pPr>
      <w:r>
        <w:rPr>
          <w:b/>
        </w:rPr>
        <w:t xml:space="preserve">Notes: </w:t>
      </w:r>
      <w:r>
        <w:t>abstract_source=crossref</w:t>
      </w:r>
    </w:p>
    <w:p>
      <w:pPr>
        <w:spacing w:before="0" w:after="80" w:lineRule="auto" w:line="276"/>
      </w:pPr>
      <w:r>
        <w:rPr>
          <w:b/>
        </w:rPr>
        <w:t xml:space="preserve">摘要（ZH）: </w:t>
      </w:r>
      <w:r>
        <w:t>鉴定</w:t>
      </w:r>
      <w:r>
        <w:t xml:space="preserve"> </w:t>
      </w:r>
      <w:r>
        <w:t>SRD5A3</w:t>
      </w:r>
      <w:r>
        <w:t xml:space="preserve"> </w:t>
      </w:r>
      <w:r>
        <w:t>，先天性糖基化障碍 (CDG) 的致病基因，及其酵母直系同源物</w:t>
      </w:r>
      <w:r>
        <w:t xml:space="preserve"> </w:t>
      </w:r>
      <w:r>
        <w:t>DFG10</w:t>
      </w:r>
      <w:r>
        <w:t xml:space="preserve"> </w:t>
      </w:r>
      <w:r>
        <w:t>，建立了由聚戊烯醇一步合成多醇的流行模型。随后，最近在 CDG 患者中发现 DHRSX 修正了这一观点，并提出了多醇生物合成的三步绕行途径。然而，目前尚不清楚该途径是否代表真核生物的保守机制或反映进化多样性。在这里，我们确定了</w:t>
      </w:r>
      <w:r>
        <w:t xml:space="preserve"> </w:t>
      </w:r>
      <w:r>
        <w:t>TDA5</w:t>
      </w:r>
      <w:r>
        <w:t xml:space="preserve"> </w:t>
      </w:r>
      <w:r>
        <w:t>作为酵母直系同源物</w:t>
      </w:r>
      <w:r>
        <w:t xml:space="preserve"> </w:t>
      </w:r>
      <w:r>
        <w:t>DHRSX</w:t>
      </w:r>
      <w:r>
        <w:t xml:space="preserve"> </w:t>
      </w:r>
      <w:r>
        <w:t>。删除</w:t>
      </w:r>
      <w:r>
        <w:t xml:space="preserve"> </w:t>
      </w:r>
      <w:r>
        <w:t>TDA5</w:t>
      </w:r>
      <w:r>
        <w:t xml:space="preserve"> </w:t>
      </w:r>
      <w:r>
        <w:t>引起糖基化缺陷，降低多羟基化合物水平，并积累聚戊烯醇。所有这些表型都通过表达来拯救</w:t>
      </w:r>
      <w:r>
        <w:t xml:space="preserve"> </w:t>
      </w:r>
      <w:r>
        <w:t>DHRSX</w:t>
      </w:r>
      <w:r>
        <w:t xml:space="preserve"> </w:t>
      </w:r>
      <w:r>
        <w:t>，但不是由</w:t>
      </w:r>
      <w:r>
        <w:t xml:space="preserve"> </w:t>
      </w:r>
      <w:r>
        <w:t>DFG10</w:t>
      </w:r>
      <w:r>
        <w:t xml:space="preserve"> </w:t>
      </w:r>
      <w:r>
        <w:t>或</w:t>
      </w:r>
      <w:r>
        <w:t xml:space="preserve"> </w:t>
      </w:r>
      <w:r>
        <w:t>SRD5A3</w:t>
      </w:r>
      <w:r>
        <w:t xml:space="preserve"> </w:t>
      </w:r>
      <w:r>
        <w:t>。这些发现表明，Tda5 与酵母中的 DHRSX 具有相同的功能，从而证明了酵母中三步绕行途径的保守性，并支持更广泛的多醇生物合成真核框架。</w:t>
      </w:r>
    </w:p>
    <w:p>
      <w:pPr>
        <w:spacing w:before="0" w:after="200" w:lineRule="auto" w:line="276"/>
      </w:pPr>
      <w:r>
        <w:rPr>
          <w:b/>
        </w:rPr>
        <w:t xml:space="preserve">Abstract (EN): </w:t>
      </w:r>
      <w:r>
        <w:t>The identification of</w:t>
      </w:r>
      <w:r>
        <w:t xml:space="preserve"> </w:t>
      </w:r>
      <w:r>
        <w:t>SRD5A3</w:t>
      </w:r>
      <w:r>
        <w:t xml:space="preserve"> </w:t>
      </w:r>
      <w:r>
        <w:t>, a causative gene for congenital disorders of glycosylation (CDGs), together with its yeast ortholog</w:t>
      </w:r>
      <w:r>
        <w:t xml:space="preserve"> </w:t>
      </w:r>
      <w:r>
        <w:t>DFG10</w:t>
      </w:r>
      <w:r>
        <w:t xml:space="preserve"> </w:t>
      </w:r>
      <w:r>
        <w:t>, established the prevailing model that dolichol is synthesized from polyprenol in a single step. Subsequently, a recent discovery of DHRSX in CDG patients revised this view and led to the proposal of a three-step detour pathway for dolichol biosynthesis. However, it remains unclear whether this pathway represents a conserved mechanism or reflects evolutionary diversity in eukaryotes. Here, we identified</w:t>
      </w:r>
      <w:r>
        <w:t xml:space="preserve"> </w:t>
      </w:r>
      <w:r>
        <w:t>TDA5</w:t>
      </w:r>
      <w:r>
        <w:t xml:space="preserve"> </w:t>
      </w:r>
      <w:r>
        <w:t>as a yeast ortholog of</w:t>
      </w:r>
      <w:r>
        <w:t xml:space="preserve"> </w:t>
      </w:r>
      <w:r>
        <w:t>DHRSX</w:t>
      </w:r>
      <w:r>
        <w:t xml:space="preserve"> </w:t>
      </w:r>
      <w:r>
        <w:t>. Deletion of</w:t>
      </w:r>
      <w:r>
        <w:t xml:space="preserve"> </w:t>
      </w:r>
      <w:r>
        <w:t>TDA5</w:t>
      </w:r>
      <w:r>
        <w:t xml:space="preserve"> </w:t>
      </w:r>
      <w:r>
        <w:t>caused glycosylation defects, reduced dolichol levels, and accumulated polyprenol. All these phenotypes were rescued by expression of</w:t>
      </w:r>
      <w:r>
        <w:t xml:space="preserve"> </w:t>
      </w:r>
      <w:r>
        <w:t>DHRSX</w:t>
      </w:r>
      <w:r>
        <w:t xml:space="preserve"> </w:t>
      </w:r>
      <w:r>
        <w:t>, but not by</w:t>
      </w:r>
      <w:r>
        <w:t xml:space="preserve"> </w:t>
      </w:r>
      <w:r>
        <w:t>DFG10</w:t>
      </w:r>
      <w:r>
        <w:t xml:space="preserve"> </w:t>
      </w:r>
      <w:r>
        <w:t>or</w:t>
      </w:r>
      <w:r>
        <w:t xml:space="preserve"> </w:t>
      </w:r>
      <w:r>
        <w:t>SRD5A3</w:t>
      </w:r>
      <w:r>
        <w:t xml:space="preserve"> </w:t>
      </w:r>
      <w:r>
        <w:t>. These findings show that Tda5 serves the same function as DHRSX in yeast, thereby demonstrating conservation of the three-step detour pathway in yeast and supporting a broader eukaryotic framework for dolichol biosynthesis.</w:t>
      </w:r>
    </w:p>
    <w:p>
      <w:pPr>
        <w:spacing w:before="120" w:after="120"/>
      </w:pPr>
      <w:r>
        <w:rPr>
          <w:sz w:val="18"/>
        </w:rPr>
        <w:t>——————————————————————————————————————————————————————————————————————</w:t>
      </w:r>
    </w:p>
    <w:p>
      <w:pPr>
        <w:spacing w:before="160" w:after="40" w:line="240" w:lineRule="auto"/>
      </w:pPr>
      <w:r>
        <w:rPr>
          <w:b/>
        </w:rPr>
        <w:t xml:space="preserve">[396] </w:t>
      </w:r>
      <w:hyperlink r:id="rId1006">
        <w:r>
          <w:rPr>
            <w:color w:val="1155CC"/>
            <w:u w:val="single"/>
          </w:rPr>
          <w:t>金属介电光子玻璃涂料可在整个可见光谱范围内实现多色、与角度无关的结构色</w:t>
        </w:r>
      </w:hyperlink>
    </w:p>
    <w:p>
      <w:pPr>
        <w:spacing w:before="0" w:after="80"/>
      </w:pPr>
      <w:r>
        <w:rPr>
          <w:i/>
          <w:sz w:val="20"/>
        </w:rPr>
        <w:t>EN: Metallodielectric photonic glass paints enable hyperchromatic, angle-independent structural color across the full visible spectrum</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1007">
        <w:r>
          <w:rPr>
            <w:color w:val="1155CC"/>
            <w:u w:val="single"/>
          </w:rPr>
          <w:t>10.1073/pnas.2608405123</w:t>
        </w:r>
      </w:hyperlink>
    </w:p>
    <w:p>
      <w:pPr>
        <w:spacing w:before="0" w:after="120"/>
      </w:pPr>
      <w:r>
        <w:rPr>
          <w:b/>
        </w:rPr>
        <w:t xml:space="preserve">Notes: </w:t>
      </w:r>
      <w:r>
        <w:t>abstract_source=crossref</w:t>
      </w:r>
    </w:p>
    <w:p>
      <w:pPr>
        <w:spacing w:before="0" w:after="80" w:lineRule="auto" w:line="276"/>
      </w:pPr>
      <w:r>
        <w:rPr>
          <w:b/>
        </w:rPr>
        <w:t xml:space="preserve">摘要（ZH）: </w:t>
      </w:r>
      <w:r>
        <w:t>胶体光子玻璃作为无染料、可溶液加工的颜料而具有吸引力，其显示出较弱的角度依赖性，但众所周知，它们的红色色调会被冲掉，因为单粒子瑞利/米氏散射会产生强烈的蓝色背景（形状因数）。在这里，我们报告了金属介电光子玻璃涂料，可提供多色结构颜色，包括生动的与角度无关的红色。我们分散单分散 Au@SiO</w:t>
      </w:r>
      <w:r>
        <w:rPr>
          <w:vertAlign w:val="subscript"/>
        </w:rPr>
        <w:t>2</w:t>
      </w:r>
      <w:r>
        <w:t>核壳胶体在可光固化、折射率匹配的乙氧基化三羟甲基丙烷三丙烯酸酯树脂中的含量为 34 vol%。 Au 核心引入了低于约 500 nm 波长的选择性吸收，抑制了形状因数散射，否则会泄漏蓝光，而折射率匹配通过减少漫反射多重散射来锐化结构因数驱动的反射。改进的蒙特卡罗多重散射模型仅在两种效应结合时才预测光谱变窄。 Derjaguin、Landau、Verwey 和 Overbeek 计算以及 Langevin 分子动力学模拟表明，Au 增强的范德华吸引力有利于反应限制结晶；添加 NaCl 会减少德拜长度，并将组装转变为扩散限制聚集，从而产生非晶短程有序。在紫外线 (UV) 固化成约 100 µm 厚的薄膜后，所得光子玻璃通过粒径调节在可见光范围内呈现出明亮、与角度无关的结构颜色。特别是，230 nm Au@SiO</w:t>
      </w:r>
      <w:r>
        <w:rPr>
          <w:vertAlign w:val="subscript"/>
        </w:rPr>
        <w:t>2</w:t>
      </w:r>
      <w:r>
        <w:t>胶体玻璃显示反射带配置</w:t>
      </w:r>
    </w:p>
    <w:p>
      <w:pPr>
        <w:spacing w:before="0" w:after="200" w:lineRule="auto" w:line="276"/>
      </w:pPr>
      <w:r>
        <w:rPr>
          <w:b/>
        </w:rPr>
        <w:t xml:space="preserve">Abstract (EN): </w:t>
      </w:r>
      <w:r>
        <w:t>Colloidal photonic glasses are attractive as dye-free, solution-processable pigments that show weak angle dependence, but their red hues are notoriously washed out, because single-particle Rayleigh/Mie scattering produces a strong blue background (form factor). Here, we report metallodielectric photonic glass paints that deliver hyperchromatic structural colors, including vivid angle-independent red. We disperse monodisperse Au@SiO</w:t>
      </w:r>
      <w:r>
        <w:rPr>
          <w:vertAlign w:val="subscript"/>
        </w:rPr>
        <w:t>2</w:t>
      </w:r>
      <w:r>
        <w:t>core–shell colloids at 34 vol% in a photocurable, refractive-index-matched ethoxylated trimethylolpropane triacrylate resin. The Au core introduces selective absorption below ~500 nm wavelength, suppressing form factor scattering that would otherwise leak blue light, while index matching sharpens the structure factor-driven reflection by reducing diffuse multiple scattering. A modified Monte Carlo multiple-scattering model predicts spectral narrowing only when both effects are combined. Derjaguin, Landau, Verwey, and Overbeek calculations and Langevin molecular-dynamics simulations reveal that Au-enhanced van der Waals attraction favors reaction-limited crystallization; adding NaCl reduces the Debye length and switches assembly to diffusion-limited aggregation, yielding amorphous short-range order. After ultraviolet (UV) curing into ~100 µm-thick films, the resulting photonic glasses exhibit bright, angle-independent structural colors across the visible range through particle-size tuning. In particular, 230 nm Au@SiO</w:t>
      </w:r>
      <w:r>
        <w:rPr>
          <w:vertAlign w:val="subscript"/>
        </w:rPr>
        <w:t>2</w:t>
      </w:r>
      <w:r>
        <w:t>colloidal glasses show a reflectance band confined to 600 to 800 nm wavelengths, producing a saturated red with minimal blue leakage. Because the precursor is a stable liquid resin, the photonic glasses can be freehand-painted to create large-area coatings and fine graphics with high brightness even under sunlight. This work establishes design rules for completing the structural color palette in photonic glasses and provides a practical route to structural color paints.</w:t>
      </w:r>
    </w:p>
    <w:p>
      <w:pPr>
        <w:spacing w:before="120" w:after="120"/>
      </w:pPr>
      <w:r>
        <w:rPr>
          <w:sz w:val="18"/>
        </w:rPr>
        <w:t>——————————————————————————————————————————————————————————————————————</w:t>
      </w:r>
    </w:p>
    <w:p>
      <w:pPr>
        <w:spacing w:before="160" w:after="40" w:line="240" w:lineRule="auto"/>
      </w:pPr>
      <w:r>
        <w:rPr>
          <w:b/>
        </w:rPr>
        <w:t xml:space="preserve">[397] </w:t>
      </w:r>
      <w:hyperlink r:id="rId1008">
        <w:r>
          <w:rPr>
            <w:color w:val="1155CC"/>
            <w:u w:val="single"/>
          </w:rPr>
          <w:t>长期抗体动态挑战登革热病毒终身同型免疫的范式</w:t>
        </w:r>
      </w:hyperlink>
    </w:p>
    <w:p>
      <w:pPr>
        <w:spacing w:before="0" w:after="80"/>
      </w:pPr>
      <w:r>
        <w:rPr>
          <w:i/>
          <w:sz w:val="20"/>
        </w:rPr>
        <w:t>EN: Long-term antibody dynamics challenge the paradigm of lifelong homotypic immunity to dengue virus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1009">
        <w:r>
          <w:rPr>
            <w:color w:val="1155CC"/>
            <w:u w:val="single"/>
          </w:rPr>
          <w:t>10.1073/pnas.2606206123</w:t>
        </w:r>
      </w:hyperlink>
    </w:p>
    <w:p>
      <w:pPr>
        <w:spacing w:before="0" w:after="120"/>
      </w:pPr>
      <w:r>
        <w:rPr>
          <w:b/>
        </w:rPr>
        <w:t xml:space="preserve">Notes: </w:t>
      </w:r>
      <w:r>
        <w:t>abstract_source=crossref</w:t>
      </w:r>
    </w:p>
    <w:p>
      <w:pPr>
        <w:spacing w:before="0" w:after="80" w:lineRule="auto" w:line="276"/>
      </w:pPr>
      <w:r>
        <w:rPr>
          <w:b/>
        </w:rPr>
        <w:t xml:space="preserve">摘要（ZH）: </w:t>
      </w:r>
      <w:r>
        <w:t>感染四种登革热病毒血清型 (DENV1-4) 后的免疫力仍然难以确定。有关个体再次感染相同血清型的报告挑战了感染诱导终生同型免疫的范式。然而，这些事件的发生频率及其对形成免疫谱的重要性仍然未知。在这里，我们使用了来自两个高流行地区（菲律宾宿雾和泰国甘烹碧）的三个队列（总共 4,268 名参与者）的数据，其中包括对个体的长期随访（平均随访 8.8、1.9 和 5.0 年）。这些数据使我们能够阐明特定年龄的感染和免疫模式，并量化感染后的个体长期抗体滴度动态。我们制定了数学模型来解释这些模式，考虑到同型再感染免疫力逐渐丧失的可能性。在个体水平上，我们发现，在没有后续感染的情况下，抗体滴度在事件感染后表现出稳定的长期衰减（半衰期为 7 至 8 年），且衰减速度随着年龄的增长而减慢。在人群水平上，需要结合同型再感染来解释在我们的队列中观察到的感染和免疫的年龄特异性动态。我们估计，在菲律宾等高流行地区，60% 的人在 40 岁时就出现了同型再感染。我们的研究结果强调同型再感染是地方性 DENV 环境的一个关键特征，并表明模仿自然感染的疫苗可能并不适用。</w:t>
      </w:r>
    </w:p>
    <w:p>
      <w:pPr>
        <w:spacing w:before="0" w:after="200" w:lineRule="auto" w:line="276"/>
      </w:pPr>
      <w:r>
        <w:rPr>
          <w:b/>
        </w:rPr>
        <w:t xml:space="preserve">Abstract (EN): </w:t>
      </w:r>
      <w:r>
        <w:t>Immunity following infection with the four dengue virus serotypes (DENV1-4) remains difficult to define. Reports of individuals being reinfected with the same serotype challenge the paradigm that infection induces lifelong homotypic immunity. However, the frequency of these events and their importance for shaping immune profiles remain unknown. Here, we used data from three cohorts (N = 4,268 total participants) in two highly endemic settings (Cebu, Philippines, and Kamphaeng Phet, Thailand), which included long-term follow-up of individuals (mean follow-up of 8.8, 1.9, and 5.0 y). These data allowed us to elucidate age-specific patterns of infection and immunity, and to quantify individual long-term antibody titer dynamics following infection. We formulated mathematical models to explain these patterns, allowing for the possibility of progressive loss of immunity to homotypic reinfection. At the individual level, we found that, in the absence of subsequent infection, antibody titers exhibit a steady long-term decay following incident infections (half-life of 7 to 8 y), with the rate of decay slowing with increasing age. At the population level, incorporating homotypic reinfection was required to explain the age-specific dynamics of infection and immunity observed in our cohorts. We estimated that in highly endemic settings such as the Philippines, 60% of individuals have been homotypically reinfected by the age of 40 y. Our findings highlight homotypic reinfections as a key feature of endemic DENV settings and suggest that vaccines mimicking natural infection might not be expected to provide lifelong protection against infection.</w:t>
      </w:r>
    </w:p>
    <w:p>
      <w:pPr>
        <w:spacing w:before="120" w:after="120"/>
      </w:pPr>
      <w:r>
        <w:rPr>
          <w:sz w:val="18"/>
        </w:rPr>
        <w:t>——————————————————————————————————————————————————————————————————————</w:t>
      </w:r>
    </w:p>
    <w:p>
      <w:pPr>
        <w:spacing w:before="160" w:after="40" w:line="240" w:lineRule="auto"/>
      </w:pPr>
      <w:r>
        <w:rPr>
          <w:b/>
        </w:rPr>
        <w:t xml:space="preserve">[398] </w:t>
      </w:r>
      <w:hyperlink r:id="rId1010">
        <w:r>
          <w:rPr>
            <w:color w:val="1155CC"/>
            <w:u w:val="single"/>
          </w:rPr>
          <w:t>精氨酸特异性人 ADP-核糖基转移酶 1 的过渡态分析</w:t>
        </w:r>
      </w:hyperlink>
    </w:p>
    <w:p>
      <w:pPr>
        <w:spacing w:before="0" w:after="80"/>
      </w:pPr>
      <w:r>
        <w:rPr>
          <w:i/>
          <w:sz w:val="20"/>
        </w:rPr>
        <w:t>EN: Transition-state analysis of the arginine-specific human ADP-ribosyltransferase 1</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1011">
        <w:r>
          <w:rPr>
            <w:color w:val="1155CC"/>
            <w:u w:val="single"/>
          </w:rPr>
          <w:t>10.1073/pnas.2604770123</w:t>
        </w:r>
      </w:hyperlink>
    </w:p>
    <w:p>
      <w:pPr>
        <w:spacing w:before="0" w:after="120"/>
      </w:pPr>
      <w:r>
        <w:rPr>
          <w:b/>
        </w:rPr>
        <w:t xml:space="preserve">Notes: </w:t>
      </w:r>
      <w:r>
        <w:t>abstract_source=crossref</w:t>
      </w:r>
    </w:p>
    <w:p>
      <w:pPr>
        <w:spacing w:before="0" w:after="80" w:lineRule="auto" w:line="276"/>
      </w:pPr>
      <w:r>
        <w:rPr>
          <w:b/>
        </w:rPr>
        <w:t xml:space="preserve">摘要（ZH）: </w:t>
      </w:r>
      <w:r>
        <w:t>蛋白质的 ADP 核糖基化是一种多功能、可逆的翻译后修饰，参与多种细胞过程的动态调节。人 ADP-核糖基转移酶 1（</w:t>
      </w:r>
      <w:r>
        <w:t xml:space="preserve"> </w:t>
      </w:r>
      <w:r>
        <w:t>HS</w:t>
      </w:r>
      <w:r>
        <w:t xml:space="preserve"> </w:t>
      </w:r>
      <w:r>
        <w:t>ART1，EC：2.4.2.31) 是一种膜相关、GPI 锚定的单 ADP 核糖基转移酶，对 L-精氨酸残基的单 ADP 核糖基化 (MARylation) 具有选择性。失调</w:t>
      </w:r>
      <w:r>
        <w:t xml:space="preserve"> </w:t>
      </w:r>
      <w:r>
        <w:t>HS</w:t>
      </w:r>
      <w:r>
        <w:t xml:space="preserve"> </w:t>
      </w:r>
      <w:r>
        <w:t>ART1 活性已被证明可通过 P2X7 阳性 T 细胞中嘌呤能 2 型受体 (P2X7) 的 Arg125 处的 MARylation 升高，从而允许非小细胞肺癌 (NSCLC) 中的免疫细胞逃避，从而导致 NAD</w:t>
      </w:r>
      <w:r>
        <w:t xml:space="preserve"> </w:t>
      </w:r>
      <w:r>
        <w:t>+</w:t>
      </w:r>
      <w:r>
        <w:t xml:space="preserve"> </w:t>
      </w:r>
      <w:r>
        <w:t>-肿瘤穿透免疫细胞诱导细胞死亡（NICD）。与</w:t>
      </w:r>
      <w:r>
        <w:t xml:space="preserve"> </w:t>
      </w:r>
      <w:r>
        <w:t>HS</w:t>
      </w:r>
      <w:r>
        <w:t xml:space="preserve"> </w:t>
      </w:r>
      <w:r>
        <w:t>ART1 正在成为特定癌症的免疫治疗靶点，因此需要开发小分子抑制剂。 P2X7 肽的 MARylation 的过渡态 (TS) 通过动力学同位素效应 (KIE) 测量来确定</w:t>
      </w:r>
      <w:r>
        <w:rPr>
          <w:vertAlign w:val="subscript"/>
        </w:rPr>
        <w:t>3</w:t>
      </w:r>
      <w:r>
        <w:t>H-,</w:t>
      </w:r>
      <w:r>
        <w:rPr>
          <w:vertAlign w:val="subscript"/>
        </w:rPr>
        <w:t>14</w:t>
      </w:r>
      <w:r>
        <w:t>C-,</w:t>
      </w:r>
      <w:r>
        <w:rPr>
          <w:vertAlign w:val="subscript"/>
        </w:rPr>
        <w:t>18</w:t>
      </w:r>
      <w:r>
        <w:t>O-，和</w:t>
      </w:r>
      <w:r>
        <w:rPr>
          <w:vertAlign w:val="subscript"/>
        </w:rPr>
        <w:t>15</w:t>
      </w:r>
      <w:r>
        <w:t>N-标记的NAD</w:t>
      </w:r>
      <w:r>
        <w:t xml:space="preserve"> </w:t>
      </w:r>
      <w:r>
        <w:t>+</w:t>
      </w:r>
      <w:r>
        <w:t xml:space="preserve"> </w:t>
      </w:r>
      <w:r>
        <w:t>基材。反应坐标的量子力学 (QM) 计算，与实验 KIE 映射，确定了与高度解离、不对称、协同机制一致的 TS 几何结构，其中离去基团烟酰胺 (NAM) 的贡献最小，且贡献较小</w:t>
      </w:r>
    </w:p>
    <w:p>
      <w:pPr>
        <w:spacing w:before="0" w:after="200" w:lineRule="auto" w:line="276"/>
      </w:pPr>
      <w:r>
        <w:rPr>
          <w:b/>
        </w:rPr>
        <w:t xml:space="preserve">Abstract (EN): </w:t>
      </w:r>
      <w:r>
        <w:t>The ADP-ribosylation of proteins is a versatile, reversible, posttranslational modification involved in the dynamic regulation of numerous cellular processes. Human ADP-ribosyltransferase 1 (</w:t>
      </w:r>
      <w:r>
        <w:t xml:space="preserve"> </w:t>
      </w:r>
      <w:r>
        <w:t>hs</w:t>
      </w:r>
      <w:r>
        <w:t xml:space="preserve"> </w:t>
      </w:r>
      <w:r>
        <w:t>ART1, EC: 2.4.2.31) is a membrane-associated, GPI-anchored, mono-ADP-ribosyltransferase selective for mono-ADP ribosylation (MARylation) of L-arginine residues. Dysregulation of</w:t>
      </w:r>
      <w:r>
        <w:t xml:space="preserve"> </w:t>
      </w:r>
      <w:r>
        <w:t>hs</w:t>
      </w:r>
      <w:r>
        <w:t xml:space="preserve"> </w:t>
      </w:r>
      <w:r>
        <w:t>ART1 activity has been shown to permit immune cell evasion in non–small cell lung cancer (NSCLC) through elevated MARylation at Arg125 of the purinergic type 2 receptor (P2X7) in P2X7-positive T cells, resulting in NAD</w:t>
      </w:r>
      <w:r>
        <w:t xml:space="preserve"> </w:t>
      </w:r>
      <w:r>
        <w:t>+</w:t>
      </w:r>
      <w:r>
        <w:t xml:space="preserve"> </w:t>
      </w:r>
      <w:r>
        <w:t>-induced cell death (NICD) of tumor-penetrating immune cells. With</w:t>
      </w:r>
      <w:r>
        <w:t xml:space="preserve"> </w:t>
      </w:r>
      <w:r>
        <w:t>hs</w:t>
      </w:r>
      <w:r>
        <w:t xml:space="preserve"> </w:t>
      </w:r>
      <w:r>
        <w:t>ART1 emerging as an immunotherapy target in select cancers, there is a need to develop small-molecule inhibitors. The transition state (TS) for the MARylation of P2X7 peptide was determined from kinetic isotope effect (KIE) measurements of</w:t>
      </w:r>
      <w:r>
        <w:rPr>
          <w:vertAlign w:val="subscript"/>
        </w:rPr>
        <w:t>3</w:t>
      </w:r>
      <w:r>
        <w:t>H-,</w:t>
      </w:r>
      <w:r>
        <w:rPr>
          <w:vertAlign w:val="subscript"/>
        </w:rPr>
        <w:t>14</w:t>
      </w:r>
      <w:r>
        <w:t>C-,</w:t>
      </w:r>
      <w:r>
        <w:rPr>
          <w:vertAlign w:val="subscript"/>
        </w:rPr>
        <w:t>18</w:t>
      </w:r>
      <w:r>
        <w:t>O-, and</w:t>
      </w:r>
      <w:r>
        <w:rPr>
          <w:vertAlign w:val="subscript"/>
        </w:rPr>
        <w:t>15</w:t>
      </w:r>
      <w:r>
        <w:t>N-labeled NAD</w:t>
      </w:r>
      <w:r>
        <w:t xml:space="preserve"> </w:t>
      </w:r>
      <w:r>
        <w:t>+</w:t>
      </w:r>
      <w:r>
        <w:t xml:space="preserve"> </w:t>
      </w:r>
      <w:r>
        <w:t>substrates. Quantum mechanical (QM) calculations of the reaction coordinate, mapped with experimental KIEs, identify a TS geometry consistent with a highly dissociative, asymmetric, concerted mechanism with minimal contributions from the leaving group nicotinamide (NAM) and minor contributions from the incoming L-arginine guanidinium. The absence of a normal deuterium solvent isotope effect identifies a positively charged guanidinium nucleophile, leading to a dication N-ribosyltransferase mechanism. Together with the unusual, normal</w:t>
      </w:r>
      <w:r>
        <w:rPr>
          <w:vertAlign w:val="subscript"/>
        </w:rPr>
        <w:t>18</w:t>
      </w:r>
      <w:r>
        <w:t>O–O4</w:t>
      </w:r>
      <w:r>
        <w:t xml:space="preserve"> </w:t>
      </w:r>
      <w:r>
        <w:t>′</w:t>
      </w:r>
      <w:r>
        <w:t xml:space="preserve"> </w:t>
      </w:r>
      <w:r>
        <w:t>KIE, we identified unique charge accumulation across the oxocarbenium at the TS caused by an increased bond order between the C1</w:t>
      </w:r>
      <w:r>
        <w:t xml:space="preserve"> </w:t>
      </w:r>
      <w:r>
        <w:t>′</w:t>
      </w:r>
      <w:r>
        <w:t xml:space="preserve"> </w:t>
      </w:r>
      <w:r>
        <w:t>–C2</w:t>
      </w:r>
      <w:r>
        <w:t xml:space="preserve"> </w:t>
      </w:r>
      <w:r>
        <w:t>′</w:t>
      </w:r>
      <w:r>
        <w:t xml:space="preserve"> </w:t>
      </w:r>
      <w:r>
        <w:t>, and decreased bond order between the C4</w:t>
      </w:r>
      <w:r>
        <w:t xml:space="preserve"> </w:t>
      </w:r>
      <w:r>
        <w:t>′</w:t>
      </w:r>
      <w:r>
        <w:t xml:space="preserve"> </w:t>
      </w:r>
      <w:r>
        <w:t>–O4</w:t>
      </w:r>
      <w:r>
        <w:t xml:space="preserve"> </w:t>
      </w:r>
      <w:r>
        <w:t>′</w:t>
      </w:r>
      <w:r>
        <w:t xml:space="preserve"> </w:t>
      </w:r>
      <w:r>
        <w:t>of the nicotinamide mononucleotide ribose. This is the first L-arginine-specific ADP-ribosylation TS to be characterized, a step toward the design of TS analogs.</w:t>
      </w:r>
    </w:p>
    <w:p>
      <w:pPr>
        <w:spacing w:before="120" w:after="120"/>
      </w:pPr>
      <w:r>
        <w:rPr>
          <w:sz w:val="18"/>
        </w:rPr>
        <w:t>——————————————————————————————————————————————————————————————————————</w:t>
      </w:r>
    </w:p>
    <w:p>
      <w:pPr>
        <w:spacing w:before="160" w:after="40" w:line="240" w:lineRule="auto"/>
      </w:pPr>
      <w:r>
        <w:rPr>
          <w:b/>
        </w:rPr>
        <w:t xml:space="preserve">[399] </w:t>
      </w:r>
      <w:hyperlink r:id="rId1012">
        <w:r>
          <w:rPr>
            <w:color w:val="1155CC"/>
            <w:u w:val="single"/>
          </w:rPr>
          <w:t>巨噬细胞抗菌反应的多重缺陷支持囊性纤维化中脓肿分枝杆菌的细胞内存活</w:t>
        </w:r>
      </w:hyperlink>
    </w:p>
    <w:p>
      <w:pPr>
        <w:spacing w:before="0" w:after="80"/>
      </w:pPr>
      <w:r>
        <w:rPr>
          <w:i/>
          <w:sz w:val="20"/>
        </w:rPr>
        <w:t>EN: Multiple defects in macrophage antibacterial responses support intracellular survival of Mycobacterium abscessus in cystic fibrosis</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1013">
        <w:r>
          <w:rPr>
            <w:color w:val="1155CC"/>
            <w:u w:val="single"/>
          </w:rPr>
          <w:t>10.1073/pnas.2537320123</w:t>
        </w:r>
      </w:hyperlink>
    </w:p>
    <w:p>
      <w:pPr>
        <w:spacing w:before="0" w:after="120"/>
      </w:pPr>
      <w:r>
        <w:rPr>
          <w:b/>
        </w:rPr>
        <w:t xml:space="preserve">Notes: </w:t>
      </w:r>
      <w:r>
        <w:t>abstract_source=crossref</w:t>
      </w:r>
    </w:p>
    <w:p>
      <w:pPr>
        <w:spacing w:before="0" w:after="80" w:lineRule="auto" w:line="276"/>
      </w:pPr>
      <w:r>
        <w:rPr>
          <w:b/>
        </w:rPr>
        <w:t xml:space="preserve">摘要（ZH）: </w:t>
      </w:r>
      <w:r>
        <w:t>患病率</w:t>
      </w:r>
      <w:r>
        <w:t xml:space="preserve"> </w:t>
      </w:r>
      <w:r>
        <w:t>分枝杆菌</w:t>
      </w:r>
      <w:r>
        <w:t xml:space="preserve"> </w:t>
      </w:r>
      <w:r>
        <w:t>脓肿</w:t>
      </w:r>
      <w:r>
        <w:t xml:space="preserve"> </w:t>
      </w:r>
      <w:r>
        <w:t>囊性纤维化 (pwCF) 患者的 (MABS) 感染正在增加。巨噬细胞是识别细菌的关键吞噬细胞</w:t>
      </w:r>
      <w:r>
        <w:t xml:space="preserve"> </w:t>
      </w:r>
      <w:r>
        <w:t>通过</w:t>
      </w:r>
      <w:r>
        <w:t xml:space="preserve"> </w:t>
      </w:r>
      <w:r>
        <w:t>细胞表面受体，将它们吞噬到吞噬体中，然后利用不同的杀伤策略。在这里，我们使用来自健康对照 (HC) 和 pwCF 的人类原代单核细胞衍生巨噬细胞 (MDM) 来研究它们如何处理和杀死 MABS。 CF-MDM 中吞噬作用相关的模式识别受体（TLR2、Dectin-1、Dectin-2 和 MARCO）的表达、MABS 的吞噬和溶酶体酸度均降低。 MABS 感染的 CF-MDM 的线粒体质量、线粒体活性氧 (mitoROS) 产生、相对细胞内锌水平以及抗菌锌转运蛋白 SLC30A1 和 SLC39A8 的可诱导 mRNA 表达也减少。用抗霉素 A 刺激 HC-MDM 中 mitoROS 的产生可减少 MABS 的细胞内负荷，证实 MABS 对这种杀伤机制敏感，并表明 MABS 感染的 CF-MDM 中的 mitoROS 缺陷会损害细菌杀灭。因此，CF-MDM 无法控制 MABS 感染，这些细胞可以显着增加细胞内 MABS 的存活和扩增超过 6 天。虽然用 CFTR 调节剂 elexacaftor-tezacaftor-ivacaftor (ETI) 治疗确实增加了 CFTR 通道功能并在一定程度上纠正了 CF 巨噬细胞功能，但这还不够。</w:t>
      </w:r>
    </w:p>
    <w:p>
      <w:pPr>
        <w:spacing w:before="0" w:after="200" w:lineRule="auto" w:line="276"/>
      </w:pPr>
      <w:r>
        <w:rPr>
          <w:b/>
        </w:rPr>
        <w:t xml:space="preserve">Abstract (EN): </w:t>
      </w:r>
      <w:r>
        <w:t>The prevalence of</w:t>
      </w:r>
      <w:r>
        <w:t xml:space="preserve"> </w:t>
      </w:r>
      <w:r>
        <w:t>Mycobacterium</w:t>
      </w:r>
      <w:r>
        <w:t xml:space="preserve"> </w:t>
      </w:r>
      <w:r>
        <w:t>abscessus</w:t>
      </w:r>
      <w:r>
        <w:t xml:space="preserve"> </w:t>
      </w:r>
      <w:r>
        <w:t>(MABS) infections in people with cystic fibrosis (pwCF) is increasing. Macrophages are key phagocytic cells that recognize bacteria</w:t>
      </w:r>
      <w:r>
        <w:t xml:space="preserve"> </w:t>
      </w:r>
      <w:r>
        <w:t>via</w:t>
      </w:r>
      <w:r>
        <w:t xml:space="preserve"> </w:t>
      </w:r>
      <w:r>
        <w:t>cell surface receptors, engulf them into phagosomes, and then utilize diverse killing strategies. Here, we used human primary monocyte-derived macrophages (MDMs) from healthy controls (HCs) and pwCF to investigate how they processed and killed MABS. Expression of phagocytosis-related pattern recognition receptors (TLR2, Dectin-1, Dectin-2, and MARCO), engulfment of MABS, and lysosomal acidity were all reduced in CF-MDMs. MABS-infected CF-MDMs also had reduced mitochondrial mass, mitochondrial reactive oxygen species (mitoROS) production, relative intracellular zinc levels and inducible mRNA expression of the antibacterial zinc transporters, SLC30A1 and SLC39A8. Stimulation of mitoROS production in HC-MDMs with antimycin A reduced intracellular loads of MABS, confirming that MABS are sensitive to this mechanism of killing and suggesting that the mitoROS defect in MABS-infected CF-MDMs compromises bacterial killing. Accordingly, CF-MDMs failed to control MABS infection, with these cells allowing significantly increased intracellular MABS survival and expansion over 6 d. While treatment with the CFTR modulator, elexacaftor–tezacaftor–ivacaftor (ETI) did increase CFTR channel function and corrected CF macrophage functions to some degree, this was not sufficient to increase MABS killing. Taken together, our findings suggest important roles for functional CFTR in internalization and killing of MABS within macrophages, with CFTR dysfunction supporting MABS survival and replication in macrophages. Under our experimental conditions, ETI treatment failed to fully restore macrophage functions against MABS, highlighting the need for alternative, host-targeted approaches for improving macrophage functions in CF.</w:t>
      </w:r>
    </w:p>
    <w:p>
      <w:pPr>
        <w:spacing w:before="120" w:after="120"/>
      </w:pPr>
      <w:r>
        <w:rPr>
          <w:sz w:val="18"/>
        </w:rPr>
        <w:t>——————————————————————————————————————————————————————————————————————</w:t>
      </w:r>
    </w:p>
    <w:p>
      <w:pPr>
        <w:spacing w:before="160" w:after="40" w:line="240" w:lineRule="auto"/>
      </w:pPr>
      <w:r>
        <w:rPr>
          <w:b/>
        </w:rPr>
        <w:t xml:space="preserve">[400] </w:t>
      </w:r>
      <w:hyperlink r:id="rId1014">
        <w:r>
          <w:rPr>
            <w:color w:val="1155CC"/>
            <w:u w:val="single"/>
          </w:rPr>
          <w:t>残余光感受器影响退化视网膜对电刺激的反应</w:t>
        </w:r>
      </w:hyperlink>
    </w:p>
    <w:p>
      <w:pPr>
        <w:spacing w:before="0" w:after="80"/>
      </w:pPr>
      <w:r>
        <w:rPr>
          <w:i/>
          <w:sz w:val="20"/>
        </w:rPr>
        <w:t>EN: Residual photoreceptors affect the response of a degenerate retina to electrical stimulation</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1015">
        <w:r>
          <w:rPr>
            <w:color w:val="1155CC"/>
            <w:u w:val="single"/>
          </w:rPr>
          <w:t>10.1073/pnas.2537064123</w:t>
        </w:r>
      </w:hyperlink>
    </w:p>
    <w:p>
      <w:pPr>
        <w:spacing w:before="0" w:after="120"/>
      </w:pPr>
      <w:r>
        <w:rPr>
          <w:b/>
        </w:rPr>
        <w:t xml:space="preserve">Notes: </w:t>
      </w:r>
      <w:r>
        <w:t>abstract_source=crossref</w:t>
      </w:r>
    </w:p>
    <w:p>
      <w:pPr>
        <w:spacing w:before="0" w:after="80" w:lineRule="auto" w:line="276"/>
      </w:pPr>
      <w:r>
        <w:rPr>
          <w:b/>
        </w:rPr>
        <w:t xml:space="preserve">摘要（ZH）: </w:t>
      </w:r>
      <w:r>
        <w:t>光伏视网膜下假体可以恢复因年龄相关性黄斑变性而失明的患者的中心视力，其字母敏锐度与其 100 µm 像素大小相匹配。提高分辨率需要更小的像素，但为了仍然到达目标神经元，电场应该受到更少的限制。然而，广泛的视野可能会影响邻近的感光器并改变视觉感知。我们使用单极和双极光伏阵列植入局部光感受器缺失的 Long Evans 大鼠视网膜下，研究了残余光感受器对视网膜对电刺激反应的影响，并将其与缺乏所有光感受器的 RCS 大鼠进行了比较。在暗视和明视条件下，在玻璃体内注射或不注射神经递质阻滞剂的情况下，使用视觉诱发电位评估图案化视网膜激活（880 nm，0.5 至 10 ms）。使用不同电场配置的光感受器激活计算模型对结果进行分析。我们观察到光感受器参与退化视网膜电激活的两种机制：1）植入物附近的暗适应光感受器可以通过沿着阵列边缘的公共返回电极的负电位直接模拟。 2）光适应光感受器可以降低距种植体边缘约100毫米范围内双极细胞的刺激阈值。这两种效应都可能导致感知均匀性降低。具有局部返回电极的双极像素比单极阵列产生更好的受限电场，因此受</w:t>
      </w:r>
    </w:p>
    <w:p>
      <w:pPr>
        <w:spacing w:before="0" w:after="200" w:lineRule="auto" w:line="276"/>
      </w:pPr>
      <w:r>
        <w:rPr>
          <w:b/>
        </w:rPr>
        <w:t xml:space="preserve">Abstract (EN): </w:t>
      </w:r>
      <w:r>
        <w:t>Photovoltaic subretinal prosthesis can restore central vision in patients blinded by age-related macular degeneration with letter acuity matching its 100 µm pixel size. Improving resolution requires smaller pixels, but to still reach the target neurons, electric field should be less confined. However, wide-spreading field may engage adjacent photoreceptors and alter the visual perception. We studied the effects of residual photoreceptors on retinal responses to electrical stimulation using monopolar and bipolar photovoltaic arrays implanted subretinally in Long Evans rats with local photoreceptor loss, and compared that to RCS rats lacking all photoreceptors. Patterned retinal activation (880 nm, 0.5 to 10 ms) was assessed using visually evoked potentials under scotopic and photopic conditions, with and without the intravitreal injection of neurotransmitter blockers. Results were analyzed using a computational model of photoreceptor activation by various electric field configurations. We observed two mechanisms of photoreceptors engagement in electrical activation of the degenerate retina: 1) Dark-adapted photoreceptors near the implant can be simulated directly by a negative electric potential of the common return electrode along the edge of the array. 2) Light-adapted photoreceptors can reduce the stimulation threshold of bipolar cells within about 100 mm from the implant’s edge. Both effects may lead to reduced perceptual uniformity. Bipolar pixels with local return electrodes generate better confined electric fields than monopolar arrays and thus are less affected by the nearby photoreceptors. However, even such implants should be placed a few hundred micrometers from the edge of scotoma to minimize the unintended percepts.</w:t>
      </w:r>
    </w:p>
    <w:p>
      <w:pPr>
        <w:spacing w:before="120" w:after="120"/>
      </w:pPr>
      <w:r>
        <w:rPr>
          <w:sz w:val="18"/>
        </w:rPr>
        <w:t>——————————————————————————————————————————————————————————————————————</w:t>
      </w:r>
    </w:p>
    <w:p>
      <w:pPr>
        <w:spacing w:before="160" w:after="40" w:line="240" w:lineRule="auto"/>
      </w:pPr>
      <w:r>
        <w:rPr>
          <w:b/>
        </w:rPr>
        <w:t xml:space="preserve">[401] </w:t>
      </w:r>
      <w:hyperlink r:id="rId1016">
        <w:r>
          <w:rPr>
            <w:color w:val="1155CC"/>
            <w:u w:val="single"/>
          </w:rPr>
          <w:t>全球天气系统的极端范围降水概率</w:t>
        </w:r>
      </w:hyperlink>
    </w:p>
    <w:p>
      <w:pPr>
        <w:spacing w:before="0" w:after="80"/>
      </w:pPr>
      <w:r>
        <w:rPr>
          <w:i/>
          <w:sz w:val="20"/>
        </w:rPr>
        <w:t>EN: Extreme-range precipitation probability across global weather systems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1017">
        <w:r>
          <w:rPr>
            <w:color w:val="1155CC"/>
            <w:u w:val="single"/>
          </w:rPr>
          <w:t>10.1126/sciadv.aec6879</w:t>
        </w:r>
      </w:hyperlink>
    </w:p>
    <w:p>
      <w:pPr>
        <w:spacing w:before="0" w:after="120"/>
      </w:pPr>
      <w:r>
        <w:rPr>
          <w:b/>
        </w:rPr>
        <w:t xml:space="preserve">Notes: </w:t>
      </w:r>
      <w:r>
        <w:t>abstract_source=crossref</w:t>
      </w:r>
    </w:p>
    <w:p>
      <w:pPr>
        <w:spacing w:before="0" w:after="80" w:lineRule="auto" w:line="276"/>
      </w:pPr>
      <w:r>
        <w:rPr>
          <w:b/>
        </w:rPr>
        <w:t xml:space="preserve">摘要（ZH）: </w:t>
      </w:r>
      <w:r>
        <w:t>降水天气系统是造成危险极端降雨的主要因素，但天气和气候模型很难捕捉其动态和相关影响。使用高分辨率观测，我们检查与全球主要系统类型相关的每小时时间尺度的降水概率分布。我们证明这些分布的高强度尾部具有典型的形状，可以通过强度尺度来表征。动态过程在很大程度上控制着这种普遍的形状，而热力学因素则调节其大小。我们发现，由于共享的热力学环境、强系统的主导地位以及动态尺度的适度变化，主要贡献系统的强度尺度在很大程度上与总降水量相匹配。各种系统类型降水概率尾部的普遍性支持风险评估，而无需过度依赖大多数地区的天气类型识别。我们发现了强烈的热带低压系统或中尺度对流系统同时出现对极端事件造成不成比例影响的例外情况，从而产生灰天鹅倾向的分布。</w:t>
      </w:r>
    </w:p>
    <w:p>
      <w:pPr>
        <w:spacing w:before="0" w:after="200" w:lineRule="auto" w:line="276"/>
      </w:pPr>
      <w:r>
        <w:rPr>
          <w:b/>
        </w:rPr>
        <w:t xml:space="preserve">Abstract (EN): </w:t>
      </w:r>
      <w:r>
        <w:t>Precipitating weather systems are major contributors to hazardous extreme rain, yet weather and climate models struggle to capture their dynamics and relative impacts. Using high-resolution observations, we examine precipitation probability distributions at hourly timescale linked to major system types across the globe. We show that the high-intensity tails of these distributions share a typical shape, which can be characterized by an intensity scale. Dynamic processes largely govern this universal shape, while thermodynamic factors modulate its magnitude. We find that intensity scales of major contributing systems largely match those of total precipitation due to shared thermodynamic environments, dominance of intense systems, and modest variations in dynamic scales. This universality of various system types’ precipitation probability tail supports risk assessment without overly depending on weather-type identification for most regions. We identify exceptions where intense tropical low-pressure systems or mesoscale convective system co-occurrences disproportionately affect extremes, yielding gray-swan-prone distributions.</w:t>
      </w:r>
    </w:p>
    <w:p>
      <w:pPr>
        <w:spacing w:before="120" w:after="120"/>
      </w:pPr>
      <w:r>
        <w:rPr>
          <w:sz w:val="18"/>
        </w:rPr>
        <w:t>——————————————————————————————————————————————————————————————————————</w:t>
      </w:r>
    </w:p>
    <w:p>
      <w:pPr>
        <w:spacing w:before="160" w:after="40" w:line="240" w:lineRule="auto"/>
      </w:pPr>
      <w:r>
        <w:rPr>
          <w:b/>
        </w:rPr>
        <w:t xml:space="preserve">[402] </w:t>
      </w:r>
      <w:hyperlink r:id="rId1018">
        <w:r>
          <w:rPr>
            <w:color w:val="1155CC"/>
            <w:u w:val="single"/>
          </w:rPr>
          <w:t>用于连续监测深层组织代谢物的小型化植入式电化学平台</w:t>
        </w:r>
      </w:hyperlink>
    </w:p>
    <w:p>
      <w:pPr>
        <w:spacing w:before="0" w:after="80"/>
      </w:pPr>
      <w:r>
        <w:rPr>
          <w:i/>
          <w:sz w:val="20"/>
        </w:rPr>
        <w:t>EN: A miniaturized implantable electrochemical platform for continuous monitoring of metabolites in deep tissue</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1019">
        <w:r>
          <w:rPr>
            <w:color w:val="1155CC"/>
            <w:u w:val="single"/>
          </w:rPr>
          <w:t>10.1126/sciadv.adz8930</w:t>
        </w:r>
      </w:hyperlink>
    </w:p>
    <w:p>
      <w:pPr>
        <w:spacing w:before="0" w:after="120"/>
      </w:pPr>
      <w:r>
        <w:rPr>
          <w:b/>
        </w:rPr>
        <w:t xml:space="preserve">Notes: </w:t>
      </w:r>
      <w:r>
        <w:t>abstract_source=crossref</w:t>
      </w:r>
    </w:p>
    <w:p>
      <w:pPr>
        <w:spacing w:before="0" w:after="80" w:lineRule="auto" w:line="276"/>
      </w:pPr>
      <w:r>
        <w:rPr>
          <w:b/>
        </w:rPr>
        <w:t xml:space="preserve">摘要（ZH）: </w:t>
      </w:r>
      <w:r>
        <w:t>由于缺氧（缺血）而导致活组织局部代谢功能的丧失或抑制，这是多种危及生命的疾病的根源，包括中风、心力衰竭和外周缺血性损伤。尽管临床迫切需要评估局部组织健康状况，但支持此类分析的平台仍然难以捉摸。为了满足这一需求，我们推出了一种无线、微创、多分析物电化学探针，支持对局部代谢物（包括 K）进行连续分析。</w:t>
      </w:r>
      <w:r>
        <w:t xml:space="preserve"> </w:t>
      </w:r>
      <w:r>
        <w:t>+</w:t>
      </w:r>
      <w:r>
        <w:t xml:space="preserve"> </w:t>
      </w:r>
      <w:r>
        <w:t>和 pH 值，以及乳酸的半连续分析。我们通过动脉全血中的离子分析来验证传感系统的分析能力。此外，我们使用急性骨筋膜室综合征作为组织缺血的模型，并使用经皮植入的探针实时跟踪活体肌肉的代谢变化。</w:t>
      </w:r>
    </w:p>
    <w:p>
      <w:pPr>
        <w:spacing w:before="0" w:after="200" w:lineRule="auto" w:line="276"/>
      </w:pPr>
      <w:r>
        <w:rPr>
          <w:b/>
        </w:rPr>
        <w:t xml:space="preserve">Abstract (EN): </w:t>
      </w:r>
      <w:r>
        <w:t>The loss or suppression of local metabolic function in living tissues brought about by a lack of oxygen availability (ischemia) serves as the origin for myriad life-threatening conditions including stroke, heart failure, and peripheral ischemic injury. Despite the pressing clinical need to evaluate local tissue health, platforms that support such analysis remain elusive. To address this need, we present a wireless, minimally invasive, multianalyte, electrochemical probe supporting the continuous profiling of local metabolites including K</w:t>
      </w:r>
      <w:r>
        <w:t xml:space="preserve"> </w:t>
      </w:r>
      <w:r>
        <w:t>+</w:t>
      </w:r>
      <w:r>
        <w:t xml:space="preserve"> </w:t>
      </w:r>
      <w:r>
        <w:t>and pH, and the semicontinuous profiling of lactic acid. We validate the analytical capabilities of our sensing system by ion profiling in arterial whole blood. Furthermore, we use acute compartment syndrome as a model for tissue ischemia and use our percutaneously implanted probes to track metabolic changes in living muscle in real time.</w:t>
      </w:r>
    </w:p>
    <w:p>
      <w:pPr>
        <w:spacing w:before="120" w:after="120"/>
      </w:pPr>
      <w:r>
        <w:rPr>
          <w:sz w:val="18"/>
        </w:rPr>
        <w:t>——————————————————————————————————————————————————————————————————————</w:t>
      </w:r>
    </w:p>
    <w:p>
      <w:pPr>
        <w:spacing w:before="160" w:after="40" w:line="240" w:lineRule="auto"/>
      </w:pPr>
      <w:r>
        <w:rPr>
          <w:b/>
        </w:rPr>
        <w:t xml:space="preserve">[403] </w:t>
      </w:r>
      <w:hyperlink r:id="rId1020">
        <w:r>
          <w:rPr>
            <w:color w:val="1155CC"/>
            <w:u w:val="single"/>
          </w:rPr>
          <w:t>自然组织永生：海参外植体无限期存活</w:t>
        </w:r>
      </w:hyperlink>
    </w:p>
    <w:p>
      <w:pPr>
        <w:spacing w:before="0" w:after="80"/>
      </w:pPr>
      <w:r>
        <w:rPr>
          <w:i/>
          <w:sz w:val="20"/>
        </w:rPr>
        <w:t>EN: Natural tissue immortality: Indefinite survival of sea cucumber explants</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1021">
        <w:r>
          <w:rPr>
            <w:color w:val="1155CC"/>
            <w:u w:val="single"/>
          </w:rPr>
          <w:t>10.1126/sciadv.aeb1394</w:t>
        </w:r>
      </w:hyperlink>
    </w:p>
    <w:p>
      <w:pPr>
        <w:spacing w:before="0" w:after="120"/>
      </w:pPr>
      <w:r>
        <w:rPr>
          <w:b/>
        </w:rPr>
        <w:t xml:space="preserve">Notes: </w:t>
      </w:r>
      <w:r>
        <w:t>abstract_source=crossref</w:t>
      </w:r>
    </w:p>
    <w:p>
      <w:pPr>
        <w:spacing w:before="0" w:after="80" w:lineRule="auto" w:line="276"/>
      </w:pPr>
      <w:r>
        <w:rPr>
          <w:b/>
        </w:rPr>
        <w:t xml:space="preserve">摘要（ZH）: </w:t>
      </w:r>
      <w:r>
        <w:t>衰老和永生是核心生物学范式。虽然后口动物的再生能力是已知的，但丢失和丢弃的组织的命运被认为是终结的。在这里，我们证明了从海参中移植的表皮、结缔、神经和肌肉组织</w:t>
      </w:r>
      <w:r>
        <w:t xml:space="preserve"> </w:t>
      </w:r>
      <w:r>
        <w:t>布氏松</w:t>
      </w:r>
      <w:r>
        <w:t xml:space="preserve"> </w:t>
      </w:r>
      <w:r>
        <w:t>（Holothuroidea：棘皮动物）在天然、非无菌海水中愈合并继续生长超过 3 年，无需补充。在实验中，这些外植体被称为 Li</w:t>
      </w:r>
      <w:r>
        <w:t xml:space="preserve"> </w:t>
      </w:r>
      <w:r>
        <w:t>普夫</w:t>
      </w:r>
      <w:r>
        <w:t xml:space="preserve"> </w:t>
      </w:r>
      <w:r>
        <w:t>e（永生不朽</w:t>
      </w:r>
      <w:r>
        <w:t xml:space="preserve"> </w:t>
      </w:r>
      <w:r>
        <w:t>法氏松</w:t>
      </w:r>
      <w:r>
        <w:t xml:space="preserve"> </w:t>
      </w:r>
      <w:r>
        <w:t>外植体）表现出免疫活性、细胞循环、组织重组和溶解氨基酸的吸收，强调了它们活跃的生存状态。对相关物种的外植组织进行的比较实验表明，没有同等的组织存活率，凸显了</w:t>
      </w:r>
      <w:r>
        <w:t xml:space="preserve"> </w:t>
      </w:r>
      <w:r>
        <w:t>法氏松</w:t>
      </w:r>
      <w:r>
        <w:t xml:space="preserve"> </w:t>
      </w:r>
      <w:r>
        <w:t>，这在当前文献中没有相似之处。我们的研究结果挑战了组织永生的传统观念，并提出了一种新的实验模型，不受伦理问题的影响，对再生生物学、生物医学研究和组织工程具有重大影响。</w:t>
      </w:r>
    </w:p>
    <w:p>
      <w:pPr>
        <w:spacing w:before="0" w:after="200" w:lineRule="auto" w:line="276"/>
      </w:pPr>
      <w:r>
        <w:rPr>
          <w:b/>
        </w:rPr>
        <w:t xml:space="preserve">Abstract (EN): </w:t>
      </w:r>
      <w:r>
        <w:t>Senescence and immortality are central biological paradigms. While regenerative capabilities in Deuterostomia are known, the fate of lost and discarded tissues has been presumed terminal. Here, we demonstrate that explanted epidermal, connective, neural, and muscle tissue from the sea cucumber</w:t>
      </w:r>
      <w:r>
        <w:t xml:space="preserve"> </w:t>
      </w:r>
      <w:r>
        <w:t>Psolus fabricii</w:t>
      </w:r>
      <w:r>
        <w:t xml:space="preserve"> </w:t>
      </w:r>
      <w:r>
        <w:t>(Holothuroidea: Echinodermata) healed and continued to grow in natural, nonaxenic seawater without supplementation for more than 3 years. In experimental trials, these explants, termed Li</w:t>
      </w:r>
      <w:r>
        <w:t xml:space="preserve"> </w:t>
      </w:r>
      <w:r>
        <w:t>Pf</w:t>
      </w:r>
      <w:r>
        <w:t xml:space="preserve"> </w:t>
      </w:r>
      <w:r>
        <w:t>e (living immortal</w:t>
      </w:r>
      <w:r>
        <w:t xml:space="preserve"> </w:t>
      </w:r>
      <w:r>
        <w:t>P. fabricii</w:t>
      </w:r>
      <w:r>
        <w:t xml:space="preserve"> </w:t>
      </w:r>
      <w:r>
        <w:t>explants) displayed immune activity, cell cycling, tissue reorganization, and absorption of dissolved amino acids, underscoring their active living state. Comparative experiments conducted on explanted tissues from related species demonstrated no equivalent tissue survival, highlighting the unique properties of</w:t>
      </w:r>
      <w:r>
        <w:t xml:space="preserve"> </w:t>
      </w:r>
      <w:r>
        <w:t>P. fabricii</w:t>
      </w:r>
      <w:r>
        <w:t xml:space="preserve"> </w:t>
      </w:r>
      <w:r>
        <w:t>, which do not have parallels in the current literature. Our findings challenge conventional perceptions of tissue immortality and present a new class of experimental model, free from ethical concerns, with substantial implications for regenerative biology, biomedical research, and tissue engineering.</w:t>
      </w:r>
    </w:p>
    <w:p>
      <w:pPr>
        <w:spacing w:before="120" w:after="120"/>
      </w:pPr>
      <w:r>
        <w:rPr>
          <w:sz w:val="18"/>
        </w:rPr>
        <w:t>——————————————————————————————————————————————————————————————————————</w:t>
      </w:r>
    </w:p>
    <w:p>
      <w:pPr>
        <w:spacing w:before="160" w:after="40" w:line="240" w:lineRule="auto"/>
      </w:pPr>
      <w:r>
        <w:rPr>
          <w:b/>
        </w:rPr>
        <w:t xml:space="preserve">[404] </w:t>
      </w:r>
      <w:hyperlink r:id="rId1022">
        <w:r>
          <w:rPr>
            <w:color w:val="1155CC"/>
            <w:u w:val="single"/>
          </w:rPr>
          <w:t>MsZFP1-MsWRKY40-MsWRKY41 模块通过 ABA 依赖性方式有效调节苜蓿中的 LHCII 生物发生</w:t>
        </w:r>
      </w:hyperlink>
    </w:p>
    <w:p>
      <w:pPr>
        <w:spacing w:before="0" w:after="80"/>
      </w:pPr>
      <w:r>
        <w:rPr>
          <w:i/>
          <w:sz w:val="20"/>
        </w:rPr>
        <w:t>EN: The MsZFP1-MsWRKY40-MsWRKY41 module efficiently regulates LHCII biogenesis via ABA-dependent manner in alfalfa</w:t>
      </w:r>
    </w:p>
    <w:p>
      <w:pPr>
        <w:spacing w:before="0" w:after="120"/>
      </w:pPr>
      <w:r>
        <w:rPr>
          <w:b/>
        </w:rPr>
        <w:t xml:space="preserve">Source: </w:t>
      </w:r>
      <w:r>
        <w:t>AAAS: Science Advances: Table of Contents</w:t>
      </w:r>
      <w:r>
        <w:t xml:space="preserve">    </w:t>
      </w:r>
      <w:r>
        <w:rPr>
          <w:b/>
        </w:rPr>
        <w:t xml:space="preserve">Pub date: </w:t>
      </w:r>
      <w:r>
        <w:t>2026-05-27 07:00:00+00:00</w:t>
      </w:r>
      <w:r>
        <w:t xml:space="preserve">    </w:t>
      </w:r>
      <w:r>
        <w:rPr>
          <w:b/>
        </w:rPr>
        <w:t xml:space="preserve">DOI: </w:t>
      </w:r>
      <w:hyperlink r:id="rId1023">
        <w:r>
          <w:rPr>
            <w:color w:val="1155CC"/>
            <w:u w:val="single"/>
          </w:rPr>
          <w:t>10.1126/sciadv.aeb4778</w:t>
        </w:r>
      </w:hyperlink>
    </w:p>
    <w:p>
      <w:pPr>
        <w:spacing w:before="0" w:after="120"/>
      </w:pPr>
      <w:r>
        <w:rPr>
          <w:b/>
        </w:rPr>
        <w:t xml:space="preserve">Notes: </w:t>
      </w:r>
      <w:r>
        <w:t>abstract_source=crossref</w:t>
      </w:r>
    </w:p>
    <w:p>
      <w:pPr>
        <w:spacing w:before="0" w:after="80" w:lineRule="auto" w:line="276"/>
      </w:pPr>
      <w:r>
        <w:rPr>
          <w:b/>
        </w:rPr>
        <w:t xml:space="preserve">摘要（ZH）: </w:t>
      </w:r>
      <w:r>
        <w:t>光捕获复合体（LHC）是影响植物光合作用效率的光系统天线系统。在这项研究中，MsWRKY41被证明可以直接激活</w:t>
      </w:r>
      <w:r>
        <w:t xml:space="preserve"> </w:t>
      </w:r>
      <w:r>
        <w:t>女士Alb3</w:t>
      </w:r>
      <w:r>
        <w:t xml:space="preserve"> </w:t>
      </w:r>
      <w:r>
        <w:t>和</w:t>
      </w:r>
      <w:r>
        <w:t xml:space="preserve"> </w:t>
      </w:r>
      <w:r>
        <w:t>硬盘录像机1</w:t>
      </w:r>
      <w:r>
        <w:t xml:space="preserve"> </w:t>
      </w:r>
      <w:r>
        <w:t>，分别参与 LHC 蛋白插入类囊体膜和叶绿素生物合成。击倒</w:t>
      </w:r>
      <w:r>
        <w:t xml:space="preserve"> </w:t>
      </w:r>
      <w:r>
        <w:t>WRKY41女士</w:t>
      </w:r>
      <w:r>
        <w:t xml:space="preserve"> </w:t>
      </w:r>
      <w:r>
        <w:t>苜蓿中的细菌导致叶子黄绿色和类囊体结构异常。</w:t>
      </w:r>
      <w:r>
        <w:t xml:space="preserve"> </w:t>
      </w:r>
      <w:r>
        <w:t>WRKY41女士</w:t>
      </w:r>
      <w:r>
        <w:t xml:space="preserve"> </w:t>
      </w:r>
      <w:r>
        <w:t>是MsWRKY40的下游靶基因，也直接正向调控4个LHC蛋白基因的表达</w:t>
      </w:r>
      <w:r>
        <w:t xml:space="preserve"> </w:t>
      </w:r>
      <w:r>
        <w:t>MsLHCB1/4.3/5/7</w:t>
      </w:r>
      <w:r>
        <w:t xml:space="preserve"> </w:t>
      </w:r>
      <w:r>
        <w:t>。过度表达</w:t>
      </w:r>
      <w:r>
        <w:t xml:space="preserve"> </w:t>
      </w:r>
      <w:r>
        <w:t>WRKY40女士</w:t>
      </w:r>
      <w:r>
        <w:t xml:space="preserve"> </w:t>
      </w:r>
      <w:r>
        <w:t>增加 PSII-LHCII 超复合物的积累。 MsWRKY40 与锌指蛋白 MsZFP1 发生物理相互作用，从而部分抑制 MsWRKY40 靶向基因的表达。生理上高水平的 ABA 削弱了这种相互作用，导致 MsWRKY40 靶向基因的表达上调。这些结果揭示了一个以MsWRKY40-MsWRKY41为中心的调控模块，它将LHCB亚基和叶绿素的生物合成过程整合到基因调控网络中，有效调控LHCII生物合成。</w:t>
      </w:r>
    </w:p>
    <w:p>
      <w:pPr>
        <w:spacing w:before="0" w:after="200" w:lineRule="auto" w:line="276"/>
      </w:pPr>
      <w:r>
        <w:rPr>
          <w:b/>
        </w:rPr>
        <w:t xml:space="preserve">Abstract (EN): </w:t>
      </w:r>
      <w:r>
        <w:t>The light-harvesting complex (LHC) is the antenna system of photosystem that affects the photosynthetic efficiency of plants. In this study, MsWRKY41 was demonstrated to directly activate the expression of</w:t>
      </w:r>
      <w:r>
        <w:t xml:space="preserve"> </w:t>
      </w:r>
      <w:r>
        <w:t>MsAlb3</w:t>
      </w:r>
      <w:r>
        <w:t xml:space="preserve"> </w:t>
      </w:r>
      <w:r>
        <w:t>and</w:t>
      </w:r>
      <w:r>
        <w:t xml:space="preserve"> </w:t>
      </w:r>
      <w:r>
        <w:t>MsDVR1</w:t>
      </w:r>
      <w:r>
        <w:t xml:space="preserve"> </w:t>
      </w:r>
      <w:r>
        <w:t>, which involved in LHC protein insertion into thylakoid membrane and chlorophyll biosynthesis, respectively. Knockdown of</w:t>
      </w:r>
      <w:r>
        <w:t xml:space="preserve"> </w:t>
      </w:r>
      <w:r>
        <w:t>MsWRKY41</w:t>
      </w:r>
      <w:r>
        <w:t xml:space="preserve"> </w:t>
      </w:r>
      <w:r>
        <w:t>in alfalfa led to yellow-green leaves and abnormal thylakoid structure.</w:t>
      </w:r>
      <w:r>
        <w:t xml:space="preserve"> </w:t>
      </w:r>
      <w:r>
        <w:t>MsWRKY41</w:t>
      </w:r>
      <w:r>
        <w:t xml:space="preserve"> </w:t>
      </w:r>
      <w:r>
        <w:t>was the downstream target gene of MsWRKY40, which also directly and positively regulated the expression of four LHC protein genes</w:t>
      </w:r>
      <w:r>
        <w:t xml:space="preserve"> </w:t>
      </w:r>
      <w:r>
        <w:t>MsLHCB1/4.3/5/7</w:t>
      </w:r>
      <w:r>
        <w:t xml:space="preserve"> </w:t>
      </w:r>
      <w:r>
        <w:t>. Overexpression of</w:t>
      </w:r>
      <w:r>
        <w:t xml:space="preserve"> </w:t>
      </w:r>
      <w:r>
        <w:t>MsWRKY40</w:t>
      </w:r>
      <w:r>
        <w:t xml:space="preserve"> </w:t>
      </w:r>
      <w:r>
        <w:t>increased the accumulation of PSII-LHCII supercomplexes. MsWRKY40 physically interacted with zinc finger protein MsZFP1, which partly inhibited the expression of MsWRKY40-targeted genes. This interaction was weakened by physiologically high levels of ABA, leading to up-regulated expression of MsWRKY40-targeted genes. These results revealed a regulatory module centered on MsWRKY40-MsWRKY41, which integrates the biosynthetic processes of LHCB subunits and chlorophyll into a gene regulatory network, efficiently regulating LHCII biogenesis.</w:t>
      </w:r>
    </w:p>
    <w:p>
      <w:pPr>
        <w:spacing w:before="120" w:after="120"/>
      </w:pPr>
      <w:r>
        <w:rPr>
          <w:sz w:val="18"/>
        </w:rPr>
        <w:t>——————————————————————————————————————————————————————————————————————</w:t>
      </w:r>
    </w:p>
    <w:p>
      <w:pPr>
        <w:spacing w:before="160" w:after="40" w:line="240" w:lineRule="auto"/>
      </w:pPr>
      <w:r>
        <w:rPr>
          <w:b/>
        </w:rPr>
        <w:t xml:space="preserve">[405] </w:t>
      </w:r>
      <w:hyperlink r:id="rId1024">
        <w:r>
          <w:rPr>
            <w:color w:val="1155CC"/>
            <w:u w:val="single"/>
          </w:rPr>
          <w:t>特质介导的互动推动了当地的多样性</w:t>
        </w:r>
      </w:hyperlink>
    </w:p>
    <w:p>
      <w:pPr>
        <w:spacing w:before="0" w:after="80"/>
      </w:pPr>
      <w:r>
        <w:rPr>
          <w:i/>
          <w:sz w:val="20"/>
        </w:rPr>
        <w:t>EN: Trait-mediated interactions drive local diversity</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1025">
        <w:r>
          <w:rPr>
            <w:color w:val="1155CC"/>
            <w:u w:val="single"/>
          </w:rPr>
          <w:t>10.1073/pnas.2600749123</w:t>
        </w:r>
      </w:hyperlink>
    </w:p>
    <w:p>
      <w:pPr>
        <w:spacing w:before="0" w:after="120"/>
      </w:pPr>
      <w:r>
        <w:rPr>
          <w:b/>
        </w:rPr>
        <w:t xml:space="preserve">Notes: </w:t>
      </w:r>
      <w:r>
        <w:t>abstract_source=crossref</w:t>
      </w:r>
    </w:p>
    <w:p>
      <w:pPr>
        <w:spacing w:before="0" w:after="80" w:lineRule="auto" w:line="276"/>
      </w:pPr>
      <w:r>
        <w:rPr>
          <w:b/>
        </w:rPr>
        <w:t xml:space="preserve">摘要（ZH）: </w:t>
      </w:r>
      <w:r>
        <w:t>确定维持自然群落生物多样性的总体过程仍然是生态学中的一个挑战。尽管功能性状有助于解释区域物种分布，但它们在当地群落层面上往往达不到要求。我们研究性状是否可以由于与植物相互作用的迹象和强度的关联而为局部多样性维持提供基于机制的见解。我们研究了 12 种植物功能性状对两个地中海一年生植物群落中成对物种相互作用的迹象和强度的影响。结果表明，特质介导从促进性到竞争性互动的一系列过程，并受到邻居密度和身份的影响。在低密度下，具有保守资源利用特征的物种始终是比贪婪物种更强的促进者。然而，焦点物种的特征比邻居物种的特征或特征的成对差异更好地解释了低密度下的促进作用。当邻居密度增加时，促进就会转变为竞争，我们假设的这种模式反映了密度介导的邻居特征驱动互动程度的减少。此外，经常接受异种促进的物种也表现出与自我竞争和低内在种群增长率相关的特征。这项群落层面性状排序的研究提供了对共存种群持久性的见解，显示了基于性状的对物种相互作用的局部环境依赖性的普遍见解。</w:t>
      </w:r>
    </w:p>
    <w:p>
      <w:pPr>
        <w:spacing w:before="0" w:after="200" w:lineRule="auto" w:line="276"/>
      </w:pPr>
      <w:r>
        <w:rPr>
          <w:b/>
        </w:rPr>
        <w:t xml:space="preserve">Abstract (EN): </w:t>
      </w:r>
      <w:r>
        <w:t>Identifying overarching processes that maintain biodiversity in natural communities remains a challenge in ecology. Although functional traits help explain regional species distributions, they often fall short at the local community level. We investigate whether traits can offer mechanism-based insights into local diversity maintenance due to associations with the sign and strength of plant interactions. We examine the effect of 12 plant functional traits on the sign and strength of pairwise species interactions across two Mediterranean annual plant communities. Results show that traits mediate a spectrum from facilitative to competitive interactions and are influenced by neighbor density and identity. At low densities, species with conservative resource-use traits are consistently stronger facilitators than acquisitive species. The traits of the focal species, however, explain facilitation at low densities better than the traits of neighbors or the pairwise differences in traits. When neighbor density increases, facilitation switches to competition, a pattern we hypothesize reflects a density-mediated reduction in how much neighbors’ traits drive interactions. Moreover, species frequently receiving heterospecific facilitation also display traits associated with self-competition and low intrinsic population growth rate. This study of community-level trait sorting provides insights into the persistence of co-occurring populations, showing trait-based generalizable insights into the local context dependency of species interactions.</w:t>
      </w:r>
    </w:p>
    <w:p>
      <w:pPr>
        <w:spacing w:before="120" w:after="120"/>
      </w:pPr>
      <w:r>
        <w:rPr>
          <w:sz w:val="18"/>
        </w:rPr>
        <w:t>——————————————————————————————————————————————————————————————————————</w:t>
      </w:r>
    </w:p>
    <w:p>
      <w:pPr>
        <w:spacing w:before="160" w:after="40" w:line="240" w:lineRule="auto"/>
      </w:pPr>
      <w:r>
        <w:rPr>
          <w:b/>
        </w:rPr>
        <w:t xml:space="preserve">[406] </w:t>
      </w:r>
      <w:hyperlink r:id="rId1026">
        <w:r>
          <w:rPr>
            <w:color w:val="1155CC"/>
            <w:u w:val="single"/>
          </w:rPr>
          <w:t>乳酰转移酶 HAT1 对 PD-L1 的乳酰化决定了其蛋白质稳定性和肿瘤免疫逃避</w:t>
        </w:r>
      </w:hyperlink>
    </w:p>
    <w:p>
      <w:pPr>
        <w:spacing w:before="0" w:after="80"/>
      </w:pPr>
      <w:r>
        <w:rPr>
          <w:i/>
          <w:sz w:val="20"/>
        </w:rPr>
        <w:t>EN: Lactylation of PD-L1 by a lactyltransferase HAT1 dictates its protein stability and tumor immune evasion</w:t>
      </w:r>
    </w:p>
    <w:p>
      <w:pPr>
        <w:spacing w:before="0" w:after="120"/>
      </w:pPr>
      <w:r>
        <w:rPr>
          <w:b/>
        </w:rPr>
        <w:t xml:space="preserve">Source: </w:t>
      </w:r>
      <w:r>
        <w:t>Proceedings of the National Academy of Sciences: Keyword search for query</w:t>
      </w:r>
      <w:r>
        <w:t xml:space="preserve">    </w:t>
      </w:r>
      <w:r>
        <w:rPr>
          <w:b/>
        </w:rPr>
        <w:t xml:space="preserve">Pub date: </w:t>
      </w:r>
      <w:r>
        <w:t>2026-05-27 07:00:00+00:00</w:t>
      </w:r>
      <w:r>
        <w:t xml:space="preserve">    </w:t>
      </w:r>
      <w:r>
        <w:rPr>
          <w:b/>
        </w:rPr>
        <w:t xml:space="preserve">DOI: </w:t>
      </w:r>
      <w:hyperlink r:id="rId1027">
        <w:r>
          <w:rPr>
            <w:color w:val="1155CC"/>
            <w:u w:val="single"/>
          </w:rPr>
          <w:t>10.1073/pnas.2537490123</w:t>
        </w:r>
      </w:hyperlink>
    </w:p>
    <w:p>
      <w:pPr>
        <w:spacing w:before="0" w:after="120"/>
      </w:pPr>
      <w:r>
        <w:rPr>
          <w:b/>
        </w:rPr>
        <w:t xml:space="preserve">Notes: </w:t>
      </w:r>
      <w:r>
        <w:t>abstract_source=crossref</w:t>
      </w:r>
    </w:p>
    <w:p>
      <w:pPr>
        <w:spacing w:before="0" w:after="80" w:lineRule="auto" w:line="276"/>
      </w:pPr>
      <w:r>
        <w:rPr>
          <w:b/>
        </w:rPr>
        <w:t xml:space="preserve">摘要（ZH）: </w:t>
      </w:r>
      <w:r>
        <w:t>赖氨酸乳酰化调节不同生物过程中的蛋白质命运和功能。虽然 PD-L1 已在翻译后得到广泛研究，但其乳酰化作用和相关酶的研究仍然很少。在这里，我们将组蛋白乙酰转移酶 1 (HAT1) 鉴定为一种乳酰转移酶，可催化程序性细胞死亡配体 1 (PD-L1) 在其胞外域内的残基 K75 和 K178 乳酰化，从而增强 PD-L1 稳定性。从机制上讲，这种糖基化依赖性修饰可保护 PD-L1 免受内质网 (ER) 相关降解，并促进 ER 到高尔基体的运输。通过 HAT1 敲低、乳酰化位点突变或 HAT1-PD-L1 干扰肽来靶向 PD-L1 乳酰化，可抑制肿瘤进展并增强抗 PD-1 治疗效果。临床上，乳酰化 PD-L1 与肿瘤进展密切相关。总之，这些发现确立了 HAT1 介导的 PD-L1 乳酰化作为免疫逃避的关键机制，并表明针对该途径可以改善癌症免疫治疗的结果。</w:t>
      </w:r>
    </w:p>
    <w:p>
      <w:pPr>
        <w:spacing w:before="0" w:after="200" w:lineRule="auto" w:line="276"/>
      </w:pPr>
      <w:r>
        <w:rPr>
          <w:b/>
        </w:rPr>
        <w:t xml:space="preserve">Abstract (EN): </w:t>
      </w:r>
      <w:r>
        <w:t>Lysine lactylation regulates protein fate and function across diverse biological processes. While PD-L1 has been widely studied posttranslationally, the role of its lactylation and the responsible enzyme have remained poorly studied. Here, we identify histone acetyltransferase 1 (HAT1) as a lactyltransferase that catalyzes programmed cell death ligand 1 (PD-L1) lactylation at residues K75 and K178 within its extracellular domain, thereby enhancing PD-L1 stability. Mechanistically, this glycosylation-dependent modification protects PD-L1 from endoplasmic reticulum (ER)-associated degradation and promotes ER-to-Golgi trafficking. Targeting PD-L1 lactylation by HAT1 knockdown, mutation of the lactylation sites or HAT1-PD-L1-interferring peptides suppresses tumor progression and enhances anti-PD-1 therapy efficacy. Clinically, lactylated PD-L1 strongly correlates with tumor progression. Together, these findings establish HAT1-mediated PD-L1 lactylation as a key mechanism of immune evasion and suggest that targeting this pathway could improve cancer immunotherapy outcomes.</w:t>
      </w:r>
    </w:p>
    <w:p>
      <w:pPr>
        <w:spacing w:before="120" w:after="120"/>
      </w:pPr>
      <w:r>
        <w:rPr>
          <w:sz w:val="18"/>
        </w:rPr>
        <w:t>——————————————————————————————————————————————————————————————————————</w:t>
      </w:r>
    </w:p>
    <w:p>
      <w:pPr>
        <w:spacing w:before="160" w:after="40" w:line="240" w:lineRule="auto"/>
      </w:pPr>
      <w:r>
        <w:rPr>
          <w:b/>
        </w:rPr>
        <w:t xml:space="preserve">[407] </w:t>
      </w:r>
      <w:hyperlink r:id="rId1028">
        <w:r>
          <w:rPr>
            <w:color w:val="1155CC"/>
            <w:u w:val="single"/>
          </w:rPr>
          <w:t>由内置电场驱动的电子继电器，用于自维持和无外部能量的类芬顿催化</w:t>
        </w:r>
      </w:hyperlink>
    </w:p>
    <w:p>
      <w:pPr>
        <w:spacing w:before="0" w:after="80"/>
      </w:pPr>
      <w:r>
        <w:rPr>
          <w:i/>
          <w:sz w:val="20"/>
        </w:rPr>
        <w:t>EN: An Electron Relay Driven by Built‐in Electric Fields for Self‐Sustaining and External‐Energy‐Free Fenton‐Like Catalysis</w:t>
      </w:r>
    </w:p>
    <w:p>
      <w:pPr>
        <w:spacing w:before="0" w:after="120"/>
      </w:pPr>
      <w:r>
        <w:rPr>
          <w:b/>
        </w:rPr>
        <w:t xml:space="preserve">Source: </w:t>
      </w:r>
      <w:r>
        <w:t>Wiley: Angewandte Chemie International Edition: Table of Contents</w:t>
      </w:r>
      <w:r>
        <w:t xml:space="preserve">    </w:t>
      </w:r>
      <w:r>
        <w:rPr>
          <w:b/>
        </w:rPr>
        <w:t xml:space="preserve">Pub date: </w:t>
      </w:r>
      <w:r>
        <w:t>2026-05-27 07:10:24+00:00</w:t>
      </w:r>
      <w:r>
        <w:t xml:space="preserve">    </w:t>
      </w:r>
      <w:r>
        <w:rPr>
          <w:b/>
        </w:rPr>
        <w:t xml:space="preserve">DOI: </w:t>
      </w:r>
      <w:hyperlink r:id="rId1029">
        <w:r>
          <w:rPr>
            <w:color w:val="1155CC"/>
            <w:u w:val="single"/>
          </w:rPr>
          <w:t>10.1002/anie.4309718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类芬顿过程的效率常常受到金属中心氧化还原循环缓慢的瓶颈。在此，我们报告了一种自维持且无能量的催化策略，通过构建金属间电位差诱导的内置电场（BIEF）来驱动双金属尖晶石（AB）内的“电子继电器”</w:t>
      </w:r>
      <w:r>
        <w:rPr>
          <w:vertAlign w:val="subscript"/>
        </w:rPr>
        <w:t>2</w:t>
      </w:r>
      <w:r>
        <w:t>氧</w:t>
      </w:r>
      <w:r>
        <w:rPr>
          <w:vertAlign w:val="subscript"/>
        </w:rPr>
        <w:t>4</w:t>
      </w:r>
      <w:r>
        <w:t>A = 镍、铜、锌； B = 钴、铁、锰）。 A位和B位金属之间的固有电势梯度触发自发电荷重新分布，建立原子级电子传输通道。实验结果和理论计算表明CuCo</w:t>
      </w:r>
      <w:r>
        <w:rPr>
          <w:vertAlign w:val="subscript"/>
        </w:rPr>
        <w:t>2</w:t>
      </w:r>
      <w:r>
        <w:t>氧</w:t>
      </w:r>
      <w:r>
        <w:rPr>
          <w:vertAlign w:val="subscript"/>
        </w:rPr>
        <w:t>4</w:t>
      </w:r>
      <w:r>
        <w:t>拥有最强大的BIEF，显着加速H的“电子中继”</w:t>
      </w:r>
      <w:r>
        <w:rPr>
          <w:vertAlign w:val="subscript"/>
        </w:rPr>
        <w:t>2</w:t>
      </w:r>
      <w:r>
        <w:t>氧</w:t>
      </w:r>
      <w:r>
        <w:rPr>
          <w:vertAlign w:val="subscript"/>
        </w:rPr>
        <w:t>2</w:t>
      </w:r>
      <w:r>
        <w:t>激活。该机制实现了（Cu(II)/Cu(I)和Co(III)/Co(II)）之间的闭环价态循环，无需任何外部能量输入即可高效、连续地生成活性氧。因此，铜钴</w:t>
      </w:r>
      <w:r>
        <w:rPr>
          <w:vertAlign w:val="subscript"/>
        </w:rPr>
        <w:t>2</w:t>
      </w:r>
      <w:r>
        <w:t>氧</w:t>
      </w:r>
      <w:r>
        <w:rPr>
          <w:vertAlign w:val="subscript"/>
        </w:rPr>
        <w:t>4</w:t>
      </w:r>
      <w:r>
        <w:t>系统的双酚A降解率比CuFe高2.45倍和5.69倍</w:t>
      </w:r>
      <w:r>
        <w:rPr>
          <w:vertAlign w:val="subscript"/>
        </w:rPr>
        <w:t>2</w:t>
      </w:r>
      <w:r>
        <w:t>氧</w:t>
      </w:r>
      <w:r>
        <w:rPr>
          <w:vertAlign w:val="subscript"/>
        </w:rPr>
        <w:t>4</w:t>
      </w:r>
      <w:r>
        <w:t>和铜锰</w:t>
      </w:r>
      <w:r>
        <w:rPr>
          <w:vertAlign w:val="subscript"/>
        </w:rPr>
        <w:t>2</w:t>
      </w:r>
      <w:r>
        <w:t>氧</w:t>
      </w:r>
      <w:r>
        <w:rPr>
          <w:vertAlign w:val="subscript"/>
        </w:rPr>
        <w:t>4</w:t>
      </w:r>
    </w:p>
    <w:p>
      <w:pPr>
        <w:spacing w:before="0" w:after="200" w:lineRule="auto" w:line="276"/>
      </w:pPr>
      <w:r>
        <w:rPr>
          <w:b/>
        </w:rPr>
        <w:t xml:space="preserve">Abstract (EN): </w:t>
      </w:r>
      <w:r>
        <w:t>Efficiency in Fenton‐like processes is often bottlenecked by the sluggish redox cycling of metal centers. Herein, we report a self‐sustaining and energy‐free catalysis strategy by constructing an intermetallic potential difference‐induced built‐in electric field (BIEF) to drive an “electron relay” within bimetallic spinels (AB</w:t>
      </w:r>
      <w:r>
        <w:rPr>
          <w:vertAlign w:val="subscript"/>
        </w:rPr>
        <w:t>2</w:t>
      </w:r>
      <w:r>
        <w:t>O</w:t>
      </w:r>
      <w:r>
        <w:rPr>
          <w:vertAlign w:val="subscript"/>
        </w:rPr>
        <w:t>4</w:t>
      </w:r>
      <w:r>
        <w:t>A = Ni, Cu, Zn; B = Co, Fe, Mn). The intrinsic potential gradient between the A‐site and B‐site metals triggers a spontaneous charge redistribution, establishing an atomic‐level electron transmission channel. Experimental results and theoretical calculations reveal that CuCo</w:t>
      </w:r>
      <w:r>
        <w:rPr>
          <w:vertAlign w:val="subscript"/>
        </w:rPr>
        <w:t>2</w:t>
      </w:r>
      <w:r>
        <w:t>O</w:t>
      </w:r>
      <w:r>
        <w:rPr>
          <w:vertAlign w:val="subscript"/>
        </w:rPr>
        <w:t>4</w:t>
      </w:r>
      <w:r>
        <w:t>possesses the most robust BIEF, which significantly accelerates the “electron relay” for H</w:t>
      </w:r>
      <w:r>
        <w:rPr>
          <w:vertAlign w:val="subscript"/>
        </w:rPr>
        <w:t>2</w:t>
      </w:r>
      <w:r>
        <w:t>O</w:t>
      </w:r>
      <w:r>
        <w:rPr>
          <w:vertAlign w:val="subscript"/>
        </w:rPr>
        <w:t>2</w:t>
      </w:r>
      <w:r>
        <w:t>activation. This mechanism enables a closed‐loop valence cycling between (Cu(II)/Cu(I) and Co(III)/Co(II)), achieving highly efficient and continuous generation of reactive oxygen species without any external energy input. Consequently, the CuCo</w:t>
      </w:r>
      <w:r>
        <w:rPr>
          <w:vertAlign w:val="subscript"/>
        </w:rPr>
        <w:t>2</w:t>
      </w:r>
      <w:r>
        <w:t>O</w:t>
      </w:r>
      <w:r>
        <w:rPr>
          <w:vertAlign w:val="subscript"/>
        </w:rPr>
        <w:t>4</w:t>
      </w:r>
      <w:r>
        <w:t>system exhibits a bisphenol A degradation rate that is 2.45 and 5.69 times higher than those of CuFe</w:t>
      </w:r>
      <w:r>
        <w:rPr>
          <w:vertAlign w:val="subscript"/>
        </w:rPr>
        <w:t>2</w:t>
      </w:r>
      <w:r>
        <w:t>O</w:t>
      </w:r>
      <w:r>
        <w:rPr>
          <w:vertAlign w:val="subscript"/>
        </w:rPr>
        <w:t>4</w:t>
      </w:r>
      <w:r>
        <w:t>and CuMn</w:t>
      </w:r>
      <w:r>
        <w:rPr>
          <w:vertAlign w:val="subscript"/>
        </w:rPr>
        <w:t>2</w:t>
      </w:r>
      <w:r>
        <w:t>O</w:t>
      </w:r>
      <w:r>
        <w:rPr>
          <w:vertAlign w:val="subscript"/>
        </w:rPr>
        <w:t>4</w:t>
      </w:r>
      <w:r>
        <w:t>respectively, along with exceptional stability across a wide pH range (5–9). When integrated into a hollow fiber membrane, the system demonstrates a high flux of 318 L·m</w:t>
      </w:r>
      <w:r>
        <w:t xml:space="preserve"> </w:t>
      </w:r>
      <w:r>
        <w:t>−2</w:t>
      </w:r>
      <w:r>
        <w:t xml:space="preserve"> </w:t>
      </w:r>
      <w:r>
        <w:t>·h</w:t>
      </w:r>
      <w:r>
        <w:t xml:space="preserve"> </w:t>
      </w:r>
      <w:r>
        <w:t>−1</w:t>
      </w:r>
      <w:r>
        <w:t xml:space="preserve"> </w:t>
      </w:r>
      <w:r>
        <w:t>and long‐term operational durability. This work provides a transformative perspective on designing autonomous catalytic systems for sustainable water remediation.</w:t>
      </w:r>
    </w:p>
    <w:p>
      <w:pPr>
        <w:spacing w:before="120" w:after="120"/>
      </w:pPr>
      <w:r>
        <w:rPr>
          <w:sz w:val="18"/>
        </w:rPr>
        <w:t>——————————————————————————————————————————————————————————————————————</w:t>
      </w:r>
    </w:p>
    <w:p>
      <w:pPr>
        <w:spacing w:before="160" w:after="40" w:line="240" w:lineRule="auto"/>
      </w:pPr>
      <w:r>
        <w:rPr>
          <w:b/>
        </w:rPr>
        <w:t xml:space="preserve">[408] </w:t>
      </w:r>
      <w:hyperlink r:id="rId1030">
        <w:r>
          <w:rPr>
            <w:color w:val="1155CC"/>
            <w:u w:val="single"/>
          </w:rPr>
          <w:t>高发射性且稳定的基于 Ge(II) 和 Sn(II) 的空位有序碘化物双钙钛矿</w:t>
        </w:r>
      </w:hyperlink>
    </w:p>
    <w:p>
      <w:pPr>
        <w:spacing w:before="0" w:after="80"/>
      </w:pPr>
      <w:r>
        <w:rPr>
          <w:i/>
          <w:sz w:val="20"/>
        </w:rPr>
        <w:t>EN: Highly Emissive and Stable Ge(II)‐ and Sn(II)‐Based Vacancy‐Ordered Iodide Double Perovskites</w:t>
      </w:r>
    </w:p>
    <w:p>
      <w:pPr>
        <w:spacing w:before="0" w:after="120"/>
      </w:pPr>
      <w:r>
        <w:rPr>
          <w:b/>
        </w:rPr>
        <w:t xml:space="preserve">Source: </w:t>
      </w:r>
      <w:r>
        <w:t>Wiley: Angewandte Chemie International Edition: Table of Contents</w:t>
      </w:r>
      <w:r>
        <w:t xml:space="preserve">    </w:t>
      </w:r>
      <w:r>
        <w:rPr>
          <w:b/>
        </w:rPr>
        <w:t xml:space="preserve">Pub date: </w:t>
      </w:r>
      <w:r>
        <w:t>2026-05-27 07:12:16+00:00</w:t>
      </w:r>
      <w:r>
        <w:t xml:space="preserve">    </w:t>
      </w:r>
      <w:r>
        <w:rPr>
          <w:b/>
        </w:rPr>
        <w:t xml:space="preserve">DOI: </w:t>
      </w:r>
      <w:hyperlink r:id="rId1031">
        <w:r>
          <w:rPr>
            <w:color w:val="1155CC"/>
            <w:u w:val="single"/>
          </w:rPr>
          <w:t>10.1002/anie.7126664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空位有序双钙钛矿（VODP）</w:t>
      </w:r>
      <w:r>
        <w:t xml:space="preserve"> </w:t>
      </w:r>
      <w:r>
        <w:t>一个</w:t>
      </w:r>
      <w:r>
        <w:rPr>
          <w:vertAlign w:val="subscript"/>
        </w:rPr>
        <w:t>2</w:t>
      </w:r>
      <w:r>
        <w:t>乙</w:t>
      </w:r>
      <w:r>
        <w:t xml:space="preserve"> </w:t>
      </w:r>
      <w:r>
        <w:t>□</w:t>
      </w:r>
      <w:r>
        <w:t xml:space="preserve"> </w:t>
      </w:r>
      <w:r>
        <w:t>X</w:t>
      </w:r>
      <w:r>
        <w:rPr>
          <w:vertAlign w:val="subscript"/>
        </w:rPr>
        <w:t>6</w:t>
      </w:r>
      <w:r>
        <w:t>类型 (□ = 已订购</w:t>
      </w:r>
      <w:r>
        <w:t xml:space="preserve"> </w:t>
      </w:r>
      <w:r>
        <w:t>乙</w:t>
      </w:r>
      <w:r>
        <w:t xml:space="preserve"> </w:t>
      </w:r>
      <w:r>
        <w:t>‐位点空位）结合立体化学活性</w:t>
      </w:r>
      <w:r>
        <w:t xml:space="preserve"> </w:t>
      </w:r>
      <w:r>
        <w:t>n</w:t>
      </w:r>
      <w:r>
        <w:t xml:space="preserve"> </w:t>
      </w:r>
      <w:r>
        <w:t>s</w:t>
      </w:r>
      <w:r>
        <w:rPr>
          <w:vertAlign w:val="subscript"/>
        </w:rPr>
        <w:t>2</w:t>
      </w:r>
      <w:r>
        <w:t>金属是有前途的无铅自陷激子（STE）发射体。然而，高效且稳定的碘化物 VODP</w:t>
      </w:r>
      <w:r>
        <w:t xml:space="preserve"> </w:t>
      </w:r>
      <w:r>
        <w:t>n</w:t>
      </w:r>
      <w:r>
        <w:t xml:space="preserve"> </w:t>
      </w:r>
      <w:r>
        <w:t>s</w:t>
      </w:r>
      <w:r>
        <w:rPr>
          <w:vertAlign w:val="subscript"/>
        </w:rPr>
        <w:t>2</w:t>
      </w:r>
      <w:r>
        <w:t>作为晶格中心的金属仍然很少见。在这里，我们开发</w:t>
      </w:r>
      <w:r>
        <w:t xml:space="preserve"> </w:t>
      </w:r>
      <w:r>
        <w:t>氮</w:t>
      </w:r>
      <w:r>
        <w:t xml:space="preserve"> </w:t>
      </w:r>
      <w:r>
        <w:t>‐烷基化 1,4-二氮杂双环[2.2.2]辛烷 (dabco) 衍生的二铵阳离子 Rdabco</w:t>
      </w:r>
      <w:r>
        <w:t xml:space="preserve"> </w:t>
      </w:r>
      <w:r>
        <w:t>2+</w:t>
      </w:r>
      <w:r>
        <w:t xml:space="preserve"> </w:t>
      </w:r>
      <w:r>
        <w:t>(R = Me、Et 或 Pr；单烷基化或</w:t>
      </w:r>
      <w:r>
        <w:t xml:space="preserve"> </w:t>
      </w:r>
      <w:r>
        <w:t>氮</w:t>
      </w:r>
      <w:r>
        <w:t xml:space="preserve"> </w:t>
      </w:r>
      <w:r>
        <w:t>,</w:t>
      </w:r>
      <w:r>
        <w:t xml:space="preserve"> </w:t>
      </w:r>
      <w:r>
        <w:t>氮</w:t>
      </w:r>
      <w:r>
        <w:t xml:space="preserve"> </w:t>
      </w:r>
      <w:r>
        <w:t>'-二烷基化），以获得碘化物VODP（Rdabco）</w:t>
      </w:r>
      <w:r>
        <w:rPr>
          <w:vertAlign w:val="subscript"/>
        </w:rPr>
        <w:t>2</w:t>
      </w:r>
      <w:r>
        <w:t>乙</w:t>
      </w:r>
      <w:r>
        <w:t xml:space="preserve"> </w:t>
      </w:r>
      <w:r>
        <w:t>□我</w:t>
      </w:r>
      <w:r>
        <w:rPr>
          <w:vertAlign w:val="subscript"/>
        </w:rPr>
        <w:t>6</w:t>
      </w:r>
      <w:r>
        <w:t>与</w:t>
      </w:r>
      <w:r>
        <w:t xml:space="preserve"> </w:t>
      </w:r>
      <w:r>
        <w:t>乙</w:t>
      </w:r>
      <w:r>
        <w:t xml:space="preserve"> </w:t>
      </w:r>
      <w:r>
        <w:t>= Ge(II) 或 Sn(II)。改变R基团和六个阳离子的烷基化可以有效地调节空间位阻和晶格应变，增强氧化耐受性并产生孤立的零维晶格[</w:t>
      </w:r>
      <w:r>
        <w:t xml:space="preserve"> </w:t>
      </w:r>
      <w:r>
        <w:t>乙</w:t>
      </w:r>
      <w:r>
        <w:t xml:space="preserve"> </w:t>
      </w:r>
      <w:r>
        <w:t>我</w:t>
      </w:r>
      <w:r>
        <w:rPr>
          <w:vertAlign w:val="subscript"/>
        </w:rPr>
        <w:t>6</w:t>
      </w:r>
      <w:r>
        <w:t>]</w:t>
      </w:r>
      <w:r>
        <w:t xml:space="preserve"> </w:t>
      </w:r>
      <w:r>
        <w:rPr>
          <w:vertAlign w:val="subscript"/>
        </w:rPr>
        <w:t>4</w:t>
      </w:r>
      <w:r>
        <w:t xml:space="preserve"> </w:t>
      </w:r>
      <w:r>
        <w:t>-</w:t>
      </w:r>
    </w:p>
    <w:p>
      <w:pPr>
        <w:spacing w:before="0" w:after="200" w:lineRule="auto" w:line="276"/>
      </w:pPr>
      <w:r>
        <w:rPr>
          <w:b/>
        </w:rPr>
        <w:t xml:space="preserve">Abstract (EN): </w:t>
      </w:r>
      <w:r>
        <w:t>Vacancy‐ordered double perovskites (VODPs) of the</w:t>
      </w:r>
      <w:r>
        <w:t xml:space="preserve"> </w:t>
      </w:r>
      <w:r>
        <w:t>A</w:t>
      </w:r>
      <w:r>
        <w:rPr>
          <w:vertAlign w:val="subscript"/>
        </w:rPr>
        <w:t>2</w:t>
      </w:r>
      <w:r>
        <w:t>B</w:t>
      </w:r>
      <w:r>
        <w:t xml:space="preserve"> </w:t>
      </w:r>
      <w:r>
        <w:t>□</w:t>
      </w:r>
      <w:r>
        <w:t xml:space="preserve"> </w:t>
      </w:r>
      <w:r>
        <w:t>X</w:t>
      </w:r>
      <w:r>
        <w:rPr>
          <w:vertAlign w:val="subscript"/>
        </w:rPr>
        <w:t>6</w:t>
      </w:r>
      <w:r>
        <w:t>type (□ = ordered</w:t>
      </w:r>
      <w:r>
        <w:t xml:space="preserve"> </w:t>
      </w:r>
      <w:r>
        <w:t>B</w:t>
      </w:r>
      <w:r>
        <w:t xml:space="preserve"> </w:t>
      </w:r>
      <w:r>
        <w:t>‐site vacancy) incorporating stereochemically active</w:t>
      </w:r>
      <w:r>
        <w:t xml:space="preserve"> </w:t>
      </w:r>
      <w:r>
        <w:t>n</w:t>
      </w:r>
      <w:r>
        <w:t xml:space="preserve"> </w:t>
      </w:r>
      <w:r>
        <w:t>s</w:t>
      </w:r>
      <w:r>
        <w:rPr>
          <w:vertAlign w:val="subscript"/>
        </w:rPr>
        <w:t>2</w:t>
      </w:r>
      <w:r>
        <w:t>metals are promising lead‐free self‐trapped exciton (STE) emitters. However, efficient and stable iodide VODPs with</w:t>
      </w:r>
      <w:r>
        <w:t xml:space="preserve"> </w:t>
      </w:r>
      <w:r>
        <w:t>n</w:t>
      </w:r>
      <w:r>
        <w:t xml:space="preserve"> </w:t>
      </w:r>
      <w:r>
        <w:t>s</w:t>
      </w:r>
      <w:r>
        <w:rPr>
          <w:vertAlign w:val="subscript"/>
        </w:rPr>
        <w:t>2</w:t>
      </w:r>
      <w:r>
        <w:t>metals as the lattice centers remain rare. Here, we develop</w:t>
      </w:r>
      <w:r>
        <w:t xml:space="preserve"> </w:t>
      </w:r>
      <w:r>
        <w:t>N</w:t>
      </w:r>
      <w:r>
        <w:t xml:space="preserve"> </w:t>
      </w:r>
      <w:r>
        <w:t>‐alkylated 1,4‐diazabicyclo[2.2.2]octane (dabco)‐derived diammonium cations Rdabco</w:t>
      </w:r>
      <w:r>
        <w:t xml:space="preserve"> </w:t>
      </w:r>
      <w:r>
        <w:t>2+</w:t>
      </w:r>
      <w:r>
        <w:t xml:space="preserve"> </w:t>
      </w:r>
      <w:r>
        <w:t>(R = Me, Et, or Pr; mono‐alkylated or</w:t>
      </w:r>
      <w:r>
        <w:t xml:space="preserve"> </w:t>
      </w:r>
      <w:r>
        <w:t>N</w:t>
      </w:r>
      <w:r>
        <w:t xml:space="preserve"> </w:t>
      </w:r>
      <w:r>
        <w:t>,</w:t>
      </w:r>
      <w:r>
        <w:t xml:space="preserve"> </w:t>
      </w:r>
      <w:r>
        <w:t>N</w:t>
      </w:r>
      <w:r>
        <w:t xml:space="preserve"> </w:t>
      </w:r>
      <w:r>
        <w:t>′‐dialkylated), to access iodide VODPs (Rdabco)</w:t>
      </w:r>
      <w:r>
        <w:rPr>
          <w:vertAlign w:val="subscript"/>
        </w:rPr>
        <w:t>2</w:t>
      </w:r>
      <w:r>
        <w:t>B</w:t>
      </w:r>
      <w:r>
        <w:t xml:space="preserve"> </w:t>
      </w:r>
      <w:r>
        <w:t>□I</w:t>
      </w:r>
      <w:r>
        <w:rPr>
          <w:vertAlign w:val="subscript"/>
        </w:rPr>
        <w:t>6</w:t>
      </w:r>
      <w:r>
        <w:t>with</w:t>
      </w:r>
      <w:r>
        <w:t xml:space="preserve"> </w:t>
      </w:r>
      <w:r>
        <w:t>B</w:t>
      </w:r>
      <w:r>
        <w:t xml:space="preserve"> </w:t>
      </w:r>
      <w:r>
        <w:t>= Ge(II) or Sn(II). Varying the R group and alkylation across six cations effectively tunes the steric hindrance and lattice strain, enhancing oxidation tolerance and yielding zero‐dimensional lattices of isolated [</w:t>
      </w:r>
      <w:r>
        <w:t xml:space="preserve"> </w:t>
      </w:r>
      <w:r>
        <w:t>B</w:t>
      </w:r>
      <w:r>
        <w:t xml:space="preserve"> </w:t>
      </w:r>
      <w:r>
        <w:t>I</w:t>
      </w:r>
      <w:r>
        <w:rPr>
          <w:vertAlign w:val="subscript"/>
        </w:rPr>
        <w:t>6</w:t>
      </w:r>
      <w:r>
        <w:t>]</w:t>
      </w:r>
      <w:r>
        <w:t xml:space="preserve"> </w:t>
      </w:r>
      <w:r>
        <w:rPr>
          <w:vertAlign w:val="subscript"/>
        </w:rPr>
        <w:t>4</w:t>
      </w:r>
      <w:r>
        <w:t xml:space="preserve"> </w:t>
      </w:r>
      <w:r>
        <w:t>−</w:t>
      </w:r>
      <w:r>
        <w:t>octahedra. The materials exhibit bright room‐temperature STE emission with photoluminescence quantum yields (PLQYs) up to 35.0% for Ge and 36.8% for Sn. Notably, the highest PLQY of the Ge VODP is approximately seven times that of the highest reported Ge(II) iodide compounds. Structure–photophysics correlations reveal distinct determinants: the Ge PLQYs correlate with [GeI</w:t>
      </w:r>
      <w:r>
        <w:rPr>
          <w:vertAlign w:val="subscript"/>
        </w:rPr>
        <w:t>6</w:t>
      </w:r>
      <w:r>
        <w:t>]</w:t>
      </w:r>
      <w:r>
        <w:t xml:space="preserve"> </w:t>
      </w:r>
      <w:r>
        <w:rPr>
          <w:vertAlign w:val="subscript"/>
        </w:rPr>
        <w:t>4</w:t>
      </w:r>
      <w:r>
        <w:t xml:space="preserve"> </w:t>
      </w:r>
      <w:r>
        <w:t>−</w:t>
      </w:r>
      <w:r>
        <w:t>octahedral distortion, whereas the Sn PLQYs reflect a more complex balance between radiative and nonradiative relaxation channels rather than a single distortion metric. These materials exhibit high ambient stability up to two months whereas the 3D perovskite analogs decompose within three days.</w:t>
      </w:r>
    </w:p>
    <w:p>
      <w:pPr>
        <w:spacing w:before="120" w:after="120"/>
      </w:pPr>
      <w:r>
        <w:rPr>
          <w:sz w:val="18"/>
        </w:rPr>
        <w:t>——————————————————————————————————————————————————————————————————————</w:t>
      </w:r>
    </w:p>
    <w:p>
      <w:pPr>
        <w:spacing w:before="160" w:after="40" w:line="240" w:lineRule="auto"/>
      </w:pPr>
      <w:r>
        <w:rPr>
          <w:b/>
        </w:rPr>
        <w:t xml:space="preserve">[409] </w:t>
      </w:r>
      <w:hyperlink r:id="rId1032">
        <w:r>
          <w:rPr>
            <w:color w:val="1155CC"/>
            <w:u w:val="single"/>
          </w:rPr>
          <w:t>钯催化异戊二烯与羟吲哚的区域发散端聚反应</w:t>
        </w:r>
      </w:hyperlink>
    </w:p>
    <w:p>
      <w:pPr>
        <w:spacing w:before="0" w:after="80"/>
      </w:pPr>
      <w:r>
        <w:rPr>
          <w:i/>
          <w:sz w:val="20"/>
        </w:rPr>
        <w:t>EN: Palladium‐Catalyzed Regiodivergent Telomerization of Isoprene With Oxindoles</w:t>
      </w:r>
    </w:p>
    <w:p>
      <w:pPr>
        <w:spacing w:before="0" w:after="120"/>
      </w:pPr>
      <w:r>
        <w:rPr>
          <w:b/>
        </w:rPr>
        <w:t xml:space="preserve">Source: </w:t>
      </w:r>
      <w:r>
        <w:t>Wiley: Angewandte Chemie International Edition: Table of Contents</w:t>
      </w:r>
      <w:r>
        <w:t xml:space="preserve">    </w:t>
      </w:r>
      <w:r>
        <w:rPr>
          <w:b/>
        </w:rPr>
        <w:t xml:space="preserve">Pub date: </w:t>
      </w:r>
      <w:r>
        <w:t>2026-05-27 07:13:51+00:00</w:t>
      </w:r>
      <w:r>
        <w:t xml:space="preserve">    </w:t>
      </w:r>
      <w:r>
        <w:rPr>
          <w:b/>
        </w:rPr>
        <w:t xml:space="preserve">DOI: </w:t>
      </w:r>
      <w:hyperlink r:id="rId1033">
        <w:r>
          <w:rPr>
            <w:color w:val="1155CC"/>
            <w:u w:val="single"/>
          </w:rPr>
          <w:t>10.1002/anie.5507499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渡金属催化的异戊二烯亲核调聚是构建单萜骨架的有效策略，但其发展受到化学和区域选择性控制的固有挑战的阻碍，特别是在与碳亲核试剂的反应中。在此，我们开发了一种多功能钯催化剂，通过配体、溶剂和添加剂的协同控制，用于异戊二烯与羟吲哚的区域发散调聚。在非质子溶剂NMP存在下，我们发现富电子且体积较小的三(2-呋喃基)膦(TFP)配体可以促进尾对尾香叶基羟吲哚的排他性形成，同时通过添加碱作为添加剂大大提高了反应活性。另一方面，新设计的半不稳定膦配体能够选择性地获得尾对头异构体，其中甲醇是不可替代的溶剂选择。进行了机理实验和密度泛函理论（DFT）计算，表明 η 的质子分解</w:t>
      </w:r>
      <w:r>
        <w:rPr>
          <w:vertAlign w:val="subscript"/>
        </w:rPr>
        <w:t>1</w:t>
      </w:r>
      <w:r>
        <w:t>,η</w:t>
      </w:r>
      <w:r>
        <w:rPr>
          <w:vertAlign w:val="subscript"/>
        </w:rPr>
        <w:t>3</w:t>
      </w:r>
      <w:r>
        <w:t>‐二烯丙基-Pd(II)络合物被推测是速率决定步骤。除了羟吲哚之外，这种区域发散方案还可以应用于异戊二烯与多种胺的亲核调聚。此外，通过后期烯烃异构化以及有效扩展结构多样性的各种衍生化说明了当前合成策略的合成效用。</w:t>
      </w:r>
    </w:p>
    <w:p>
      <w:pPr>
        <w:spacing w:before="0" w:after="200" w:lineRule="auto" w:line="276"/>
      </w:pPr>
      <w:r>
        <w:rPr>
          <w:b/>
        </w:rPr>
        <w:t xml:space="preserve">Abstract (EN): </w:t>
      </w:r>
      <w:r>
        <w:t>Transition metal‐catalyzed nucleophilic telomerization of isoprene is an efficient strategy for the construction of monoterpene skeletons, yet its development has been impeded by inherent challenges of chemo‐ and regioselectivity control, especially in reactions with carbon nucleophiles. Herein, we developed a versatile palladium catalysis for the regiodivergent telomerization of isoprene with oxindoles through synergistic control of ligands, solvents, and additives. In the presence of aprotic solvent NMP, we revealed the electron‐rich and less bulky tri(2‐furyl)phosphine (TFP) ligand can facilitate the exclusive formation of tail‐to‐tail geranyl oxindoles, meanwhile the reactivity was severely improved by adding base as additive. On the other hand, a newly designed hemilabile phosphine ligand enables selective access to tail‐to‐head isomer, where the MeOH worked as an irreplaceable solvent choice. Mechanistic experiments and density functional theory (DFT) calculations were conducted, which indicate that protolysis of the η</w:t>
      </w:r>
      <w:r>
        <w:rPr>
          <w:vertAlign w:val="subscript"/>
        </w:rPr>
        <w:t>1</w:t>
      </w:r>
      <w:r>
        <w:t>,η</w:t>
      </w:r>
      <w:r>
        <w:rPr>
          <w:vertAlign w:val="subscript"/>
        </w:rPr>
        <w:t>3</w:t>
      </w:r>
      <w:r>
        <w:t>‐diallyl–Pd(II) complex is speculated to be the rate‐determining step. Apart from oxindoles, this regiodivergent protocol could also be applied to the nucleophilic telomerization of isoprene with a broad scope of amines. Furthermore, the synthetic utility of current synthetic strategy was illustrated by late‐stage alkene isomerization, as well as various derivatizations that effectively expand the structural diversity of monoterpenoids and complement alkaloid frameworks.</w:t>
      </w:r>
    </w:p>
    <w:p>
      <w:pPr>
        <w:spacing w:before="120" w:after="120"/>
      </w:pPr>
      <w:r>
        <w:rPr>
          <w:sz w:val="18"/>
        </w:rPr>
        <w:t>——————————————————————————————————————————————————————————————————————</w:t>
      </w:r>
    </w:p>
    <w:p>
      <w:pPr>
        <w:spacing w:before="160" w:after="40" w:line="240" w:lineRule="auto"/>
      </w:pPr>
      <w:r>
        <w:rPr>
          <w:b/>
        </w:rPr>
        <w:t xml:space="preserve">[410] </w:t>
      </w:r>
      <w:hyperlink r:id="rId1034">
        <w:r>
          <w:rPr>
            <w:color w:val="1155CC"/>
            <w:u w:val="single"/>
          </w:rPr>
          <w:t>动态氧化还原活性自组装单层膜可实现坚固的倒置锡铅钙钛矿太阳能电池</w:t>
        </w:r>
      </w:hyperlink>
    </w:p>
    <w:p>
      <w:pPr>
        <w:spacing w:before="0" w:after="80"/>
      </w:pPr>
      <w:r>
        <w:rPr>
          <w:i/>
          <w:sz w:val="20"/>
        </w:rPr>
        <w:t>EN: Dynamic Redox‐Active Self‐Assembled Monolayers Enable Robust Inverted Tin–Lead Perovskite Solar Cells</w:t>
      </w:r>
    </w:p>
    <w:p>
      <w:pPr>
        <w:spacing w:before="0" w:after="120"/>
      </w:pPr>
      <w:r>
        <w:rPr>
          <w:b/>
        </w:rPr>
        <w:t xml:space="preserve">Source: </w:t>
      </w:r>
      <w:r>
        <w:t>Wiley: Advanced Materials: Table of Contents</w:t>
      </w:r>
      <w:r>
        <w:t xml:space="preserve">    </w:t>
      </w:r>
      <w:r>
        <w:rPr>
          <w:b/>
        </w:rPr>
        <w:t xml:space="preserve">Pub date: </w:t>
      </w:r>
      <w:r>
        <w:t>2026-05-27 07:14:44+00:00</w:t>
      </w:r>
      <w:r>
        <w:t xml:space="preserve">    </w:t>
      </w:r>
      <w:r>
        <w:rPr>
          <w:b/>
        </w:rPr>
        <w:t xml:space="preserve">DOI: </w:t>
      </w:r>
      <w:hyperlink r:id="rId1035">
        <w:r>
          <w:rPr>
            <w:color w:val="1155CC"/>
            <w:u w:val="single"/>
          </w:rPr>
          <w:t>10.1002/adma.73258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锡铅（Sn-Pb）钙钛矿已迅速成为窄带隙（NBG）钙钛矿太阳能电池（PSC）的重要吸收剂。然而，它们的发展受到界面能级错位和埋藏界面化学不稳定性的严重限制。这种不匹配会引起电荷提取势垒，而 Sn 的快速氧化</w:t>
      </w:r>
      <w:r>
        <w:rPr>
          <w:vertAlign w:val="subscript"/>
        </w:rPr>
        <w:t>2</w:t>
      </w:r>
      <w:r>
        <w:t>+</w:t>
      </w:r>
      <w:r>
        <w:t xml:space="preserve"> </w:t>
      </w:r>
      <w:r>
        <w:t>产生深陷阱态和有害的p型自掺杂。在这里，我们提出使用二茂铁（FC）衍生物、二茂铁乙酸（FCAA）和二茂铁羧酸（FCCA）作为功能空穴传输层（HTL）的新型氧化还原活性自组装单层（SAM），显示出更好的界面能量并通过氧化还原介导消除化学缺陷。我们发现基于 FC 的 SAM 的能级与 Sn-Pb 钙钛矿的能级更加接近，从而促进了高效的空穴提取。此外，可逆 FC/FC</w:t>
      </w:r>
      <w:r>
        <w:t xml:space="preserve"> </w:t>
      </w:r>
      <w:r>
        <w:t>+</w:t>
      </w:r>
      <w:r>
        <w:t xml:space="preserve"> </w:t>
      </w:r>
      <w:r>
        <w:t>氧化还原过程建立动态循环，有效抑制不需要的氧和光诱导金属Pb</w:t>
      </w:r>
      <w:r>
        <w:rPr>
          <w:vertAlign w:val="subscript"/>
        </w:rPr>
        <w:t>0</w:t>
      </w:r>
      <w:r>
        <w:t>和氧化锡</w:t>
      </w:r>
      <w:r>
        <w:t xml:space="preserve"> </w:t>
      </w:r>
      <w:r>
        <w:t>4+</w:t>
      </w:r>
      <w:r>
        <w:t xml:space="preserve"> </w:t>
      </w:r>
      <w:r>
        <w:t>。 FCAA具有更长的烷基链，具有更强的给电子和氧化还原性能，表现出优于FCCA的优势，实现了23.8％的冠军功率转换效率（PCE），并且在存储2000小时后保留了95.8％，并且显着抑制了氧化Sn物种。这项研究提出了一种用于 Sn-Pb PSC 的新型功能性 HTL，</w:t>
      </w:r>
    </w:p>
    <w:p>
      <w:pPr>
        <w:spacing w:before="0" w:after="200" w:lineRule="auto" w:line="276"/>
      </w:pPr>
      <w:r>
        <w:rPr>
          <w:b/>
        </w:rPr>
        <w:t xml:space="preserve">Abstract (EN): </w:t>
      </w:r>
      <w:r>
        <w:t>Tin–lead (Sn–Pb) perovskites have quickly emerged as essential absorbers for narrow‐bandgap (NBG) perovskite solar cells (PSCs). However, their development is severely constrained by interfacial energy‐level misalignment and chemical instability at the buried interface. This mismatch induces charge extraction barriers, while the rapid oxidation of Sn</w:t>
      </w:r>
      <w:r>
        <w:rPr>
          <w:vertAlign w:val="subscript"/>
        </w:rPr>
        <w:t>2</w:t>
      </w:r>
      <w:r>
        <w:t>+</w:t>
      </w:r>
      <w:r>
        <w:t xml:space="preserve"> </w:t>
      </w:r>
      <w:r>
        <w:t>creates deep trap states and detrimental p‐type self‐doping. Here, we propose novel redox‐active self‐assembled monolayers (SAMs) as functional hole‐transport layers (HTLs) using ferrocene (FC) derivatives, ferrocene acetic acid (FCAA) and ferrocene carboxylic acid (FCCA), showing better interfacial energetics and eliminating chemical defects via redox mediation. We found that the energy levels of FC‐based SAMs align more closely with the Sn–Pb perovskite, promoting efficient hole extraction. Moreover, the reversible FC/FC</w:t>
      </w:r>
      <w:r>
        <w:t xml:space="preserve"> </w:t>
      </w:r>
      <w:r>
        <w:t>+</w:t>
      </w:r>
      <w:r>
        <w:t xml:space="preserve"> </w:t>
      </w:r>
      <w:r>
        <w:t>redox process establishes a dynamic cycle, effectively suppressing the undesired oxygen‐ and light‐inducing metallic Pb</w:t>
      </w:r>
      <w:r>
        <w:rPr>
          <w:vertAlign w:val="subscript"/>
        </w:rPr>
        <w:t>0</w:t>
      </w:r>
      <w:r>
        <w:t>and oxidized Sn</w:t>
      </w:r>
      <w:r>
        <w:t xml:space="preserve"> </w:t>
      </w:r>
      <w:r>
        <w:t>4+</w:t>
      </w:r>
      <w:r>
        <w:t xml:space="preserve"> </w:t>
      </w:r>
      <w:r>
        <w:t>. FCAA, with a longer alkyl chain that enables stronger electron‐donating and redox properties, shows superior to FCCA, achieving a champion power conversion efficiency (PCE) of 23.8%, and retains 95.8% after 2000 hours of storage with significantly inhibited oxidized Sn species. This study proposes a novel functional HTL for Sn–Pb PSCs, providing a promising way for high‐performance and stable all‐perovskite tandem photovoltaics.</w:t>
      </w:r>
    </w:p>
    <w:p>
      <w:pPr>
        <w:spacing w:before="120" w:after="120"/>
      </w:pPr>
      <w:r>
        <w:rPr>
          <w:sz w:val="18"/>
        </w:rPr>
        <w:t>——————————————————————————————————————————————————————————————————————</w:t>
      </w:r>
    </w:p>
    <w:p>
      <w:pPr>
        <w:spacing w:before="160" w:after="40" w:line="240" w:lineRule="auto"/>
      </w:pPr>
      <w:r>
        <w:rPr>
          <w:b/>
        </w:rPr>
        <w:t xml:space="preserve">[411] </w:t>
      </w:r>
      <w:hyperlink r:id="rId1036">
        <w:r>
          <w:rPr>
            <w:color w:val="1155CC"/>
            <w:u w:val="single"/>
          </w:rPr>
          <w:t>异核相邻 Co-Mn 单原子对作为氧化 C-H 功能化的协同平台</w:t>
        </w:r>
      </w:hyperlink>
    </w:p>
    <w:p>
      <w:pPr>
        <w:spacing w:before="0" w:after="80"/>
      </w:pPr>
      <w:r>
        <w:rPr>
          <w:i/>
          <w:sz w:val="20"/>
        </w:rPr>
        <w:t>EN: Heteronuclear Neighboring Co–Mn Single‐Atom Pairs as a Synergistic Platform for Oxidative C–H Functionalization</w:t>
      </w:r>
    </w:p>
    <w:p>
      <w:pPr>
        <w:spacing w:before="0" w:after="120"/>
      </w:pPr>
      <w:r>
        <w:rPr>
          <w:b/>
        </w:rPr>
        <w:t xml:space="preserve">Source: </w:t>
      </w:r>
      <w:r>
        <w:t>Wiley: Angewandte Chemie International Edition: Table of Contents</w:t>
      </w:r>
      <w:r>
        <w:t xml:space="preserve">    </w:t>
      </w:r>
      <w:r>
        <w:rPr>
          <w:b/>
        </w:rPr>
        <w:t xml:space="preserve">Pub date: </w:t>
      </w:r>
      <w:r>
        <w:t>2026-05-27 07:15:47+00:00</w:t>
      </w:r>
      <w:r>
        <w:t xml:space="preserve">    </w:t>
      </w:r>
      <w:r>
        <w:rPr>
          <w:b/>
        </w:rPr>
        <w:t xml:space="preserve">DOI: </w:t>
      </w:r>
      <w:hyperlink r:id="rId1037">
        <w:r>
          <w:rPr>
            <w:color w:val="1155CC"/>
            <w:u w:val="single"/>
          </w:rPr>
          <w:t>10.1002/anie.2619409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从传统的单原子催化剂到异核相邻单原子催化剂的转变提出了一种引人注目的策略，以解决多电子氧化转化中与孤立金属位点相关的限制。在此，我们报道了一种Co-Mn异核单原子催化剂（Co</w:t>
      </w:r>
      <w:r>
        <w:rPr>
          <w:vertAlign w:val="subscript"/>
        </w:rPr>
        <w:t>1</w:t>
      </w:r>
      <w:r>
        <w:t>‐Mn</w:t>
      </w:r>
      <w:r>
        <w:rPr>
          <w:vertAlign w:val="subscript"/>
        </w:rPr>
        <w:t>1</w:t>
      </w:r>
      <w:r>
        <w:t>/NC），其中原子分散的 Co 和 Mn 物质锚定在氮掺杂碳载体上，形成明确的相邻活性对，原子间距离为 ∼2.6 Å。这种配置提供了一个协同平台，在两个具有挑战性的氧化C-H官能化反应中明显优于其单金属Co和Mn对应物：苊选择性氧化为1-苊醇（转化率99.9%，选择性97.7%）以及苯甲醇与甲醇氧化缩合生成苯甲醛二甲缩醛（转化率63.4%，选择性94.7%）。原子分辨率表征和 DFT 计算阐明了这种协同作用的起源，揭示了两个金属中心之间的分工。在苊氧化中，Co-Mn 对协同活化分子氧并促进 C-H 键解离，同时能垒显着降低。在氧化缩合中，Co 位点优先激活甲醇，而相邻的 Mn 位点稳定关键的 *PhCHO 中间体。这项工作建立了异核相邻的 Co-Mn 对作为协同 mu 的平台。</w:t>
      </w:r>
    </w:p>
    <w:p>
      <w:pPr>
        <w:spacing w:before="0" w:after="200" w:lineRule="auto" w:line="276"/>
      </w:pPr>
      <w:r>
        <w:rPr>
          <w:b/>
        </w:rPr>
        <w:t xml:space="preserve">Abstract (EN): </w:t>
      </w:r>
      <w:r>
        <w:t>The transition from conventional single‐atom catalysts to heteronuclear neighboring single‐atom catalysts presents a compelling strategy to address the limitations associated with isolated metal sites in multielectron oxidative transformations. Herein, we report a Co–Mn heteronuclear single‑atom catalyst (Co</w:t>
      </w:r>
      <w:r>
        <w:rPr>
          <w:vertAlign w:val="subscript"/>
        </w:rPr>
        <w:t>1</w:t>
      </w:r>
      <w:r>
        <w:t>‐Mn</w:t>
      </w:r>
      <w:r>
        <w:rPr>
          <w:vertAlign w:val="subscript"/>
        </w:rPr>
        <w:t>1</w:t>
      </w:r>
      <w:r>
        <w:t>/NC) in which atomically dispersed Co and Mn species are anchored on a nitrogen‑doped carbon support to form well‑defined neighboring active pairs with an interatomic distance of ∼2.6 Å. This configuration provides a synergistic platform that markedly outperforms its monometallic Co and Mn counterparts in two challenging oxidative C–H functionalization reactions: the selective oxidation of acenaphthene to 1‑acenaphthenol (99.9% conversion, 97.7% selectivity) and the oxidative condensation of benzyl alcohol with methanol to benzaldehyde dimethyl acetal (63.4% conversion, 94.7% selectivity). Atomic‑resolution characterization and DFT calculations elucidate the origin of this synergy, revealing a division of labor between the two metal centers. In acenaphthene oxidation, the Co–Mn pair cooperatively activates molecular oxygen and facilitates C–H bond dissociation with a substantially reduced energy barrier. In the oxidative condensation, the Co site preferentially activates methanol while the adjacent Mn site stabilizes the key *PhCHO intermediate. This work establishes heteronuclear neighboring Co–Mn pairs as a platform for synergistic multifunctional catalysis.</w:t>
      </w:r>
    </w:p>
    <w:p>
      <w:pPr>
        <w:spacing w:before="120" w:after="120"/>
      </w:pPr>
      <w:r>
        <w:rPr>
          <w:sz w:val="18"/>
        </w:rPr>
        <w:t>——————————————————————————————————————————————————————————————————————</w:t>
      </w:r>
    </w:p>
    <w:p>
      <w:pPr>
        <w:spacing w:before="160" w:after="40" w:line="240" w:lineRule="auto"/>
      </w:pPr>
      <w:r>
        <w:rPr>
          <w:b/>
        </w:rPr>
        <w:t xml:space="preserve">[412] </w:t>
      </w:r>
      <w:hyperlink r:id="rId1038">
        <w:r>
          <w:rPr>
            <w:color w:val="1155CC"/>
            <w:u w:val="single"/>
          </w:rPr>
          <w:t>层状铋基材料的定制：环境、能源、光子学、电子学和生物医学的先进功能</w:t>
        </w:r>
      </w:hyperlink>
    </w:p>
    <w:p>
      <w:pPr>
        <w:spacing w:before="0" w:after="80"/>
      </w:pPr>
      <w:r>
        <w:rPr>
          <w:i/>
          <w:sz w:val="20"/>
        </w:rPr>
        <w:t>EN: Tailoring of Layered Bismuth‐Based Materials: Advanced Functionalities for Environment, Energy, Photonics, Electronics, and Biomedicine</w:t>
      </w:r>
    </w:p>
    <w:p>
      <w:pPr>
        <w:spacing w:before="0" w:after="120"/>
      </w:pPr>
      <w:r>
        <w:rPr>
          <w:b/>
        </w:rPr>
        <w:t xml:space="preserve">Source: </w:t>
      </w:r>
      <w:r>
        <w:t>Wiley: Advanced Materials: Table of Contents</w:t>
      </w:r>
      <w:r>
        <w:t xml:space="preserve">    </w:t>
      </w:r>
      <w:r>
        <w:rPr>
          <w:b/>
        </w:rPr>
        <w:t xml:space="preserve">Pub date: </w:t>
      </w:r>
      <w:r>
        <w:t>2026-05-27 09:32:54+00:00</w:t>
      </w:r>
      <w:r>
        <w:t xml:space="preserve">    </w:t>
      </w:r>
      <w:r>
        <w:rPr>
          <w:b/>
        </w:rPr>
        <w:t xml:space="preserve">DOI: </w:t>
      </w:r>
      <w:hyperlink r:id="rId1039">
        <w:r>
          <w:rPr>
            <w:color w:val="1155CC"/>
            <w:u w:val="single"/>
          </w:rPr>
          <w:t>10.1002/adma.73398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层状铋基材料凭借其多功能的结构化学和可定制的物理化学性质，在各种先进功能应用中表现出非凡的潜力。本综述首先总结了它们的基本结构分类，包括层状氧化铋、层状铋硫属化物和其他层状铋化合物，以及它们固有的物理化学性质。然后讨论了精确属性调制的策略，例如原子尺度结构工程、带隙定制、偏振控制和异质界面工程。本文重点关注其多样化且快速扩展的实用性，重点介绍了其在环境修复、能量转换和存储、生物医学系统和下一代电子设备方面的应用，包括后摩尔核心电子学、拓扑和量子器件、芯片支持技术，以及高性能传感、微能源、神经形态计算和异构集成系统的构建。还分析了实际实施的主要挑战和未来方向。总之，这篇综述为跨学科领域的这些材料的合理、面向应用的设计提供了全面的指导。</w:t>
      </w:r>
    </w:p>
    <w:p>
      <w:pPr>
        <w:spacing w:before="0" w:after="200" w:lineRule="auto" w:line="276"/>
      </w:pPr>
      <w:r>
        <w:rPr>
          <w:b/>
        </w:rPr>
        <w:t xml:space="preserve">Abstract (EN): </w:t>
      </w:r>
      <w:r>
        <w:t>Layered bismuth‐based materials exhibit exceptional potential for a wide range of advanced functional applications, enabled by their versatile structural chemistry and tailorable physicochemical properties. This review begins by summarizing their fundamental structural classifications, including layered bismuth oxides, layered bismuth chalcogenides, and other layered bismuth compounds, along with their intrinsic physicochemical properties. It then discusses strategies for precise property modulation, such as atomic‐scale structural engineering, bandgap tailoring, polarization control, and heterointerface engineering. Focusing on their diverse and rapidly expanding utility, the article highlights applications in environmental remediation, energy conversion and storage, biomedical systems, and next‐generation electron devices, including post‐Moore core electronics, topological and quantum devices, chip‐enabling technologies, as well as the construction of high‐performance sensing, micro‐energy, neuromorphic computing, and heterogeneously integrated systems. Key challenges and future directions toward practical implementation are also analyzed. In summary, this review provides a comprehensive guide for the rational, application‐oriented design of these materials across interdisciplinary fields.</w:t>
      </w:r>
    </w:p>
    <w:p>
      <w:pPr>
        <w:spacing w:before="120" w:after="120"/>
      </w:pPr>
      <w:r>
        <w:rPr>
          <w:sz w:val="18"/>
        </w:rPr>
        <w:t>——————————————————————————————————————————————————————————————————————</w:t>
      </w:r>
    </w:p>
    <w:p>
      <w:pPr>
        <w:spacing w:before="160" w:after="40" w:line="240" w:lineRule="auto"/>
      </w:pPr>
      <w:r>
        <w:rPr>
          <w:b/>
        </w:rPr>
        <w:t xml:space="preserve">[413] </w:t>
      </w:r>
      <w:hyperlink r:id="rId1040">
        <w:r>
          <w:rPr>
            <w:color w:val="1155CC"/>
            <w:u w:val="single"/>
          </w:rPr>
          <w:t>可扩展的大气水收集纸可实现快速、连续的水收集（Adv. Energy Mater. 20/2026）</w:t>
        </w:r>
      </w:hyperlink>
    </w:p>
    <w:p>
      <w:pPr>
        <w:spacing w:before="0" w:after="80"/>
      </w:pPr>
      <w:r>
        <w:rPr>
          <w:i/>
          <w:sz w:val="20"/>
        </w:rPr>
        <w:t>EN: Scalable Atmospheric Water Harvesting Paper Enable Rapid and Continuous Water Collection (Adv. Energy Mater. 20/2026)</w:t>
      </w:r>
    </w:p>
    <w:p>
      <w:pPr>
        <w:spacing w:before="0" w:after="120"/>
      </w:pPr>
      <w:r>
        <w:rPr>
          <w:b/>
        </w:rPr>
        <w:t xml:space="preserve">Source: </w:t>
      </w:r>
      <w:r>
        <w:t>Wiley: Advanced Energy Materials: Table of Contents</w:t>
      </w:r>
      <w:r>
        <w:t xml:space="preserve">    </w:t>
      </w:r>
      <w:r>
        <w:rPr>
          <w:b/>
        </w:rPr>
        <w:t xml:space="preserve">Pub date: </w:t>
      </w:r>
      <w:r>
        <w:t>2026-05-27 10:21:59+00:00</w:t>
      </w:r>
      <w:r>
        <w:t xml:space="preserve">    </w:t>
      </w:r>
      <w:r>
        <w:rPr>
          <w:b/>
        </w:rPr>
        <w:t xml:space="preserve">DOI: </w:t>
      </w:r>
      <w:hyperlink r:id="rId1041">
        <w:r>
          <w:rPr>
            <w:color w:val="1155CC"/>
            <w:u w:val="single"/>
          </w:rPr>
          <w:t>10.1002/aenm.70960</w:t>
        </w:r>
      </w:hyperlink>
    </w:p>
    <w:p>
      <w:pPr>
        <w:spacing w:before="0" w:after="120"/>
      </w:pPr>
      <w:r>
        <w:rPr>
          <w:b/>
        </w:rPr>
        <w:t xml:space="preserve">Notes: </w:t>
      </w:r>
      <w:r>
        <w:t>abstract_source=openalex</w:t>
      </w:r>
    </w:p>
    <w:p>
      <w:pPr>
        <w:spacing w:before="0" w:after="80" w:lineRule="auto" w:line="276"/>
      </w:pPr>
      <w:r>
        <w:rPr>
          <w:b/>
        </w:rPr>
        <w:t xml:space="preserve">摘要（ZH）: </w:t>
      </w:r>
      <w:r>
        <w:t>大气水收集 在文章编号 e70889 中，Lin Dai、Wenshuai Chen、Chenyu Li、Chuanling Si 及其同事报道了一种由工业造纸工艺生产的吸湿光热纸，可以快速吸附和释放水分。开发的履带式收割机，转速可灵活优化，可连续进行大气水收割，水生产率高。该策略为可扩展的大气水生成系统提供了新的见解。</w:t>
      </w:r>
    </w:p>
    <w:p>
      <w:pPr>
        <w:spacing w:before="0" w:after="200" w:lineRule="auto" w:line="276"/>
      </w:pPr>
      <w:r>
        <w:rPr>
          <w:b/>
        </w:rPr>
        <w:t xml:space="preserve">Abstract (EN): </w:t>
      </w:r>
      <w:r>
        <w:t>Atmospheric Water Harvesting In article number e70889, Lin Dai, Wenshuai Chen, Chenyu Li, Chuanling Si, and co-workers report a hygroscopic and photothermal paper that can rapidly adsorb and release moisture, produced by industrial paper-making processes. The developed crawler-type harvester with flexibly optimized rotating speed enables continuous atmospheric water harvesting and high productivity of water. This strategy provides new insights for scalable atmospheric water-generation systems.</w:t>
      </w:r>
    </w:p>
    <w:p>
      <w:pPr>
        <w:spacing w:before="120" w:after="120"/>
      </w:pPr>
      <w:r>
        <w:rPr>
          <w:sz w:val="18"/>
        </w:rPr>
        <w:t>——————————————————————————————————————————————————————————————————————</w:t>
      </w:r>
    </w:p>
    <w:p>
      <w:pPr>
        <w:spacing w:before="160" w:after="40" w:line="240" w:lineRule="auto"/>
      </w:pPr>
      <w:r>
        <w:rPr>
          <w:b/>
        </w:rPr>
        <w:t xml:space="preserve">[414] </w:t>
      </w:r>
      <w:hyperlink r:id="rId1042">
        <w:r>
          <w:rPr>
            <w:color w:val="1155CC"/>
            <w:u w:val="single"/>
          </w:rPr>
          <w:t>炔烃的三组分硫代和碳硼化：功能化双环硼酸酯的模块化路线</w:t>
        </w:r>
      </w:hyperlink>
    </w:p>
    <w:p>
      <w:pPr>
        <w:spacing w:before="0" w:after="80"/>
      </w:pPr>
      <w:r>
        <w:rPr>
          <w:i/>
          <w:sz w:val="20"/>
        </w:rPr>
        <w:t>EN: Three Component Thio‐ and Carboboration of Alkynes: A Modular Route to Functionalised Bicyclic Boronates</w:t>
      </w:r>
    </w:p>
    <w:p>
      <w:pPr>
        <w:spacing w:before="0" w:after="120"/>
      </w:pPr>
      <w:r>
        <w:rPr>
          <w:b/>
        </w:rPr>
        <w:t xml:space="preserve">Source: </w:t>
      </w:r>
      <w:r>
        <w:t>Wiley: Angewandte Chemie International Edition: Table of Contents</w:t>
      </w:r>
      <w:r>
        <w:t xml:space="preserve">    </w:t>
      </w:r>
      <w:r>
        <w:rPr>
          <w:b/>
        </w:rPr>
        <w:t xml:space="preserve">Pub date: </w:t>
      </w:r>
      <w:r>
        <w:t>2026-05-27 10:32:50+00:00</w:t>
      </w:r>
      <w:r>
        <w:t xml:space="preserve">    </w:t>
      </w:r>
      <w:r>
        <w:rPr>
          <w:b/>
        </w:rPr>
        <w:t xml:space="preserve">DOI: </w:t>
      </w:r>
      <w:hyperlink r:id="rId1043">
        <w:r>
          <w:rPr>
            <w:color w:val="1155CC"/>
            <w:u w:val="single"/>
          </w:rPr>
          <w:t>10.1002/anie.9548215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硼烷和亲核试剂对炔烃进行三组分元素硼化是一种生成复杂烯基硼烷的高效方法。苯并硼啉是一类非常重要的烯基硼烷，包括在对抗抗生素耐药性方面。然而，在这项工作之前，形成官能化苯并硼啉的三组分元素硼化过程是一个未解决的挑战。在此，我们报告了操作简单的三组分硫代和碳硼化反应，使用市售试剂形成官能化苯并氧硼啉。该方法还适用于形成官能化苯并氮杂硼啉，其作为萘生物等排体而令人感兴趣。亲核试剂范围包括硫醚、硫醇和（杂）芳烃。相反，当使用胺亲核试剂时，发生炔氢胺化形成硼烷。机理研究揭示了使用硫醚和使用硫醇进行硫硼化反应之间的差异。虽然硫醚本身就是有效的亲核试剂，但当使用硫醇时，会原位形成三硫硼烷 ((RS)</w:t>
      </w:r>
      <w:r>
        <w:rPr>
          <w:vertAlign w:val="subscript"/>
        </w:rPr>
        <w:t>3</w:t>
      </w:r>
      <w:r>
        <w:t>B) 在硫代硼化之前进行，用硫代硼酸根阴离子 ([(RS)</w:t>
      </w:r>
      <w:r>
        <w:rPr>
          <w:vertAlign w:val="subscript"/>
        </w:rPr>
        <w:t>4</w:t>
      </w:r>
      <w:r>
        <w:t>B）]</w:t>
      </w:r>
      <w:r>
        <w:t xml:space="preserve"> </w:t>
      </w:r>
      <w:r>
        <w:t>-</w:t>
      </w:r>
      <w:r>
        <w:t>）计算为关键亲核试剂。注意，结合 Et</w:t>
      </w:r>
      <w:r>
        <w:rPr>
          <w:vertAlign w:val="subscript"/>
        </w:rPr>
        <w:t>2</w:t>
      </w:r>
      <w:r>
        <w:t>氧·BF</w:t>
      </w:r>
      <w:r>
        <w:rPr>
          <w:vertAlign w:val="subscript"/>
        </w:rPr>
        <w:t>3</w:t>
      </w:r>
      <w:r>
        <w:t>/RSH 和位阻碱作为原位形成三硫代硼烷的简单途径很有吸引力。总的来说，这部作品我</w:t>
      </w:r>
    </w:p>
    <w:p>
      <w:pPr>
        <w:spacing w:before="0" w:after="200" w:lineRule="auto" w:line="276"/>
      </w:pPr>
      <w:r>
        <w:rPr>
          <w:b/>
        </w:rPr>
        <w:t xml:space="preserve">Abstract (EN): </w:t>
      </w:r>
      <w:r>
        <w:t>The three‐component elemento‐boration of alkynes using a borane and a nucleophile is a highly efficient method to generate complex alkenyl‐boranes. Benzoxaborinines are a class of alkenyl boranes of considerable importance, including in the fight against antibiotic resistance. However, a three‐component elemento‐boration process to form functionalised benzoxaborinines was an unmet challenge before this work. Herein, we report operationally simple three‐component thio‐ and carbo‐boration reactions to form functionalised benzoxaborinines using commercially available reagents. The processes also were applicable to form functionalised benzazaborinines, which are of interest as naphthalene bioisosteres. The nucleophile scope included thioethers, thiols, and (hetero)arenes. In contrast, when using amine nucleophiles, alkyne hydroamination occurred to form boranils. Mechanistic studies revealed a disparity between thioboration using thioethers and using thiols. While thioethers are effective nucleophiles in their own right, when using thiols the in situ formation of tri‐thioboranes ((RS)</w:t>
      </w:r>
      <w:r>
        <w:rPr>
          <w:vertAlign w:val="subscript"/>
        </w:rPr>
        <w:t>3</w:t>
      </w:r>
      <w:r>
        <w:t>B) proceeded prior to thioboration, with thioborate anions ([(RS)</w:t>
      </w:r>
      <w:r>
        <w:rPr>
          <w:vertAlign w:val="subscript"/>
        </w:rPr>
        <w:t>4</w:t>
      </w:r>
      <w:r>
        <w:t>B)]</w:t>
      </w:r>
      <w:r>
        <w:t xml:space="preserve"> </w:t>
      </w:r>
      <w:r>
        <w:t>−</w:t>
      </w:r>
      <w:r>
        <w:t>) calculated to be the key nucleophile. Note, combining Et</w:t>
      </w:r>
      <w:r>
        <w:rPr>
          <w:vertAlign w:val="subscript"/>
        </w:rPr>
        <w:t>2</w:t>
      </w:r>
      <w:r>
        <w:t>O∙BF</w:t>
      </w:r>
      <w:r>
        <w:rPr>
          <w:vertAlign w:val="subscript"/>
        </w:rPr>
        <w:t>3</w:t>
      </w:r>
      <w:r>
        <w:t>/RSH and a hindered base is attractive as a simple route to form tri‐thioboranes in situ. Overall, this work is a notable addition to the toolbox for making functionalised bicyclic boronates, while demonstrating that the ubiquitous borane Et</w:t>
      </w:r>
      <w:r>
        <w:rPr>
          <w:vertAlign w:val="subscript"/>
        </w:rPr>
        <w:t>2</w:t>
      </w:r>
      <w:r>
        <w:t>O·BF</w:t>
      </w:r>
      <w:r>
        <w:rPr>
          <w:vertAlign w:val="subscript"/>
        </w:rPr>
        <w:t>3</w:t>
      </w:r>
      <w:r>
        <w:t>can still be used to discover new borylation processes.</w:t>
      </w:r>
    </w:p>
    <w:p>
      <w:pPr>
        <w:spacing w:before="120" w:after="120"/>
      </w:pPr>
      <w:r>
        <w:rPr>
          <w:sz w:val="18"/>
        </w:rPr>
        <w:t>——————————————————————————————————————————————————————————————————————</w:t>
      </w:r>
    </w:p>
    <w:p>
      <w:pPr>
        <w:spacing w:before="160" w:after="40" w:line="240" w:lineRule="auto"/>
      </w:pPr>
      <w:r>
        <w:rPr>
          <w:b/>
        </w:rPr>
        <w:t xml:space="preserve">[415] </w:t>
      </w:r>
      <w:hyperlink r:id="rId1044">
        <w:r>
          <w:rPr>
            <w:color w:val="1155CC"/>
            <w:u w:val="single"/>
          </w:rPr>
          <w:t>评论“C─H···O氢键上的电荷转移能否稳定水中的油滴？”</w:t>
        </w:r>
      </w:hyperlink>
    </w:p>
    <w:p>
      <w:pPr>
        <w:spacing w:before="0" w:after="80"/>
      </w:pPr>
      <w:r>
        <w:rPr>
          <w:i/>
          <w:sz w:val="20"/>
        </w:rPr>
        <w:t>EN: Comment on “Can Charge Transfer Across C─H···O Hydrogen Bonds Stabilize Oil Droplets in Water?”</w:t>
      </w:r>
    </w:p>
    <w:p>
      <w:pPr>
        <w:spacing w:before="0" w:after="120"/>
      </w:pPr>
      <w:r>
        <w:rPr>
          <w:b/>
        </w:rPr>
        <w:t xml:space="preserve">Source: </w:t>
      </w:r>
      <w:r>
        <w:t>Wiley: Angewandte Chemie International Edition: Table of Contents</w:t>
      </w:r>
      <w:r>
        <w:t xml:space="preserve">    </w:t>
      </w:r>
      <w:r>
        <w:rPr>
          <w:b/>
        </w:rPr>
        <w:t xml:space="preserve">Pub date: </w:t>
      </w:r>
      <w:r>
        <w:t>2026-05-27 10:41:07+00:00</w:t>
      </w:r>
      <w:r>
        <w:t xml:space="preserve">    </w:t>
      </w:r>
      <w:r>
        <w:rPr>
          <w:b/>
        </w:rPr>
        <w:t xml:space="preserve">DOI: </w:t>
      </w:r>
      <w:hyperlink r:id="rId1045">
        <w:r>
          <w:rPr>
            <w:color w:val="1155CC"/>
            <w:u w:val="single"/>
          </w:rPr>
          <w:t>10.1002/anie.8842163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水中动力学稳定的油纳米滴表现出与负表面电荷相关的电泳迁移率。这种电荷的来源被认为是由氢氧根离子的吸附或通过电荷转移（CT）产生的，即电子电荷在不正确的 C─H···O 氢键上的位移。赵等人。 [R。 Q.Zhao、H.Y.Shen、R.A.Lacour、J.P.Heindel、M.Head-Gordon 和 T.Head-Gordon，Angewandte Chemie-国际版 64 (2025)：e202508145，</w:t>
      </w:r>
      <w:r>
        <w:t xml:space="preserve"> </w:t>
      </w:r>
      <w:r>
        <w:t>https://doi.org/10.1002/ani.202508145</w:t>
      </w:r>
      <w:r>
        <w:t xml:space="preserve"> </w:t>
      </w:r>
      <w:r>
        <w:t>.] 基于水中己烷分子的密度泛函理论模拟，质疑 CT 穿过油滴界面的可能性。在这里，我们介绍了对水中油滴表面电荷的两种流行解释，即氢氧化物吸附和通过不正确的氢键进行的 CT 解释，表明虽然氢氧化物假设是最直观的，但没有来自一系列表面特定技术的分子水平实验证据。我们纠正了原始和频散射工作中关于蓝移起源的误解[S. Pullanchery、S. Kulik、B. Rehl、A. Hassanali 和 S. Roke，《科学》374 (2021)：13661370，</w:t>
      </w:r>
      <w:r>
        <w:t xml:space="preserve"> </w:t>
      </w:r>
      <w:r>
        <w:t>https://doi.org/10.1126/science.abj3007</w:t>
      </w:r>
      <w:r>
        <w:t xml:space="preserve"> </w:t>
      </w:r>
      <w:r>
        <w:t>.]，并对水中己烷簇的选择进行评论：己烷在水中不会形成动力学稳定的液滴，因为它在水中的溶解度比十六烷高 9 个数量级。不表现出动力学稳定性——模拟的行为</w:t>
      </w:r>
    </w:p>
    <w:p>
      <w:pPr>
        <w:spacing w:before="0" w:after="200" w:lineRule="auto" w:line="276"/>
      </w:pPr>
      <w:r>
        <w:rPr>
          <w:b/>
        </w:rPr>
        <w:t xml:space="preserve">Abstract (EN): </w:t>
      </w:r>
      <w:r>
        <w:t>Kinetically stable oil nanodroplets in water display an electrophoretic mobility linked to a negative surface charge. The source of this charge is proposed to arise from the adsorption of hydroxide ions or through charge transfer (CT), that is displacement of electronic charge across improper C─H···O hydrogen bonds. Zhao et al. [R. Q. Zhao, H. Y. Shen, R. A. Lacour, J. P. Heindel, M. Head‐ Gordon, and T. Head‐Gordon, Angewandte Chemie‐ International Edition 64 (2025): e202508145,</w:t>
      </w:r>
      <w:r>
        <w:t xml:space="preserve"> </w:t>
      </w:r>
      <w:r>
        <w:t>https://doi.org/10.1002/anie.202508145</w:t>
      </w:r>
      <w:r>
        <w:t xml:space="preserve"> </w:t>
      </w:r>
      <w:r>
        <w:t>.] questioned the possibility of CT across an oil droplet interface based on density functional theory simulations of hexane molecules in water. Here, we introduce the two prevalent explanations for the surface charge on oil droplets in water, hydroxide adsorption and CT through improper H‐bonds, showing that, while the hydroxide hypothesis is most intuitive, there is no molecular level experimental evidence from a range of surface specific techniques. We correct a misconception about the origin of the blue shift in the original sum frequency scattering work [S. Pullanchery, S. Kulik, B. Rehl, A. Hassanali, and S. Roke, Science 374 (2021): 13661370,</w:t>
      </w:r>
      <w:r>
        <w:t xml:space="preserve"> </w:t>
      </w:r>
      <w:r>
        <w:t>https://doi.org/10.1126/science.abj3007</w:t>
      </w:r>
      <w:r>
        <w:t xml:space="preserve"> </w:t>
      </w:r>
      <w:r>
        <w:t>.], and comment on the choice of hexane clusters in water: Hexane does not form kinetically stable droplets in water, as it is 9 orders of magnitude more soluble in water than hexadecane. Without exhibiting kinetic stability—the behavior the simulations seek to explain—there is limited predictive ability on CT through improper H‐bonds as a mechanism to stabilize droplets.</w:t>
      </w:r>
    </w:p>
    <w:p>
      <w:pPr>
        <w:spacing w:before="120" w:after="120"/>
      </w:pPr>
      <w:r>
        <w:rPr>
          <w:sz w:val="18"/>
        </w:rPr>
        <w:t>——————————————————————————————————————————————————————————————————————</w:t>
      </w:r>
    </w:p>
    <w:p>
      <w:pPr>
        <w:spacing w:before="160" w:after="40" w:line="240" w:lineRule="auto"/>
      </w:pPr>
      <w:r>
        <w:rPr>
          <w:b/>
        </w:rPr>
        <w:t xml:space="preserve">[416] </w:t>
      </w:r>
      <w:hyperlink r:id="rId1046">
        <w:r>
          <w:rPr>
            <w:color w:val="1155CC"/>
            <w:u w:val="single"/>
          </w:rPr>
          <w:t>手性金属卤化物中的有机阳离子构象调制维数可增强线性和非线性手性光学性质</w:t>
        </w:r>
      </w:hyperlink>
    </w:p>
    <w:p>
      <w:pPr>
        <w:spacing w:before="0" w:after="80"/>
      </w:pPr>
      <w:r>
        <w:rPr>
          <w:i/>
          <w:sz w:val="20"/>
        </w:rPr>
        <w:t>EN: Organic Cation Conformation‐Modulated Dimensionality in Chiral Metal Halides for Enhancing Linear and Nonlinear Chiroptical Properties</w:t>
      </w:r>
    </w:p>
    <w:p>
      <w:pPr>
        <w:spacing w:before="0" w:after="120"/>
      </w:pPr>
      <w:r>
        <w:rPr>
          <w:b/>
        </w:rPr>
        <w:t xml:space="preserve">Source: </w:t>
      </w:r>
      <w:r>
        <w:t>Wiley: Angewandte Chemie International Edition: Table of Contents</w:t>
      </w:r>
      <w:r>
        <w:t xml:space="preserve">    </w:t>
      </w:r>
      <w:r>
        <w:rPr>
          <w:b/>
        </w:rPr>
        <w:t xml:space="preserve">Pub date: </w:t>
      </w:r>
      <w:r>
        <w:t>2026-05-27 11:33:08+00:00</w:t>
      </w:r>
      <w:r>
        <w:t xml:space="preserve">    </w:t>
      </w:r>
      <w:r>
        <w:rPr>
          <w:b/>
        </w:rPr>
        <w:t xml:space="preserve">DOI: </w:t>
      </w:r>
      <w:hyperlink r:id="rId1047">
        <w:r>
          <w:rPr>
            <w:color w:val="1155CC"/>
            <w:u w:val="single"/>
          </w:rPr>
          <w:t>10.1002/anie.5175154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维度工程已被证明是调节有机-无机杂化金属卤化物 (OIHMH) 化学和电子结构的关键方法，适用于先进光电应用。然而，流行的方法主要依赖于改变化学成分，这限制了微调的精度和可预测性。在此，我们提出了一种新的构象调制策略来指导手性 OIHMH 的自组装而不改变其化学成分。通过控制环状手性阳离子的构象，</w:t>
      </w:r>
      <w:r>
        <w:t xml:space="preserve"> </w:t>
      </w:r>
      <w:r>
        <w:t>右</w:t>
      </w:r>
      <w:r>
        <w:t xml:space="preserve"> </w:t>
      </w:r>
      <w:r>
        <w:t>/</w:t>
      </w:r>
      <w:r>
        <w:t>S</w:t>
      </w:r>
      <w:r>
        <w:t xml:space="preserve"> </w:t>
      </w:r>
      <w:r>
        <w:t>‐2-甲基吡咯烷鎓，我们实现了对无机单元的连通性和维度的精确控制。通过将轴向构象引入赤道构象结构来设计混合构象系统，成功地实现了有效的手性放大并增强了线性和非线性手性光学响应。所得的 OIHMH 表现出超过 86% 的光致发光量子产率、线性和非线性光学圆二色性的高各向异性因子、圆偏振发光以及增强的二次谐波产生强度两个数量级。这种线性和非线性手性光学特性的同时增强是由分子构象介导的有机阳离子的空间位阻和电子结构的调节引起的。这项工作强调了构象调制对结构设计的贡献</w:t>
      </w:r>
    </w:p>
    <w:p>
      <w:pPr>
        <w:spacing w:before="0" w:after="200" w:lineRule="auto" w:line="276"/>
      </w:pPr>
      <w:r>
        <w:rPr>
          <w:b/>
        </w:rPr>
        <w:t xml:space="preserve">Abstract (EN): </w:t>
      </w:r>
      <w:r>
        <w:t>Dimensionality engineering has been proven as a pivotal approach to the modulation of chemical and electronic structures of organic–inorganic hybrid metal halides (OIHMHs) for advanced optoelectronic applications. However, prevailing methods primarily rely on altering chemical composition, which limits the precision and predictability of fine‐tuning. Herein, we propose a new conformational modulation strategy to direct the self‐assembly of chiral OIHMHs without changing their chemical compositions. By steering the conformation of the cyclic chiral cation,</w:t>
      </w:r>
      <w:r>
        <w:t xml:space="preserve"> </w:t>
      </w:r>
      <w:r>
        <w:t>R</w:t>
      </w:r>
      <w:r>
        <w:t xml:space="preserve"> </w:t>
      </w:r>
      <w:r>
        <w:t>/</w:t>
      </w:r>
      <w:r>
        <w:t>S</w:t>
      </w:r>
      <w:r>
        <w:t xml:space="preserve"> </w:t>
      </w:r>
      <w:r>
        <w:t>‐2‐methylpyrrolidinium, we achieve precise control over the connectivity and dimensionality of inorganic units. Designing mixed conformational systems by introducing axial‐conformation into equatorial‐conformation structures successfully enables efficient chiral amplification and enhances linear and nonlinear chiroptical responses. The resulting OIHMHs exhibit a photoluminescence quantum yield exceeding 86%, high anisotropy factors in linear and nonlinear optical circular dichroism, circularly polarized luminescence, and an enhanced second‐harmonic generation intensity by two orders of magnitude. Such a simultaneous enhancement in both linear and nonlinear chiroptical properties arises from the modulation of steric hindrance and electronic structure in organic cations mediated by molecular conformation. This work highlights the contribution of conformational modulation to structural design and performance optimization, broadening the prospects for precise modulation of high‐performance optoelectronic functions in chiral OIHMHs.</w:t>
      </w:r>
    </w:p>
    <w:p>
      <w:pPr>
        <w:spacing w:before="120" w:after="120"/>
      </w:pPr>
      <w:r>
        <w:rPr>
          <w:sz w:val="18"/>
        </w:rPr>
        <w:t>——————————————————————————————————————————————————————————————————————</w:t>
      </w:r>
    </w:p>
    <w:p>
      <w:pPr>
        <w:spacing w:before="160" w:after="40" w:line="240" w:lineRule="auto"/>
      </w:pPr>
      <w:r>
        <w:rPr>
          <w:b/>
        </w:rPr>
        <w:t xml:space="preserve">[417] </w:t>
      </w:r>
      <w:hyperlink r:id="rId1048">
        <w:r>
          <w:rPr>
            <w:color w:val="1155CC"/>
            <w:u w:val="single"/>
          </w:rPr>
          <w:t>Cu-三唑盐 MOF 的连接基自氮化和多步热解途径制备 Cu3N/碳纤维</w:t>
        </w:r>
      </w:hyperlink>
    </w:p>
    <w:p>
      <w:pPr>
        <w:spacing w:before="0" w:after="80"/>
      </w:pPr>
      <w:r>
        <w:rPr>
          <w:i/>
          <w:sz w:val="20"/>
        </w:rPr>
        <w:t>EN: Linker‐Enabled Self‐Nitridation and Multistep Pyrolysis Pathways of Cu–Triazolate MOFs Toward Cu3N/Carbon Fibers</w:t>
      </w:r>
    </w:p>
    <w:p>
      <w:pPr>
        <w:spacing w:before="0" w:after="120"/>
      </w:pPr>
      <w:r>
        <w:rPr>
          <w:b/>
        </w:rPr>
        <w:t xml:space="preserve">Source: </w:t>
      </w:r>
      <w:r>
        <w:t>Wiley: Angewandte Chemie International Edition: Table of Contents</w:t>
      </w:r>
      <w:r>
        <w:t xml:space="preserve">    </w:t>
      </w:r>
      <w:r>
        <w:rPr>
          <w:b/>
        </w:rPr>
        <w:t xml:space="preserve">Pub date: </w:t>
      </w:r>
      <w:r>
        <w:t>2026-05-27 14:09:43+00:00</w:t>
      </w:r>
      <w:r>
        <w:t xml:space="preserve">    </w:t>
      </w:r>
      <w:r>
        <w:rPr>
          <w:b/>
        </w:rPr>
        <w:t xml:space="preserve">DOI: </w:t>
      </w:r>
      <w:hyperlink r:id="rId1049">
        <w:r>
          <w:rPr>
            <w:color w:val="1155CC"/>
            <w:u w:val="single"/>
          </w:rPr>
          <w:t>10.1002/anie.7222262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金属有机骨架（MOF）热解广泛用于生产功能性纳米材料，但它仍然通常被视为简单的热分解或模板化过程。在这里，我们展示了 Cu(II)–1,2,3-三唑盐 (trz) MOF 作为纳米反应器，其中固有的金属连接化学控制了相和形态的演变。引人注目的是，三唑环在整个热解前相变过程中保持不变，导致铜原子簇的形成。这些高反应性的铜簇和保留的三唑盐对于随后形成金属氮化物至关重要，因为它们能够在异常低的温度下进行有效的氮化。不引入任何外部氮源，Cu簇与NH反应</w:t>
      </w:r>
      <w:r>
        <w:rPr>
          <w:vertAlign w:val="subscript"/>
        </w:rPr>
        <w:t>3</w:t>
      </w:r>
      <w:r>
        <w:t>从连接体分解中释放出来，导致 Cu 的形成</w:t>
      </w:r>
      <w:r>
        <w:rPr>
          <w:vertAlign w:val="subscript"/>
        </w:rPr>
        <w:t>3</w:t>
      </w:r>
      <w:r>
        <w:t>N而不是结晶成金属Cu颗粒。通过结合原位和异位表征，我们表明铜、氮物质和碳化基质是顺序演化的，而不是独立演化的。结果，铜</w:t>
      </w:r>
      <w:r>
        <w:rPr>
          <w:vertAlign w:val="subscript"/>
        </w:rPr>
        <w:t>3</w:t>
      </w:r>
      <w:r>
        <w:t>在纤维状氮掺杂碳网络中，氮比金属铜选择性稳定。除了提供铜的自氮化途径之外</w:t>
      </w:r>
      <w:r>
        <w:rPr>
          <w:vertAlign w:val="subscript"/>
        </w:rPr>
        <w:t>3</w:t>
      </w:r>
      <w:r>
        <w:t>N，这项工作强调了瞬态中间体在指导 MOF 热解结果中的关键作用，并将 MOF 热解重新定义为化学相互作用过程</w:t>
      </w:r>
    </w:p>
    <w:p>
      <w:pPr>
        <w:spacing w:before="0" w:after="200" w:lineRule="auto" w:line="276"/>
      </w:pPr>
      <w:r>
        <w:rPr>
          <w:b/>
        </w:rPr>
        <w:t xml:space="preserve">Abstract (EN): </w:t>
      </w:r>
      <w:r>
        <w:t>Metal–organic framework (MOF) pyrolysis is widely used to produce functional nanomaterials, yet it is still commonly regarded as a simple thermal decomposition or templating process. Here, we show that a Cu(II)–1,2,3‐triazolate (trz) MOF functions as a nanoreactor in which intrinsic metal–linker chemistry governs the evolution of both phase and morphology. Strikingly, the triazole ring remains preserved throughout the pre‐pyrolysis phase transitions that lead to the formation of Cu atomic clusters. These highly reactive Cu clusters and the preserved triazolate are essential for the subsequent formation of metal nitride, as they enable efficient nitridation at an unusually low temperature. Without introducing any external nitrogen source, the Cu clusters react with NH</w:t>
      </w:r>
      <w:r>
        <w:rPr>
          <w:vertAlign w:val="subscript"/>
        </w:rPr>
        <w:t>3</w:t>
      </w:r>
      <w:r>
        <w:t>released from linker decomposition, leading to the formation of Cu</w:t>
      </w:r>
      <w:r>
        <w:rPr>
          <w:vertAlign w:val="subscript"/>
        </w:rPr>
        <w:t>3</w:t>
      </w:r>
      <w:r>
        <w:t>N rather than crystallization into metallic Cu particles. By combining in situ and ex situ characterization, we show that copper, nitrogen species, and the carbonizing matrix evolve sequentially rather than independently. As a result, Cu</w:t>
      </w:r>
      <w:r>
        <w:rPr>
          <w:vertAlign w:val="subscript"/>
        </w:rPr>
        <w:t>3</w:t>
      </w:r>
      <w:r>
        <w:t>N is selectively stabilized over metallic Cu within a fibrous N‐doped carbon network. Beyond offering a self‐nitridation route to Cu</w:t>
      </w:r>
      <w:r>
        <w:rPr>
          <w:vertAlign w:val="subscript"/>
        </w:rPr>
        <w:t>3</w:t>
      </w:r>
      <w:r>
        <w:t>N, this work highlights the critical role of transient intermediates in directing MOF pyrolysis outcomes and redefines MOF pyrolysis as a chemically interactive process.</w:t>
      </w:r>
    </w:p>
    <w:p>
      <w:pPr>
        <w:spacing w:before="120" w:after="120"/>
      </w:pPr>
      <w:r>
        <w:rPr>
          <w:sz w:val="18"/>
        </w:rPr>
        <w:t>——————————————————————————————————————————————————————————————————————</w:t>
      </w:r>
    </w:p>
    <w:p>
      <w:pPr>
        <w:spacing w:before="160" w:after="40" w:line="240" w:lineRule="auto"/>
      </w:pPr>
      <w:r>
        <w:rPr>
          <w:b/>
        </w:rPr>
        <w:t xml:space="preserve">[418] </w:t>
      </w:r>
      <w:hyperlink r:id="rId1050">
        <w:r>
          <w:rPr>
            <w:color w:val="1155CC"/>
            <w:u w:val="single"/>
          </w:rPr>
          <w:t>彩绘费舍尔</w:t>
        </w:r>
      </w:hyperlink>
    </w:p>
    <w:p>
      <w:pPr>
        <w:spacing w:before="0" w:after="80"/>
      </w:pPr>
      <w:r>
        <w:rPr>
          <w:i/>
          <w:sz w:val="20"/>
        </w:rPr>
        <w:t>EN: Malte Fischer</w:t>
      </w:r>
    </w:p>
    <w:p>
      <w:pPr>
        <w:spacing w:before="0" w:after="120"/>
      </w:pPr>
      <w:r>
        <w:rPr>
          <w:b/>
        </w:rPr>
        <w:t xml:space="preserve">Source: </w:t>
      </w:r>
      <w:r>
        <w:t>Wiley: Angewandte Chemie International Edition: Table of Contents</w:t>
      </w:r>
      <w:r>
        <w:t xml:space="preserve">    </w:t>
      </w:r>
      <w:r>
        <w:rPr>
          <w:b/>
        </w:rPr>
        <w:t xml:space="preserve">Pub date: </w:t>
      </w:r>
      <w:r>
        <w:t>2026-05-27 14:12:36+00:00</w:t>
      </w:r>
      <w:r>
        <w:t xml:space="preserve">    </w:t>
      </w:r>
      <w:r>
        <w:rPr>
          <w:b/>
        </w:rPr>
        <w:t xml:space="preserve">DOI: </w:t>
      </w:r>
      <w:hyperlink r:id="rId1051">
        <w:r>
          <w:rPr>
            <w:color w:val="1155CC"/>
            <w:u w:val="single"/>
          </w:rPr>
          <w:t>10.1002/anie.6609053</w:t>
        </w:r>
      </w:hyperlink>
    </w:p>
    <w:p>
      <w:pPr>
        <w:spacing w:before="0" w:after="120"/>
      </w:pPr>
      <w:r>
        <w:rPr>
          <w:b/>
        </w:rPr>
        <w:t xml:space="preserve">Notes: </w:t>
      </w:r>
      <w:r>
        <w:t>abstract_source=openalex</w:t>
      </w:r>
    </w:p>
    <w:p>
      <w:pPr>
        <w:spacing w:before="0" w:after="80" w:lineRule="auto" w:line="276"/>
      </w:pPr>
      <w:r>
        <w:rPr>
          <w:b/>
        </w:rPr>
        <w:t xml:space="preserve">摘要（ZH）: </w:t>
      </w:r>
      <w:r>
        <w:t>“化学/科学很有趣，因为我认为没有什么比每天发现新的和以前未见过的现象更令人满意的了……目前，我工作中最具挑战性的部分是跟上我的团队取得的令人印象深刻的成果……”在他的介绍……简介中了解有关 Malte Fischer 的更多信息。</w:t>
      </w:r>
    </w:p>
    <w:p>
      <w:pPr>
        <w:spacing w:before="0" w:after="200" w:lineRule="auto" w:line="276"/>
      </w:pPr>
      <w:r>
        <w:rPr>
          <w:b/>
        </w:rPr>
        <w:t xml:space="preserve">Abstract (EN): </w:t>
      </w:r>
      <w:r>
        <w:t>"Chemistry/science is fun because I can think of nothing more satisfying than discovering new and previously unseen phenomena on a daily basis… The most challenging part of my job is, at the moment, keeping pace with the impressive results produced by my team…" Find out more about Malte Fischer in his Introducing… Profile.</w:t>
      </w:r>
    </w:p>
    <w:p>
      <w:pPr>
        <w:spacing w:before="120" w:after="120"/>
      </w:pPr>
      <w:r>
        <w:rPr>
          <w:sz w:val="18"/>
        </w:rPr>
        <w:t>——————————————————————————————————————————————————————————————————————</w:t>
      </w:r>
    </w:p>
    <w:p>
      <w:pPr>
        <w:spacing w:before="160" w:after="40" w:line="240" w:lineRule="auto"/>
      </w:pPr>
      <w:r>
        <w:rPr>
          <w:b/>
        </w:rPr>
        <w:t xml:space="preserve">[419] </w:t>
      </w:r>
      <w:hyperlink r:id="rId1052">
        <w:r>
          <w:rPr>
            <w:color w:val="1155CC"/>
            <w:u w:val="single"/>
          </w:rPr>
          <w:t>对“用于选择性甘油电氧化的单中心铜钯催化剂的分子自下而上设计”的修正</w:t>
        </w:r>
      </w:hyperlink>
    </w:p>
    <w:p>
      <w:pPr>
        <w:spacing w:before="0" w:after="80"/>
      </w:pPr>
      <w:r>
        <w:rPr>
          <w:i/>
          <w:sz w:val="20"/>
        </w:rPr>
        <w:t>EN: Correction to “Molecular Bottom‐Up Design of Single‐Site Copper‐Palladium Catalysts for Selective Glycerol Electro‐Oxidation”</w:t>
      </w:r>
    </w:p>
    <w:p>
      <w:pPr>
        <w:spacing w:before="0" w:after="120"/>
      </w:pPr>
      <w:r>
        <w:rPr>
          <w:b/>
        </w:rPr>
        <w:t xml:space="preserve">Source: </w:t>
      </w:r>
      <w:r>
        <w:t>Wiley: Advanced Energy Materials: Table of Contents</w:t>
      </w:r>
      <w:r>
        <w:t xml:space="preserve">    </w:t>
      </w:r>
      <w:r>
        <w:rPr>
          <w:b/>
        </w:rPr>
        <w:t xml:space="preserve">Pub date: </w:t>
      </w:r>
      <w:r>
        <w:t>2026-05-27 18:59:45+00:00</w:t>
      </w:r>
      <w:r>
        <w:t xml:space="preserve">    </w:t>
      </w:r>
      <w:r>
        <w:rPr>
          <w:b/>
        </w:rPr>
        <w:t xml:space="preserve">DOI: </w:t>
      </w:r>
      <w:hyperlink r:id="rId1053">
        <w:r>
          <w:rPr>
            <w:color w:val="1155CC"/>
            <w:u w:val="single"/>
          </w:rPr>
          <w:t>10.1002/aenm.71055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[420] </w:t>
      </w:r>
      <w:hyperlink r:id="rId1054">
        <w:r>
          <w:rPr>
            <w:color w:val="1155CC"/>
            <w:u w:val="single"/>
          </w:rPr>
          <w:t>表达关注：精心设计的等离子体 Au 和 SnO2 纳米复合材料具有出色的可见光驱动的无助催化剂 g-C3N4 光催化活性</w:t>
        </w:r>
      </w:hyperlink>
    </w:p>
    <w:p>
      <w:pPr>
        <w:spacing w:before="0" w:after="80"/>
      </w:pPr>
      <w:r>
        <w:rPr>
          <w:i/>
          <w:sz w:val="20"/>
        </w:rPr>
        <w:t>EN: Expression of Concern: Exceptional Visible‐Light‐Driven Cocatalyst‐Free Photocatalytic Activity of g‐C3N4 by Well Designed Nanocomposites with Plasmonic Au and SnO2</w:t>
      </w:r>
    </w:p>
    <w:p>
      <w:pPr>
        <w:spacing w:before="0" w:after="120"/>
      </w:pPr>
      <w:r>
        <w:rPr>
          <w:b/>
        </w:rPr>
        <w:t xml:space="preserve">Source: </w:t>
      </w:r>
      <w:r>
        <w:t>Wiley: Advanced Energy Materials: Table of Contents</w:t>
      </w:r>
      <w:r>
        <w:t xml:space="preserve">    </w:t>
      </w:r>
      <w:r>
        <w:rPr>
          <w:b/>
        </w:rPr>
        <w:t xml:space="preserve">Pub date: </w:t>
      </w:r>
      <w:r>
        <w:t>2026-05-27 19:00:59+00:00</w:t>
      </w:r>
      <w:r>
        <w:t xml:space="preserve">    </w:t>
      </w:r>
      <w:r>
        <w:rPr>
          <w:b/>
        </w:rPr>
        <w:t xml:space="preserve">DOI: </w:t>
      </w:r>
      <w:hyperlink r:id="rId1055">
        <w:r>
          <w:rPr>
            <w:color w:val="1155CC"/>
            <w:u w:val="single"/>
          </w:rPr>
          <w:t>10.1002/aenm.71082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[421] </w:t>
      </w:r>
      <w:hyperlink r:id="rId1056">
        <w:r>
          <w:rPr>
            <w:color w:val="1155CC"/>
            <w:u w:val="single"/>
          </w:rPr>
          <w:t>光接枝：一种表面改性方法</w:t>
        </w:r>
      </w:hyperlink>
    </w:p>
    <w:p>
      <w:pPr>
        <w:spacing w:before="0" w:after="80"/>
      </w:pPr>
      <w:r>
        <w:rPr>
          <w:i/>
          <w:sz w:val="20"/>
        </w:rPr>
        <w:t>EN: Photografting: a method for surface modification</w:t>
      </w:r>
    </w:p>
    <w:p>
      <w:pPr>
        <w:spacing w:before="0" w:after="120"/>
      </w:pPr>
      <w:r>
        <w:rPr>
          <w:b/>
        </w:rPr>
        <w:t xml:space="preserve">Source: </w:t>
      </w:r>
      <w:r>
        <w:t>RSC - Chem. Soc. Rev. latest articles</w:t>
      </w:r>
      <w:r>
        <w:t xml:space="preserve">    </w:t>
      </w:r>
      <w:r>
        <w:rPr>
          <w:b/>
        </w:rPr>
        <w:t xml:space="preserve">Pub date: </w:t>
      </w:r>
      <w:r>
        <w:t>2026-05-27 23:00:00+00:00</w:t>
      </w:r>
    </w:p>
    <w:p>
      <w:pPr>
        <w:spacing w:before="0" w:after="120"/>
      </w:pPr>
      <w:r>
        <w:rPr>
          <w:b/>
        </w:rPr>
        <w:t xml:space="preserve">Notes: </w:t>
      </w:r>
      <w:r>
        <w:t>abstract_source=rsc_html</w:t>
      </w:r>
    </w:p>
    <w:p>
      <w:pPr>
        <w:spacing w:before="0" w:after="80" w:lineRule="auto" w:line="276"/>
      </w:pPr>
      <w:r>
        <w:rPr>
          <w:b/>
        </w:rPr>
        <w:t xml:space="preserve">摘要（ZH）: </w:t>
      </w:r>
      <w:r>
        <w:t>光接枝可以通过表面沉积溶液的辐照对多种表面（包括聚合物、金属、碳和氧化物）进行共价改性。这个过程涉及高活性物质的生成——最常见的是自由基，但也有卡宾和氮烯——与表面位点发生反应。可以使用一系列前体化合物，例如乙烯基单体（有或没有引发剂）、重氮盐和叠氮化物。这篇综述总结了光接枝的基本原理和机制，强调了不同前体、引发剂和底物的作用，特别关注最新进展。此外，它还强调了该方法的广泛应用，包括生物分子的接枝、防污涂层和表面图案化，以及最近专利中报道的进展。</w:t>
      </w:r>
    </w:p>
    <w:p>
      <w:pPr>
        <w:spacing w:before="0" w:after="200" w:lineRule="auto" w:line="276"/>
      </w:pPr>
      <w:r>
        <w:rPr>
          <w:b/>
        </w:rPr>
        <w:t xml:space="preserve">Abstract (EN): </w:t>
      </w:r>
      <w:r>
        <w:t>Photografting enables the covalent modification of a wide variety of surfaces—including polymers, metals, carbons, and oxides—through irradiation of a surface-deposited solution. This process involves the generation of highly reactive species—most commonly radicals, but also carbenes and nitrenes—that react with surface sites. A range of precursor compounds can be employed, such as vinyl monomers (with or without initiators), diazonium salts, and azides. This review summarizes the fundamental principles and mechanisms of photografting, emphasizing the roles of different precursors, initiators, and substrates, with particular attention to recent advances. Moreover, it highlights the broad spectrum of applications of this method, including the grafting of biological molecules, antifouling coatings, and surface patterning, as well as developments reported in recent patents.</w:t>
      </w:r>
    </w:p>
    <w:p>
      <w:pPr>
        <w:spacing w:before="120" w:after="120"/>
      </w:pPr>
      <w:r>
        <w:rPr>
          <w:sz w:val="18"/>
        </w:rPr>
        <w:t>——————————————————————————————————————————————————————————————————————</w:t>
      </w:r>
    </w:p>
    <w:p>
      <w:pPr>
        <w:spacing w:before="160" w:after="40" w:line="240" w:lineRule="auto"/>
      </w:pPr>
      <w:r>
        <w:rPr>
          <w:b/>
        </w:rPr>
        <w:t xml:space="preserve">[422] </w:t>
      </w:r>
      <w:hyperlink r:id="rId1057">
        <w:r>
          <w:rPr>
            <w:color w:val="1155CC"/>
            <w:u w:val="single"/>
          </w:rPr>
          <w:t>大西洋沉积物揭示了对球石方解石生产的相互作用的环境和生理控制</w:t>
        </w:r>
      </w:hyperlink>
    </w:p>
    <w:p>
      <w:pPr>
        <w:spacing w:before="0" w:after="80"/>
      </w:pPr>
      <w:r>
        <w:rPr>
          <w:i/>
          <w:sz w:val="20"/>
        </w:rPr>
        <w:t>EN: Atlantic sediments reveal interacting environmental and physiological controls on coccolithophore calcite production</w:t>
      </w:r>
    </w:p>
    <w:p>
      <w:pPr>
        <w:spacing w:before="0" w:after="120"/>
      </w:pPr>
      <w:r>
        <w:rPr>
          <w:b/>
        </w:rPr>
        <w:t xml:space="preserve">Source: </w:t>
      </w:r>
      <w:r>
        <w:t>Earth and environmental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颗石藻占公海方解石总产量的 20-80%，在海洋碳循环中发挥着关键作用。由于将培养实验外推到沉积超微化石记录方面存在挑战，环境、颗石藻生理学和方解石生产之间的联系仍不清楚。在这里，我们开发了一个框架，从沉积记录中重建主要球石藻物种的生理学和方解石生产。本研究利用保存完好的大西洋表面沉积物，通过测量物种组成、初级产量、生长 (μ) 和钙化率，确定了控制颗石方解石生产的因素。对比主要群体的μ钙化关系表明不同的碳需求。最佳 μ 是对特定族群最大方解石产量的主要控制，定义了边界位于 ~40°N 的经向双峰结构，与海洋物理化学梯度一致。相对于供应的群体特定细胞碳需求表明，该边界将北部的反应限制细胞与南部的质量运输限制细胞分开，并且可能随着海洋碳的变化而沿纬度迁移。</w:t>
      </w:r>
    </w:p>
    <w:p>
      <w:pPr>
        <w:spacing w:before="0" w:after="200" w:lineRule="auto" w:line="276"/>
      </w:pPr>
      <w:r>
        <w:rPr>
          <w:b/>
        </w:rPr>
        <w:t xml:space="preserve">Abstract (EN): </w:t>
      </w:r>
      <w:r>
        <w:t>Coccolithophores contribute 20-80% of the open ocean’s total calcite production, playing a pivotal role in the marine carbon cycle. Links between environment, coccolithophore physiology and calcite production remain unclear due to challenges in extrapolating culture experiments to sedimentary nannofossil records. Here, we develop a framework to reconstruct physiology and calcite production of dominant coccolithophore species from sedimentary records. Using well-preserved Atlantic surface sediments, this study establishes factors controlling coccolithophore calcite production via measurements of species composition, primary production, growth (μ), and calcification rates. Contrasting μ-calcification relationships of major groups indicate differing carbon requirements. Optimal μ is the primary control on group-specific maximum calcite production, defining a meridional bimodal structure with a boundary at ~40°N, aligned with oceanic physicochemical gradients. Group-specific cellular carbon demand relative to supply show that this boundary separates reaction-limited cells to the north from mass-transport-limited cells to the south, and likely migrates latitudinally with changing ocean carbon.</w:t>
      </w:r>
    </w:p>
    <w:p>
      <w:pPr>
        <w:spacing w:before="120" w:after="120"/>
      </w:pPr>
      <w:r>
        <w:rPr>
          <w:sz w:val="18"/>
        </w:rPr>
        <w:t>——————————————————————————————————————————————————————————————————————</w:t>
      </w:r>
    </w:p>
    <w:p>
      <w:pPr>
        <w:spacing w:before="160" w:after="40" w:line="240" w:lineRule="auto"/>
      </w:pPr>
      <w:r>
        <w:rPr>
          <w:b/>
        </w:rPr>
        <w:t xml:space="preserve">[423] </w:t>
      </w:r>
      <w:hyperlink r:id="rId1058">
        <w:r>
          <w:rPr>
            <w:color w:val="1155CC"/>
            <w:u w:val="single"/>
          </w:rPr>
          <w:t>植物种群对环境变化的反应主要由生存-繁殖权衡驱动，并由干旱介导</w:t>
        </w:r>
      </w:hyperlink>
    </w:p>
    <w:p>
      <w:pPr>
        <w:spacing w:before="0" w:after="80"/>
      </w:pPr>
      <w:r>
        <w:rPr>
          <w:i/>
          <w:sz w:val="20"/>
        </w:rPr>
        <w:t>EN: Plant population responses to environmental variability are primarily driven by survival-reproduction trade-offs and mediated by aridity</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自然人口可能会因气候变化导致的环境变化加剧而受到负面影响；然而，有几种机制可以通过改变人口的生命率（例如生存率、繁殖率）来减轻这些影响。尽管分析和理论取得了重要进展，但我们仍然不知道环境状况、生活史特征和进化史如何以及在多大程度上决定自然种群的缓冲能力。为了解决这些问题，我们使用来自 78 个植物物种的 121 个自然种群的高分辨率生命率数据参数化贝叶斯广义线性混合模型。我们表明，人口对环境变化的反应沿着“人口缓冲连续体”变化四个数量级。此外，给定种群沿所述连续体的位置是通过生存-繁殖权衡以及种群经历的干旱程度来预测的。我们的研究结果为改善人类世自然种群的生态预测和管理开辟了一条有前途的研究途径。</w:t>
      </w:r>
    </w:p>
    <w:p>
      <w:pPr>
        <w:spacing w:before="0" w:after="200" w:lineRule="auto" w:line="276"/>
      </w:pPr>
      <w:r>
        <w:rPr>
          <w:b/>
        </w:rPr>
        <w:t xml:space="preserve">Abstract (EN): </w:t>
      </w:r>
      <w:r>
        <w:t>Natural populations may suffer negatively from increased environmental variability due to climate change; however, several mechanisms can mitigate those effects by changing the vital rates of a population (e.g., survival, reproduction). Despite important analytical and theoretical advances, we still do not know how and to what extent environmental regimes, life history traits, and evolutionary history determine the buffering capacity of natural populations. To address these questions, we parameterise a Bayesian generalised linear mixed model with high-resolution vital rate data from 121 natural populations across 78 plant species. We show that population responses to environmental variability vary four orders of magnitude along a ‘demographic buffering continuum’. Furthermore, the position of a given population along said continuum is predicted by a survival-reproduction trade-off and by the degree of aridity the population experiences. Our findings open a promising avenue of research to improve ecological forecasts and management of natural populations in the Anthropocene.</w:t>
      </w:r>
    </w:p>
    <w:p>
      <w:pPr>
        <w:spacing w:before="120" w:after="120"/>
      </w:pPr>
      <w:r>
        <w:rPr>
          <w:sz w:val="18"/>
        </w:rPr>
        <w:t>——————————————————————————————————————————————————————————————————————</w:t>
      </w:r>
    </w:p>
    <w:p>
      <w:pPr>
        <w:spacing w:before="160" w:after="40" w:line="240" w:lineRule="auto"/>
      </w:pPr>
      <w:r>
        <w:rPr>
          <w:b/>
        </w:rPr>
        <w:t xml:space="preserve">[424] </w:t>
      </w:r>
      <w:hyperlink r:id="rId1059">
        <w:r>
          <w:rPr>
            <w:color w:val="1155CC"/>
            <w:u w:val="single"/>
          </w:rPr>
          <w:t>富含粘土的弱透水层下，深树根面临加速地下水污染的风险</w:t>
        </w:r>
      </w:hyperlink>
    </w:p>
    <w:p>
      <w:pPr>
        <w:spacing w:before="0" w:after="80"/>
      </w:pPr>
      <w:r>
        <w:rPr>
          <w:i/>
          <w:sz w:val="20"/>
        </w:rPr>
        <w:t>EN: Deep tree roots at risk of accelerating groundwater pollution beneath clay-rich aquitards</w:t>
      </w:r>
    </w:p>
    <w:p>
      <w:pPr>
        <w:spacing w:before="0" w:after="120"/>
      </w:pPr>
      <w:r>
        <w:rPr>
          <w:b/>
        </w:rPr>
        <w:t xml:space="preserve">Source: </w:t>
      </w:r>
      <w:r>
        <w:t>Earth and environmental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最后更新世冰川作用的冰川弱透水层覆盖了北半球的广大地区。由于其富含粘土成分，这些弱透水层被认为可以保护下面的含水层免受表面污染，前提是它们不被广泛的深层裂缝穿透。在这项研究中，我们将古代 DNA (aDNA) 与详细的水文技术相结合，以研究弱透水层中的污染物迁移——这是一种跨学科的方法，在目前对裂缝的主导作用的认识确立后，这是不可能实现的。我们表明，丹麦各地冰川弱透水层中的深层裂缝（地表以下 &gt; 2 m）作为溶解污染物运输的通道是封闭的或边缘的，除非它们包含来自现代和古代树根深处的流动通道。我们的研究表明，深树根会破坏天然地下水保护，并通过打开裂缝和产生深层大孔隙来加速地下水污染。研究结果强调，在重新造林和在饮用水资源上方的弱透水层造林之前，需要彻底关注土地利用历史、广泛的遗留问题和未来的土壤污染。我们还证明，保护厚度小于历史根深和岩性高度异质性（与弱透水冰碛类型有关）的弱透水区对于保护饮用水资源和恢复冰川弱透水层下的地下水质量至关重要。</w:t>
      </w:r>
    </w:p>
    <w:p>
      <w:pPr>
        <w:spacing w:before="0" w:after="200" w:lineRule="auto" w:line="276"/>
      </w:pPr>
      <w:r>
        <w:rPr>
          <w:b/>
        </w:rPr>
        <w:t xml:space="preserve">Abstract (EN): </w:t>
      </w:r>
      <w:r>
        <w:t>Glacial aquitards from the last Pleistocene glaciation cover vast areas of the Northern Hemisphere. Due to their clay-rich composition, these aquitards are considered to protect underlying aquifers from surface contaminations, provided they are not penetrated by widespread deep fractures. In this study we combine ancient DNA (aDNA) with detailed hydrological techniques to investigate contaminant transport in the aquitards – an interdisciplinary approach that was not possible when the current understanding of the dominant role of fractures was established. We show that deep fractures (&gt; 2 m below surface) in the glacial aquitards across Denmark are closed or marginal as pathways of dissolved contaminant transport unless they contain flow channels from deep modern and ancient tree roots. Our study reveals that deep tree roots can compromise natural groundwater protection and accelerate groundwater pollution by opening fractures and generating deep macropores. The results highlight that thorough attention needs to be paid to land-use history and widespread legacy and future soil pollution prior to reforestation and afforestation of aquitards above drinking water resources. We furthermore demonstrate that the protection of aquitard areas with less thickness than historical rooting depths and high degrees of lithological heterogeneity (related to aquitard glacial till types) is crucial to preserve drinking water resources and to restore groundwater quality beneath glacial aquitards.</w:t>
      </w:r>
    </w:p>
    <w:p>
      <w:pPr>
        <w:spacing w:before="120" w:after="120"/>
      </w:pPr>
      <w:r>
        <w:rPr>
          <w:sz w:val="18"/>
        </w:rPr>
        <w:t>——————————————————————————————————————————————————————————————————————</w:t>
      </w:r>
    </w:p>
    <w:p>
      <w:pPr>
        <w:spacing w:before="160" w:after="40" w:line="240" w:lineRule="auto"/>
      </w:pPr>
      <w:r>
        <w:rPr>
          <w:b/>
        </w:rPr>
        <w:t xml:space="preserve">[425] </w:t>
      </w:r>
      <w:hyperlink r:id="rId1060">
        <w:r>
          <w:rPr>
            <w:color w:val="1155CC"/>
            <w:u w:val="single"/>
          </w:rPr>
          <w:t>一种免化疗的热敏性坏死性凋亡诱导灌注液，可实现有效的腹膜内高温免疫治疗</w:t>
        </w:r>
      </w:hyperlink>
    </w:p>
    <w:p>
      <w:pPr>
        <w:spacing w:before="0" w:after="80"/>
      </w:pPr>
      <w:r>
        <w:rPr>
          <w:i/>
          <w:sz w:val="20"/>
        </w:rPr>
        <w:t>EN: A chemo-free thermo-sensitive necroptosis inducing perfusate to enable potent hyperthermic intraperitoneal immunotherapy</w:t>
      </w:r>
    </w:p>
    <w:p>
      <w:pPr>
        <w:spacing w:before="0" w:after="120"/>
      </w:pPr>
      <w:r>
        <w:rPr>
          <w:b/>
        </w:rPr>
        <w:t xml:space="preserve">Source: </w:t>
      </w:r>
      <w:r>
        <w:t>National Science Review Advance Access</w:t>
      </w:r>
      <w:r>
        <w:t xml:space="preserve">    </w:t>
      </w:r>
      <w:r>
        <w:rPr>
          <w:b/>
        </w:rPr>
        <w:t xml:space="preserve">Pub date: </w:t>
      </w:r>
      <w:r>
        <w:t>2026-05-28 00:00:00+00:00</w:t>
      </w:r>
      <w:r>
        <w:t xml:space="preserve">    </w:t>
      </w:r>
      <w:r>
        <w:rPr>
          <w:b/>
        </w:rPr>
        <w:t xml:space="preserve">DOI: </w:t>
      </w:r>
      <w:hyperlink r:id="rId1061">
        <w:r>
          <w:rPr>
            <w:color w:val="1155CC"/>
            <w:u w:val="single"/>
          </w:rPr>
          <w:t>10.1093/nsr/nwag321</w:t>
        </w:r>
      </w:hyperlink>
    </w:p>
    <w:p>
      <w:pPr>
        <w:spacing w:before="0" w:after="120"/>
      </w:pPr>
      <w:r>
        <w:rPr>
          <w:b/>
        </w:rPr>
        <w:t xml:space="preserve">Notes: </w:t>
      </w:r>
      <w:r>
        <w:t>abstract_source=rss_oup</w:t>
      </w:r>
    </w:p>
    <w:p>
      <w:pPr>
        <w:spacing w:before="0" w:after="80" w:lineRule="auto" w:line="276"/>
      </w:pPr>
      <w:r>
        <w:rPr>
          <w:b/>
        </w:rPr>
        <w:t xml:space="preserve">摘要（ZH）: </w:t>
      </w:r>
      <w:r>
        <w:t>腹腔热灌注化疗（HIPEC）广泛用于治疗腹膜恶性肿瘤，但其临床应用仍因疗效不足和化疗相关副作用风险而受到限制。这项研究表明，温和的热疗可增强癌细胞对过氧化氢 (H2O2) 和 Ca2+ 暴露的敏感性，同时在高温和生理温度下不伤害正常细胞。从机制上讲，温和的热疗促进H2O2进入细胞，协同激活质膜和内质网中的钙通道，诱导Ca2+超载依赖性癌细胞坏死性凋亡。使用 H2O2 和 Ca2+ 溶液作为热激活坏死性凋亡诱导灌注液 (TNIP)，与使用各种化疗药物的传统 HIPEC 相比，43°C 的腹膜灌注对小鼠多发性腹膜肿瘤的生长具有更强的抑制作用。 TNIP 介导的腹腔热治疗还在同基因小鼠模型中引发强大的抗肿瘤免疫，与术后免疫检查点阻断治疗相结合可增强治疗效果。该策略的卓越免疫激活能力在患者来源的类器官中得到了进一步验证。这项工作建立了一种无需化疗的热激活免疫原性灌注策略，可选择性触发癌细胞坏死性凋亡，证明了一种可转化的腹腔热腹免疫疗法，具有更高的治疗功效和安全性。</w:t>
      </w:r>
    </w:p>
    <w:p>
      <w:pPr>
        <w:spacing w:before="0" w:after="200" w:lineRule="auto" w:line="276"/>
      </w:pPr>
      <w:r>
        <w:rPr>
          <w:b/>
        </w:rPr>
        <w:t xml:space="preserve">Abstract (EN): </w:t>
      </w:r>
      <w:r>
        <w:t>Hyperthermic intraperitoneal chemotherapy (HIPEC) is widely performed for treating peritoneal malignancies, yet its clinical application remains limited by insufficient efficacies and risks in chemotherapy-associated side effects. This study demonstrates that mild hyperthermia enhances cancer cell sensitivity to hydrogen peroxide (H2O2) and Ca2+ exposure while sparing normal cells at both elevated and physiological temperatures. Mechanistically, mild hyperthermia promotes H2O2 cellular entry, synergistically activating calcium channels in the plasma membrane and endoplasmic reticulum to induce Ca2+-overload-dependent cancer cell necroptosis. Using H2O2 and Ca2+ solution as a thermo-activatable necroptosis-inducing perfusate (TNIP), peritoneal perfusion at 43°C demonstrates stronger suppressive effects on the growth of multiple peritoneal tumors in mice compared to conventional HIPEC using various chemotherapeutics. TNIP-mediated hyperthermic intraperitoneal treatment also elicits robust antitumor immunity in syngeneic murine models, with enhanced therapeutic efficacy when combined with postoperative immune checkpoint blockade therapy. The superior immune activation capacities of this strategy are further validated in patient-derived organoids. This work establishes a chemo-free, thermo-activated immunogenic perfusion strategy to selectively trigger cancer cell necroptosis, demonstrating a translatable hyperthermic intraperitoneal immunotherapy with improved therapeutic efficacy and safety.</w:t>
      </w:r>
    </w:p>
    <w:p>
      <w:pPr>
        <w:spacing w:before="120" w:after="120"/>
      </w:pPr>
      <w:r>
        <w:rPr>
          <w:sz w:val="18"/>
        </w:rPr>
        <w:t>——————————————————————————————————————————————————————————————————————</w:t>
      </w:r>
    </w:p>
    <w:p>
      <w:pPr>
        <w:spacing w:before="160" w:after="40" w:line="240" w:lineRule="auto"/>
      </w:pPr>
      <w:r>
        <w:rPr>
          <w:b/>
        </w:rPr>
        <w:t xml:space="preserve">[426] </w:t>
      </w:r>
      <w:hyperlink r:id="rId1062">
        <w:r>
          <w:rPr>
            <w:color w:val="1155CC"/>
            <w:u w:val="single"/>
          </w:rPr>
          <w:t>基因重组在猪基因组中形成复杂的杂交效应</w:t>
        </w:r>
      </w:hyperlink>
    </w:p>
    <w:p>
      <w:pPr>
        <w:spacing w:before="0" w:after="80"/>
      </w:pPr>
      <w:r>
        <w:rPr>
          <w:i/>
          <w:sz w:val="20"/>
        </w:rPr>
        <w:t>EN: Genetic recombination shapes complex hybrid effects across the pig genome</w:t>
      </w:r>
    </w:p>
    <w:p>
      <w:pPr>
        <w:spacing w:before="0" w:after="120"/>
      </w:pPr>
      <w:r>
        <w:rPr>
          <w:b/>
        </w:rPr>
        <w:t xml:space="preserve">Source: </w:t>
      </w:r>
      <w:r>
        <w:t>National Science Review Advance Access</w:t>
      </w:r>
      <w:r>
        <w:t xml:space="preserve">    </w:t>
      </w:r>
      <w:r>
        <w:rPr>
          <w:b/>
        </w:rPr>
        <w:t xml:space="preserve">Pub date: </w:t>
      </w:r>
      <w:r>
        <w:t>2026-05-28 00:00:00+00:00</w:t>
      </w:r>
      <w:r>
        <w:t xml:space="preserve">    </w:t>
      </w:r>
      <w:r>
        <w:rPr>
          <w:b/>
        </w:rPr>
        <w:t xml:space="preserve">DOI: </w:t>
      </w:r>
      <w:hyperlink r:id="rId1063">
        <w:r>
          <w:rPr>
            <w:color w:val="1155CC"/>
            <w:u w:val="single"/>
          </w:rPr>
          <w:t>10.1093/nsr/nwag322</w:t>
        </w:r>
      </w:hyperlink>
    </w:p>
    <w:p>
      <w:pPr>
        <w:spacing w:before="0" w:after="120"/>
      </w:pPr>
      <w:r>
        <w:rPr>
          <w:b/>
        </w:rPr>
        <w:t xml:space="preserve">Notes: </w:t>
      </w:r>
      <w:r>
        <w:t>abstract_source=rss_oup</w:t>
      </w:r>
    </w:p>
    <w:p>
      <w:pPr>
        <w:spacing w:before="0" w:after="80" w:lineRule="auto" w:line="276"/>
      </w:pPr>
      <w:r>
        <w:rPr>
          <w:b/>
        </w:rPr>
        <w:t xml:space="preserve">摘要（ZH）: </w:t>
      </w:r>
      <w:r>
        <w:t>杂交过程中的基因组和表型进化一直是进化生物学的中心话题，但杂交效应变异背后的遗传机制仍然难以捉摸。在这里，我们使用猪作为模型，通过测量来自欧亚猪杂交群体的 578 个 F2 个体的 135 个性状的纯合子和杂合子之间的表型差异来量化杂交效应。我们证明混合效应大小在整个基因组中遵循指数分布。随着 F0 基因组分歧水平的增加，该指数分布的速率参数 (λ) 呈现出驼峰状模式，表明基因组从近交衰退到杂种活力并最终到杂种衰退的转变。进一步的分析表明，遗传重组与 λ 的变化显着相关，支持重组和基因组趋异共同塑造杂交效应景观的模型。雌性表现出较低的 λ 值，表现出杂交抑制的区域显着减少，揭示了欧亚猪杂交中的根本性别差异。我们进一步表明 λ 与 F2 杂合子与纯合子基因型频率比呈正相关。这表明重组可能会在以近交抑制或杂种抑制为特征的遗传背景中引入有利的杂交效应，从而导致整个基因组的异步进化步伐。</w:t>
      </w:r>
    </w:p>
    <w:p>
      <w:pPr>
        <w:spacing w:before="0" w:after="200" w:lineRule="auto" w:line="276"/>
      </w:pPr>
      <w:r>
        <w:rPr>
          <w:b/>
        </w:rPr>
        <w:t xml:space="preserve">Abstract (EN): </w:t>
      </w:r>
      <w:r>
        <w:t>Genome and phenotype evolution during hybridization has been a central topic in evolutionary biology, yet the genetic mechanism underlying the hybrid effect variation remain elusive. Here we use the pig as a model and quantify hybrid effects by measuring the phenotypic difference between homozygotes and heterozygotes across 135 traits in 578 F2 individuals from a Eurasian pig cross population. We demonstrate that hybrid effect sizes follow an exponential distribution across the genome. The rate parameter (λ) of this exponential distribution exhibits a hump-shaped pattern with increasing levels of F0 genomic divergence, indicating a genomic transition from inbreeding depression to hybrid vigor and ultimately to hybrid depression. Further analysis reveals that genetic recombination is significantly correlated with the variation in λ, supporting a model in which both recombination and genomic divergence jointly shape the landscape of hybrid effects. Females display lower λ values, with a pronounced reduction in regions exhibiting hybrid depression, revealing a fundamental sex difference in Eurasian pig hybridization. We further show that the λ positively correlates with F2 heterozygote-to-homozygote genotype frequency ratio. This suggests that recombination may introduce advantageous hybrid effect in genetic backgrounds otherwise characterized by inbreeding depression or hybrid depression, resulting in asynchronous evolutionary paces across the genome.</w:t>
      </w:r>
    </w:p>
    <w:p>
      <w:pPr>
        <w:spacing w:before="120" w:after="120"/>
      </w:pPr>
      <w:r>
        <w:rPr>
          <w:sz w:val="18"/>
        </w:rPr>
        <w:t>——————————————————————————————————————————————————————————————————————</w:t>
      </w:r>
    </w:p>
    <w:p>
      <w:pPr>
        <w:spacing w:before="160" w:after="40" w:line="240" w:lineRule="auto"/>
      </w:pPr>
      <w:r>
        <w:rPr>
          <w:b/>
        </w:rPr>
        <w:t xml:space="preserve">[427] </w:t>
      </w:r>
      <w:hyperlink r:id="rId1064">
        <w:r>
          <w:rPr>
            <w:color w:val="1155CC"/>
            <w:u w:val="single"/>
          </w:rPr>
          <w:t>深度学习驱动的智能介观模型（DeepMeso）：铁电体案例研究</w:t>
        </w:r>
      </w:hyperlink>
    </w:p>
    <w:p>
      <w:pPr>
        <w:spacing w:before="0" w:after="80"/>
      </w:pPr>
      <w:r>
        <w:rPr>
          <w:i/>
          <w:sz w:val="20"/>
        </w:rPr>
        <w:t>EN: Deep learning-driven intelligent mesoscopic model (DeepMeso): a case study on ferroelectrics</w:t>
      </w:r>
    </w:p>
    <w:p>
      <w:pPr>
        <w:spacing w:before="0" w:after="120"/>
      </w:pPr>
      <w:r>
        <w:rPr>
          <w:b/>
        </w:rPr>
        <w:t xml:space="preserve">Source: </w:t>
      </w:r>
      <w:r>
        <w:t>National Science Review Advance Access</w:t>
      </w:r>
      <w:r>
        <w:t xml:space="preserve">    </w:t>
      </w:r>
      <w:r>
        <w:rPr>
          <w:b/>
        </w:rPr>
        <w:t xml:space="preserve">Pub date: </w:t>
      </w:r>
      <w:r>
        <w:t>2026-05-28 00:00:00+00:00</w:t>
      </w:r>
      <w:r>
        <w:t xml:space="preserve">    </w:t>
      </w:r>
      <w:r>
        <w:rPr>
          <w:b/>
        </w:rPr>
        <w:t xml:space="preserve">DOI: </w:t>
      </w:r>
      <w:hyperlink r:id="rId1065">
        <w:r>
          <w:rPr>
            <w:color w:val="1155CC"/>
            <w:u w:val="single"/>
          </w:rPr>
          <w:t>10.1093/nsr/nwag324</w:t>
        </w:r>
      </w:hyperlink>
    </w:p>
    <w:p>
      <w:pPr>
        <w:spacing w:before="0" w:after="120"/>
      </w:pPr>
      <w:r>
        <w:rPr>
          <w:b/>
        </w:rPr>
        <w:t xml:space="preserve">Notes: </w:t>
      </w:r>
      <w:r>
        <w:t>abstract_source=rss_oup</w:t>
      </w:r>
    </w:p>
    <w:p>
      <w:pPr>
        <w:spacing w:before="0" w:after="80" w:lineRule="auto" w:line="276"/>
      </w:pPr>
      <w:r>
        <w:rPr>
          <w:b/>
        </w:rPr>
        <w:t xml:space="preserve">摘要（ZH）: </w:t>
      </w:r>
      <w:r>
        <w:t>将人工智能与计算方法相结合已成为材料研究的变革力量，DeepH 和 DeepMD 等突破就是例证。然而，多尺度智能设计仍然存在一个关键差距：缺乏能够将微观结构特征与宏观特性联系起来的介观模型。在这里，我们开发了 DeepMeso，一种支持生成式深度学习的介观模型，用于复杂异质材料的智能设计。为了举例说明该框架，我们在铁电体 (DeepFerro) 中对其进行了实例化，其中我们的工作流程首先集成了数据驱动的替代模型来预测关键的铁电特性，准确度超过 99.6%。然后，我们实施 3D 生成网络，以实现跨成分和微观结构空间的逆向设计，直接针对预定义的偏振目标。当执行多目标按需生成任务时，DeepFerro 相对于模拟基准的均方误差为 0.0497，R2 值为 95.44%。重要的是，它还在 63 个不同的铁电系统中表现出强大的可转移性和外推能力，证明了其在端到端优化中的通用性。与此同时，模型的可解释性将学习到的关系转化为明确的、分层的指导方针。 DeepMeso这个通用的智能设计框架可以进一步扩展到多种异质材料，这将加深对成分-微观结构-性能关系的理解，并促进按需逆向设计。</w:t>
      </w:r>
    </w:p>
    <w:p>
      <w:pPr>
        <w:spacing w:before="0" w:after="200" w:lineRule="auto" w:line="276"/>
      </w:pPr>
      <w:r>
        <w:rPr>
          <w:b/>
        </w:rPr>
        <w:t xml:space="preserve">Abstract (EN): </w:t>
      </w:r>
      <w:r>
        <w:t>Integrating artificial intelligence with computational methods has emerged as a transformative force in materials research, exemplified by breakthroughs such as DeepH and DeepMD. However, a critical gap persists in multiscale intelligent design: the lack of mesoscopic models capable of bridging microstructural features with macroscopic properties. Here, we develop DeepMeso, a generative deep learning-enabled mesoscopic model, for the intelligent design of complex heterogeneous materials. To exemplify the framework, we instantiate it in ferroelectrics (DeepFerro), where our workflow first integrates a data-driven surrogate model to predict key ferroelectric properties with an accuracy exceeding 99.6%. Then, we implement a 3D generative network to achieve inverse design across both composition and microstructure spaces, directly targeting predefined polarization objectives. When tasked with multi-objective on-demand generation, DeepFerro yields a mean squared error of 0.0497 and an R2 value of 95.44% against simulation benchmarks. Critically, it also exhibits robust transferability and extrapolation capability across 63 distinct ferroelectric systems, demonstrating its generalizability in end-to-end optimization. In parallel, model interpretability translates the learned relations into explicit, hierarchical guidelines. This generalizable intelligent design framework DeepMeso could be further extended to diverse heterogeneous materials, which will deepen the understanding of composition–microstructure–property relationships and facilitate the on-demand inverse design at the mesoscopic scale.</w:t>
      </w:r>
    </w:p>
    <w:p>
      <w:pPr>
        <w:spacing w:before="120" w:after="120"/>
      </w:pPr>
      <w:r>
        <w:rPr>
          <w:sz w:val="18"/>
        </w:rPr>
        <w:t>——————————————————————————————————————————————————————————————————————</w:t>
      </w:r>
    </w:p>
    <w:p>
      <w:pPr>
        <w:spacing w:before="160" w:after="40" w:line="240" w:lineRule="auto"/>
      </w:pPr>
      <w:r>
        <w:rPr>
          <w:b/>
        </w:rPr>
        <w:t xml:space="preserve">[428] </w:t>
      </w:r>
      <w:hyperlink r:id="rId1066">
        <w:r>
          <w:rPr>
            <w:color w:val="1155CC"/>
            <w:u w:val="single"/>
          </w:rPr>
          <w:t>隐球菌肺肉芽肿的转录组学和脂质组学分析揭示了巨噬细胞边界程序和鞘脂重塑</w:t>
        </w:r>
      </w:hyperlink>
    </w:p>
    <w:p>
      <w:pPr>
        <w:spacing w:before="0" w:after="80"/>
      </w:pPr>
      <w:r>
        <w:rPr>
          <w:i/>
          <w:sz w:val="20"/>
        </w:rPr>
        <w:t>EN: Transcriptomic and lipidomic analysis of the cryptococcal lung granuloma reveals macrophage boundary programs and sphingolipid remodeling</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隐球菌病是由新型隐球菌引起的一种危及生命的真菌病。免疫反应导致肺肉芽肿的形成，其中含有真菌细胞。我们之前开发了一种隐球菌肉芽肿的小鼠模型，其组织学上与人类肺肉芽肿相似。在这项研究中，我们利用转录组学和脂质组学描述了小鼠肺肉芽肿的特征，阐明了肉芽肿边界存在的免疫细胞类型和巨噬细胞的转录景观。鉴定出巨噬细胞亚型，其形成肺肉芽肿的特征边界，并观察到具有参与控制感染的差异表达基因。脂质组学研究表明，一些参与调节吞噬作用的鞘脂相关基因及其产物被发现上调，体内验证研究证实了它们在肉芽肿形成中的关键作用。最后，随着肉芽肿结构的发展，肉芽肿内的真菌复制随着巨噬细胞活化的减少而减少。这些研究确定了肉芽肿部位宿主保护的重要免疫机制。我们的结果提供了对隐球菌肉芽肿成熟的机制见解，并完善了当前宿主与病原体相互作用的模型，这可能为未来的免疫调节策略开辟途径。</w:t>
      </w:r>
    </w:p>
    <w:p>
      <w:pPr>
        <w:spacing w:before="0" w:after="200" w:lineRule="auto" w:line="276"/>
      </w:pPr>
      <w:r>
        <w:rPr>
          <w:b/>
        </w:rPr>
        <w:t xml:space="preserve">Abstract (EN): </w:t>
      </w:r>
      <w:r>
        <w:t>Cryptococcosis is a life-threatening fungal disease caused by Cryptococcus neoformans. The immunocompetent response results in the formation of a lung granuloma, which contains the fungal cells. We have previously developed a mouse model of the cryptococcal granuloma that is histologically similar to the human lung granuloma. In this study, we characterize the lung granuloma in mice using transcriptomics and lipidomics, elucidating the immune cell types present and the transcriptional landscape of macrophages at the granuloma border. Macrophage subtypes are identified, which form a characteristic boundary of the lung granuloma and were observed to have differentially expressed genes involved in the control of the infection. Lipidomic studies revealed that several sphingolipid-associated genes and their products involved in the regulation of phagocytosis were found to be upregulated and in vivo validation studies confirmed their key role in granuloma formation. Lastly, as the granuloma structure develops, the fungal replication inside the granuloma decreases concomitantly to the decrease of the macrophage activation. These studies identified important immune mechanisms of host protection at the granuloma site. Our results provide mechanistic insight into cryptococcal granuloma maturation and refine current models of host–pathogen interaction, which may open avenues for future immunomodulatory strategies.</w:t>
      </w:r>
    </w:p>
    <w:p>
      <w:pPr>
        <w:spacing w:before="120" w:after="120"/>
      </w:pPr>
      <w:r>
        <w:rPr>
          <w:sz w:val="18"/>
        </w:rPr>
        <w:t>——————————————————————————————————————————————————————————————————————</w:t>
      </w:r>
    </w:p>
    <w:p>
      <w:pPr>
        <w:spacing w:before="160" w:after="40" w:line="240" w:lineRule="auto"/>
      </w:pPr>
      <w:r>
        <w:rPr>
          <w:b/>
        </w:rPr>
        <w:t xml:space="preserve">[429] </w:t>
      </w:r>
      <w:hyperlink r:id="rId1067">
        <w:r>
          <w:rPr>
            <w:color w:val="1155CC"/>
            <w:u w:val="single"/>
          </w:rPr>
          <w:t>脂质组学路线图：从基础研究到社会挑战</w:t>
        </w:r>
      </w:hyperlink>
    </w:p>
    <w:p>
      <w:pPr>
        <w:spacing w:before="0" w:after="80"/>
      </w:pPr>
      <w:r>
        <w:rPr>
          <w:i/>
          <w:sz w:val="20"/>
        </w:rPr>
        <w:t>EN: A lipidomics roadmap: from basic research to societal challenges</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脂质组学是生物学和分析化学交叉领域的一门快速发展的学科，旨在全面表征生物系统的脂质组成。在质谱、色谱和计算分析进步的推动下，脂质组学已经能够在分子、细胞和生物尺度上对脂质网络及其功能动态进行高分辨率绘制。在生物医学研究中，脂质组学正在成为生物标志物发现的强大平台，使癌症、代谢和神经退行性疾病的早期诊断、预后和治疗监测成为可能。该领域还通过揭示脂质介导的途径、确定新的治疗靶点以及完善药物功效和安全性的评估来重塑药物发现。除了医学之外，脂质组学分析还通过阐明膳食脂质如何影响代谢健康和疾病风险来重新定义食品和营养科学。与此同时，环境和生态脂质组学正在成为评估生态系统健康、跟踪污染物的影响和探索气候变化的生物后果的强大框架。这些方法还为可持续脂质资源的发现以及新型生物技术和农业创新的开发提供了信息。凭借其快速扩展的分析能力和跨学科的相关性，脂质组学有望为基础生物学和应用科学做出重大贡献。本视角旨在综合该领域的现状，描绘主要</w:t>
      </w:r>
    </w:p>
    <w:p>
      <w:pPr>
        <w:spacing w:before="0" w:after="200" w:lineRule="auto" w:line="276"/>
      </w:pPr>
      <w:r>
        <w:rPr>
          <w:b/>
        </w:rPr>
        <w:t xml:space="preserve">Abstract (EN): </w:t>
      </w:r>
      <w:r>
        <w:t>Lipidomics, a rapidly evolving discipline at the interface of biology and analytical chemistry, seeks to comprehensively characterize the lipid composition of biological systems. Driven by advances in mass spectrometry, chromatography and computational analysis, lipidomics has enabled the high-resolution mapping of lipid networks and their functional dynamics across molecular, cellular and organismal scales. In biomedical research, lipidomics is emerging as a powerful platform for biomarker discovery, enabling early diagnosis, prognosis, and therapeutic monitoring of cancer, metabolic, and neurodegenerative diseases. The field is also reshaping drug discovery by uncovering lipid-mediated pathways, identifying novel therapeutic targets, and refining assessments of drug efficacy and safety. Beyond medicine, lipidomic analyses are redefining food and nutrition science by elucidating how dietary lipids influence metabolic health and disease risk. In parallel, environmental and ecological lipidomics are emerging as powerful frameworks for assessing ecosystem health, tracking the impact of pollutants and exploring the biological consequences of climate change. Such approaches are also informing the discovery of sustainable lipid resources and the development of novel biotechnological and agricultural innovations. With its rapidly expanding analytical repertoire and cross-disciplinary relevance, lipidomics is poised to make substantial contributions to both fundamental biology and applied science. This Perspective aims to synthesise the current state of the field, delineate major analytical and conceptual challenges, and outline future directions for translating lipidomic knowledge into tangible societal and environmental benefits.</w:t>
      </w:r>
    </w:p>
    <w:p>
      <w:pPr>
        <w:spacing w:before="120" w:after="120"/>
      </w:pPr>
      <w:r>
        <w:rPr>
          <w:sz w:val="18"/>
        </w:rPr>
        <w:t>——————————————————————————————————————————————————————————————————————</w:t>
      </w:r>
    </w:p>
    <w:p>
      <w:pPr>
        <w:spacing w:before="160" w:after="40" w:line="240" w:lineRule="auto"/>
      </w:pPr>
      <w:r>
        <w:rPr>
          <w:b/>
        </w:rPr>
        <w:t xml:space="preserve">[430] </w:t>
      </w:r>
      <w:hyperlink r:id="rId1068">
        <w:r>
          <w:rPr>
            <w:color w:val="1155CC"/>
            <w:u w:val="single"/>
          </w:rPr>
          <w:t>肿瘤微环境的代谢特征协调胰腺癌的治疗策略和临床结果</w:t>
        </w:r>
      </w:hyperlink>
    </w:p>
    <w:p>
      <w:pPr>
        <w:spacing w:before="0" w:after="80"/>
      </w:pPr>
      <w:r>
        <w:rPr>
          <w:i/>
          <w:sz w:val="20"/>
        </w:rPr>
        <w:t>EN: Metabolic characterization of the tumor microenvironment orchestrates therapeutic strategies and clinical outcomes in pancreatic cancer</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代谢重编程和免疫抑制肿瘤微环境（TME）是驱动胰腺导管腺癌（PDAC）进展的标志特征。尽管靶向免疫代谢具有治疗潜力，但在临床实践中仍然缺乏有效的策略，这可能是由于 PDAC TME 内细胞特异性代谢异质性所致。在这里，我们展示了三种算法的集成，以使用 scRNA-seq 数据估计代谢通量组和途径，生成全面的细胞类型特异性代谢图谱。利用 460 个 PDAC 样本，我们建立了 TME 代谢亚型系统，将 PDAC 分为三个亚型 (TMS1-3)，具有不同的免疫代谢特征和临床结果。 TMS1 的特点是免疫浸润低，易受铁死亡诱导剂的影响。 TMS2 富含巨噬细胞，通过抑制谷氨酰胺合成酶对化学免疫疗法产生反应。 TMS3 以基质重塑为特征，对糖酵解抑制剂和白蛋白紫杉醇有反应。最后，我们开发了一个用于子类型区分的计算分类器。总之，这项研究描述了 PDAC TME 的代谢异质性，并提出了一个分类系统，该系统提出了有希望的治疗靶点。</w:t>
      </w:r>
    </w:p>
    <w:p>
      <w:pPr>
        <w:spacing w:before="0" w:after="200" w:lineRule="auto" w:line="276"/>
      </w:pPr>
      <w:r>
        <w:rPr>
          <w:b/>
        </w:rPr>
        <w:t xml:space="preserve">Abstract (EN): </w:t>
      </w:r>
      <w:r>
        <w:t>Metabolic reprogramming and immunosuppressive tumor microenvironment (TME) are hallmark features driving pancreatic ductal adenocarcinoma (PDAC) progression. Despite the therapeutic potential of targeting immunometabolism, effective strategies remain scarce in clinical practice, likely due to cell-specific metabolic heterogeneity within PDAC TME. Here, we show integration of three algorithms to estimate metabolic fluxomes and pathways using scRNA-seq data, generating a comprehensive cell type-specific metabolic atlas. Leveraging 460 PDAC samples, we establish a TME-metabolism subtyping system, classifying PDAC into three subtypes (TMS1-3) with distinct immune-metabolic profiles and clinical outcomes. TMS1, characterized by low immune infiltrates, is susceptible to ferroptosis inducers. TMS2, enriched in macrophages, responds to chemoimmunotherapy with inhibition of glutamine synthetase. TMS3, characterized by matrix remodeling, responds to glycolysis inhibitors and albumin-paclitaxel. Finally, we develop a computational classifier for subtype discrimination. Together, this study delineates the metabolic heterogeneity of the PDAC TME and proposes a classification system that suggests promising therapeutic targets.</w:t>
      </w:r>
    </w:p>
    <w:p>
      <w:pPr>
        <w:spacing w:before="120" w:after="120"/>
      </w:pPr>
      <w:r>
        <w:rPr>
          <w:sz w:val="18"/>
        </w:rPr>
        <w:t>——————————————————————————————————————————————————————————————————————</w:t>
      </w:r>
    </w:p>
    <w:p>
      <w:pPr>
        <w:spacing w:before="160" w:after="40" w:line="240" w:lineRule="auto"/>
      </w:pPr>
      <w:r>
        <w:rPr>
          <w:b/>
        </w:rPr>
        <w:t xml:space="preserve">[431] </w:t>
      </w:r>
      <w:hyperlink r:id="rId1069">
        <w:r>
          <w:rPr>
            <w:color w:val="1155CC"/>
            <w:u w:val="single"/>
          </w:rPr>
          <w:t>麦角甾醇-天冬氨酸合酶的结构揭示了捕获的 tRNA 如何在氨酰化甾醇的合成中像假体摆臂一样使用</w:t>
        </w:r>
      </w:hyperlink>
    </w:p>
    <w:p>
      <w:pPr>
        <w:spacing w:before="0" w:after="80"/>
      </w:pPr>
      <w:r>
        <w:rPr>
          <w:i/>
          <w:sz w:val="20"/>
        </w:rPr>
        <w:t>EN: Structure of ergosteryl-aspartate synthase reveals how an entrapped tRNA is used like a prosthetic swinging arm in the synthesis of aminoacylated sterols</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麦角甾醇-3β-O-L-天冬氨酸合酶 (ErdS) 催化麦角甾醇的 tRNA 依赖性天冬氨酸化，麦角甾醇是真菌细胞膜完整性所必需的脂质。然而，麦角甾醇天冬氨酸的功能意义及其合成的分子机制仍不清楚。在这里，我们表明 ErdS 定位是高度动态的，并且 Erg-Asp 是菌丝正常生长、孢子形成和孢子萌发所必需的，并且可能影响胁迫耐受性。 ErdS 的冷冻电子显微镜结构揭示了前所未有的甾醇结合袋。此外，与不可水解的 Asp-N-tRNAAsp 复合的结构显示了酶的两个功能域之间的 tRNA 引导的分子内氨酰基转移机制。 tRNAAsp 的 CCA 末端经历较大的位移以到达 aa-tRNA 转移活性位点，而 tRNA 肘部则被 N 端 α 螺旋的长延伸夹紧。目前的结构和突变分析表明，结构域融合、动态重新定位和 tRNA 介导的底物切换是 ErdS 多功能催化效率的基础，并独立于蛋白质合成参与 Erg-Asp 合成。这些发现阐明了 tRNA 依赖性甾醇修饰的调节机制，并提供了对真菌膜动力学的见解，突出了抗真菌治疗的潜在靶点。</w:t>
      </w:r>
    </w:p>
    <w:p>
      <w:pPr>
        <w:spacing w:before="0" w:after="200" w:lineRule="auto" w:line="276"/>
      </w:pPr>
      <w:r>
        <w:rPr>
          <w:b/>
        </w:rPr>
        <w:t xml:space="preserve">Abstract (EN): </w:t>
      </w:r>
      <w:r>
        <w:t>Ergosteryl-3β-O-L-aspartate synthase (ErdS) catalyzes tRNA-dependent aspartylation of ergosterol, a lipid essential for fungal cell membrane integrity. However, the functional significance of ergosteryl-aspartate and the molecular mechanisms underlying its synthesis remain unclear. Here, we show that ErdS localization is highly dynamic and that Erg-Asp is required for proper hyphal growth, sporulation, and spore germination, and likely influences stress tolerance. The cryo-electron microscopy structure of ErdS revealed an unprecedented sterol-binding pocket. In addition, the structures in complex with a non-hydrolyzable Asp-N-tRNAAsp show a tRNA-guided intramolecular aminoacyl transfer mechanism between two functional domains of the enzyme. The CCA end of tRNAAsp undergoes a large displacement to reach the aa-tRNA transfer active site, while the tRNA elbow is clamped by a long extension an N-terminal α-helix. The present structural and mutational analyses demonstrate that domain fusion, dynamic repositioning, and tRNA-mediated substrate handover underlie the multifunctional catalytic efficiency of ErdS and participates in Erg-Asp synthesis independently from protein synthesis. These findings elucidate the regulatory mechanism of tRNA-dependent sterol modification and provide insights into fungal membrane dynamics, highlighting potential targets for antifungal therapies.</w:t>
      </w:r>
    </w:p>
    <w:p>
      <w:pPr>
        <w:spacing w:before="120" w:after="120"/>
      </w:pPr>
      <w:r>
        <w:rPr>
          <w:sz w:val="18"/>
        </w:rPr>
        <w:t>——————————————————————————————————————————————————————————————————————</w:t>
      </w:r>
    </w:p>
    <w:p>
      <w:pPr>
        <w:spacing w:before="160" w:after="40" w:line="240" w:lineRule="auto"/>
      </w:pPr>
      <w:r>
        <w:rPr>
          <w:b/>
        </w:rPr>
        <w:t xml:space="preserve">[432] </w:t>
      </w:r>
      <w:hyperlink r:id="rId1070">
        <w:r>
          <w:rPr>
            <w:color w:val="1155CC"/>
            <w:u w:val="single"/>
          </w:rPr>
          <w:t>均匀分布的自组装分子用于高效且可扩展的钙钛矿/硅串联太阳能电池</w:t>
        </w:r>
      </w:hyperlink>
    </w:p>
    <w:p>
      <w:pPr>
        <w:spacing w:before="0" w:after="80"/>
      </w:pPr>
      <w:r>
        <w:rPr>
          <w:i/>
          <w:sz w:val="20"/>
        </w:rPr>
        <w:t>EN: Homogeneously distributed self-assembled molecules for efficient and scalable perovskite/silicon tandem solar cells</w:t>
      </w:r>
    </w:p>
    <w:p>
      <w:pPr>
        <w:spacing w:before="0" w:after="120"/>
      </w:pPr>
      <w:r>
        <w:rPr>
          <w:b/>
        </w:rPr>
        <w:t xml:space="preserve">Source: </w:t>
      </w:r>
      <w:r>
        <w:t>Joule</w:t>
      </w:r>
      <w:r>
        <w:t xml:space="preserve">    </w:t>
      </w:r>
      <w:r>
        <w:rPr>
          <w:b/>
        </w:rPr>
        <w:t xml:space="preserve">Pub date: </w:t>
      </w:r>
      <w:r>
        <w:t>2026-05-28 00:00:00+00:00</w:t>
      </w:r>
      <w:r>
        <w:t xml:space="preserve">    </w:t>
      </w:r>
      <w:r>
        <w:rPr>
          <w:b/>
        </w:rPr>
        <w:t xml:space="preserve">DOI: </w:t>
      </w:r>
      <w:hyperlink r:id="rId1071">
        <w:r>
          <w:rPr>
            <w:color w:val="1155CC"/>
            <w:u w:val="single"/>
          </w:rPr>
          <w:t>10.1016/j.joule.2026.102492</w:t>
        </w:r>
      </w:hyperlink>
    </w:p>
    <w:p>
      <w:pPr>
        <w:spacing w:before="0" w:after="120"/>
      </w:pPr>
      <w:r>
        <w:rPr>
          <w:b/>
        </w:rPr>
        <w:t xml:space="preserve">Notes: </w:t>
      </w:r>
      <w:r>
        <w:t>abstract_source=rss_cell</w:t>
      </w:r>
    </w:p>
    <w:p>
      <w:pPr>
        <w:spacing w:before="0" w:after="80" w:lineRule="auto" w:line="276"/>
      </w:pPr>
      <w:r>
        <w:rPr>
          <w:b/>
        </w:rPr>
        <w:t xml:space="preserve">摘要（ZH）: </w:t>
      </w:r>
      <w:r>
        <w:t>缩放器件面积对于钙钛矿串联太阳能电池至关重要，但底部界面处的不均匀 SAM 分布仍然是一个关键限制因素。为了缓解这一问题，我们利用 SAM 骨架内的分子扭曲来提高其基板分散性，从而提高大面积钙钛矿太阳能电池的性能。</w:t>
      </w:r>
    </w:p>
    <w:p>
      <w:pPr>
        <w:spacing w:before="0" w:after="200" w:lineRule="auto" w:line="276"/>
      </w:pPr>
      <w:r>
        <w:rPr>
          <w:b/>
        </w:rPr>
        <w:t xml:space="preserve">Abstract (EN): </w:t>
      </w:r>
      <w:r>
        <w:t>Scaling device area is essential for perovskite tandem solar cells, yet non-uniform SAM distribution at the bottom interface remains a key limiting factor. To mitigate this, we leveraged molecular twisting within the SAM skeleton to boost its substrate dispersibility, thereby achieving enhanced performance in large-area perovskite solar cells.</w:t>
      </w:r>
    </w:p>
    <w:p>
      <w:pPr>
        <w:spacing w:before="120" w:after="120"/>
      </w:pPr>
      <w:r>
        <w:rPr>
          <w:sz w:val="18"/>
        </w:rPr>
        <w:t>——————————————————————————————————————————————————————————————————————</w:t>
      </w:r>
    </w:p>
    <w:p>
      <w:pPr>
        <w:spacing w:before="160" w:after="40" w:line="240" w:lineRule="auto"/>
      </w:pPr>
      <w:r>
        <w:rPr>
          <w:b/>
        </w:rPr>
        <w:t xml:space="preserve">[433] </w:t>
      </w:r>
      <w:hyperlink r:id="rId1072">
        <w:r>
          <w:rPr>
            <w:color w:val="1155CC"/>
            <w:u w:val="single"/>
          </w:rPr>
          <w:t>非扩散缓慢散热导致活细胞局部高温</w:t>
        </w:r>
      </w:hyperlink>
    </w:p>
    <w:p>
      <w:pPr>
        <w:spacing w:before="0" w:after="80"/>
      </w:pPr>
      <w:r>
        <w:rPr>
          <w:i/>
          <w:sz w:val="20"/>
        </w:rPr>
        <w:t>EN: Non-diffusive slow heat dissipation induces high local temperature in living cells</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最近，细胞内测温揭示了细胞内的温度变化。尽管细胞内温度变化的生物学意义已被认可，但细胞内温度变化的物理原理仍然是个谜。在这里，我们使用荧光聚合物温度计和高速荧光寿命成像显微镜通过细胞内温度图研究细胞内热传递。通过红外激光照射辅助加热，我们跟踪温度分布的变化，以检查细胞内散热与热传导的机制。与含有相当大小的均匀水溶液的脂质体相比，连续加热导致单细胞平均温度的松弛明显更慢；以秒为单位。我们还阐明这些现象受到细胞内结构和分子的影响。最后，我们发现这种缓慢的细胞内温度弛豫源于与传统热传导模型不同的非扩散散热。我们的研究结果为我们目前的理解尚未解决的细胞温度变化机制提供了见解，建立了理解非平衡条件下细胞内热力学的框架。</w:t>
      </w:r>
    </w:p>
    <w:p>
      <w:pPr>
        <w:spacing w:before="0" w:after="200" w:lineRule="auto" w:line="276"/>
      </w:pPr>
      <w:r>
        <w:rPr>
          <w:b/>
        </w:rPr>
        <w:t xml:space="preserve">Abstract (EN): </w:t>
      </w:r>
      <w:r>
        <w:t>Recently, intracellular thermometry has revealed temperature variations within cells. Although the biological significance of intracellular temperature change is recognized, the physical principles of intracellular temperature change remain a mystery. Here, we investigate intracellular heat transfer through intracellular temperature mapping using a fluorescent polymeric thermometer and high-speed fluorescence lifetime imaging microscopy. Through infrared laser irradiation-assisted heating, we track changes in temperature distribution to examine the mechanism of intracellular heat dissipation in comparison with heat conduction. Continuous heating induces the significantly slower relaxation of the average temperature of single cells compared with that of liposomes containing homogeneous aqueous solutions of comparable size; to the scale of seconds. We additionally elucidate that these phenomena are impacted by intracellular structures and molecules. Finally, we discover that this slow intracellular temperature relaxation originates from non-diffusive heat dissipation distinct from the conventional heat conduction model. Our results provide insights into the mechanisms of temperature variation in cells that are unresolved based on our current understanding, establishing a framework for understanding intracellular thermodynamics under non-equilibrium conditions.</w:t>
      </w:r>
    </w:p>
    <w:p>
      <w:pPr>
        <w:spacing w:before="120" w:after="120"/>
      </w:pPr>
      <w:r>
        <w:rPr>
          <w:sz w:val="18"/>
        </w:rPr>
        <w:t>——————————————————————————————————————————————————————————————————————</w:t>
      </w:r>
    </w:p>
    <w:p>
      <w:pPr>
        <w:spacing w:before="160" w:after="40" w:line="240" w:lineRule="auto"/>
      </w:pPr>
      <w:r>
        <w:rPr>
          <w:b/>
        </w:rPr>
        <w:t xml:space="preserve">[434] </w:t>
      </w:r>
      <w:hyperlink r:id="rId1073">
        <w:r>
          <w:rPr>
            <w:color w:val="1155CC"/>
            <w:u w:val="single"/>
          </w:rPr>
          <w:t>作者更正：ZFYVE21-Rubicon-RNF34 信号复合物促进内皮细胞内体相关炎症小体活性</w:t>
        </w:r>
      </w:hyperlink>
    </w:p>
    <w:p>
      <w:pPr>
        <w:spacing w:before="0" w:after="80"/>
      </w:pPr>
      <w:r>
        <w:rPr>
          <w:i/>
          <w:sz w:val="20"/>
        </w:rPr>
        <w:t>EN: Author Correction: A ZFYVE21-Rubicon-RNF34 signaling complex promotes endosome-associated inflammasome activity in endothelial cells</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[435] </w:t>
      </w:r>
      <w:hyperlink r:id="rId1074">
        <w:r>
          <w:rPr>
            <w:color w:val="1155CC"/>
            <w:u w:val="single"/>
          </w:rPr>
          <w:t>与 MRI 兼容的软纤维生物电子学，用于全脑激活电神经刺激的多模式评估</w:t>
        </w:r>
      </w:hyperlink>
    </w:p>
    <w:p>
      <w:pPr>
        <w:spacing w:before="0" w:after="80"/>
      </w:pPr>
      <w:r>
        <w:rPr>
          <w:i/>
          <w:sz w:val="20"/>
        </w:rPr>
        <w:t>EN: MRI-compatible soft fiber bioelectronics for multimodal assessment of electrical neural stimulation on whole-brain activation</w:t>
      </w:r>
    </w:p>
    <w:p>
      <w:pPr>
        <w:spacing w:before="0" w:after="120"/>
      </w:pPr>
      <w:r>
        <w:rPr>
          <w:b/>
        </w:rPr>
        <w:t xml:space="preserve">Source: </w:t>
      </w:r>
      <w:r>
        <w:t>National Science Review Advance Access</w:t>
      </w:r>
      <w:r>
        <w:t xml:space="preserve">    </w:t>
      </w:r>
      <w:r>
        <w:rPr>
          <w:b/>
        </w:rPr>
        <w:t xml:space="preserve">Pub date: </w:t>
      </w:r>
      <w:r>
        <w:t>2026-05-28 00:00:00+00:00</w:t>
      </w:r>
      <w:r>
        <w:t xml:space="preserve">    </w:t>
      </w:r>
      <w:r>
        <w:rPr>
          <w:b/>
        </w:rPr>
        <w:t xml:space="preserve">DOI: </w:t>
      </w:r>
      <w:hyperlink r:id="rId1075">
        <w:r>
          <w:rPr>
            <w:color w:val="1155CC"/>
            <w:u w:val="single"/>
          </w:rPr>
          <w:t>10.1093/nsr/nwag325</w:t>
        </w:r>
      </w:hyperlink>
    </w:p>
    <w:p>
      <w:pPr>
        <w:spacing w:before="0" w:after="120"/>
      </w:pPr>
      <w:r>
        <w:rPr>
          <w:b/>
        </w:rPr>
        <w:t xml:space="preserve">Notes: </w:t>
      </w:r>
      <w:r>
        <w:t>abstract_source=rss_oup</w:t>
      </w:r>
    </w:p>
    <w:p>
      <w:pPr>
        <w:spacing w:before="0" w:after="80" w:lineRule="auto" w:line="276"/>
      </w:pPr>
      <w:r>
        <w:rPr>
          <w:b/>
        </w:rPr>
        <w:t xml:space="preserve">摘要（ZH）: </w:t>
      </w:r>
      <w:r>
        <w:t>使用电生理学和磁共振成像 (MRI) 相结合的多模式方法破译电神经刺激机制对于推进神经调节疗法至关重要。然而，由于缺乏与超高场 MRI 兼容、同时具有特殊电化学特性的高性能神经电极，这一范例受到了阻碍。在这里，我们报告了一种与 MRI 兼容的纤维神经电极 (MFE)，由结构优化的导电聚合物纤维制成，模拟脑组织特性。 MFE 在 11.7 T 时几乎不会产生 MRI 伪影，并结合了低模量、低阻抗和高电荷注入限制，从而实现精确的神经刺激和记录。利用这些 MFE，我们研究了野生型和自闭症模型大鼠对内侧前额叶皮层电刺激的频率依赖性全脑反应，揭示了与自闭症干预潜在相关的反应。这是通过与电生理记录和多模态 MRI 同步的电刺激来实现的，包括功能性 MRI、扩散加权成像（组织结构评估）和磁共振波谱（代谢物分析）。我们的 MFE 能够实现前所未有的多模态信息同步采集，为深入的神经调节机制研究提供了强大的工具。</w:t>
      </w:r>
    </w:p>
    <w:p>
      <w:pPr>
        <w:spacing w:before="0" w:after="200" w:lineRule="auto" w:line="276"/>
      </w:pPr>
      <w:r>
        <w:rPr>
          <w:b/>
        </w:rPr>
        <w:t xml:space="preserve">Abstract (EN): </w:t>
      </w:r>
      <w:r>
        <w:t>Deciphering mechanisms of electrical neural stimulation using multimodal approaches combining electrophysiology and magnetic resonance imaging (MRI) is pivotal for advancing neuromodulation therapies. However, this paradigm has been hindered by the lack of high-performance neural electrodes that are compatible with ultra-high-field MRI while possessing exceptional electrochemical properties. Here, we report an MRI-compatible fiber neural electrode (MFE) fabricated from structurally optimized conductive polymer fiber emulating brain tissue characteristics. The MFE induces little-to-no MRI artifacts at 11.7 T and combines low modulus, low impedance, and high charge‐injection-limit, enabling precise neural stimulation and recording. Utilizing these MFEs, we investigated frequency-dependent whole-brain responses to electrical stimulation of the medial prefrontal cortex in wild-type and autism‐model rats, revealing responses potentially relevant to autism intervention. This was achieved through electrical stimulation synchronized with electrophysiological recording and multimodal MRI, including functional MRI, diffusion‐weighted imaging (tissue structural assessment), and magnetic resonance spectroscopy (metabolite profiling). Our MFE enables previously unattained simultaneous acquisition of multimodal information, providing a powerful tool for in-depth mechanistic studies of neuromodulation.</w:t>
      </w:r>
    </w:p>
    <w:p>
      <w:pPr>
        <w:spacing w:before="120" w:after="120"/>
      </w:pPr>
      <w:r>
        <w:rPr>
          <w:sz w:val="18"/>
        </w:rPr>
        <w:t>——————————————————————————————————————————————————————————————————————</w:t>
      </w:r>
    </w:p>
    <w:p>
      <w:pPr>
        <w:spacing w:before="160" w:after="40" w:line="240" w:lineRule="auto"/>
      </w:pPr>
      <w:r>
        <w:rPr>
          <w:b/>
        </w:rPr>
        <w:t xml:space="preserve">[436] </w:t>
      </w:r>
      <w:hyperlink r:id="rId1076">
        <w:r>
          <w:rPr>
            <w:color w:val="1155CC"/>
            <w:u w:val="single"/>
          </w:rPr>
          <w:t>条形码酵母收藏揭示了群体规模的化学反应</w:t>
        </w:r>
      </w:hyperlink>
    </w:p>
    <w:p>
      <w:pPr>
        <w:spacing w:before="0" w:after="80"/>
      </w:pPr>
      <w:r>
        <w:rPr>
          <w:i/>
          <w:sz w:val="20"/>
        </w:rPr>
        <w:t>EN: Population-scale chemical response revealed by a barcoded yeast collection</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自然遗传变异决定了微生物种群如何适应环境和化学挑战，但绘制不同遗传背景的基因型-表型关系的可扩展方法仍然有限。在这里，我们开发了 520 个酿酒酵母天然分离株的系统条形码库，捕捉了该物种的生态、地理和遗传多样性。使用汇总条形码测序，我们分析了对 600 多种生物活性和天然化合物的适应性反应，揭示了比标准酵母基因删除集合更广泛、更极化的生物活性。基于适应度的聚类定义了六个主要的化合物组，具有可重复的、群体结构的敏感性模式。全基因组关联分析确定了 106 种化合物的显着遗传变异，将天然多态性与化学反应联系起来，并涉及基因组维护、核糖体生物发生、囊泡运输和应激耐受等基因。总之，我们的条形码自然种群为化学遗传筛选提供了一个可扩展的框架，能够系统地剖析遗传多样性如何影响微生物的适应性和适应性。</w:t>
      </w:r>
    </w:p>
    <w:p>
      <w:pPr>
        <w:spacing w:before="0" w:after="200" w:lineRule="auto" w:line="276"/>
      </w:pPr>
      <w:r>
        <w:rPr>
          <w:b/>
        </w:rPr>
        <w:t xml:space="preserve">Abstract (EN): </w:t>
      </w:r>
      <w:r>
        <w:t>Natural genetic variation shapes how microbial populations adapt to environmental and chemical challenges, but scalable approaches to map genotype-phenotype relationships across diverse genetic backgrounds remain limited. Here, we developed a systematically barcoded collection of 520 Saccharomyces cerevisiae natural isolates that captures the ecological, geographical and genetic diversity of the species. Using pooled barcode sequencing, we profiled fitness responses to over 600 bioactive and natural compounds, revealing broader and more polarized bioactivity than the standard yeast gene-deletion collection. Fitness-based clustering defined six major compound groups with reproducible, population-structured sensitivity patterns. Genome-wide association analysis identified significant genetic variants across 106 compounds, linking natural polymorphisms to chemical responses and involving genes in genome maintenance, ribosome biogenesis, vesicular trafficking and stress tolerance. Together, our barcoded natural population provides a scalable framework for chemical-genetic screening, enabling systematic dissection of how genetic diversity shapes microbial fitness and adaptation.</w:t>
      </w:r>
    </w:p>
    <w:p>
      <w:pPr>
        <w:spacing w:before="120" w:after="120"/>
      </w:pPr>
      <w:r>
        <w:rPr>
          <w:sz w:val="18"/>
        </w:rPr>
        <w:t>——————————————————————————————————————————————————————————————————————</w:t>
      </w:r>
    </w:p>
    <w:p>
      <w:pPr>
        <w:spacing w:before="160" w:after="40" w:line="240" w:lineRule="auto"/>
      </w:pPr>
      <w:r>
        <w:rPr>
          <w:b/>
        </w:rPr>
        <w:t xml:space="preserve">[437] </w:t>
      </w:r>
      <w:hyperlink r:id="rId1077">
        <w:r>
          <w:rPr>
            <w:color w:val="1155CC"/>
            <w:u w:val="single"/>
          </w:rPr>
          <w:t>BNT162b2 LP.8.1 早期疫苗对 COVID-19 急诊室、紧急护理和门诊就诊的有效性</w:t>
        </w:r>
      </w:hyperlink>
    </w:p>
    <w:p>
      <w:pPr>
        <w:spacing w:before="0" w:after="80"/>
      </w:pPr>
      <w:r>
        <w:rPr>
          <w:i/>
          <w:sz w:val="20"/>
        </w:rPr>
        <w:t>EN: BNT162b2 LP.8.1 early vaccine effectiveness against COVID-19 emergency department, urgent care, and outpatient visits</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COVID-19 继续导致严重疾病，特别是在老年人和患有基础疾病的人中。更新的疫苗旨在更好地预防当前正在传播的病毒株。然而，关于更新疫苗有效性的现实证据仍然有限。在这里，我们展示了适用于 BNT162b2 LP.8.1 的 COVID-19 疫苗针对轻度至中度 COVID-19 结果的早期疫苗有效性 (VE)。我们使用测试阴性病例对照设计来估计 BNT162b2 LP.8.1 适应疫苗针对 COVID-19 急诊科/紧急护理 (ED/UC) 和门诊就诊的早期 VE。来自美国退伍军人事务医疗系统的患有急性呼吸道感染 (ARI) 且于 2025 年 9 月 10 日至 11 月 30 日接受 SARS-CoV-2 检测的成年患者被纳入研究。使用根据患者人口统计数据和临床特征进行调整的多变量逻辑回归来估计 VE。在 34,455 起 ARI 事件中，10.7% 为 COVID-19 病例。共有 1.2% 的病例和 2.6% 的对照者接种了 BNT162b2 LP.8.1 疫苗，接种疫苗后的中位时间为 29 天（四分位距 20-41）。 BNT162b2 LP.8.1 疫苗在 2025-2026 呼吸道病毒季节初期有效。与 ED/UC 就诊相比，VE 为 57%（95% 置信区间 [CI] 39-70%），与门诊就诊相比，VE 为 54%（95% CI 15-75%）。这些发现为临床实践中的共同决策提供了信息，并支持了推荐接种 COVID-19 疫苗的人群的持续重要性。</w:t>
      </w:r>
    </w:p>
    <w:p>
      <w:pPr>
        <w:spacing w:before="0" w:after="200" w:lineRule="auto" w:line="276"/>
      </w:pPr>
      <w:r>
        <w:rPr>
          <w:b/>
        </w:rPr>
        <w:t xml:space="preserve">Abstract (EN): </w:t>
      </w:r>
      <w:r>
        <w:t>COVID-19 continues to cause substantial illness, particularly among older adults and individuals with underlying conditions. Updated vaccines are designed to better protect against the strains of the virus that are currently circulating. However, real-world evidence on the effectiveness of updated vaccines remains limited. Here we show the early vaccine effectiveness (VE) of the BNT162b2 LP.8.1-adapted COVID-19 vaccine against mild-to-moderate COVID-19 outcomes. We used a test-negative case-control design to estimate early VE of the BNT162b2 LP.8.1-adapted vaccine against COVID-19 emergency department/urgent care (ED/UC) and outpatient visits. Adult patients from the US Veterans Affairs Healthcare System with an acute respiratory infection (ARI) who underwent SARS-CoV-2 testing from September 10 to November 30, 2025, were included. VE was estimated using multivariable logistic regression adjusted for patient demographics and clinical characteristics. Among 34,455 ARI episodes, 10.7% were COVID-19 cases. A total of 1.2% of cases and 2.6% of controls received the BNT162b2 LP.8.1 vaccine, with a median time since vaccination of 29 days (interquartile range 20-–41). BNT162b2 LP.8.1 vaccine was effective during the early 2025–2026 respiratory virus season. VE was 57% (95% confidence interval [CI] 39–70%) against ED/UC visits and 54% (95% CI 15–75%) against outpatient visits. These findings inform shared decision-making in clinical practice and support the continued importance of COVID-19 vaccination in populations for whom it is recommended.</w:t>
      </w:r>
    </w:p>
    <w:p>
      <w:pPr>
        <w:spacing w:before="120" w:after="120"/>
      </w:pPr>
      <w:r>
        <w:rPr>
          <w:sz w:val="18"/>
        </w:rPr>
        <w:t>——————————————————————————————————————————————————————————————————————</w:t>
      </w:r>
    </w:p>
    <w:p>
      <w:pPr>
        <w:spacing w:before="160" w:after="40" w:line="240" w:lineRule="auto"/>
      </w:pPr>
      <w:r>
        <w:rPr>
          <w:b/>
        </w:rPr>
        <w:t xml:space="preserve">[438] </w:t>
      </w:r>
      <w:hyperlink r:id="rId1078">
        <w:r>
          <w:rPr>
            <w:color w:val="1155CC"/>
            <w:u w:val="single"/>
          </w:rPr>
          <w:t>揭示超快质子转移介导的自电离作为氢键系统中低能电子的来源</w:t>
        </w:r>
      </w:hyperlink>
    </w:p>
    <w:p>
      <w:pPr>
        <w:spacing w:before="0" w:after="80"/>
      </w:pPr>
      <w:r>
        <w:rPr>
          <w:i/>
          <w:sz w:val="20"/>
        </w:rPr>
        <w:t>EN: Revealing ultrafast proton-transfer-mediated autoionization as a source of low-energy electrons in hydrogen-bonded systems</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电离辐射可以触发超快质子转移，这是许多化学和生物功能的核心机制，反过来又可以启用或抑制电子弛豫过程，从而导致反应途径发生突然变化。这项研究结合了理论和实验，探讨了内价和外价光电离后水二聚体的超快弛豫和解离。通过同时跟踪电子和核运动，我们揭示了产生低能电子的竞争碎片途径，这些电子是辐射诱导化学（包括 DNA 损伤）的关键因素。虽然已知低能电子是通过分子间库仑衰变产生的，但在这里我们发现了一种由内价电离后的质子转移门控的更快的弛豫机制，我们称之为质子转移介导的自电离。该过程发生在 10 飞秒内，会改变碎片结果，产生 D3O+ + OD+ 或 D2O+ + D2O+，具体取决于质子迁移和氢反向转移的相互作用。我们的研究结果强调了氢键系统中电子和核动力学之间复杂的耦合，并将质子转移介导的自电离确立为低能电子生成的重要途径。</w:t>
      </w:r>
    </w:p>
    <w:p>
      <w:pPr>
        <w:spacing w:before="0" w:after="200" w:lineRule="auto" w:line="276"/>
      </w:pPr>
      <w:r>
        <w:rPr>
          <w:b/>
        </w:rPr>
        <w:t xml:space="preserve">Abstract (EN): </w:t>
      </w:r>
      <w:r>
        <w:t>Ionizing radiation can trigger ultrafast proton transfer, a central mechanism in many chemical and biological functions, that in turn can enable or suppress electron relaxation processes and consequently cause abrupt changes in the reaction pathway. This study combines theory and experiment to probe ultrafast relaxation and dissociation in water dimers following inner- and outer-valence photoionization. By tracking electron and nuclear motion simultaneously, we reveal competing fragmentation pathways that produce low-energy electrons, which are key agents in radiation-induced chemistry, including DNA damage. While low-energy electrons are known to arise via intermolecular Coulombic decay, here we identify a faster relaxation mechanism gated by proton transfer following inner-valence ionization, which we call proton-transfer-mediated autoionization. Occurring within 10 femtoseconds, this process alters fragmentation outcomes, yielding either D3O+ + OD+ or D2O+ + D2O+, depending on the interplay of proton migration and hydrogen back-transfer. Our findings underscore the intricate coupling between electronic and nuclear dynamics in hydrogen-bonded systems and establish proton-transfer-mediated autoionization as a significant pathway for low-energy electron generation.</w:t>
      </w:r>
    </w:p>
    <w:p>
      <w:pPr>
        <w:spacing w:before="120" w:after="120"/>
      </w:pPr>
      <w:r>
        <w:rPr>
          <w:sz w:val="18"/>
        </w:rPr>
        <w:t>——————————————————————————————————————————————————————————————————————</w:t>
      </w:r>
    </w:p>
    <w:p>
      <w:pPr>
        <w:spacing w:before="160" w:after="40" w:line="240" w:lineRule="auto"/>
      </w:pPr>
      <w:r>
        <w:rPr>
          <w:b/>
        </w:rPr>
        <w:t xml:space="preserve">[439] </w:t>
      </w:r>
      <w:hyperlink r:id="rId1079">
        <w:r>
          <w:rPr>
            <w:color w:val="1155CC"/>
            <w:u w:val="single"/>
          </w:rPr>
          <w:t>中新世海洋环流将广阔的缺氧区转移到大西洋</w:t>
        </w:r>
      </w:hyperlink>
    </w:p>
    <w:p>
      <w:pPr>
        <w:spacing w:before="0" w:after="80"/>
      </w:pPr>
      <w:r>
        <w:rPr>
          <w:i/>
          <w:sz w:val="20"/>
        </w:rPr>
        <w:t>EN: Miocene ocean circulation shifted expansive oxygen deficient zones to the Atlantic</w:t>
      </w:r>
    </w:p>
    <w:p>
      <w:pPr>
        <w:spacing w:before="0" w:after="120"/>
      </w:pPr>
      <w:r>
        <w:rPr>
          <w:b/>
        </w:rPr>
        <w:t xml:space="preserve">Source: </w:t>
      </w:r>
      <w:r>
        <w:t>Earth and environmental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当代观察表明，随着全球气温上升，溶解氧浓度普遍下降，这对碳循环和海洋动物的可居住范围具有广泛的影响。在这里，我们使用有孔虫碘氧化还原示踪剂来评估中新世气候最适宜期（“MCO”，14.7−1700 万年前）期间海洋中缺氧区 (ODZ) 和邻近低氧水团的分布，这是大气中二氧化碳浓度最后一次持续高于今天的时间。太平洋最低含氧水团局限于约 10°N-20°S 的狭窄纬度范围，相对于今天大幅收缩。相比之下，在大西洋，与太平洋地区相比，现代 ODZ 较小，我们的数据表明 MCO 期间存在空间广阔的低氧分布。地球系统模型模拟提供的证据表明，太平洋-大西洋 ODZ 跷跷板是由开放的中美洲航道引发的非常不同的海洋环流和营养物运输模式驱动的。我们的研究结果强调了构造和海洋环流在设定 ODZ 模式以及有机埋藏和海洋栖息地的相关位点方面所发挥的关键作用，与变暖无关。</w:t>
      </w:r>
    </w:p>
    <w:p>
      <w:pPr>
        <w:spacing w:before="0" w:after="200" w:lineRule="auto" w:line="276"/>
      </w:pPr>
      <w:r>
        <w:rPr>
          <w:b/>
        </w:rPr>
        <w:t xml:space="preserve">Abstract (EN): </w:t>
      </w:r>
      <w:r>
        <w:t>Contemporary observations indicate that dissolved oxygen concentrations are generally declining as global temperatures rise, which has broad implications for carbon cycling and the habitable ranges of marine animals. Here, we use the foraminiferal iodine redox tracer to evaluate the distributions of oxygen deficient zones (ODZs) and adjacent low oxygen water masses in the oceans during the Miocene Climatic Optimum (‘MCO’, 14.7−17 million years ago)—the last time that atmospheric CO2 was consistently higher than today. The Pacific lowest oxygen water masses were confined to a narrow latitudinal range of ~10°N-20°S, which is substantially contracted relative to today. In contrast, in the Atlantic, where modern ODZs are minor compared to their Pacific counterparts, our data indicate spatially expansive low oxygen distribution during the MCO. Earth System model simulations provide evidence that the Pacific-Atlantic ODZ seesaw was driven by the very different pattern of ocean circulation and nutrient transport that was induced by an open Central American Seaway. Our findings highlight the key role played by tectonics and ocean circulation, independent of warming, in setting the pattern of ODZs and hence related loci of organic burial and marine habitats.</w:t>
      </w:r>
    </w:p>
    <w:p>
      <w:pPr>
        <w:spacing w:before="120" w:after="120"/>
      </w:pPr>
      <w:r>
        <w:rPr>
          <w:sz w:val="18"/>
        </w:rPr>
        <w:t>——————————————————————————————————————————————————————————————————————</w:t>
      </w:r>
    </w:p>
    <w:p>
      <w:pPr>
        <w:spacing w:before="160" w:after="40" w:line="240" w:lineRule="auto"/>
      </w:pPr>
      <w:r>
        <w:rPr>
          <w:b/>
        </w:rPr>
        <w:t xml:space="preserve">[440] </w:t>
      </w:r>
      <w:hyperlink r:id="rId1080">
        <w:r>
          <w:rPr>
            <w:color w:val="1155CC"/>
            <w:u w:val="single"/>
          </w:rPr>
          <w:t>占用是腐生真菌与土壤碳分解之间的关键属性</w:t>
        </w:r>
      </w:hyperlink>
    </w:p>
    <w:p>
      <w:pPr>
        <w:spacing w:before="0" w:after="80"/>
      </w:pPr>
      <w:r>
        <w:rPr>
          <w:i/>
          <w:sz w:val="20"/>
        </w:rPr>
        <w:t>EN: Occupancy as a key attribute linking saprotrophic fungi to soil carbon decomposition</w:t>
      </w:r>
    </w:p>
    <w:p>
      <w:pPr>
        <w:spacing w:before="0" w:after="120"/>
      </w:pPr>
      <w:r>
        <w:rPr>
          <w:b/>
        </w:rPr>
        <w:t xml:space="preserve">Source: </w:t>
      </w:r>
      <w:r>
        <w:t>National Science Review Advance Access</w:t>
      </w:r>
      <w:r>
        <w:t xml:space="preserve">    </w:t>
      </w:r>
      <w:r>
        <w:rPr>
          <w:b/>
        </w:rPr>
        <w:t xml:space="preserve">Pub date: </w:t>
      </w:r>
      <w:r>
        <w:t>2026-05-28 00:00:00+00:00</w:t>
      </w:r>
      <w:r>
        <w:t xml:space="preserve">    </w:t>
      </w:r>
      <w:r>
        <w:rPr>
          <w:b/>
        </w:rPr>
        <w:t xml:space="preserve">DOI: </w:t>
      </w:r>
      <w:hyperlink r:id="rId1081">
        <w:r>
          <w:rPr>
            <w:color w:val="1155CC"/>
            <w:u w:val="single"/>
          </w:rPr>
          <w:t>10.1093/nsr/nwag319</w:t>
        </w:r>
      </w:hyperlink>
    </w:p>
    <w:p>
      <w:pPr>
        <w:spacing w:before="0" w:after="120"/>
      </w:pPr>
      <w:r>
        <w:rPr>
          <w:b/>
        </w:rPr>
        <w:t xml:space="preserve">Notes: </w:t>
      </w:r>
      <w:r>
        <w:t>abstract_source=rss_oup</w:t>
      </w:r>
    </w:p>
    <w:p>
      <w:pPr>
        <w:spacing w:before="0" w:after="80" w:lineRule="auto" w:line="276"/>
      </w:pPr>
      <w:r>
        <w:rPr>
          <w:b/>
        </w:rPr>
        <w:t xml:space="preserve">摘要（ZH）: </w:t>
      </w:r>
      <w:r>
        <w:t>了解真菌生物地理学如何塑造生态系统过程对于预测生物地球化学对环境变化的反应至关重要。然而，将腐生真菌的分布模式与地下碳循环联系起来的特性仍不清楚。在这里，我们提供了一项全面的评估，将广泛分布的（高发生率）和狭窄分布的（低发生率）腐生真菌（腐生菌）与从热带到北方地区的广泛纬度梯度上的碳分解过程联系起来。我们的结果表明，腐生真菌的多样性是由不同的群落组装过程决定的，这反过来又在不同纬度产生对比的地理模式。广泛分布的腐生菌主要由大范围的气候和当地土壤变量（环境过滤）构成，并且随着纬度越高，多样性越增加，而范围狭窄的腐生菌主要受到区域物种库（扩散过滤）的限制，导致多样性随着纬度的增加而下降。通过将大规模生物地理数据与 DNA 稳定同位素探测实验相结合，我们提供了证据表明，积极参与秸秆分解的真菌类群以广泛分布的腐生菌为主，强调了它们在碳循环中的重要作用。我们的研究结果强调了占用率是调节真菌对碳循环贡献的关键生物地理属性，并为了解地下生物多样性如何在全球变化下塑造土壤碳动态提供了预测框架。</w:t>
      </w:r>
    </w:p>
    <w:p>
      <w:pPr>
        <w:spacing w:before="0" w:after="200" w:lineRule="auto" w:line="276"/>
      </w:pPr>
      <w:r>
        <w:rPr>
          <w:b/>
        </w:rPr>
        <w:t xml:space="preserve">Abstract (EN): </w:t>
      </w:r>
      <w:r>
        <w:t>Understanding how fungal biogeography shapes ecosystem processes is central to predicting biogeochemical responses to environmental change. However, the properties of saprotrophic fungi that link their distribution patterns to belowground carbon cycling remain unclear. Here, we provide a comprehensive assessment linking widespread (high-occurrence) and narrowly distributed (low-occurrence) saprotrophic fungi (saprotrophs) to carbon decomposition processes across a broad latitudinal gradient from tropical to boreal zones. Our results show that the diversity of saprotrophic fungi is shaped by distinct community assembly processes, which in turn generate contrasting geographic patterns across latitudes. Widespread saprotrophs are mainly structured by large-scale climatic and local soil variables (environmental filtering) and show increasing diversity toward higher latitudes, whereas narrow-ranged saprotrophs are primarily constrained by the regional species pool (dispersal filtering), leading to declining diversity with latitude. By integrating large-scale biogeographic data with DNA stable isotope probing experiment, we provide evidence that fungal taxa actively participating in straw decomposition are dominated by widespread saprotrophs, underscoring their essential role in carbon cycling. Our findings highlight occupancy as a key biogeographic attribute regulating fungal contributions to carbon cycling and provide a predictive framework for understanding how belowground biodiversity shapes soil carbon dynamics under global change.</w:t>
      </w:r>
    </w:p>
    <w:p>
      <w:pPr>
        <w:spacing w:before="120" w:after="120"/>
      </w:pPr>
      <w:r>
        <w:rPr>
          <w:sz w:val="18"/>
        </w:rPr>
        <w:t>——————————————————————————————————————————————————————————————————————</w:t>
      </w:r>
    </w:p>
    <w:p>
      <w:pPr>
        <w:spacing w:before="160" w:after="40" w:line="240" w:lineRule="auto"/>
      </w:pPr>
      <w:r>
        <w:rPr>
          <w:b/>
        </w:rPr>
        <w:t xml:space="preserve">[441] </w:t>
      </w:r>
      <w:hyperlink r:id="rId1082">
        <w:r>
          <w:rPr>
            <w:color w:val="1155CC"/>
            <w:u w:val="single"/>
          </w:rPr>
          <w:t>治疗衰竭心脏的基因疗法在经历了多年的低迷后获得了动力</w:t>
        </w:r>
      </w:hyperlink>
    </w:p>
    <w:p>
      <w:pPr>
        <w:spacing w:before="0" w:after="80"/>
      </w:pPr>
      <w:r>
        <w:rPr>
          <w:i/>
          <w:sz w:val="20"/>
        </w:rPr>
        <w:t>EN: Gene therapies to fix failing hearts gain steam after years in the doldrums</w:t>
      </w:r>
    </w:p>
    <w:p>
      <w:pPr>
        <w:spacing w:before="0" w:after="120"/>
      </w:pPr>
      <w:r>
        <w:rPr>
          <w:b/>
        </w:rPr>
        <w:t xml:space="preserve">Source: </w:t>
      </w:r>
      <w:r>
        <w:t>Nature</w:t>
      </w:r>
      <w:r>
        <w:t xml:space="preserve">    </w:t>
      </w:r>
      <w:r>
        <w:rPr>
          <w:b/>
        </w:rPr>
        <w:t xml:space="preserve">Pub date: </w:t>
      </w:r>
      <w:r>
        <w:t>2026-05-28 00:00:00+00:00</w:t>
      </w:r>
      <w:r>
        <w:t xml:space="preserve">    </w:t>
      </w:r>
      <w:r>
        <w:rPr>
          <w:b/>
        </w:rPr>
        <w:t xml:space="preserve">DOI: </w:t>
      </w:r>
      <w:hyperlink r:id="rId1083">
        <w:r>
          <w:rPr>
            <w:color w:val="1155CC"/>
            <w:u w:val="single"/>
          </w:rPr>
          <w:t>10.1038/d41586-026-01598-2</w:t>
        </w:r>
      </w:hyperlink>
    </w:p>
    <w:p>
      <w:pPr>
        <w:spacing w:before="0" w:after="120"/>
      </w:pPr>
      <w:r>
        <w:rPr>
          <w:b/>
        </w:rPr>
        <w:t xml:space="preserve">Notes: </w:t>
      </w:r>
      <w:r>
        <w:t>abstract_source=nature_html</w:t>
      </w:r>
    </w:p>
    <w:p>
      <w:pPr>
        <w:spacing w:before="0" w:after="80" w:lineRule="auto" w:line="276"/>
      </w:pPr>
      <w:r>
        <w:rPr>
          <w:b/>
        </w:rPr>
        <w:t xml:space="preserve">摘要（ZH）: </w:t>
      </w:r>
      <w:r>
        <w:t>治疗的目的是让衰竭的心脏恢复活力，但该领域能否摆脱过去的争议？治疗的目的是让衰竭的心脏恢复活力，但该领域能否摆脱过去的争议？</w:t>
      </w:r>
    </w:p>
    <w:p>
      <w:pPr>
        <w:spacing w:before="0" w:after="200" w:lineRule="auto" w:line="276"/>
      </w:pPr>
      <w:r>
        <w:rPr>
          <w:b/>
        </w:rPr>
        <w:t xml:space="preserve">Abstract (EN): </w:t>
      </w:r>
      <w:r>
        <w:t>Treatments aim to bulk up failing hearts to restore their vigour — but can the field move on from past controversy? Treatments aim to bulk up failing hearts to restore their vigour — but can the field move on from past controversy?</w:t>
      </w:r>
    </w:p>
    <w:p>
      <w:pPr>
        <w:spacing w:before="120" w:after="120"/>
      </w:pPr>
      <w:r>
        <w:rPr>
          <w:sz w:val="18"/>
        </w:rPr>
        <w:t>——————————————————————————————————————————————————————————————————————</w:t>
      </w:r>
    </w:p>
    <w:p>
      <w:pPr>
        <w:spacing w:before="160" w:after="40" w:line="240" w:lineRule="auto"/>
      </w:pPr>
      <w:r>
        <w:rPr>
          <w:b/>
        </w:rPr>
        <w:t xml:space="preserve">[442] </w:t>
      </w:r>
      <w:hyperlink r:id="rId1084">
        <w:r>
          <w:rPr>
            <w:color w:val="1155CC"/>
            <w:u w:val="single"/>
          </w:rPr>
          <w:t>布里奇特·奥格尔维讣告：倡导生物医学实验室和科学证据的寄生虫学家</w:t>
        </w:r>
      </w:hyperlink>
    </w:p>
    <w:p>
      <w:pPr>
        <w:spacing w:before="0" w:after="80"/>
      </w:pPr>
      <w:r>
        <w:rPr>
          <w:i/>
          <w:sz w:val="20"/>
        </w:rPr>
        <w:t>EN: Bridget Ogilvie obituary: parasitologist who championed biomedical labs and scientific evidence</w:t>
      </w:r>
    </w:p>
    <w:p>
      <w:pPr>
        <w:spacing w:before="0" w:after="120"/>
      </w:pPr>
      <w:r>
        <w:rPr>
          <w:b/>
        </w:rPr>
        <w:t xml:space="preserve">Source: </w:t>
      </w:r>
      <w:r>
        <w:t>Nature</w:t>
      </w:r>
      <w:r>
        <w:t xml:space="preserve">    </w:t>
      </w:r>
      <w:r>
        <w:rPr>
          <w:b/>
        </w:rPr>
        <w:t xml:space="preserve">Pub date: </w:t>
      </w:r>
      <w:r>
        <w:t>2026-05-28 00:00:00+00:00</w:t>
      </w:r>
      <w:r>
        <w:t xml:space="preserve">    </w:t>
      </w:r>
      <w:r>
        <w:rPr>
          <w:b/>
        </w:rPr>
        <w:t xml:space="preserve">DOI: </w:t>
      </w:r>
      <w:hyperlink r:id="rId1085">
        <w:r>
          <w:rPr>
            <w:color w:val="1155CC"/>
            <w:u w:val="single"/>
          </w:rPr>
          <w:t>10.1038/d41586-026-01733-z</w:t>
        </w:r>
      </w:hyperlink>
    </w:p>
    <w:p>
      <w:pPr>
        <w:spacing w:before="0" w:after="120"/>
      </w:pPr>
      <w:r>
        <w:rPr>
          <w:b/>
        </w:rPr>
        <w:t xml:space="preserve">Notes: </w:t>
      </w:r>
      <w:r>
        <w:t>abstract_source=nature_html</w:t>
      </w:r>
    </w:p>
    <w:p>
      <w:pPr>
        <w:spacing w:before="0" w:after="80" w:lineRule="auto" w:line="276"/>
      </w:pPr>
      <w:r>
        <w:rPr>
          <w:b/>
        </w:rPr>
        <w:t xml:space="preserve">摘要（ZH）: </w:t>
      </w:r>
      <w:r>
        <w:t>作为威康信托基金会的董事和慈善机构的创始人，她建立的实验室对人类基因组等进行了测序。作为威康信托基金会的董事和慈善机构的创始人，她建立的实验室对人类基因组等进行了测序。</w:t>
      </w:r>
    </w:p>
    <w:p>
      <w:pPr>
        <w:spacing w:before="0" w:after="200" w:lineRule="auto" w:line="276"/>
      </w:pPr>
      <w:r>
        <w:rPr>
          <w:b/>
        </w:rPr>
        <w:t xml:space="preserve">Abstract (EN): </w:t>
      </w:r>
      <w:r>
        <w:t>As a director of the Wellcome Trust and charity founder, the labs she built sequenced the human genome and more. As a director of the Wellcome Trust and charity founder, the labs she built sequenced the human genome and more.</w:t>
      </w:r>
    </w:p>
    <w:p>
      <w:pPr>
        <w:spacing w:before="120" w:after="120"/>
      </w:pPr>
      <w:r>
        <w:rPr>
          <w:sz w:val="18"/>
        </w:rPr>
        <w:t>——————————————————————————————————————————————————————————————————————</w:t>
      </w:r>
    </w:p>
    <w:p>
      <w:pPr>
        <w:spacing w:before="160" w:after="40" w:line="240" w:lineRule="auto"/>
      </w:pPr>
      <w:r>
        <w:rPr>
          <w:b/>
        </w:rPr>
        <w:t xml:space="preserve">[443] </w:t>
      </w:r>
      <w:hyperlink r:id="rId1086">
        <w:r>
          <w:rPr>
            <w:color w:val="1155CC"/>
            <w:u w:val="single"/>
          </w:rPr>
          <w:t>分享您在科学职业生涯中的高潮和低谷：参加《自然》杂志的全球调查</w:t>
        </w:r>
      </w:hyperlink>
    </w:p>
    <w:p>
      <w:pPr>
        <w:spacing w:before="0" w:after="80"/>
      </w:pPr>
      <w:r>
        <w:rPr>
          <w:i/>
          <w:sz w:val="20"/>
        </w:rPr>
        <w:t>EN: Share the highs and lows of your career in science: take Nature’s global survey</w:t>
      </w:r>
    </w:p>
    <w:p>
      <w:pPr>
        <w:spacing w:before="0" w:after="120"/>
      </w:pPr>
      <w:r>
        <w:rPr>
          <w:b/>
        </w:rPr>
        <w:t xml:space="preserve">Source: </w:t>
      </w:r>
      <w:r>
        <w:t>Nature</w:t>
      </w:r>
      <w:r>
        <w:t xml:space="preserve">    </w:t>
      </w:r>
      <w:r>
        <w:rPr>
          <w:b/>
        </w:rPr>
        <w:t xml:space="preserve">Pub date: </w:t>
      </w:r>
      <w:r>
        <w:t>2026-05-28 00:00:00+00:00</w:t>
      </w:r>
      <w:r>
        <w:t xml:space="preserve">    </w:t>
      </w:r>
      <w:r>
        <w:rPr>
          <w:b/>
        </w:rPr>
        <w:t xml:space="preserve">DOI: </w:t>
      </w:r>
      <w:hyperlink r:id="rId1087">
        <w:r>
          <w:rPr>
            <w:color w:val="1155CC"/>
            <w:u w:val="single"/>
          </w:rPr>
          <w:t>10.1038/d41586-026-01589-3</w:t>
        </w:r>
      </w:hyperlink>
    </w:p>
    <w:p>
      <w:pPr>
        <w:spacing w:before="0" w:after="120"/>
      </w:pPr>
      <w:r>
        <w:rPr>
          <w:b/>
        </w:rPr>
        <w:t xml:space="preserve">Notes: </w:t>
      </w:r>
      <w:r>
        <w:t>abstract_source=nature_html</w:t>
      </w:r>
    </w:p>
    <w:p>
      <w:pPr>
        <w:spacing w:before="0" w:after="80" w:lineRule="auto" w:line="276"/>
      </w:pPr>
      <w:r>
        <w:rPr>
          <w:b/>
        </w:rPr>
        <w:t xml:space="preserve">摘要（ZH）: </w:t>
      </w:r>
      <w:r>
        <w:t>科学和社会正在经历快速变化。 Nature 想知道这对职业、工作场所文化和薪资有何影响。科学和社会正在经历快速变化。 Nature 想知道这对职业、工作场所文化和薪资有何影响。</w:t>
      </w:r>
    </w:p>
    <w:p>
      <w:pPr>
        <w:spacing w:before="0" w:after="200" w:lineRule="auto" w:line="276"/>
      </w:pPr>
      <w:r>
        <w:rPr>
          <w:b/>
        </w:rPr>
        <w:t xml:space="preserve">Abstract (EN): </w:t>
      </w:r>
      <w:r>
        <w:t>Science and society are undergoing rapid change. Nature wants to know how this is affecting careers, workplace culture and salaries. Science and society are undergoing rapid change. Nature wants to know how this is affecting careers, workplace culture and salaries.</w:t>
      </w:r>
    </w:p>
    <w:p>
      <w:pPr>
        <w:spacing w:before="120" w:after="120"/>
      </w:pPr>
      <w:r>
        <w:rPr>
          <w:sz w:val="18"/>
        </w:rPr>
        <w:t>——————————————————————————————————————————————————————————————————————</w:t>
      </w:r>
    </w:p>
    <w:p>
      <w:pPr>
        <w:spacing w:before="160" w:after="40" w:line="240" w:lineRule="auto"/>
      </w:pPr>
      <w:r>
        <w:rPr>
          <w:b/>
        </w:rPr>
        <w:t xml:space="preserve">[444] </w:t>
      </w:r>
      <w:hyperlink r:id="rId1088">
        <w:r>
          <w:rPr>
            <w:color w:val="1155CC"/>
            <w:u w:val="single"/>
          </w:rPr>
          <w:t>具有空间和时间分辨率的过氧亚硝酸盐检测：挑战和机遇</w:t>
        </w:r>
      </w:hyperlink>
    </w:p>
    <w:p>
      <w:pPr>
        <w:spacing w:before="0" w:after="80"/>
      </w:pPr>
      <w:r>
        <w:rPr>
          <w:i/>
          <w:sz w:val="20"/>
        </w:rPr>
        <w:t>EN: Detection of peroxynitrite with spatial and temporal resolution: Challenges and opportunities</w:t>
      </w:r>
    </w:p>
    <w:p>
      <w:pPr>
        <w:spacing w:before="0" w:after="120"/>
      </w:pPr>
      <w:r>
        <w:rPr>
          <w:b/>
        </w:rPr>
        <w:t xml:space="preserve">Source: </w:t>
      </w:r>
      <w:r>
        <w:t>Chem</w:t>
      </w:r>
      <w:r>
        <w:t xml:space="preserve">    </w:t>
      </w:r>
      <w:r>
        <w:rPr>
          <w:b/>
        </w:rPr>
        <w:t xml:space="preserve">Pub date: </w:t>
      </w:r>
      <w:r>
        <w:t>2026-05-28 00:00:00+00:00</w:t>
      </w:r>
      <w:r>
        <w:t xml:space="preserve">    </w:t>
      </w:r>
      <w:r>
        <w:rPr>
          <w:b/>
        </w:rPr>
        <w:t xml:space="preserve">DOI: </w:t>
      </w:r>
      <w:hyperlink r:id="rId1089">
        <w:r>
          <w:rPr>
            <w:color w:val="1155CC"/>
            <w:u w:val="single"/>
          </w:rPr>
          <w:t>10.1016/j.chempr.2026.103072</w:t>
        </w:r>
      </w:hyperlink>
    </w:p>
    <w:p>
      <w:pPr>
        <w:spacing w:before="0" w:after="120"/>
      </w:pPr>
      <w:r>
        <w:rPr>
          <w:b/>
        </w:rPr>
        <w:t xml:space="preserve">Notes: </w:t>
      </w:r>
      <w:r>
        <w:t>abstract_source=rss_cell</w:t>
      </w:r>
    </w:p>
    <w:p>
      <w:pPr>
        <w:spacing w:before="0" w:after="80" w:lineRule="auto" w:line="276"/>
      </w:pPr>
      <w:r>
        <w:rPr>
          <w:b/>
        </w:rPr>
        <w:t xml:space="preserve">摘要（ZH）: </w:t>
      </w:r>
      <w:r>
        <w:t>精确和位点特异性的过氧亚硝酸盐检测是氧化应激的重要生物标志物，其未来集中于以下方面的持续开发：(1) 选择性分子传感器，(2) 将其集成到可调节的大分子结构中，以及 (3) 跨不同 2D、3D 和体内模型的评估。</w:t>
      </w:r>
    </w:p>
    <w:p>
      <w:pPr>
        <w:spacing w:before="0" w:after="200" w:lineRule="auto" w:line="276"/>
      </w:pPr>
      <w:r>
        <w:rPr>
          <w:b/>
        </w:rPr>
        <w:t xml:space="preserve">Abstract (EN): </w:t>
      </w:r>
      <w:r>
        <w:t>The future of precise and site-specific peroxynitrite detection, an important biomarker of oxidative stress, centers on the continued development of (1) selective molecular sensors, (2) their integration into tunable macromolecular architectures, and (3) evaluation across diverse 2D, 3D, and in vivo models.</w:t>
      </w:r>
    </w:p>
    <w:p>
      <w:pPr>
        <w:spacing w:before="120" w:after="120"/>
      </w:pPr>
      <w:r>
        <w:rPr>
          <w:sz w:val="18"/>
        </w:rPr>
        <w:t>——————————————————————————————————————————————————————————————————————</w:t>
      </w:r>
    </w:p>
    <w:p>
      <w:pPr>
        <w:spacing w:before="160" w:after="40" w:line="240" w:lineRule="auto"/>
      </w:pPr>
      <w:r>
        <w:rPr>
          <w:b/>
        </w:rPr>
        <w:t xml:space="preserve">[445] </w:t>
      </w:r>
      <w:hyperlink r:id="rId1090">
        <w:r>
          <w:rPr>
            <w:color w:val="1155CC"/>
            <w:u w:val="single"/>
          </w:rPr>
          <w:t>碳磷键的阻转异构现象</w:t>
        </w:r>
      </w:hyperlink>
    </w:p>
    <w:p>
      <w:pPr>
        <w:spacing w:before="0" w:after="80"/>
      </w:pPr>
      <w:r>
        <w:rPr>
          <w:i/>
          <w:sz w:val="20"/>
        </w:rPr>
        <w:t>EN: Atropisomerism at the carbon–phosphorus bond</w:t>
      </w:r>
    </w:p>
    <w:p>
      <w:pPr>
        <w:spacing w:before="0" w:after="120"/>
      </w:pPr>
      <w:r>
        <w:rPr>
          <w:b/>
        </w:rPr>
        <w:t xml:space="preserve">Source: </w:t>
      </w:r>
      <w:r>
        <w:t>Chem</w:t>
      </w:r>
      <w:r>
        <w:t xml:space="preserve">    </w:t>
      </w:r>
      <w:r>
        <w:rPr>
          <w:b/>
        </w:rPr>
        <w:t xml:space="preserve">Pub date: </w:t>
      </w:r>
      <w:r>
        <w:t>2026-05-28 00:00:00+00:00</w:t>
      </w:r>
      <w:r>
        <w:t xml:space="preserve">    </w:t>
      </w:r>
      <w:r>
        <w:rPr>
          <w:b/>
        </w:rPr>
        <w:t xml:space="preserve">DOI: </w:t>
      </w:r>
      <w:hyperlink r:id="rId1091">
        <w:r>
          <w:rPr>
            <w:color w:val="1155CC"/>
            <w:u w:val="single"/>
          </w:rPr>
          <w:t>10.1016/j.chempr.2026.103076</w:t>
        </w:r>
      </w:hyperlink>
    </w:p>
    <w:p>
      <w:pPr>
        <w:spacing w:before="0" w:after="120"/>
      </w:pPr>
      <w:r>
        <w:rPr>
          <w:b/>
        </w:rPr>
        <w:t xml:space="preserve">Notes: </w:t>
      </w:r>
      <w:r>
        <w:t>abstract_source=rss_cell</w:t>
      </w:r>
    </w:p>
    <w:p>
      <w:pPr>
        <w:spacing w:before="0" w:after="80" w:lineRule="auto" w:line="276"/>
      </w:pPr>
      <w:r>
        <w:rPr>
          <w:b/>
        </w:rPr>
        <w:t xml:space="preserve">摘要（ZH）: </w:t>
      </w:r>
      <w:r>
        <w:t>我们描述了停止 C-P 键旋转的可行性，这允许在环境条件下分离构型稳定的 C-P 阻转异构体。因此，具有旋转限制的 C-P 轴的三蝶基氧化膦具有三重立体异构性，势垒超过 115 kJ/mol。此外，通过区域选择性、非对映选择性和对映选择性 Fujiwara-Moritani 反应，建立了催化控制立体 C-P 轴构型的可行性。 C-P 阻转异构现象的首次应用是通过 1H NMR 测定手性氨基酸的绝对构型来鉴定的。</w:t>
      </w:r>
    </w:p>
    <w:p>
      <w:pPr>
        <w:spacing w:before="0" w:after="200" w:lineRule="auto" w:line="276"/>
      </w:pPr>
      <w:r>
        <w:rPr>
          <w:b/>
        </w:rPr>
        <w:t xml:space="preserve">Abstract (EN): </w:t>
      </w:r>
      <w:r>
        <w:t>We describe the feasibility of halting the rotation about the C–P bond, which allows for the isolation of configurationally stable C–P atropisomers under ambient conditions. Triptycyl phosphine oxides with rotationally restricted C–P axes thereby feature threefold stereogenicity with barriers beyond 115 kJ/mol. Moreover, the feasibility of catalytically controlling the configuration of stereogenic C–P axes was established by means of a regio-, diastereo-, and enantioselective Fujiwara-Moritani reaction. A first application of C–P atropisomerism was identified by determining the absolute configuration of a chiral amino acid by 1H NMR.</w:t>
      </w:r>
    </w:p>
    <w:p>
      <w:pPr>
        <w:spacing w:before="120" w:after="120"/>
      </w:pPr>
      <w:r>
        <w:rPr>
          <w:sz w:val="18"/>
        </w:rPr>
        <w:t>——————————————————————————————————————————————————————————————————————</w:t>
      </w:r>
    </w:p>
    <w:p>
      <w:pPr>
        <w:spacing w:before="160" w:after="40" w:line="240" w:lineRule="auto"/>
      </w:pPr>
      <w:r>
        <w:rPr>
          <w:b/>
        </w:rPr>
        <w:t xml:space="preserve">[446] </w:t>
      </w:r>
      <w:hyperlink r:id="rId1092">
        <w:r>
          <w:rPr>
            <w:color w:val="1155CC"/>
            <w:u w:val="single"/>
          </w:rPr>
          <w:t>Primer PICKR：基于文献挖掘的稳健 RT-qPCR 引物评分平台</w:t>
        </w:r>
      </w:hyperlink>
    </w:p>
    <w:p>
      <w:pPr>
        <w:spacing w:before="0" w:after="80"/>
      </w:pPr>
      <w:r>
        <w:rPr>
          <w:i/>
          <w:sz w:val="20"/>
        </w:rPr>
        <w:t>EN: Primer PICKR: literature-mined scoring platform for robust RT–qPCR primers</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可靠的逆转录定量 PCR (RT-qPCR) 取决于精心设计的引物，但未记录或验证不充分的序列继续损害重现性。现有资源仅编录了少量经经验验证的引物集，或在未经实验验证的情况下生成从头引物对。在这里，我们介绍 Primer PICKR（综合知识排名的出版集成），这是一个大规模、开放、持续更新的数据库，可以系统地将超过 400,000 篇论文中的超过 7,000,000 个经过社区验证的寡核苷酸转换为可操作的设计资源。 PICKR 将序列与参考转录组进行比对，并为 10 个模型生物体中的 6000 多个基因组装排序的引物对。综合评分整合了引用频率、生物物理质量和引物对协同作用，而跨越评分分布的 154 个人类引物对的实验验证表明，在 PICKR 评分高于 80 的情况下，扩增取得了近乎完美的成功。通过将数十年分散的引物选择转换为可立即搜索的数据库，Primer PICKR 减少了经验筛选，保留了稀缺样品，并加速了可重复测定的开发。</w:t>
      </w:r>
    </w:p>
    <w:p>
      <w:pPr>
        <w:spacing w:before="0" w:after="200" w:lineRule="auto" w:line="276"/>
      </w:pPr>
      <w:r>
        <w:rPr>
          <w:b/>
        </w:rPr>
        <w:t xml:space="preserve">Abstract (EN): </w:t>
      </w:r>
      <w:r>
        <w:t>Reliable reverse-transcription quantitative PCR (RT–qPCR) depends on well-designed primers, yet undocumented or poorly validated sequences continue to compromise reproducibility. Existing resources catalog only modest sets of empirically verified primers or generate de-novo primer pairs without experimental validation. Here, we introduce Primer PICKR (Publication Integrations for Composite Knowledge Ranking), a large-scale, open, continuously updated database that systematically converts &gt;7,000,000 community-validated oligonucleotides from &gt;400,000 papers into actionable design resources. PICKR aligns sequences to reference transcriptomes and assembles ranked primer pairs for over 6000 genes across ten model organisms. Composite scoring integrates citation frequency, biophysical quality, and primer-pair synergy, while experimental validation of 154 human primer pairs spanning the score distribution demonstrates near-perfect amplification success above a PICKR score of 80. By converting decades of scattered primer choices into an immediately searchable database, Primer PICKR reduces empirical screening, conserves scarce samples, and accelerates reproducible assay development.</w:t>
      </w:r>
    </w:p>
    <w:p>
      <w:pPr>
        <w:spacing w:before="120" w:after="120"/>
      </w:pPr>
      <w:r>
        <w:rPr>
          <w:sz w:val="18"/>
        </w:rPr>
        <w:t>——————————————————————————————————————————————————————————————————————</w:t>
      </w:r>
    </w:p>
    <w:p>
      <w:pPr>
        <w:spacing w:before="160" w:after="40" w:line="240" w:lineRule="auto"/>
      </w:pPr>
      <w:r>
        <w:rPr>
          <w:b/>
        </w:rPr>
        <w:t xml:space="preserve">[447] </w:t>
      </w:r>
      <w:hyperlink r:id="rId1093">
        <w:r>
          <w:rPr>
            <w:color w:val="1155CC"/>
            <w:u w:val="single"/>
          </w:rPr>
          <w:t>低维系统中的面内反常霍尔效应</w:t>
        </w:r>
      </w:hyperlink>
    </w:p>
    <w:p>
      <w:pPr>
        <w:spacing w:before="0" w:after="80"/>
      </w:pPr>
      <w:r>
        <w:rPr>
          <w:i/>
          <w:sz w:val="20"/>
        </w:rPr>
        <w:t>EN: In-plane anomalous Hall effect in a low-dimensional system</w:t>
      </w:r>
    </w:p>
    <w:p>
      <w:pPr>
        <w:spacing w:before="0" w:after="120"/>
      </w:pPr>
      <w:r>
        <w:rPr>
          <w:b/>
        </w:rPr>
        <w:t xml:space="preserve">Source: </w:t>
      </w:r>
      <w:r>
        <w:t>Nature Materials</w:t>
      </w:r>
      <w:r>
        <w:t xml:space="preserve">    </w:t>
      </w:r>
      <w:r>
        <w:rPr>
          <w:b/>
        </w:rPr>
        <w:t xml:space="preserve">Pub date: </w:t>
      </w:r>
      <w:r>
        <w:t>2026-05-28 00:00:00+00:00</w:t>
      </w:r>
      <w:r>
        <w:t xml:space="preserve">    </w:t>
      </w:r>
      <w:r>
        <w:rPr>
          <w:b/>
        </w:rPr>
        <w:t xml:space="preserve">DOI: </w:t>
      </w:r>
      <w:hyperlink r:id="rId1094">
        <w:r>
          <w:rPr>
            <w:color w:val="1155CC"/>
            <w:u w:val="single"/>
          </w:rPr>
          <w:t>10.1038/s41563-026-02611-9</w:t>
        </w:r>
      </w:hyperlink>
    </w:p>
    <w:p>
      <w:pPr>
        <w:spacing w:before="0" w:after="120"/>
      </w:pPr>
      <w:r>
        <w:rPr>
          <w:b/>
        </w:rPr>
        <w:t xml:space="preserve">Notes: </w:t>
      </w:r>
      <w:r>
        <w:t>abstract_source=nature_html</w:t>
      </w:r>
    </w:p>
    <w:p>
      <w:pPr>
        <w:spacing w:before="0" w:after="80" w:lineRule="auto" w:line="276"/>
      </w:pPr>
      <w:r>
        <w:rPr>
          <w:b/>
        </w:rPr>
        <w:t xml:space="preserve">摘要（ZH）: </w:t>
      </w:r>
      <w:r>
        <w:t>磁系统中的反常霍尔效应 (AHE) 通常受对称约束控制，对称约束要求霍尔响应与面外磁化分量成比例。在这里，我们展示了低维异质结构中非常规面内 AHE 的出现。通过将低对称性拓扑半金属与铁磁绝缘体连接，我们实现了一种对称性降低的系统，其中仅保留了单个镜面。当磁化在该镜面内获得有限分量时，剩余的对称性就会被破坏，从而实现取决于面内和面外磁化分量的霍尔响应。跨多个器件的测量揭示了栅极可调的 AHE，表明了底层机制的静电控制。最小对称约束微观模型表明，界面自旋轨道耦合和交换相互作用是观察到的多向 AHE 响应的原因。我们的工作为低维量子材料中的可调谐、对称驱动霍尔效应的工程建立了一条途径。</w:t>
      </w:r>
    </w:p>
    <w:p>
      <w:pPr>
        <w:spacing w:before="0" w:after="200" w:lineRule="auto" w:line="276"/>
      </w:pPr>
      <w:r>
        <w:rPr>
          <w:b/>
        </w:rPr>
        <w:t xml:space="preserve">Abstract (EN): </w:t>
      </w:r>
      <w:r>
        <w:t>The anomalous Hall effect (AHE) in magnetic systems is typically governed by symmetry constraints that require the Hall response to be proportional to the out-of-plane magnetization component. Here we demonstrate the emergence of an unconventional in-plane AHE in a low-dimensional heterostructure. By interfacing a low-symmetry topological semimetal with a ferromagnetic insulator, we realize a system with reduced symmetry in which only a single mirror plane is preserved. When the magnetization acquires a finite component within this mirror plane, the remaining symmetry is broken, enabling a Hall response that depends on both in-plane and out-of-plane magnetization components. Measurements across multiple devices reveal a gate-tunable AHE, indicating electrostatic control of the underlying mechanisms. A minimal symmetry-constrained microscopic model shows that interfacial spin–orbit coupling and exchange interaction are responsible for the observed multidirectional AHE response. Our work establishes a pathway for engineering tunable, symmetry-driven Hall effects in low-dimensional quantum materials.</w:t>
      </w:r>
    </w:p>
    <w:p>
      <w:pPr>
        <w:spacing w:before="120" w:after="120"/>
      </w:pPr>
      <w:r>
        <w:rPr>
          <w:sz w:val="18"/>
        </w:rPr>
        <w:t>——————————————————————————————————————————————————————————————————————</w:t>
      </w:r>
    </w:p>
    <w:p>
      <w:pPr>
        <w:spacing w:before="160" w:after="40" w:line="240" w:lineRule="auto"/>
      </w:pPr>
      <w:r>
        <w:rPr>
          <w:b/>
        </w:rPr>
        <w:t xml:space="preserve">[448] </w:t>
      </w:r>
      <w:hyperlink r:id="rId1095">
        <w:r>
          <w:rPr>
            <w:color w:val="1155CC"/>
            <w:u w:val="single"/>
          </w:rPr>
          <w:t>用于无细胞网络工程和生物传感应用的 T7 RNAP 调控工具箱</w:t>
        </w:r>
      </w:hyperlink>
    </w:p>
    <w:p>
      <w:pPr>
        <w:spacing w:before="0" w:after="80"/>
      </w:pPr>
      <w:r>
        <w:rPr>
          <w:i/>
          <w:sz w:val="20"/>
        </w:rPr>
        <w:t>EN: A T7 RNAP regulatory toolbox for cell-free network engineering and biosensing applications</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T7 RNA 聚合酶广泛应用于合成生物学和生物技术领域。然而，精确和模块化调节 T7 RNAP 的能力仍然令人惊讶地有限。在这里，我们在无细胞系统中设计了一个 T7 RNAP 调控工具箱，其中包含可编程合成阻遏物、激活剂和生物传感器。该工具箱支持基于 T7 RNAP 的基因调控网络的可扩展设计，并能够在简单的一锅反应中快速、灵敏和多重检测多种生物分子，包括小分子药物、抗体和蛋白质。通过整合蛋白质设计流程，我们使用全合成粘合剂生成生物传感器，展示了快速开发基于蛋白质的传感器的潜力。我们构建了一个结合了 SARS-CoV-2 Spike 蛋白传感、基于基因调控的扩增、酶促扩增和基于葡萄糖的检测的无细胞诊断系统，展示了高灵敏度即时检测的潜力。这项工作展示了一个灵活且可扩展的框架，用于构建响应广泛生物分子的基因电路，并展示了工程床旁无细胞诊断分析的潜力。</w:t>
      </w:r>
    </w:p>
    <w:p>
      <w:pPr>
        <w:spacing w:before="0" w:after="200" w:lineRule="auto" w:line="276"/>
      </w:pPr>
      <w:r>
        <w:rPr>
          <w:b/>
        </w:rPr>
        <w:t xml:space="preserve">Abstract (EN): </w:t>
      </w:r>
      <w:r>
        <w:t>T7 RNA polymerase is ubiquitously used in the fields of synthetic biology and biotechnology. Yet the ability to precisely and modularly regulate T7 RNAP remains surprisingly limited. Here, we engineer a T7 RNAP regulatory toolbox consisting of programmable synthetic repressors, activators, and biosensors in a cell-free system. This toolbox enables scalable design of T7 RNAP-based gene regulatory networks and enables rapid, sensitive, and multiplexed detection of diverse biomolecules, including small-molecule drugs, antibodies, and proteins, in a simple one-pot reaction. By integrating a protein design pipeline, we generate biosensors using fully synthetic binders, demonstrating the potential for rapid development of protein-based sensors. We construct a diagnostic cell-free system combining SARS-CoV-2 Spike protein sensing, gene regulatory based amplification, enzymatic amplification, and glucose based detection demonstrating the potential for point-of-care detection with high sensitivity. This work demonstrates a flexible and expandable framework for constructing gene circuits responsive to a wide range of biomolecules and demonstrates the potential for engineering point-of-care cell-free diagnostic assays.</w:t>
      </w:r>
    </w:p>
    <w:p>
      <w:pPr>
        <w:spacing w:before="120" w:after="120"/>
      </w:pPr>
      <w:r>
        <w:rPr>
          <w:sz w:val="18"/>
        </w:rPr>
        <w:t>——————————————————————————————————————————————————————————————————————</w:t>
      </w:r>
    </w:p>
    <w:p>
      <w:pPr>
        <w:spacing w:before="160" w:after="40" w:line="240" w:lineRule="auto"/>
      </w:pPr>
      <w:r>
        <w:rPr>
          <w:b/>
        </w:rPr>
        <w:t xml:space="preserve">[449] </w:t>
      </w:r>
      <w:hyperlink r:id="rId1096">
        <w:r>
          <w:rPr>
            <w:color w:val="1155CC"/>
            <w:u w:val="single"/>
          </w:rPr>
          <w:t>用于增强癌症免疫治疗的植物囊泡-树突状细胞嵌合体</w:t>
        </w:r>
      </w:hyperlink>
    </w:p>
    <w:p>
      <w:pPr>
        <w:spacing w:before="0" w:after="80"/>
      </w:pPr>
      <w:r>
        <w:rPr>
          <w:i/>
          <w:sz w:val="20"/>
        </w:rPr>
        <w:t>EN: A plant vesicle-dendritic cell chimera for enhancing cancer immunotherapy</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肿瘤微环境 (TME) 导致常驻树突状细胞 (DC) 线粒体功能障碍，导致抗原呈递不足和 T 细胞启动较弱。在此，我们确定缺氧是引起肿瘤相关树突状细胞病理性线粒体分裂的关键因素，并开发了一种植物囊泡-树突状细胞嵌合体来缓解缺氧引起的线粒体功能障碍，从而增强癌症免疫治疗。这种生物杂交嵌合体是通过将藻类衍生的纳米囊泡 (ANV) 与基因工程改造的 CCR2 过表达 DC 装载在一起而制成的。 CCR2-DC-ANV 通过利用肿瘤中的 C-C 基序趋化因子配体 2 (CCL2) 来靶向肿瘤。光照后，ANV 会产生氧气和 NADPH 来解决缺氧和氧化应激，从而逆转 DC 中的病理性线粒体裂变。线粒体网络恢复可减轻内质网应激，减少脂滴积累，并启动代谢重编程以增强 TME 中 CCR2-DC-ANV 的抗原呈递和 T 细胞启动。生物杂交嵌合体提高了雌性小鼠乳腺癌人源化小鼠模型的治疗效率，而不需要外部肿瘤抗原。这种方法突出了下一代 DC 疗法的跨物种嵌合体，并为纳米生物技术平台提供了基础，通过将光合作用与免疫疗法相结合来促进细胞器医学。</w:t>
      </w:r>
    </w:p>
    <w:p>
      <w:pPr>
        <w:spacing w:before="0" w:after="200" w:lineRule="auto" w:line="276"/>
      </w:pPr>
      <w:r>
        <w:rPr>
          <w:b/>
        </w:rPr>
        <w:t xml:space="preserve">Abstract (EN): </w:t>
      </w:r>
      <w:r>
        <w:t>The tumour microenvironment (TME) causes mitochondrial dysfunction in resident dendritic cells (DCs), resulting in inadequate antigen presentation and weak T cell priming. Herein, we identify hypoxia as a key factor for causing pathological mitochondrial fission in tumour-associated DCs, and develop a plant vesicle-DC chimera to relieve hypoxia-induced mitochondrial dysfunction for enhancing cancer immunotherapy. The biohybrid chimera is fabricated by loading algae-derived nanovesicles (ANVs) with genetically engineered CCR2 overexpressing-DCs. The CCR2-DC-ANVs target tumour by leveraging the C-C motif chemokine ligand 2 (CCL2) in tumours. Upon light exposure, the ANVs produce oxygen and NADPH to resolve hypoxic and oxidative stress, which reverse pathological mitochondrial fission in DCs. Mitochondrial network restoration alleviates endoplasmic reticulum stress, reduces lipid droplet accumulation, and initiates metabolic reprogramming to enhance antigen presentation and T cell priming of CCR2-DC-ANVs in the TME. The biohybrid chimera enhances therapeutic efficiency in humanized mouse models of breast cancer in female mice without requiring external tumour antigens. This approach highlights a cross-species chimera for next-generation DC therapy, and provides the basis for a nanobiotechnology platform to facilitate organelle medicine by combining photosynthesis with immunotherapy.</w:t>
      </w:r>
    </w:p>
    <w:p>
      <w:pPr>
        <w:spacing w:before="120" w:after="120"/>
      </w:pPr>
      <w:r>
        <w:rPr>
          <w:sz w:val="18"/>
        </w:rPr>
        <w:t>——————————————————————————————————————————————————————————————————————</w:t>
      </w:r>
    </w:p>
    <w:p>
      <w:pPr>
        <w:spacing w:before="160" w:after="40" w:line="240" w:lineRule="auto"/>
      </w:pPr>
      <w:r>
        <w:rPr>
          <w:b/>
        </w:rPr>
        <w:t xml:space="preserve">[450] </w:t>
      </w:r>
      <w:hyperlink r:id="rId1097">
        <w:r>
          <w:rPr>
            <w:color w:val="1155CC"/>
            <w:u w:val="single"/>
          </w:rPr>
          <w:t>使用单自旋量子传感器直接成像石墨烯-金属界面的磁输运</w:t>
        </w:r>
      </w:hyperlink>
    </w:p>
    <w:p>
      <w:pPr>
        <w:spacing w:before="0" w:after="80"/>
      </w:pPr>
      <w:r>
        <w:rPr>
          <w:i/>
          <w:sz w:val="20"/>
        </w:rPr>
        <w:t>EN: Direct imaging of magnetotransport at graphene-metal interfaces with a single-spin quantum sensor</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磁输运强调了凝聚态物理中的许多重要现象，例如霍尔效应和磁阻（MR）效应。迄今为止，大多数磁输运研究都是基于体电阻测量，而没有直接获取空间输运模式的微观细节。在这里，我们报告了使用扫描单自旋量子磁力计进行磁输运的纳米级成像，这在室温下的石墨烯-金属混合器件中得到了演示。通过可视化升高磁场（~ 0.5 T）下的电流，我们直接观察到石墨烯-金属界面附近电流的洛伦兹偏转，这是磁输运的标志。将局部电流分布与全局电阻测量相结合，我们揭示了混合体的输运特性是由狄拉克锥周围的固有磁流变、载流子流体动力学、界面电阻和纳米级器件几何形状的复杂相互作用决定的。此外，通过界面访问局部传输模式可以定量映射接触电阻的空间变化，这通常存在于由二维材料制成的电子设备中，但表征起来并不简单。我们的工作证明了纳米级电流成像技术在研究复杂的电子传输现象方面的潜力，而这些现象很难通过基于电阻的测量来探测。</w:t>
      </w:r>
    </w:p>
    <w:p>
      <w:pPr>
        <w:spacing w:before="0" w:after="200" w:lineRule="auto" w:line="276"/>
      </w:pPr>
      <w:r>
        <w:rPr>
          <w:b/>
        </w:rPr>
        <w:t xml:space="preserve">Abstract (EN): </w:t>
      </w:r>
      <w:r>
        <w:t>Magnetotransport underlines many important phenomena in condensed matter physics, such as the Hall effect and magnetoresistance (MR) effect. Thus far, most magnetotransport studies are based on bulk resistance measurements without direct access to microscopic details of the spatial transport pattern. Here, we report nanoscale imaging of magnetotransport using a scanning single-spin quantum magnetometer, which is demonstrated in a graphene-metal hybrid device at room temperature. By visualizing the current flow at elevated magnetic fields (~ 0.5 T), we directly observe the Lorentz deflection of current near the graphene-metal interface, which is a hallmark of magnetotransport. Combining the local current distribution with global resistance measurements, we reveal that transport properties of the hybrid are governed by a complex interplay of intrinsic MR around the Dirac cone, carrier hydrodynamics, interface resistance, and the nanoscale device geometry. Furthermore, accessing the local transport pattern across the interface enables quantitative mapping of spatial variations in contact resistance, which is commonly present in electronic devices made from two-dimensional materials yet non-trivial to characterize. Our work demonstrates the potential of nanoscale current imaging techniques for studying complex electronic transport phenomena that are difficult to probe by resistance-based measurements.</w:t>
      </w:r>
    </w:p>
    <w:p>
      <w:pPr>
        <w:spacing w:before="120" w:after="120"/>
      </w:pPr>
      <w:r>
        <w:rPr>
          <w:sz w:val="18"/>
        </w:rPr>
        <w:t>——————————————————————————————————————————————————————————————————————</w:t>
      </w:r>
    </w:p>
    <w:p>
      <w:pPr>
        <w:spacing w:before="160" w:after="40" w:line="240" w:lineRule="auto"/>
      </w:pPr>
      <w:r>
        <w:rPr>
          <w:b/>
        </w:rPr>
        <w:t xml:space="preserve">[451] </w:t>
      </w:r>
      <w:hyperlink r:id="rId1098">
        <w:r>
          <w:rPr>
            <w:color w:val="1155CC"/>
            <w:u w:val="single"/>
          </w:rPr>
          <w:t>多代卫星解释双星小行星的不同结构</w:t>
        </w:r>
      </w:hyperlink>
    </w:p>
    <w:p>
      <w:pPr>
        <w:spacing w:before="0" w:after="80"/>
      </w:pPr>
      <w:r>
        <w:rPr>
          <w:i/>
          <w:sz w:val="20"/>
        </w:rPr>
        <w:t>EN: Diverse configurations of binary asteroids explained by multi-generation satellites</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双小行星系统在太阳系中无处不在。其中许多起源于旋转分裂，即小行星的自转引发质量脱落，并随后从瞬态碎片盘中形成卫星。虽然在这种情况下预计会出现在紧凑轨道上的长长卫星，但最近的太空任务揭示了双星结构的显着多样性，例如围绕（152830）丁基内什（Dinkinesh）的宽轨道上的接触双星卫星塞拉姆（Selam）。在这里，我们展示了多次大规模脱落以及由此产生的多代卫星为这些不同的配置提供了一个统一的框架。我们发现，预先存在的卫星可以通过盘-卫星和卫星间的相互作用强烈影响后续的卫星形成路径。这种机制解释了丁基什系统和几个三重系统的动力学历史。我们的分析表明，大约 44% 的已知双星具有表明多卫星历史的结构，这表明双星小行星结构的多样性仍有待揭示。</w:t>
      </w:r>
    </w:p>
    <w:p>
      <w:pPr>
        <w:spacing w:before="0" w:after="200" w:lineRule="auto" w:line="276"/>
      </w:pPr>
      <w:r>
        <w:rPr>
          <w:b/>
        </w:rPr>
        <w:t xml:space="preserve">Abstract (EN): </w:t>
      </w:r>
      <w:r>
        <w:t>Binary asteroid systems are ubiquitous in the Solar System. Many of them originate from rotational breakup, where an asteroid’s spin-up triggers mass shedding and subsequent satellite formation from a transient debris disk. While prolate satellites on compact orbits are expected in this scenario, recent space missions revealed remarkable diversity of binary configurations, such as the contact-binary satellite Selam on a wide orbit around (152830) Dinkinesh. Here we show that multiple episodes of mass shedding and the resulting multi-generation satellites provide a unified framework for these diverse configurations. We find that a pre-existing satellite can strongly influence subsequent satellite formation pathways through disk-satellite and inter-satellite interactions. This mechanism explains the dynamical histories of the Dinkinesh system and several triple systems. Our analysis indicates that about 44% of known binaries have configurations indicative of multi-satellite histories, suggesting that a significantly greater diversity of binary asteroid configurations remains to be revealed.</w:t>
      </w:r>
    </w:p>
    <w:p>
      <w:pPr>
        <w:spacing w:before="120" w:after="120"/>
      </w:pPr>
      <w:r>
        <w:rPr>
          <w:sz w:val="18"/>
        </w:rPr>
        <w:t>——————————————————————————————————————————————————————————————————————</w:t>
      </w:r>
    </w:p>
    <w:p>
      <w:pPr>
        <w:spacing w:before="160" w:after="40" w:line="240" w:lineRule="auto"/>
      </w:pPr>
      <w:r>
        <w:rPr>
          <w:b/>
        </w:rPr>
        <w:t xml:space="preserve">[452] </w:t>
      </w:r>
      <w:hyperlink r:id="rId1099">
        <w:r>
          <w:rPr>
            <w:color w:val="1155CC"/>
            <w:u w:val="single"/>
          </w:rPr>
          <w:t>具有增强多酶活性的自适应纳米酶用于耐药细菌感染伤口的序贯多模式治疗</w:t>
        </w:r>
      </w:hyperlink>
    </w:p>
    <w:p>
      <w:pPr>
        <w:spacing w:before="0" w:after="80"/>
      </w:pPr>
      <w:r>
        <w:rPr>
          <w:i/>
          <w:sz w:val="20"/>
        </w:rPr>
        <w:t>EN: Self-adaptive nanozymes with enhanced multi-enzyme activities for sequential multimodal therapy of drug-resistant bacteria-infected wounds</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耐药细菌感染的伤口构成了严峻的临床挑战，强调了对能够响应动态愈合阶段的治疗材料的需求。在此，我们报告了一种顺序多模式平台，将自适应 IrPtCu 纳米酶嵌入到富含羟基积雪草苷的透明质酸水凝胶（HIPCM）中，以快速根除细菌并加速伤口愈合。利用三金属协同作用和 pH 适应性活性氧 (ROS) 调节，IrPtCu 纳米酶表现出强氧化酶、过氧化物酶、谷胱甘肽氧化酶和类谷胱甘肽过氧化物酶活性，可实现高效的 ROS 生成和有效的抗菌性能。消毒后通过超氧化物歧化酶和过氧化氢酶级联转为ROS清除，减轻氧化应激并与羟基积雪草苷配合促进组织修复。在耐甲氧西林金黄色葡萄球菌（MRSA）感染的小鼠模型中，HIPCM表现出强大的抗菌功效，促进M2巨噬细胞极化和血管生成，加速高质量修复。巴马小型猪的临床前研究进一步证实了胶原蛋白沉积、毛囊再生和功能恢复的改善。这项工作提供了一种整合适应性纳米酶和天然草药来治疗耐药伤口的综合策略。</w:t>
      </w:r>
    </w:p>
    <w:p>
      <w:pPr>
        <w:spacing w:before="0" w:after="200" w:lineRule="auto" w:line="276"/>
      </w:pPr>
      <w:r>
        <w:rPr>
          <w:b/>
        </w:rPr>
        <w:t xml:space="preserve">Abstract (EN): </w:t>
      </w:r>
      <w:r>
        <w:t>Drug-resistant bacterium-infected wounds pose a serious clinical challenge, underscoring the need for therapeutic materials that respond to dynamic healing stages. Herein, we report a sequential multimodal platform embedding a self-adaptive IrPtCu nanozyme into a madecassoside-enriched hyaluronic acid hydrogel (HIPCM) for rapid bacterial eradication and accelerated wound healing. Leveraging trimetallic synergy and pH-adaptive reactive oxygen species (ROS) regulation, IrPtCu nanozyme exhibits strong oxidase, peroxidase, glutathione oxidase, and glutathione peroxidase-like activities, enabling efficient ROS generation and potent antibacterial performance. After disinfection, it switches to ROS scavenging through superoxide dismutase and catalase-like cascades, alleviating oxidative stress and cooperating with madecassoside to promote tissue repair. In a methicillin-resistant Staphylococcus aureus (MRSA)-infected mouse model, HIPCM demonstrates strong antibacterial efficacy, promotes M2 macrophage polarization and angiogenesis, and accelerates high-quality repair. Preclinical studies in Bama mini-pigs further confirm improved collagen deposition, hair follicle regeneration, and functional restoration. This work offers a comprehensive strategy integrating adaptive nanozymes and natural herbal medicines for treating drug-resistant wounds.</w:t>
      </w:r>
    </w:p>
    <w:p>
      <w:pPr>
        <w:spacing w:before="120" w:after="120"/>
      </w:pPr>
      <w:r>
        <w:rPr>
          <w:sz w:val="18"/>
        </w:rPr>
        <w:t>——————————————————————————————————————————————————————————————————————</w:t>
      </w:r>
    </w:p>
    <w:p>
      <w:pPr>
        <w:spacing w:before="160" w:after="40" w:line="240" w:lineRule="auto"/>
      </w:pPr>
      <w:r>
        <w:rPr>
          <w:b/>
        </w:rPr>
        <w:t xml:space="preserve">[453] </w:t>
      </w:r>
      <w:hyperlink r:id="rId1100">
        <w:r>
          <w:rPr>
            <w:color w:val="1155CC"/>
            <w:u w:val="single"/>
          </w:rPr>
          <w:t>点对点能源交易中虚假数据注入和黑盒对抗攻击的检测：云边缘协作上下文感知学习方法</w:t>
        </w:r>
      </w:hyperlink>
    </w:p>
    <w:p>
      <w:pPr>
        <w:spacing w:before="0" w:after="80"/>
      </w:pPr>
      <w:r>
        <w:rPr>
          <w:i/>
          <w:sz w:val="20"/>
        </w:rPr>
        <w:t>EN: Detection of false data injection and black-box adversarial attacks in peer-to-peer energy trading: A cloud-edge collaborative context-aware learning approach</w:t>
      </w:r>
    </w:p>
    <w:p>
      <w:pPr>
        <w:spacing w:before="0" w:after="120"/>
      </w:pPr>
      <w:r>
        <w:rPr>
          <w:b/>
        </w:rPr>
        <w:t xml:space="preserve">Source: </w:t>
      </w:r>
      <w:r>
        <w:t>ScienceDirect Publication: Applied Energy</w:t>
      </w:r>
      <w:r>
        <w:t xml:space="preserve">    </w:t>
      </w:r>
      <w:r>
        <w:rPr>
          <w:b/>
        </w:rPr>
        <w:t xml:space="preserve">Pub date: </w:t>
      </w:r>
      <w:r>
        <w:t>2026-05-28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[454] </w:t>
      </w:r>
      <w:hyperlink r:id="rId1101">
        <w:r>
          <w:rPr>
            <w:color w:val="1155CC"/>
            <w:u w:val="single"/>
          </w:rPr>
          <w:t>一种抗人工制品的宽带双向石墨烯神经接口</w:t>
        </w:r>
      </w:hyperlink>
    </w:p>
    <w:p>
      <w:pPr>
        <w:spacing w:before="0" w:after="80"/>
      </w:pPr>
      <w:r>
        <w:rPr>
          <w:i/>
          <w:sz w:val="20"/>
        </w:rPr>
        <w:t>EN: An artefact-resilient wide bandwidth bidirectional graphene neural interface</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同时记录和调节神经活动的能力对于下一代双向神经接口至关重要，该接口旨在实现针对神经系统疾病的自适应神经调节疗法。有源石墨烯晶体管技术对于神经记录特别有前途，因为它们扩展了以极低频率监测大脑活动的能力，并支持高密度神经接口的多路复用操作。然而，它们有限的电荷注入能力使得它们不适合刺激。在这项工作中，我们提出了一种双向神经接口，它结合了用于高电荷注入焦点刺激的纳米多孔还原氧化石墨烯（rGO）微电极和用于监测大脑活动的石墨烯溶液门控场效应晶体管（gSGFET）。使用可扩展的洁净室微加工技术，我们将这两种基于石墨烯的技术整体集成到完全灵活的神经探针中，在单个设备平台中利用它们的互补功能。我们评估了混合设备在盐水和体内的性能，特别关注刺激期间的晶体管性能。我们的结果表明，这种双向神经接口的记录能力，包括对 infraslow 和局部场电位活动的监测，在刺激过程中不会受到影响，为未来开发基于 infraslow 的自适应神经调节疗法开辟了道路</w:t>
      </w:r>
    </w:p>
    <w:p>
      <w:pPr>
        <w:spacing w:before="0" w:after="200" w:lineRule="auto" w:line="276"/>
      </w:pPr>
      <w:r>
        <w:rPr>
          <w:b/>
        </w:rPr>
        <w:t xml:space="preserve">Abstract (EN): </w:t>
      </w:r>
      <w:r>
        <w:t>The ability to simultaneously record and modulate neural activity is critical for next-generation bidirectional neural interfaces aiming to enable adaptive neuromodulation therapies for neurological disorders. Active graphene transistor technologies are particularly promising for neural recordings, as they extend the ability to monitor brain activity at very low frequencies and support multiplexed operation for high-density neural interfaces. However, their limited charge injection capacity makes them unsuitable for stimulation. In this work, we present a bidirectional neural interface that combines nanoporous reduced graphene oxide (rGO) microelectrodes for high charge-injection focal stimulation and graphene solution-gated field-effect transistors (gSGFETs) for brain activity monitoring. Using scalable cleanroom microfabrication techniques, we monolithically integrate these two graphene-based technologies into fully flexible neural probes, leveraging their complementary functionalities within a single-device platform. We evaluate the performance of the hybrid devices both in saline and in vivo, with a particular focus on transistor performance during stimulation. Our results demonstrate that the recording capability of this bidirectional neural interface, including the monitoring of infraslow and local field potential activity, is not compromised during stimulation, opening avenues for future development of adaptive infraslow-based neuromodulation therapies</w:t>
      </w:r>
    </w:p>
    <w:p>
      <w:pPr>
        <w:spacing w:before="120" w:after="120"/>
      </w:pPr>
      <w:r>
        <w:rPr>
          <w:sz w:val="18"/>
        </w:rPr>
        <w:t>——————————————————————————————————————————————————————————————————————</w:t>
      </w:r>
    </w:p>
    <w:p>
      <w:pPr>
        <w:spacing w:before="160" w:after="40" w:line="240" w:lineRule="auto"/>
      </w:pPr>
      <w:r>
        <w:rPr>
          <w:b/>
        </w:rPr>
        <w:t xml:space="preserve">[455] </w:t>
      </w:r>
      <w:hyperlink r:id="rId1102">
        <w:r>
          <w:rPr>
            <w:color w:val="1155CC"/>
            <w:u w:val="single"/>
          </w:rPr>
          <w:t>可再生能源贸易路线：进口作为可再生能源技术传播的催化剂</w:t>
        </w:r>
      </w:hyperlink>
    </w:p>
    <w:p>
      <w:pPr>
        <w:spacing w:before="0" w:after="80"/>
      </w:pPr>
      <w:r>
        <w:rPr>
          <w:i/>
          <w:sz w:val="20"/>
        </w:rPr>
        <w:t>EN: The trade route to renewables: Import as a catalyst for the diffusion of renewable energy technology</w:t>
      </w:r>
    </w:p>
    <w:p>
      <w:pPr>
        <w:spacing w:before="0" w:after="120"/>
      </w:pPr>
      <w:r>
        <w:rPr>
          <w:b/>
        </w:rPr>
        <w:t xml:space="preserve">Source: </w:t>
      </w:r>
      <w:r>
        <w:t>ScienceDirect Publication: Energy Policy</w:t>
      </w:r>
      <w:r>
        <w:t xml:space="preserve">    </w:t>
      </w:r>
      <w:r>
        <w:rPr>
          <w:b/>
        </w:rPr>
        <w:t xml:space="preserve">Pub date: </w:t>
      </w:r>
      <w:r>
        <w:t>2026-05-28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[456] </w:t>
      </w:r>
      <w:hyperlink r:id="rId1103">
        <w:r>
          <w:rPr>
            <w:color w:val="1155CC"/>
            <w:u w:val="single"/>
          </w:rPr>
          <w:t>用于微尺度磁定位的光子集成量子传感器阵列</w:t>
        </w:r>
      </w:hyperlink>
    </w:p>
    <w:p>
      <w:pPr>
        <w:spacing w:before="0" w:after="80"/>
      </w:pPr>
      <w:r>
        <w:rPr>
          <w:i/>
          <w:sz w:val="20"/>
        </w:rPr>
        <w:t>EN: Photonic-integrated quantum sensor array for microscale magnetic localisation</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氮空位中心（NV）是一种很有前途的固态纳米级量子传感器，适用于从材料科学到生物技术的各种应用。同时使用多个传感器为探测波动场的时空相关性或点缺陷的动态提供了优势。在这项工作中，通过将 NV 与代工氮化硅光子集成电路集成，我们实现了阵列中八个局部 NV 整体传感器的可扩展操作，同时对各个传感器进行不同的读数。使用八个 NV 传感器和机器学习方法进行多点磁场重建，我们演示了 30 μm 大小的针尖的微尺度磁定位。实验上，针尖可以定位为低于其尺寸的误差，并以高保真度进行动态跟踪。我们使用微型机器人相关磁剖面的模拟作为应用驱动的案例研究，以量化平移和旋转跟踪的操作范围和要求。通过将多 NV 定位从批量光学寻址转移到光纤寻址、导波、具有同时不同读出的多通道架构，这项工作为光学无法访问的环境中的磁定位提供了一种可扩展的架构。</w:t>
      </w:r>
    </w:p>
    <w:p>
      <w:pPr>
        <w:spacing w:before="0" w:after="200" w:lineRule="auto" w:line="276"/>
      </w:pPr>
      <w:r>
        <w:rPr>
          <w:b/>
        </w:rPr>
        <w:t xml:space="preserve">Abstract (EN): </w:t>
      </w:r>
      <w:r>
        <w:t>Nitrogen-vacancy centres (NVs) are promising solid-state nanoscale quantum sensors for applications ranging from material science to biotechnology. Using multiple sensors simultaneously offers advantages for probing spatiotemporal correlations of fluctuating fields or the dynamics of point defects. In this work, by integrating NVs with foundry silicon-nitride photonic integrated circuits, we realise the scalable operation of eight localised NV-ensemble sensors in an array, with simultaneous, distinct readout of the individual sensors. Using the eight NV sensors and machine-learning methods for multi-point magnetic field reconstruction, we demonstrate microscale magnetic localisation of a 30 μm-sized needle tip. Experimentally, the needle tip can be localised with an error below its dimension and tracked dynamically with high fidelity. We use simulations of microrobot-relevant magnetic profiles as an application-motivated case study to quantify the operating bounds and requirements for translation and rotation tracking. By moving multi-NV localisation from bulk-optical addressing to a fibre-addressed, guided-wave, multi-channel architecture with simultaneous distinct readout, this work provides a scalable architecture towards magnetic localisation in optically inaccessible environments.</w:t>
      </w:r>
    </w:p>
    <w:p>
      <w:pPr>
        <w:spacing w:before="120" w:after="120"/>
      </w:pPr>
      <w:r>
        <w:rPr>
          <w:sz w:val="18"/>
        </w:rPr>
        <w:t>——————————————————————————————————————————————————————————————————————</w:t>
      </w:r>
    </w:p>
    <w:p>
      <w:pPr>
        <w:spacing w:before="160" w:after="40" w:line="240" w:lineRule="auto"/>
      </w:pPr>
      <w:r>
        <w:rPr>
          <w:b/>
        </w:rPr>
        <w:t xml:space="preserve">[457] </w:t>
      </w:r>
      <w:hyperlink r:id="rId1104">
        <w:r>
          <w:rPr>
            <w:color w:val="1155CC"/>
            <w:u w:val="single"/>
          </w:rPr>
          <w:t>通过从头形成原始细胞打破膜遗传悖论</w:t>
        </w:r>
      </w:hyperlink>
    </w:p>
    <w:p>
      <w:pPr>
        <w:spacing w:before="0" w:after="80"/>
      </w:pPr>
      <w:r>
        <w:rPr>
          <w:i/>
          <w:sz w:val="20"/>
        </w:rPr>
        <w:t>EN: Breaking the membrane heredity paradox through de novo protocell formation</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脂膜定义细胞边界，充当运输和信号传导的看门人。生物学的一个中心范例是，所有细胞膜都源自共同的祖先膜，因为它们不能在没有预先存在的脂质结构的情况下产生。因此，尚不清楚脂质膜是否可以由无膜前体产生。在这里，我们展示了在没有任何预先存在的膜、膜结合蛋白或脂质纳米结构模板的情况下脂质双层的从头生成。使用乙酸盐和半胱氨酸作为简单的代谢物，通过可溶性酶构建脂质尾部，并自发形成组装成囊泡的二酰基脂质。成孔肽促进前体转运到囊泡中，从而不断产生新的脂质。糖脂膜的形成产生了可以维持质子梯度的隔室。我们的研究结果表明，脂质区室可以在没有预先存在的膜的情况下形成，从而建立了将脂质合成与区室形成和功能联系起来的独特途径。</w:t>
      </w:r>
    </w:p>
    <w:p>
      <w:pPr>
        <w:spacing w:before="0" w:after="200" w:lineRule="auto" w:line="276"/>
      </w:pPr>
      <w:r>
        <w:rPr>
          <w:b/>
        </w:rPr>
        <w:t xml:space="preserve">Abstract (EN): </w:t>
      </w:r>
      <w:r>
        <w:t>Lipid membranes define cell boundaries, acting as gatekeepers for transport and signaling. A central paradigm in biology is that all cellular membranes descend from a common ancestral membrane, as they cannot be generated in the absence of pre-existing lipid structures. It is thus unclear whether lipid membranes can arise from membrane-less precursors. Here we demonstrate the de novo generation of lipid bilayers in the absence of any pre-existing membranes, membrane-bound proteins, or lipid nanostructure templates. Using acetate and cysteine as simple metabolites, lipid tails are constructed by soluble enzymes and spontaneously form diacyl lipids that assemble into vesicles. Pore-forming peptides facilitate precursor transport into vesicles, allowing the continuous generation of new lipids. Formation of glycolipid membranes creates compartments that can maintain proton gradients. Our findings demonstrate that lipid compartments can form without pre-existing membranes, establishing a unique route linking lipid synthesis to compartment formation and function.</w:t>
      </w:r>
    </w:p>
    <w:p>
      <w:pPr>
        <w:spacing w:before="120" w:after="120"/>
      </w:pPr>
      <w:r>
        <w:rPr>
          <w:sz w:val="18"/>
        </w:rPr>
        <w:t>——————————————————————————————————————————————————————————————————————</w:t>
      </w:r>
    </w:p>
    <w:p>
      <w:pPr>
        <w:spacing w:before="160" w:after="40" w:line="240" w:lineRule="auto"/>
      </w:pPr>
      <w:r>
        <w:rPr>
          <w:b/>
        </w:rPr>
        <w:t xml:space="preserve">[458] </w:t>
      </w:r>
      <w:hyperlink r:id="rId1105">
        <w:r>
          <w:rPr>
            <w:color w:val="1155CC"/>
            <w:u w:val="single"/>
          </w:rPr>
          <w:t>用于边缘毫秒延迟神经形态物体检测的易失性自选择忆阻神经元</w:t>
        </w:r>
      </w:hyperlink>
    </w:p>
    <w:p>
      <w:pPr>
        <w:spacing w:before="0" w:after="80"/>
      </w:pPr>
      <w:r>
        <w:rPr>
          <w:i/>
          <w:sz w:val="20"/>
        </w:rPr>
        <w:t>EN: Volatile self-selective memristive neuron for millisecond-latency neuromorphic object detection at the edge</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在边缘应用中部署用于实时对象检测的人工智能受到传统计算架构的功率和延迟限制的限制。在这里，我们展示了一个围绕自选 GaOx/ZnO 忆阻器构建的仿生神经形态系统，以应对这一挑战。该器件具有选择比和非线性（均约为 10⁷）、皮安级漏电流和微秒级不稳定动态特性。我们将这些忆阻器集成到一个 32×32 阵列中，模拟青蛙视觉系统的第一尖峰时间编码机制，从而实现毫秒级脉冲响应。当应用于空中无人机物体检测时，我们的硬件系统实现了对行人和车辆的可靠识别，与软件模拟相比，准确率仅下降了2.5%。此外，该阵列在 10% 的读取余量下展示了约 8.36×10^2 计算节点的并行处理规模。这项工作为在边缘构建快速响应的神经拟态计算系统提供了有形的硬件解决方案，适用于智能交通和实时监控。</w:t>
      </w:r>
    </w:p>
    <w:p>
      <w:pPr>
        <w:spacing w:before="0" w:after="200" w:lineRule="auto" w:line="276"/>
      </w:pPr>
      <w:r>
        <w:rPr>
          <w:b/>
        </w:rPr>
        <w:t xml:space="preserve">Abstract (EN): </w:t>
      </w:r>
      <w:r>
        <w:t>The deployment of artificial intelligence for real-time object detection in edge applications is constrained by the power and latency limitations of conventional computing architectures. Here we show a bio-inspired neuromorphic system built around a self-selective GaOx/ZnO memristor to address this challenge. The device exhibits a selection ratio and nonlinearity (both of ~10⁷), picoampere-level leakage currents, and microsecond-scale volatile dynamics. We integrate these memristors into a 32×32 array emulating the first-spike-time-coding mechanism of the frog visual system, enabling millisecond-scale pulse responses. When applied to aerial drone object detection, our hardware system achieves reliable recognition for pedestrians and vehicles, with only a 2.5% accuracy drop compared to software simulations. Furthermore, the array demonstrates a parallel processing scale of ~8.36×10¹² computational nodes under a 10% read margin. This work provides a tangible hardware solution for constructing fast-response neuromorphic computing systems at the edge, suitable for intelligent transportation and real-time monitoring.</w:t>
      </w:r>
    </w:p>
    <w:p>
      <w:pPr>
        <w:spacing w:before="120" w:after="120"/>
      </w:pPr>
      <w:r>
        <w:rPr>
          <w:sz w:val="18"/>
        </w:rPr>
        <w:t>——————————————————————————————————————————————————————————————————————</w:t>
      </w:r>
    </w:p>
    <w:p>
      <w:pPr>
        <w:spacing w:before="160" w:after="40" w:line="240" w:lineRule="auto"/>
      </w:pPr>
      <w:r>
        <w:rPr>
          <w:b/>
        </w:rPr>
        <w:t xml:space="preserve">[459] </w:t>
      </w:r>
      <w:hyperlink r:id="rId1106">
        <w:r>
          <w:rPr>
            <w:color w:val="1155CC"/>
            <w:u w:val="single"/>
          </w:rPr>
          <w:t>菱面体三层石墨烯中层间相干态准粒子配对的超导性</w:t>
        </w:r>
      </w:hyperlink>
    </w:p>
    <w:p>
      <w:pPr>
        <w:spacing w:before="0" w:after="80"/>
      </w:pPr>
      <w:r>
        <w:rPr>
          <w:i/>
          <w:sz w:val="20"/>
        </w:rPr>
        <w:t>EN: Superconductivity from quasiparticle pairing of intervalley coherent state in rhombohedral trilayer graphene</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在菱面体三层石墨烯中，在风味对称态和对称破缺相之间的狭窄区域中观察到超导性，这是传统的巴丁-库珀-施里弗理论无法描述的。例如，测得的相干长度比基于风味对称相的大费米速度和极低载流子密度的 Bardeen-Cooper-Schrieffer 关系预测的值大约短两个数量级。为了解决这些差异，我们提出菱面体三层石墨烯超导相是由相邻谷间相干态的准粒子配对产生的。我们使用化学势 μ 接近价带边缘的有间隙狄拉克锥来说明超导现象。我们的研究结果表明，转变温度 Tc 服从 Tc∝ϵDexp⁡(−2/ρqpU)" role="presentation"&gt;Tc∝ϵDexp⁡(−2/ρqpU){T}_{c}\propto {\epsilon }_{D}\exp (-2/{\rho }_{\rm{qp}}U) 以及间隔相干态的态密度 ρqp准粒子，与 Bardeen-Cooper-Schrieffer 理论的预测相比，我们预测的相干长度 xi 的行为符合 xi∼v/μTc" role="presentation"&gt;xi∼v/μTc\xi \sim v/\sqrt{\mu {T}_{c}}，其中 v 是狄拉克锥的速度。将我们的假设应用于微观模型，我们的预测与实验数据很好地吻合，并有效地捕获了关键的可测量量，例如转变温度 Tc 和相干长度</w:t>
      </w:r>
    </w:p>
    <w:p>
      <w:pPr>
        <w:spacing w:before="0" w:after="200" w:lineRule="auto" w:line="276"/>
      </w:pPr>
      <w:r>
        <w:rPr>
          <w:b/>
        </w:rPr>
        <w:t xml:space="preserve">Abstract (EN): </w:t>
      </w:r>
      <w:r>
        <w:t>Superconductivity is observed in rhombohedral trilayer graphene in a narrow regime between the flavour-symmetric state and the symmetry breaking phase, which cannot be described by the conventional Bardeen-Cooper-Schrieffer theory. The measured coherence length, for instance, is roughly two orders of magnitude shorter than the value predicted by the Bardeen-Cooper-Schrieffer relation based on the large fermi velocity and an extremely low charge carrier density of the flavour-symmetric phase. To resolve the discrepancies, we propose that the rhombohedral trilayer graphene superconducting phase arises from the pairing of quasiparticles of the adjacent inter-valley coherent state. We illustrate the superconducting phenomenology using gapped Dirac cones with the chemical potential μ close to the valence band’s edge. Our findings indicate that the transition temperature Tc obeys Tc&amp;#x221D;&amp;#x03F5;Dexp&amp;#x2061;(&amp;#x2212;2/&amp;#x03C1;qpU)" role="presentation"&gt;Tc∝ϵDexp⁡(−2/ρqpU){T}_{c}\propto {\epsilon }_{D}\exp (-2/{\rho }_{\rm{qp}}U) with the density of states ρqp of intervalley coherent state quasiparticles, which is much suppressed compared to predictions from the Bardeen-Cooper-Schrieffer theory. The coherence length ξ we predict behaves according to &amp;#x03BE;&amp;#x223C;v/&amp;#x03BC;Tc" role="presentation"&gt;ξ∼v/μTc\xi \sim v/\sqrt{\mu {T}_{c}} with v being the velocity of Dirac cone. Applying our assumption to a microscopic model, our predictions align well with experimental data and effectively capture key measurable quantities such as the transition temperature Tc and the coherence length ξ `without parameter fine-tuning.</w:t>
      </w:r>
    </w:p>
    <w:p>
      <w:pPr>
        <w:spacing w:before="120" w:after="120"/>
      </w:pPr>
      <w:r>
        <w:rPr>
          <w:sz w:val="18"/>
        </w:rPr>
        <w:t>——————————————————————————————————————————————————————————————————————</w:t>
      </w:r>
    </w:p>
    <w:p>
      <w:pPr>
        <w:spacing w:before="160" w:after="40" w:line="240" w:lineRule="auto"/>
      </w:pPr>
      <w:r>
        <w:rPr>
          <w:b/>
        </w:rPr>
        <w:t xml:space="preserve">[460] </w:t>
      </w:r>
      <w:hyperlink r:id="rId1107">
        <w:r>
          <w:rPr>
            <w:color w:val="1155CC"/>
            <w:u w:val="single"/>
          </w:rPr>
          <w:t>在嘈杂的量子计算机上模拟电子转移</w:t>
        </w:r>
      </w:hyperlink>
    </w:p>
    <w:p>
      <w:pPr>
        <w:spacing w:before="0" w:after="80"/>
      </w:pPr>
      <w:r>
        <w:rPr>
          <w:i/>
          <w:sz w:val="20"/>
        </w:rPr>
        <w:t>EN: Simulating electron transfer on noisy quantum computers</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虽然简单的自旋玻色子模型已经在量子硬件上实现，但在存在非平衡、长寿命的电子振动（电子振动）相干性的情况下，模拟具有局部振动环境的扩展电子网络仍然是一个基本挑战。我们提出了一个开放量子系统的数模模拟框架，该系统由具有线性振动耦合（LVC）和结构化振动环境的哈密顿量控制。我们的方法利用近期量子硬件中量子位的固有耗散作为模拟振动弛豫的资源，并结合特定于模型的误差缓解方案来滤除与目标开放系统不兼容的噪声源。我们通过解析 IBM 超导处理器上一维供体-受体链的振动传递谱、再现非马尔可夫动力学并将链长度扩展到 10 个电子位点来验证我们的策略，这对于量子计算机上的化学动力学来说是前所未有的规模。我们的振动电子转移模型提供了一个便携式、面向应用的基准，用于在 NISQ 计算机上模拟长寿命纠缠态。</w:t>
      </w:r>
    </w:p>
    <w:p>
      <w:pPr>
        <w:spacing w:before="0" w:after="200" w:lineRule="auto" w:line="276"/>
      </w:pPr>
      <w:r>
        <w:rPr>
          <w:b/>
        </w:rPr>
        <w:t xml:space="preserve">Abstract (EN): </w:t>
      </w:r>
      <w:r>
        <w:t>While simple spin-boson models have been realized on quantum hardware, simulating extended electronic networks with local vibrational environments remains a fundamental challenge in the presence of non-equilibrium, long-lived electronic-vibrational (vibronic) coherence. We present a framework for the digital-analog simulation of open quantum systems governed by Hamiltonians with linear-vibronic coupling (LVC) and structured vibrational environments. Our approach exploits the intrinsic dissipation of qubits in near-term quantum hardware as a resource to emulate vibrational relaxation, combined with a model-specific error mitigation scheme to filter out noise sources incompatible with the target open system. We validate our strategy by resolving the vibronic transfer spectra of a one-dimensional donor-acceptor chain on IBM superconducting processors, reproducing non-Markovian dynamics and scaling the chain length up to 10 electronic sites, an unprecedented scale for chemical dynamics on quantum computers. Our model of vibronic electron transfer offers a portable, application-oriented benchmark for simulating long-lived entangled states on NISQ computers.</w:t>
      </w:r>
    </w:p>
    <w:p>
      <w:pPr>
        <w:spacing w:before="120" w:after="120"/>
      </w:pPr>
      <w:r>
        <w:rPr>
          <w:sz w:val="18"/>
        </w:rPr>
        <w:t>——————————————————————————————————————————————————————————————————————</w:t>
      </w:r>
    </w:p>
    <w:p>
      <w:pPr>
        <w:spacing w:before="160" w:after="40" w:line="240" w:lineRule="auto"/>
      </w:pPr>
      <w:r>
        <w:rPr>
          <w:b/>
        </w:rPr>
        <w:t xml:space="preserve">[461] </w:t>
      </w:r>
      <w:hyperlink r:id="rId1108">
        <w:r>
          <w:rPr>
            <w:color w:val="1155CC"/>
            <w:u w:val="single"/>
          </w:rPr>
          <w:t>可持续的超临界机械化学过程</w:t>
        </w:r>
      </w:hyperlink>
    </w:p>
    <w:p>
      <w:pPr>
        <w:spacing w:before="0" w:after="80"/>
      </w:pPr>
      <w:r>
        <w:rPr>
          <w:i/>
          <w:sz w:val="20"/>
        </w:rPr>
        <w:t>EN: Sustainable supercritical-mechanochemical process</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机械化学提供了一种将金属氧化物直接转化为金属有机骨架（MOF）的途径，确保最大程度的原子利用率。在这里，我们将反应范围提升至超临界状态，以建立集成的准连续合成、分离和活化过程（超临界机械化学过程，SCM）。在 SCM 中，超临界 CO2 (SC CO2) 促进亚化学计量助溶剂 (η 1) 在机械化学热点上时空均匀分布，其接近零的界面张力优化了传质效率并加速研磨诱导的成核。 SC CO2 共溶剂的循环增强了亚稳态相通过单体-晶体相互作用或中间转变形成特定拓扑框架的能力。中试规模的设施验证了从初始输入 3.5 kg 到 8 小时工艺周期内最终产品的快速生产率（时空产量为 544.29 kg·m−3·d−1），配体和共溶剂回收率分别达到 42.66 wt% 和 89.48 wt%。技术经济评估强调了相对于传统溶剂型方法的巨大成本优势，将 SCM 定位为可扩展生产的可持续且具有竞争力的方法。</w:t>
      </w:r>
    </w:p>
    <w:p>
      <w:pPr>
        <w:spacing w:before="0" w:after="200" w:lineRule="auto" w:line="276"/>
      </w:pPr>
      <w:r>
        <w:rPr>
          <w:b/>
        </w:rPr>
        <w:t xml:space="preserve">Abstract (EN): </w:t>
      </w:r>
      <w:r>
        <w:t>Mechanochemistry offers a route for converting metal oxides directly into metal organic frameworks (MOFs), ensuring maximal atomic utilization. Here, we have advanced reaction scope to the supercritical regime for establishing an integrated quasi-continuous synthesis, separation, and activation process (supercritical-mechanochemical process, SCM). Within SCM, supercritical CO2 (SC CO2) facilitates a spatiotemporally uniform distribution of substoichiometric cosolvent (η 1) across mechanochemical hot-spots, where its near-zero interfacial tension optimizes mass transfer efficiency and accelerates grinding-induced nucleation. The circulation of SC CO2-cosolvent enhanced the ability of metastable phases to form specific topological frameworks, either through monomer-crystalline interactions or intermediate transitions. A pilot-scale facility verified a rapid production rate from an initial input of 3.5 kg to the final product within 8-hour process cycle (space-time yield of 544.29 kg·m−3·d−1), along with ligand and cosolvent recovery rates reaching 42.66 wt% and 89.48 wt%, respectively. Techno-economic assessment underscored substantial cost advantages over conventional solvent-based methods, positioning SCM as a sustainable and competitive approach for scalable production.</w:t>
      </w:r>
    </w:p>
    <w:p>
      <w:pPr>
        <w:spacing w:before="120" w:after="120"/>
      </w:pPr>
      <w:r>
        <w:rPr>
          <w:sz w:val="18"/>
        </w:rPr>
        <w:t>——————————————————————————————————————————————————————————————————————</w:t>
      </w:r>
    </w:p>
    <w:p>
      <w:pPr>
        <w:spacing w:before="160" w:after="40" w:line="240" w:lineRule="auto"/>
      </w:pPr>
      <w:r>
        <w:rPr>
          <w:b/>
        </w:rPr>
        <w:t xml:space="preserve">[462] </w:t>
      </w:r>
      <w:hyperlink r:id="rId1109">
        <w:r>
          <w:rPr>
            <w:color w:val="1155CC"/>
            <w:u w:val="single"/>
          </w:rPr>
          <w:t>基于共集成易失性和非易失性忆阻器的稳态树突神经元，用于神经形态处理</w:t>
        </w:r>
      </w:hyperlink>
    </w:p>
    <w:p>
      <w:pPr>
        <w:spacing w:before="0" w:after="80"/>
      </w:pPr>
      <w:r>
        <w:rPr>
          <w:i/>
          <w:sz w:val="20"/>
        </w:rPr>
        <w:t>EN: Homeostatic dendritic neuron based on co-integrated volatile and non-volatile memristors for neuromorphic processing</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神经形态系统通过模拟生物神经回路的动态性和异质性，为时间信号处理提供节能的解决方案。然而，传统方法在自适应调节和捕获多时间尺度时间特征方面面临挑战。在这里，我们提出了一种仿生神经形态硬件系统，它将稳态神经元与可编程树突结构集成在一起。利用 VO2 的阈值切换特性，我们构建了一个稳态神经元，能够自主稳定神经元活动。树突模块在板级使用 CMOS-RRAM 和 VO2 器件共同设计，可实现可编程尖峰延迟，以实现多时间尺度时间特征提取。当嵌入尖峰神经网络时，该系统的工业缺陷检测分类精度为 92.14% ± 0.99%，语音识别分类精度为 86.53% ± 0.18%，同时每个尖峰的运行功耗为 19.29 pJ，超过了传统处理器。结果展示了一个可扩展且受生物学启发的硬件框架，可用于高效的时间信号处理，这表明了下一代神经形态加速器的潜力。</w:t>
      </w:r>
    </w:p>
    <w:p>
      <w:pPr>
        <w:spacing w:before="0" w:after="200" w:lineRule="auto" w:line="276"/>
      </w:pPr>
      <w:r>
        <w:rPr>
          <w:b/>
        </w:rPr>
        <w:t xml:space="preserve">Abstract (EN): </w:t>
      </w:r>
      <w:r>
        <w:t>Neuromorphic systems offer energy-efficient solutions for temporal signal processing by emulating the dynamics and heterogeneity of biological neural circuits. However, conventional approaches face challenges in adaptive regulation and in capturing multi-timescale temporal features. Here, we present a bio-inspired neuromorphic hardware system that integrates homeostatic neurons with programmable dendritic structures. Utilizing the threshold-switching characteristics of VO2, we construct a homeostatic neuron enabling autonomous stabilization of neuronal activity. The dendritic module, co-designed using CMOS-RRAM and VO2 devices at the board level, enables programmable spike delays for multi-timescale temporal feature extraction. When embedded into a spiking neural network, the system achieves classification accuracies of 92.14% ± 0.99% for industrial defect detection and 86.53% ± 0.18% for speech recognition, while operating at 19.29 pJ per spike, surpassing conventional processors. The results demonstrate a scalable and biologically inspired hardware framework for efficient temporal signal processing, suggesting potential in next-generation neuromorphic accelerators.</w:t>
      </w:r>
    </w:p>
    <w:p>
      <w:pPr>
        <w:spacing w:before="120" w:after="120"/>
      </w:pPr>
      <w:r>
        <w:rPr>
          <w:sz w:val="18"/>
        </w:rPr>
        <w:t>——————————————————————————————————————————————————————————————————————</w:t>
      </w:r>
    </w:p>
    <w:p>
      <w:pPr>
        <w:spacing w:before="160" w:after="40" w:line="240" w:lineRule="auto"/>
      </w:pPr>
      <w:r>
        <w:rPr>
          <w:b/>
        </w:rPr>
        <w:t xml:space="preserve">[463] </w:t>
      </w:r>
      <w:hyperlink r:id="rId1110">
        <w:r>
          <w:rPr>
            <w:color w:val="1155CC"/>
            <w:u w:val="single"/>
          </w:rPr>
          <w:t>量子排列下的不变性排除了寄生统计</w:t>
        </w:r>
      </w:hyperlink>
    </w:p>
    <w:p>
      <w:pPr>
        <w:spacing w:before="0" w:after="80"/>
      </w:pPr>
      <w:r>
        <w:rPr>
          <w:i/>
          <w:sz w:val="20"/>
        </w:rPr>
        <w:t>EN: Invariance under quantum permutations rules out parastatistics</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尽管量子理论原则上承认排列下更一般的行为，但粒子交换下不变的量子系统要么是玻色子，要么是费米子。但为什么我们在自然界中观察不到这样的副粒子呢？此前对该问题的分析主要局限于特定的量子场论模型。在这里，我们给出了两个不同的与模型无关的论点，排除了副统计，即在对称群的高维表示下基本上不可区分的量子系统，这利用了量子信息论和最近对内部量子参考系的研究。首先，我们引入完全不变性的概念：量子系统不仅应该在排列下保留其局部状态，而且还应该保留它们携带的关于其他系统的量子信息，类似于量子信息论中完全正性的概念。其次，我们要求量子系统在量子排列下保持不变，即排列以排列不变的可观测量值为条件。对于两者，我们证明当且仅当粒子是玻色子或费米子时，各自的原理才得到满足。我们的研究结果表明，量子参考系如何揭示量子物理学的一个长期存在的问题，它们强调了量子信息的组成结构所发挥的关键作用，并证明了最近提出的量子协方差原理的解释力，但也存在微妙的局限性。</w:t>
      </w:r>
    </w:p>
    <w:p>
      <w:pPr>
        <w:spacing w:before="0" w:after="200" w:lineRule="auto" w:line="276"/>
      </w:pPr>
      <w:r>
        <w:rPr>
          <w:b/>
        </w:rPr>
        <w:t xml:space="preserve">Abstract (EN): </w:t>
      </w:r>
      <w:r>
        <w:t>Quantum systems invariant under particle exchange are either Bosons or Fermions, even though quantum theory in principle admits more general behavior under permutations. But why do we not observe such paraparticles in nature? The analysis of this question was previously limited primarily to specific quantum field theory models. Here we give two distinct model-independent arguments that rule out parastatistics, i.e. fundamentally indistinguishable quantum systems transforming under higher-dimensional representations of the symmetric group, which draw on quantum information theory and recent research on internal quantum reference frames. First, we introduce a notion of complete invariance: quantum systems should not only preserve their local state under permutations, but also the quantum information they carry about other systems, in analogy to the notion of complete positivity in quantum information theory. Second, we demand that quantum systems are invariant under quantum permutations, i.e. permutations conditioned on values of permutation-invariant observables. For both, we show that the respective principle is fulfilled if and only if the particle is a Boson or Fermion. Our results show how quantum reference frames can shed light on a longstanding problem of quantum physics, they underline the crucial role played by the compositional structure of quantum information, and demonstrate the explanatory power but also subtle limitations of recently proposed quantum covariance principles.</w:t>
      </w:r>
    </w:p>
    <w:p>
      <w:pPr>
        <w:spacing w:before="120" w:after="120"/>
      </w:pPr>
      <w:r>
        <w:rPr>
          <w:sz w:val="18"/>
        </w:rPr>
        <w:t>——————————————————————————————————————————————————————————————————————</w:t>
      </w:r>
    </w:p>
    <w:p>
      <w:pPr>
        <w:spacing w:before="160" w:after="40" w:line="240" w:lineRule="auto"/>
      </w:pPr>
      <w:r>
        <w:rPr>
          <w:b/>
        </w:rPr>
        <w:t xml:space="preserve">[464] </w:t>
      </w:r>
      <w:hyperlink r:id="rId1111">
        <w:r>
          <w:rPr>
            <w:color w:val="1155CC"/>
            <w:u w:val="single"/>
          </w:rPr>
          <w:t>块状旋节线结构成分复杂合金，在宽温度范围内具有增强的能量吸收能力</w:t>
        </w:r>
      </w:hyperlink>
    </w:p>
    <w:p>
      <w:pPr>
        <w:spacing w:before="0" w:after="80"/>
      </w:pPr>
      <w:r>
        <w:rPr>
          <w:i/>
          <w:sz w:val="20"/>
        </w:rPr>
        <w:t>EN: Bulk spinodal-architected compositionally complex alloy with enhanced energy absorption across a wide temperature range</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各种工程应用都迫切需要块状机械吸能材料。然而，现有的最先进材料面临着巨大的局限性：3D 打印的纳米和微米晶格等架构系统受到可扩展性的限制，而传统泡沫通常表现出强度与延展性的权衡，限制了能量吸收。在这里，我们通过对机器学习识别的成分复杂的旋节线合金进行电化学脱合金来制造块体结构的合金，从而克服了这些挑战。这些材料显示出跨越七个数量级的分层结构体系——从原子级晶格畸变、纳米级沉淀物和无定形氧化物层、微米级韧带到宏观级网络尺寸。这种多尺度集成实现了协同变形机制，在散装样品中产生约 106 MJ/m3 的能量吸收能力，在微样品中产生约 305 MJ/m3 的能量吸收能力。至关重要的是，这种增强的性能在从室温到 873 K 的温度范围内得以保留。我们的方法为设计可扩展的高性能建筑材料提供了有效的策略，以实现苛刻条件下的能量吸收。</w:t>
      </w:r>
    </w:p>
    <w:p>
      <w:pPr>
        <w:spacing w:before="0" w:after="200" w:lineRule="auto" w:line="276"/>
      </w:pPr>
      <w:r>
        <w:rPr>
          <w:b/>
        </w:rPr>
        <w:t xml:space="preserve">Abstract (EN): </w:t>
      </w:r>
      <w:r>
        <w:t>Bulk mechanical energy-absorbing materials are critically needed for various engineering applications. However, existing state-of-the-art materials face significant limitations: architected systems such as 3D-printed nano- and micro-lattices suffer from scalability constraints, while conventional foams often exhibit a strength-ductility trade-off that limits energy absorption. Here, we overcome these challenges by fabricating bulk architected alloys via electrochemical dealloying of a machine learning-identified compositionally complex spinodal alloy. These materials display a hierarchical structural architecture spanning seven orders of magnitude – from atomic-scale lattice distortion, nanoscale precipitates and amorphous oxide layers, microscale ligaments, to macroscale network dimensions. This multi-scale integration enables synergistic deformation mechanisms, yielding energy absorption capacities of ~106 MJ/m3 in bulk and ~ 305 MJ/m3 in micro-samples. Crucially, this enhanced performance is retained from room temperature to 873 K. Our approach provides an effective strategy for designing scalable, high-performance architected materials for demanding condition energy absorption.</w:t>
      </w:r>
    </w:p>
    <w:p>
      <w:pPr>
        <w:spacing w:before="120" w:after="120"/>
      </w:pPr>
      <w:r>
        <w:rPr>
          <w:sz w:val="18"/>
        </w:rPr>
        <w:t>——————————————————————————————————————————————————————————————————————</w:t>
      </w:r>
    </w:p>
    <w:p>
      <w:pPr>
        <w:spacing w:before="160" w:after="40" w:line="240" w:lineRule="auto"/>
      </w:pPr>
      <w:r>
        <w:rPr>
          <w:b/>
        </w:rPr>
        <w:t xml:space="preserve">[465] </w:t>
      </w:r>
      <w:hyperlink r:id="rId1112">
        <w:r>
          <w:rPr>
            <w:color w:val="1155CC"/>
            <w:u w:val="single"/>
          </w:rPr>
          <w:t>用纳米级磁体对氮空位自旋进行相干量子控制</w:t>
        </w:r>
      </w:hyperlink>
    </w:p>
    <w:p>
      <w:pPr>
        <w:spacing w:before="0" w:after="80"/>
      </w:pPr>
      <w:r>
        <w:rPr>
          <w:i/>
          <w:sz w:val="20"/>
        </w:rPr>
        <w:t>EN: Coherent quantum control of nitrogen vacancy spin with nanoscale magnets</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金刚石中氮空位（NV）中心的相干控制通常是通过传统天线的微波场来实现的，但传统天线存在可扩展性和热噪声问题。它们的空间扩展场分布也限制了它们驱动一种 NV 自旋而不影响其他 NV 自旋的特异性。在这里，我们研究了单个 NV 中心的量子控制，其中微波场是由靠近 NV 中心的纳米级磁体产生的。我们的结果显示了使用近场微波从横向尺寸低至 200 nm" role="presentation"&gt;nm{{{\rm{nm}}}} 的高对比度拉比振荡进行纳米级相干控制，由表面声波 (SAW) 激励驱动。此外，我们表明改变驱动此类纳米磁体的声功率可以实现对拉比频率的控制。我们还报告了自旋-自旋弛豫时间 (T2"使用此类纳米磁体产生的微波脉冲测量了 NV 中心的 T2{T}_{2}) 高达 3.48±" role="presentation"&gt;±\pm0.01 μs。使用纳米级磁体实现高度局域化的相干量子控制可以取代热噪声微波电路，并展示了利用金刚石和其他自旋量子位中的 NV 缺陷实现可扩展量子计算和传感的途径。</w:t>
      </w:r>
    </w:p>
    <w:p>
      <w:pPr>
        <w:spacing w:before="0" w:after="200" w:lineRule="auto" w:line="276"/>
      </w:pPr>
      <w:r>
        <w:rPr>
          <w:b/>
        </w:rPr>
        <w:t xml:space="preserve">Abstract (EN): </w:t>
      </w:r>
      <w:r>
        <w:t>Coherent control of the nitrogen-vacancy (NV) center in diamond is commonly achieved by microwave fields from conventional antennas, which suffer from scalability and thermal noise. Their spatially extended field profiles also limit their specificity in driving one NV spin without affecting other NV spins. Here, we investigate quantum control of a single NV center with microwave fields generated from a nanoscale magnet that is proximal to the NV center. Our results show nanoscale coherent control with high contrast Rabi oscillations using nearfield microwaves from shape anisotropic nanomagnets of lateral dimensions down to 200 nm" role="presentation"&gt;nm{{{\rm{nm}}}}, driven by surface acoustic wave (SAW) excitation. Furthermore, we show that varying the acoustic power driving such nanomagnets can achieve control over Rabi frequency. We also report spin-spin relaxation time (T2" role="presentation"&gt;T2{T}_{2}) of the NV center, measured up to 3.48&amp;#x00B1;" role="presentation"&gt;±\pm0.01 μs using microwave pulses generated by such nanomagnets. The use of the nanoscale magnets to implement highly localized coherent quantum control can replace thermally noisy microwave circuits and demonstrate a path to scalable quantum computing and sensing with NV-defects in diamond and other spin qubits.</w:t>
      </w:r>
    </w:p>
    <w:p>
      <w:pPr>
        <w:spacing w:before="120" w:after="120"/>
      </w:pPr>
      <w:r>
        <w:rPr>
          <w:sz w:val="18"/>
        </w:rPr>
        <w:t>——————————————————————————————————————————————————————————————————————</w:t>
      </w:r>
    </w:p>
    <w:p>
      <w:pPr>
        <w:spacing w:before="160" w:after="40" w:line="240" w:lineRule="auto"/>
      </w:pPr>
      <w:r>
        <w:rPr>
          <w:b/>
        </w:rPr>
        <w:t xml:space="preserve">[466] </w:t>
      </w:r>
      <w:hyperlink r:id="rId1113">
        <w:r>
          <w:rPr>
            <w:color w:val="1155CC"/>
            <w:u w:val="single"/>
          </w:rPr>
          <w:t>长期使用处方镇痛药的 GWAS 确定了慢性疼痛的遗传位点</w:t>
        </w:r>
      </w:hyperlink>
    </w:p>
    <w:p>
      <w:pPr>
        <w:spacing w:before="0" w:after="80"/>
      </w:pPr>
      <w:r>
        <w:rPr>
          <w:i/>
          <w:sz w:val="20"/>
        </w:rPr>
        <w:t>EN: GWAS of extended prescription analgesic use identifies genetic loci in chronic pain</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疼痛相关疾病是全世界残疾的主要原因。现有针对慢性疼痛的 GWAS 主要关注个体疼痛相关疾病，可能无法最佳地捕捉表型。在这里，我们根据两个大型生物库（UK Biobank 和 FinnGen）中的处方镇痛使用（≥ 90 天）来定义慢性疼痛。对 11 种基于处方的疼痛表型的 GWAS 荟萃分析确定了 140 种与慢性疼痛的关联，其中包括 78 种新关联（例如 ARPP21、CNTNAP2）和 62 种先前报道的关联（例如 SLC39A8、DCC、TRPM8）。将这些遗传关联与功能数据（包括全转录组关联研究、细胞类型和通路富集以及小鼠表型中的基因富集）相结合，确定了参与慢性疼痛的潜在机制，涉及少突胶质细胞分化、神经元引导、内溶酶体功能和突触后内体再循环。我们的研究展示了如何使用处方数据来识别和表征疼痛，从而深入了解疼痛遗传学及其基础生物学。</w:t>
      </w:r>
    </w:p>
    <w:p>
      <w:pPr>
        <w:spacing w:before="0" w:after="200" w:lineRule="auto" w:line="276"/>
      </w:pPr>
      <w:r>
        <w:rPr>
          <w:b/>
        </w:rPr>
        <w:t xml:space="preserve">Abstract (EN): </w:t>
      </w:r>
      <w:r>
        <w:t>Pain-related conditions are the leading cause of disability worldwide. Existing GWAS for chronic pain have mainly focused on individual pain-related disorders, which may not optimally capture the phenotype. Here, we define chronic pain based on prescription analgesic use ( ≥ 90 days) in two large biobanks (UK Biobank and FinnGen). GWAS meta-analyses of 11 prescription-based pain phenotypes identify 140 associations with chronic pain, including 78 novel (e.g. ARPP21, CNTNAP2) and 62 previously reported (e.g. SLC39A8, DCC, TRPM8) associations. Integrating these genetic associations with functional data including transcriptome-wide association studies, cell-type and pathway enrichment, and gene enrichment in mouse phenotypes identifies potential mechanisms involved in chronic pain, implicating oligodendrocyte differentiation, neuronal guidance, endolysosomal function and post-synaptic endosome recycling. Our study showcases how the use of prescription data to identify and characterize pain can provide insights into pain genetics and its underlying biology.</w:t>
      </w:r>
    </w:p>
    <w:p>
      <w:pPr>
        <w:spacing w:before="120" w:after="120"/>
      </w:pPr>
      <w:r>
        <w:rPr>
          <w:sz w:val="18"/>
        </w:rPr>
        <w:t>——————————————————————————————————————————————————————————————————————</w:t>
      </w:r>
    </w:p>
    <w:p>
      <w:pPr>
        <w:spacing w:before="160" w:after="40" w:line="240" w:lineRule="auto"/>
      </w:pPr>
      <w:r>
        <w:rPr>
          <w:b/>
        </w:rPr>
        <w:t xml:space="preserve">[467] </w:t>
      </w:r>
      <w:hyperlink r:id="rId1114">
        <w:r>
          <w:rPr>
            <w:color w:val="1155CC"/>
            <w:u w:val="single"/>
          </w:rPr>
          <w:t>清醒、睡眠和外部机械通气期间人类前脑神经同步和呼吸夹带</w:t>
        </w:r>
      </w:hyperlink>
    </w:p>
    <w:p>
      <w:pPr>
        <w:spacing w:before="0" w:after="80"/>
      </w:pPr>
      <w:r>
        <w:rPr>
          <w:i/>
          <w:sz w:val="20"/>
        </w:rPr>
        <w:t>EN: Human forebrain neural synchronization and entrainment to breathing during wakefulness, sleep, and external mechanical ventilation</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前脑跟踪和整合呼吸信号的能力（这一过程称为呼吸内感受）对于检测呼吸威胁和确保生存至关重要，但其神经机制仍然很大程度上未知。利用人类颅内记录，我们发现在清醒、睡眠和外部机械通气期间，前脑神经振荡和呼吸节律之间存在广泛的同步。在清醒期间，已知内感受区域内的局部部位，如岛叶、体感皮层、前扣带皮层和杏仁核，与呼吸强烈同步，突出了它们在呼吸内感受中的关键作用。在睡眠期间，前脑与呼吸的同步性降低，而杏仁核和海马体持续存在，这可能支持警觉和记忆巩固。与啮齿类动物相比，这种同步不需要鼻气流，这暗示了呼吸内感受的多个传入途径以及人类可能独特的进化变化。当呼吸由外部机械呼吸机驱动时，强加的呼吸节律直接带动前脑活动，表明存在因果关系。值得注意的是，呼吸机驱动的缓慢、深呼吸带动了更多的前脑部位，这表明基于呼吸的练习可能影响情绪和认知的潜在机制。总之，这些发现将呼吸内感受重新定义为前脑内的普遍影响，对于理解呼吸意识、情绪调节障碍具有重要意义。</w:t>
      </w:r>
    </w:p>
    <w:p>
      <w:pPr>
        <w:spacing w:before="0" w:after="200" w:lineRule="auto" w:line="276"/>
      </w:pPr>
      <w:r>
        <w:rPr>
          <w:b/>
        </w:rPr>
        <w:t xml:space="preserve">Abstract (EN): </w:t>
      </w:r>
      <w:r>
        <w:t>The ability of the forebrain to track and integrate respiratory signals, a process known as breathing interoception, is critical for detecting respiratory threats and ensuring survival, yet its neural mechanisms remain largely unknown. Using human intracranial recordings, we identified widespread synchronization between forebrain neural oscillations and breathing rhythms across wakefulness, sleep, and external mechanical ventilation. During wakefulness, localized sites within known interoceptive regions such as insula, somatosensory cortex, anterior cingulate cortex, and amygdala robustly synchronized with breathing, highlighting their critical roles in breathing interoception. During sleep, forebrain synchronization with breathing decreased, while persisting in the amygdala and hippocampus, which may support vigilance and memory consolidation. In contrast to rodents, nasal airflow was not required for this synchronization, implicating multiple afferent pathways in respiratory interoception and possible unique evolutionary changes in humans. When breathing was driven by an external mechanical ventilator, the imposed breathing rhythm directly entrained forebrain activity, indicating a causal link. Notably, ventilator-driven slow, deep breathing entrained more forebrain sites, suggesting a potential mechanism through which breath-based practices might influence emotion and cognition. Together, these findings redefine breathing interoception as a pervasive influence within the forebrain, with implications for understanding disorders of respiratory awareness, emotional regulation, and cognitive health.</w:t>
      </w:r>
    </w:p>
    <w:p>
      <w:pPr>
        <w:spacing w:before="120" w:after="120"/>
      </w:pPr>
      <w:r>
        <w:rPr>
          <w:sz w:val="18"/>
        </w:rPr>
        <w:t>——————————————————————————————————————————————————————————————————————</w:t>
      </w:r>
    </w:p>
    <w:p>
      <w:pPr>
        <w:spacing w:before="160" w:after="40" w:line="240" w:lineRule="auto"/>
      </w:pPr>
      <w:r>
        <w:rPr>
          <w:b/>
        </w:rPr>
        <w:t xml:space="preserve">[468] </w:t>
      </w:r>
      <w:hyperlink r:id="rId1115">
        <w:r>
          <w:rPr>
            <w:color w:val="1155CC"/>
            <w:u w:val="single"/>
          </w:rPr>
          <w:t>室温下半衰期为数小时的光激发三重态亚甲锗烷基</w:t>
        </w:r>
      </w:hyperlink>
    </w:p>
    <w:p>
      <w:pPr>
        <w:spacing w:before="0" w:after="80"/>
      </w:pPr>
      <w:r>
        <w:rPr>
          <w:i/>
          <w:sz w:val="20"/>
        </w:rPr>
        <w:t>EN: A photoexcited triplet state germylene with a half-life of hours at room temperature</w:t>
      </w:r>
    </w:p>
    <w:p>
      <w:pPr>
        <w:spacing w:before="0" w:after="120"/>
      </w:pPr>
      <w:r>
        <w:rPr>
          <w:b/>
        </w:rPr>
        <w:t xml:space="preserve">Source: </w:t>
      </w:r>
      <w:r>
        <w:t>Nature Chemistry</w:t>
      </w:r>
      <w:r>
        <w:t xml:space="preserve">    </w:t>
      </w:r>
      <w:r>
        <w:rPr>
          <w:b/>
        </w:rPr>
        <w:t xml:space="preserve">Pub date: </w:t>
      </w:r>
      <w:r>
        <w:t>2026-05-28 00:00:00+00:00</w:t>
      </w:r>
      <w:r>
        <w:t xml:space="preserve">    </w:t>
      </w:r>
      <w:r>
        <w:rPr>
          <w:b/>
        </w:rPr>
        <w:t xml:space="preserve">DOI: </w:t>
      </w:r>
      <w:hyperlink r:id="rId1116">
        <w:r>
          <w:rPr>
            <w:color w:val="1155CC"/>
            <w:u w:val="single"/>
          </w:rPr>
          <w:t>10.1038/s41557-026-02153-2</w:t>
        </w:r>
      </w:hyperlink>
    </w:p>
    <w:p>
      <w:pPr>
        <w:spacing w:before="0" w:after="120"/>
      </w:pPr>
      <w:r>
        <w:rPr>
          <w:b/>
        </w:rPr>
        <w:t xml:space="preserve">Notes: </w:t>
      </w:r>
      <w:r>
        <w:t>abstract_source=nature_html</w:t>
      </w:r>
    </w:p>
    <w:p>
      <w:pPr>
        <w:spacing w:before="0" w:after="80" w:lineRule="auto" w:line="276"/>
      </w:pPr>
      <w:r>
        <w:rPr>
          <w:b/>
        </w:rPr>
        <w:t xml:space="preserve">摘要（ZH）: </w:t>
      </w:r>
      <w:r>
        <w:t>三重态四甲苯具有转化化学惰性底物的巨大潜力，但其转瞬即逝的性质限制了它们在低温基质环境之外的检测，使得对其物理和化学性质的研究具有挑战性。在较重的四萘嵌苯（例如亚甲锗烷基）中，由于其较高的单线态-三线态（S1-T1）能隙，这一挑战更加严重。在这里，我们报告了通过激发单线态-三线态陷阱稳定策略实现的长寿命三线态亚甲锗烷基的光诱导生成，在室温下半衰期为 14 小时。这种激发态的亚稳态性质使其能够进行光谱研究和反应性研究。与基态相比，观察到反应性增强，包括苯的双还原裂解中 N=N、C–Br、Si–H 甚至 C–C 键的裂解。该图像的替代文本可能是使用 AI 生成的。</w:t>
      </w:r>
    </w:p>
    <w:p>
      <w:pPr>
        <w:spacing w:before="0" w:after="200" w:lineRule="auto" w:line="276"/>
      </w:pPr>
      <w:r>
        <w:rPr>
          <w:b/>
        </w:rPr>
        <w:t xml:space="preserve">Abstract (EN): </w:t>
      </w:r>
      <w:r>
        <w:t>Triplet state tetrylenes posess significant potential for transforming chemically inert substrates, but their fleeting nature has limited their detection beyond low-temperature matrix environments, making the study of their physical and chemical properties challenging. This challenge is exacerbated in heavier tetrylenes, such as germylenes, due to their higher singlet–triplet (S1–T1) energy gaps. Here we report the photoinduced generation of a long-lived triplet germylene with a 14-h half-life time at room temperature, achieved through an excited singlet–triplet trap stabilization strategy. The metastable nature of this excited state enabled its spectroscopic investigation and the study of its reactivity. Compared with the ground state, enhanced reactivity is observed, including the cleavage of N=N, C–Br, Si–H and even C–C bonds in a doubly reductive cleavage of benzene.The alternative text for this image may have been generated using AI.</w:t>
      </w:r>
    </w:p>
    <w:p>
      <w:pPr>
        <w:spacing w:before="120" w:after="120"/>
      </w:pPr>
      <w:r>
        <w:rPr>
          <w:sz w:val="18"/>
        </w:rPr>
        <w:t>——————————————————————————————————————————————————————————————————————</w:t>
      </w:r>
    </w:p>
    <w:p>
      <w:pPr>
        <w:spacing w:before="160" w:after="40" w:line="240" w:lineRule="auto"/>
      </w:pPr>
      <w:r>
        <w:rPr>
          <w:b/>
        </w:rPr>
        <w:t xml:space="preserve">[469] </w:t>
      </w:r>
      <w:hyperlink r:id="rId1117">
        <w:r>
          <w:rPr>
            <w:color w:val="1155CC"/>
            <w:u w:val="single"/>
          </w:rPr>
          <w:t>基于人工智能的多模态深度学习模型对接受根治性肾切除术的患者进行功能预后风险分层</w:t>
        </w:r>
      </w:hyperlink>
    </w:p>
    <w:p>
      <w:pPr>
        <w:spacing w:before="0" w:after="80"/>
      </w:pPr>
      <w:r>
        <w:rPr>
          <w:i/>
          <w:sz w:val="20"/>
        </w:rPr>
        <w:t>EN: Multimodal deep learning model for AI-based functional prognostic risk stratification in patients undergoing radical nephrectomy</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对于泌尿科医师来说，在复杂性肾细胞癌 (RCC) 患者中做出技术上具有挑战性的部分肾切除术 (PN) 和根治性肾切除术 (RN) 之间的决定仍然是一个重大挑战。 RN后肾小球滤过率（GFR）快速下降（每年下降&gt;3 mL/min/1.73 m²）被认为是肾功能异常状态，如果术前可以预测这种风险，即使技术要求较高，也可以进行PN。我们回顾性分析了多个中心 1621 名患者的对比增强计算机断层扫描图像和临床数据。开发了多模态深度学习模型来预测 RN 后 GFR 的快速下降。该模型在外部测试集中实现了 0.788–0.873 的曲线下面积。它将患者分为高风险组和低风险组，慢性肾病进展的风险显着不同。在这里，我们表明该模型具有协助复杂肾细胞癌患者做出治疗决策的潜力，对于这些患者来说 PN 具有挑战性但可行。</w:t>
      </w:r>
    </w:p>
    <w:p>
      <w:pPr>
        <w:spacing w:before="0" w:after="200" w:lineRule="auto" w:line="276"/>
      </w:pPr>
      <w:r>
        <w:rPr>
          <w:b/>
        </w:rPr>
        <w:t xml:space="preserve">Abstract (EN): </w:t>
      </w:r>
      <w:r>
        <w:t>Making the decision between technically challenging partial nephrectomy (PN) and radical nephrectomy (RN) in patients with complex renal cell carcinoma (RCC) remains a significant challenge for urologists. Rapid glomerular filtration rate (GFR) decline (annual decline &gt;3 mL/min/1.73 m²) after RN is considered an abnormal renal function state, and if this risk can be predicted preoperatively, PN may be pursued even when technically demanding. We retrospectively analyze contrast-enhanced computed tomography images and clinical data from 1621 patients across multiple centers. A multimodal deep learning model is developed to predict rapid GFR decline after RN. The model achieves an area under the curve of 0.788–0.873 in external test sets. It stratifies patients into high- and low-risk groups with significantly different risks of chronic kidney disease progression. Here we show that the model demonstrates potential for assisting treatment decisions in patients with complex RCC for whom PN is challenging but feasible.</w:t>
      </w:r>
    </w:p>
    <w:p>
      <w:pPr>
        <w:spacing w:before="120" w:after="120"/>
      </w:pPr>
      <w:r>
        <w:rPr>
          <w:sz w:val="18"/>
        </w:rPr>
        <w:t>——————————————————————————————————————————————————————————————————————</w:t>
      </w:r>
    </w:p>
    <w:p>
      <w:pPr>
        <w:spacing w:before="160" w:after="40" w:line="240" w:lineRule="auto"/>
      </w:pPr>
      <w:r>
        <w:rPr>
          <w:b/>
        </w:rPr>
        <w:t xml:space="preserve">[470] </w:t>
      </w:r>
      <w:hyperlink r:id="rId1118">
        <w:r>
          <w:rPr>
            <w:color w:val="1155CC"/>
            <w:u w:val="single"/>
          </w:rPr>
          <w:t>北大西洋影响协调热带太平洋变暖模式中的模型观测差异</w:t>
        </w:r>
      </w:hyperlink>
    </w:p>
    <w:p>
      <w:pPr>
        <w:spacing w:before="0" w:after="80"/>
      </w:pPr>
      <w:r>
        <w:rPr>
          <w:i/>
          <w:sz w:val="20"/>
        </w:rPr>
        <w:t>EN: North Atlantic influence reconciling model-observation discrepancy in the tropical Pacific warming pattern</w:t>
      </w:r>
    </w:p>
    <w:p>
      <w:pPr>
        <w:spacing w:before="0" w:after="120"/>
      </w:pPr>
      <w:r>
        <w:rPr>
          <w:b/>
        </w:rPr>
        <w:t xml:space="preserve">Source: </w:t>
      </w:r>
      <w:r>
        <w:t>Earth and environmental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在过去的四十年中，热带太平洋海面温度（SST）的纬向对比在观测中有所增强，但在大多数气候模型模拟中有所减弱。这种模型与观测的差异不能仅用太平洋年代际气候变率的内部模式来解释，并且可能的模型误差的来源仍不清楚。在这里，通过气候模型的观测和大量历史模拟，我们发现与大西洋多年代变率（AMV）相关的模拟海温模式在热带太平洋中存在偏差，尽管 AMV 的时间演变得到了很好的再现。观测结果表明，正 AMV 会增加太平洋纬向海温对比，而这种遥相关过程会在模型中错误地削弱它，这是其他气候模型的共同特征，并且校正与 AMV 相关的海温模式（可能是外部强迫响应）部分地调和了模型与观测的差异。</w:t>
      </w:r>
    </w:p>
    <w:p>
      <w:pPr>
        <w:spacing w:before="0" w:after="200" w:lineRule="auto" w:line="276"/>
      </w:pPr>
      <w:r>
        <w:rPr>
          <w:b/>
        </w:rPr>
        <w:t xml:space="preserve">Abstract (EN): </w:t>
      </w:r>
      <w:r>
        <w:t>Over the past four decades, zonal contrast in the tropical Pacific sea surface temperature (SST) has strengthened in observations but weakened in majority of climate model simulations. This model–observation discrepancy cannot be explained by internal mode of interdecadal climate variability in the Pacific alone, and the source of possible model errors remains unclear. Here, using observations and a large ensemble of historical simulations by a climate model, we identified that the simulated SST pattern associated with the Atlantic Multidecadal Variability (AMV) is biased in the tropical Pacific despite the time evolution of the AMV being reproduced well. Observations suggest that the positive AMV acts to increase the Pacific zonal SST contrast whereas this teleconnection process falsely weakens it in the model, which is a common feature in other climate models, and correcting the AMV-related SST pattern, which is likely an externally forced response, partly reconciles the model-observation discrepancy.</w:t>
      </w:r>
    </w:p>
    <w:p>
      <w:pPr>
        <w:spacing w:before="120" w:after="120"/>
      </w:pPr>
      <w:r>
        <w:rPr>
          <w:sz w:val="18"/>
        </w:rPr>
        <w:t>——————————————————————————————————————————————————————————————————————</w:t>
      </w:r>
    </w:p>
    <w:p>
      <w:pPr>
        <w:spacing w:before="160" w:after="40" w:line="240" w:lineRule="auto"/>
      </w:pPr>
      <w:r>
        <w:rPr>
          <w:b/>
        </w:rPr>
        <w:t xml:space="preserve">[471] </w:t>
      </w:r>
      <w:hyperlink r:id="rId1119">
        <w:r>
          <w:rPr>
            <w:color w:val="1155CC"/>
            <w:u w:val="single"/>
          </w:rPr>
          <w:t>脑 FGF2 和 NCAM1 促进雌激素受体阳性乳腺癌脑转移的 FGFR1 依赖性进展</w:t>
        </w:r>
      </w:hyperlink>
    </w:p>
    <w:p>
      <w:pPr>
        <w:spacing w:before="0" w:after="80"/>
      </w:pPr>
      <w:r>
        <w:rPr>
          <w:i/>
          <w:sz w:val="20"/>
        </w:rPr>
        <w:t>EN: Brain FGF2 and NCAM1 contribute to FGFR1-dependent progression of estrogen receptor-positive breast cancer brain metastases</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雌激素受体阳性乳腺癌在乳腺癌脑转移中占很大比例，但仍没有得到充分研究。在这里，我们表明，FGFR1 扩增是雌激素受体阳性乳腺癌内分泌抵抗的公认驱动因素，通过经典的 FGF2/FGFR1 信号传导和非经典的 NCAM1/FGFR1 相互作用，促进年轻和老年雌性小鼠中雌激素受体阳性乳腺癌脑转移定植。在雌激素治疗的年轻小鼠中，星形细胞 FGF2 介导的 FGFR1 旁分泌激活促进乳腺癌脑转移，但随着衰老和雌激素耗竭，大脑中 FGF2 水平和信号传导降低。神经元和星形胶质细胞 NCAM1 在年轻和老年大脑中保持不变，促进雌激素受体阳性细胞对神经元的粘附、迁移和生长，表明星形胶质细胞和神经元的相互作用通过 FGFR1 促进早期雌激素受体阳性乳腺癌脑转移的定植。重要的是，FDA 批准的 FGFR 抑制剂可有效阻止早期定植，但不能阻止晚期脑转移，这表明预防 FGFR1+ 脑转移是 FGFR1 抑制剂的一个机会之窗。</w:t>
      </w:r>
    </w:p>
    <w:p>
      <w:pPr>
        <w:spacing w:before="0" w:after="200" w:lineRule="auto" w:line="276"/>
      </w:pPr>
      <w:r>
        <w:rPr>
          <w:b/>
        </w:rPr>
        <w:t xml:space="preserve">Abstract (EN): </w:t>
      </w:r>
      <w:r>
        <w:t>Estrogen receptor-positive breast cancer represents a significant proportion of breast cancer brain metastasis but remains understudied. Here we show that FGFR1-amplification, a well-established driver of estrogen receptor-positive breast cancer endocrine resistance, promotes estrogen receptor-positive breast cancer brain metastatic colonization in young and aged female mice, through both canonical FGF2/FGFR1 signaling and non-canonical NCAM1/FGFR1 interactions. Astrocytic FGF2-mediated paracrine activation of FGFR1 promotes breast cancer brain metastasis in estrogen-treated young mice, but FGF2 levels and signaling decrease in the brain with aging and estrogen-depletion. Neuronal and astrocytic NCAM1, which remain unchanged in young and aged brains, promote adhesion to neurons, migration, and growth of estrogen receptor-positive cells, suggesting that interactions with astrocytes and neurons facilitate early estrogen receptor-positive breast cancer brain metastasis colonization through FGFR1. Importantly, FDA-approved FGFR inhibitors effectively block early colonization but not late-stage brain metastases, suggesting prevention of FGFR1+ brain metastases as a window of opportunity for FGFR1 inhibitors.</w:t>
      </w:r>
    </w:p>
    <w:p>
      <w:pPr>
        <w:spacing w:before="120" w:after="120"/>
      </w:pPr>
      <w:r>
        <w:rPr>
          <w:sz w:val="18"/>
        </w:rPr>
        <w:t>——————————————————————————————————————————————————————————————————————</w:t>
      </w:r>
    </w:p>
    <w:p>
      <w:pPr>
        <w:spacing w:before="160" w:after="40" w:line="240" w:lineRule="auto"/>
      </w:pPr>
      <w:r>
        <w:rPr>
          <w:b/>
        </w:rPr>
        <w:t xml:space="preserve">[472] </w:t>
      </w:r>
      <w:hyperlink r:id="rId1120">
        <w:r>
          <w:rPr>
            <w:color w:val="1155CC"/>
            <w:u w:val="single"/>
          </w:rPr>
          <w:t>持久的甲炔自由基可实现可逆的 σ-二聚化和多样化的键激活</w:t>
        </w:r>
      </w:hyperlink>
    </w:p>
    <w:p>
      <w:pPr>
        <w:spacing w:before="0" w:after="80"/>
      </w:pPr>
      <w:r>
        <w:rPr>
          <w:i/>
          <w:sz w:val="20"/>
        </w:rPr>
        <w:t>EN: A persistent germylyne radical enabling reversible σ-dimerization and diverse bond activation</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自由基的可逆σ二聚化是键形成和断裂的基本过程，但利用可分离的重碳炔类似物实现这一过程仍然是一个首要挑战。在此，我们报道了可分离的甲炔自由基的合成和表征，该自由基在通过Ge-Ge单键进行清洁、可逆的σ二聚化时表现出显着的环境稳定性。这种可逆过程表现出明显的热致变色响应，通过变温 NMR/EPR 光谱和 X 射线晶体学得到彻底阐明，揭示了适度的键解离焓。除了二聚作用之外，这种甲炔自由基还可以作为主基团键激活的多功能合成子，轻松裂解硫属元素-硫属元素（S-S、Se-Se）、磷-磷（P₄），甚至具有挑战性的芳香族碳-氯（C-Cl）键。这项工作提供了重碳炔二聚途径的直接结构证据，并为主族化学中的动态共价键合建立了一个新平台，对刺激响应材料和自由基介导的活化具有影响。</w:t>
      </w:r>
    </w:p>
    <w:p>
      <w:pPr>
        <w:spacing w:before="0" w:after="200" w:lineRule="auto" w:line="276"/>
      </w:pPr>
      <w:r>
        <w:rPr>
          <w:b/>
        </w:rPr>
        <w:t xml:space="preserve">Abstract (EN): </w:t>
      </w:r>
      <w:r>
        <w:t>The reversible σ-dimerization of radicals is a fundamental process in bond formation and cleavage, yet achieving this with an isolable heavy carbyne analogue has remained a paramount challenge. Herein, we report the synthesis and characterization of an isolable germylyne radical that demonstrates remarkable ambient stability while undergoing clean, reversible σ-dimerization via a Ge–Ge single bond. This reversible process, which exhibits a pronounced thermochromic response, is thoroughly elucidated through variable-temperature NMR/EPR spectroscopy and X-ray crystallography, revealing a moderate bond dissociation enthalpy. Beyond dimerization, this germylyne radical acts as a versatile synthon for main-group bond activation, readily cleaving chalcogen-chalcogen (S–S, Se–Se), phosphorus-phosphorus (in P₄), and even challenging aromatic carbon-chlorine (C–Cl) bonds. This work provides the direct structural evidence of a heavy carbyne’s dimerization pathway and establishes a new platform for dynamic covalent bonding in main-group chemistry, with implications for stimuli-responsive materials and radical-mediated activation.</w:t>
      </w:r>
    </w:p>
    <w:p>
      <w:pPr>
        <w:spacing w:before="120" w:after="120"/>
      </w:pPr>
      <w:r>
        <w:rPr>
          <w:sz w:val="18"/>
        </w:rPr>
        <w:t>——————————————————————————————————————————————————————————————————————</w:t>
      </w:r>
    </w:p>
    <w:p>
      <w:pPr>
        <w:spacing w:before="160" w:after="40" w:line="240" w:lineRule="auto"/>
      </w:pPr>
      <w:r>
        <w:rPr>
          <w:b/>
        </w:rPr>
        <w:t xml:space="preserve">[473] </w:t>
      </w:r>
      <w:hyperlink r:id="rId1121">
        <w:r>
          <w:rPr>
            <w:color w:val="1155CC"/>
            <w:u w:val="single"/>
          </w:rPr>
          <w:t>人类和大鼠的参考点依赖强化学习</w:t>
        </w:r>
      </w:hyperlink>
    </w:p>
    <w:p>
      <w:pPr>
        <w:spacing w:before="0" w:after="80"/>
      </w:pPr>
      <w:r>
        <w:rPr>
          <w:i/>
          <w:sz w:val="20"/>
        </w:rPr>
        <w:t>EN: Reference-point dependent reinforcement learning in humans and rats</w:t>
      </w:r>
    </w:p>
    <w:p>
      <w:pPr>
        <w:spacing w:before="0" w:after="120"/>
      </w:pPr>
      <w:r>
        <w:rPr>
          <w:b/>
        </w:rPr>
        <w:t xml:space="preserve">Source: </w:t>
      </w:r>
      <w:r>
        <w:t>Biological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强化学习中的奖励和惩罚以绝对和相对方式编码。参考点依赖是适应水平理论和前景理论共有的一种评估偏差，通常被认为是相对值编码背后的计算机制。然而，这些行为和计算机制在不同物种之间的保守程度仍有待充分了解。因此，我们在人类和大鼠中设计了并行强化学习任务，以检查跨物种的参考点依赖性。行为分析显示这两个物种都有强大的相对值编码，计算模型证实参考点依赖性可靠地解释了人类和大鼠的行为。尽管物种之间存在这些主要相似之处，但仍观察到行为和建模参数的一些差异。总的来说，我们的研究表明，相对值编码是强化学习的一个强大特征，在人类和大鼠中都是保守的。</w:t>
      </w:r>
    </w:p>
    <w:p>
      <w:pPr>
        <w:spacing w:before="0" w:after="200" w:lineRule="auto" w:line="276"/>
      </w:pPr>
      <w:r>
        <w:rPr>
          <w:b/>
        </w:rPr>
        <w:t xml:space="preserve">Abstract (EN): </w:t>
      </w:r>
      <w:r>
        <w:t>Rewards and punishments in reinforcement learning are encoded in both absolute and relative manners. Reference-point dependence, a valuation bias shared by adaptation-level and prospect theories, is often proposed as the computational mechanism underlying relative value encoding. However, the extent to which these behavioural and computational mechanisms are conserved across species remains to be fully understood. We therefore designed parallel reinforcement learning tasks in humans and rats to examine reference-point dependence across species. Behavioural analyses showed robust relative value encoding in both species, and computational modelling confirmed that reference-point dependence reliably accounts for behaviour in humans and rats. Despite these major similarities between species, some differences in behavioural and modelling parameters were observed. Overall, our study demonstrates that relative value encoding is a robust feature of reinforcement learning that is conserved across humans and rats.</w:t>
      </w:r>
    </w:p>
    <w:p>
      <w:pPr>
        <w:spacing w:before="120" w:after="120"/>
      </w:pPr>
      <w:r>
        <w:rPr>
          <w:sz w:val="18"/>
        </w:rPr>
        <w:t>——————————————————————————————————————————————————————————————————————</w:t>
      </w:r>
    </w:p>
    <w:p>
      <w:pPr>
        <w:spacing w:before="160" w:after="40" w:line="240" w:lineRule="auto"/>
      </w:pPr>
      <w:r>
        <w:rPr>
          <w:b/>
        </w:rPr>
        <w:t xml:space="preserve">[474] </w:t>
      </w:r>
      <w:hyperlink r:id="rId1122">
        <w:r>
          <w:rPr>
            <w:color w:val="1155CC"/>
            <w:u w:val="single"/>
          </w:rPr>
          <w:t>原位叠层纳米断层扫描捕获负载型催化剂的活化、迁移率和失活</w:t>
        </w:r>
      </w:hyperlink>
    </w:p>
    <w:p>
      <w:pPr>
        <w:spacing w:before="0" w:after="80"/>
      </w:pPr>
      <w:r>
        <w:rPr>
          <w:i/>
          <w:sz w:val="20"/>
        </w:rPr>
        <w:t>EN: In situ ptychographic nanotomography captures activation, mobility, and deactivation of supported catalysts</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负载在多孔载体材料表面的纳米粒子是当今多相催化剂的主要形式。然而，它们存在一个常见的失活机制：在工业使用条件下活性表面积的损失。失活通常源于纳米粒子的烧结，这是一种质量传输过程，其机制和工作长度尺度是一个有争议的话题。研究这个过程具有挑战性，不仅需要对分层结构支持的空间范围内的数千个单独粒子进行行为表征，还需要对它们的整体行为和局部支持相互作用进行表征。在这里，我们引入原位叠层X射线计算机纳米断层扫描作为促进这种表征的工具，允许在操作相关条件下对催化剂的使用几何形状进行局部检查。应用于二氧化硅负载催化剂上的甲烷氧化，我们揭示了两种同时运行的失活驱动因素，即短程成熟和长程颗粒迁移，每种驱动因素都具有不同的温度和大气依赖性。后者使粒子能够穿过支撑物数百纳米。这些观察结果扩展了目前对负载型催化剂烧结行为的理解，并证明了 PXCT 解决复杂多孔材料内重组过程的能力。</w:t>
      </w:r>
    </w:p>
    <w:p>
      <w:pPr>
        <w:spacing w:before="0" w:after="200" w:lineRule="auto" w:line="276"/>
      </w:pPr>
      <w:r>
        <w:rPr>
          <w:b/>
        </w:rPr>
        <w:t xml:space="preserve">Abstract (EN): </w:t>
      </w:r>
      <w:r>
        <w:t>Nanoparticles supported on the surface of porous carrier materials are the dominant form of heterogeneous catalysts today. Yet, they suffer from a common deactivation mechanism: the loss of active surface area under industrial use conditions. Deactivation often stems from the sintering of nanoparticles, a mass-transport process whose mechanism and operating length-scale are a topic of controversy. Investigating this process is challenging, requiring not only a behavioral characterization of thousands of individual particles within the spatial confines of a hierarchically structured support but also a characterization of their ensemble behavior and local support interactions. Here, we introduce in situ ptychographic X-ray computed nanotomography as a tool to facilitate this characterization, allowing a local examination of catalysts in their use-geometry under operational-relevant conditions. Applied to methane oxidation over a palladium-on-silica supported catalyst, we reveal two concurrently operating deactivation drivers, short-range ripening and long-range particle migration, each with different temperature and atmosphere dependencies. The latter enables particles to traverse hundreds of nanometers through the support. These observations expand the current understanding of sintering behavior in supported catalysts and demonstrate PXCT’s capability to resolve restructuring processes within complex porous materials.</w:t>
      </w:r>
    </w:p>
    <w:p>
      <w:pPr>
        <w:spacing w:before="120" w:after="120"/>
      </w:pPr>
      <w:r>
        <w:rPr>
          <w:sz w:val="18"/>
        </w:rPr>
        <w:t>——————————————————————————————————————————————————————————————————————</w:t>
      </w:r>
    </w:p>
    <w:p>
      <w:pPr>
        <w:spacing w:before="160" w:after="40" w:line="240" w:lineRule="auto"/>
      </w:pPr>
      <w:r>
        <w:rPr>
          <w:b/>
        </w:rPr>
        <w:t xml:space="preserve">[475] </w:t>
      </w:r>
      <w:hyperlink r:id="rId1123">
        <w:r>
          <w:rPr>
            <w:color w:val="1155CC"/>
            <w:u w:val="single"/>
          </w:rPr>
          <w:t>联合电力需求预测：基于TimeVAE潜在表示的客户选择机制</w:t>
        </w:r>
      </w:hyperlink>
    </w:p>
    <w:p>
      <w:pPr>
        <w:spacing w:before="0" w:after="80"/>
      </w:pPr>
      <w:r>
        <w:rPr>
          <w:i/>
          <w:sz w:val="20"/>
        </w:rPr>
        <w:t>EN: Federated electricity demand forecasting: A client selection mechanism based on TimeVAE latent representations</w:t>
      </w:r>
    </w:p>
    <w:p>
      <w:pPr>
        <w:spacing w:before="0" w:after="120"/>
      </w:pPr>
      <w:r>
        <w:rPr>
          <w:b/>
        </w:rPr>
        <w:t xml:space="preserve">Source: </w:t>
      </w:r>
      <w:r>
        <w:t>ScienceDirect Publication: Applied Energy</w:t>
      </w:r>
      <w:r>
        <w:t xml:space="preserve">    </w:t>
      </w:r>
      <w:r>
        <w:rPr>
          <w:b/>
        </w:rPr>
        <w:t xml:space="preserve">Pub date: </w:t>
      </w:r>
      <w:r>
        <w:t>2026-05-28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[476] </w:t>
      </w:r>
      <w:hyperlink r:id="rId1124">
        <w:r>
          <w:rPr>
            <w:color w:val="1155CC"/>
            <w:u w:val="single"/>
          </w:rPr>
          <w:t>逆向设计的氮化硅纳米光子学</w:t>
        </w:r>
      </w:hyperlink>
    </w:p>
    <w:p>
      <w:pPr>
        <w:spacing w:before="0" w:after="80"/>
      </w:pPr>
      <w:r>
        <w:rPr>
          <w:i/>
          <w:sz w:val="20"/>
        </w:rPr>
        <w:t>EN: Inverse-designed silicon nitride nanophotonics</w:t>
      </w:r>
    </w:p>
    <w:p>
      <w:pPr>
        <w:spacing w:before="0" w:after="120"/>
      </w:pPr>
      <w:r>
        <w:rPr>
          <w:b/>
        </w:rPr>
        <w:t xml:space="preserve">Source: </w:t>
      </w:r>
      <w:r>
        <w:t>Physical sciences : Nature Communications subject feeds</w:t>
      </w:r>
      <w:r>
        <w:t xml:space="preserve">    </w:t>
      </w:r>
      <w:r>
        <w:rPr>
          <w:b/>
        </w:rPr>
        <w:t xml:space="preserve">Pub date: </w:t>
      </w:r>
      <w:r>
        <w:t>2026-05-28 00:00:00+00:00</w:t>
      </w:r>
    </w:p>
    <w:p>
      <w:pPr>
        <w:spacing w:before="0" w:after="120"/>
      </w:pPr>
      <w:r>
        <w:rPr>
          <w:b/>
        </w:rPr>
        <w:t xml:space="preserve">Notes: </w:t>
      </w:r>
      <w:r>
        <w:t>abstract_source=nature_html</w:t>
      </w:r>
    </w:p>
    <w:p>
      <w:pPr>
        <w:spacing w:before="0" w:after="80" w:lineRule="auto" w:line="276"/>
      </w:pPr>
      <w:r>
        <w:rPr>
          <w:b/>
        </w:rPr>
        <w:t xml:space="preserve">摘要（ZH）: </w:t>
      </w:r>
      <w:r>
        <w:t>氮化硅光子学已经实现了线性和非线性光学应用中各种组件的集成，包括电信、光学时钟、星体梳、生物传感和激光雷达。随着逆向设计的出现（通过迭代、基于梯度的优化来指定并接近实现所需的器件性能）以及通过代工厂氮化硅光子学的可用性不断增加，现在可以将光子设计库扩展到传统方法的限制之外并解锁新功能。在这项工作中，我们在氮化硅平台上展示了​​逆向设计的光子学，并通过实现精确定制的波分复用器、模分复用器和具有可控波长范围和色散的高Q谐振器来展示设计能力和实验验证。这证明了逆向设计增强了对光正交基的操纵。此外，我们使用这些逆向设计的结构来形成光学腔，为片上非线性和量子光学实验带来希望。</w:t>
      </w:r>
    </w:p>
    <w:p>
      <w:pPr>
        <w:spacing w:before="0" w:after="200" w:lineRule="auto" w:line="276"/>
      </w:pPr>
      <w:r>
        <w:rPr>
          <w:b/>
        </w:rPr>
        <w:t xml:space="preserve">Abstract (EN): </w:t>
      </w:r>
      <w:r>
        <w:t>Silicon nitride photonics has enabled integration of a variety of components for applications in linear and nonlinear optics, including telecommunications, optical clocks, astrocombs, bio-sensing, and LiDAR. With the advent of inverse design – where desired device performance is specified and closely achieved through iterative, gradient-based optimisation – and the increasing availability of silicon nitride photonics via foundries, it is now feasible to expand the photonic design library beyond the limits of traditional approaches and unlock new functionalities. In this work, we present inverse-designed photonics on a silicon nitride platform and demonstrate both the design capabilities and experimental verification by realising precisely tailored wavelength-division multiplexers, mode-division multiplexers, and high-Q resonators with controllable wavelength range and dispersion. This demonstrates inverse-designed enhanced manipulation of orthogonal bases of light. Furthermore, we use these inverse-designed structures to form optical cavities that hold promise for on-chip nonlinear and quantum optics experiments.</w:t>
      </w:r>
    </w:p>
    <w:p>
      <w:pPr>
        <w:spacing w:before="120" w:after="120"/>
      </w:pPr>
      <w:r>
        <w:rPr>
          <w:sz w:val="18"/>
        </w:rPr>
        <w:t>——————————————————————————————————————————————————————————————————————</w:t>
      </w:r>
    </w:p>
    <w:p>
      <w:pPr>
        <w:spacing w:before="160" w:after="40" w:line="240" w:lineRule="auto"/>
      </w:pPr>
      <w:r>
        <w:rPr>
          <w:b/>
        </w:rPr>
        <w:t xml:space="preserve">[477] </w:t>
      </w:r>
      <w:hyperlink r:id="rId1125">
        <w:r>
          <w:rPr>
            <w:color w:val="1155CC"/>
            <w:u w:val="single"/>
          </w:rPr>
          <w:t>NIH、NASA 对外国合著者施加限制</w:t>
        </w:r>
      </w:hyperlink>
    </w:p>
    <w:p>
      <w:pPr>
        <w:spacing w:before="0" w:after="80"/>
      </w:pPr>
      <w:r>
        <w:rPr>
          <w:i/>
          <w:sz w:val="20"/>
        </w:rPr>
        <w:t>EN: NIH, NASA place limits on foreign co-authors</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26">
        <w:r>
          <w:rPr>
            <w:color w:val="1155CC"/>
            <w:u w:val="single"/>
          </w:rPr>
          <w:t>10.1126/science.aej2011</w:t>
        </w:r>
      </w:hyperlink>
    </w:p>
    <w:p>
      <w:pPr>
        <w:spacing w:before="0" w:after="120"/>
      </w:pPr>
      <w:r>
        <w:rPr>
          <w:b/>
        </w:rPr>
        <w:t xml:space="preserve">Notes: </w:t>
      </w:r>
      <w:r>
        <w:t>abstract_source=crossref</w:t>
      </w:r>
    </w:p>
    <w:p>
      <w:pPr>
        <w:spacing w:before="0" w:after="80" w:lineRule="auto" w:line="276"/>
      </w:pPr>
      <w:r>
        <w:rPr>
          <w:b/>
        </w:rPr>
        <w:t xml:space="preserve">摘要（ZH）: </w:t>
      </w:r>
      <w:r>
        <w:t>政策沟通是零散的，在某些情况下甚至是矛盾的</w:t>
      </w:r>
    </w:p>
    <w:p>
      <w:pPr>
        <w:spacing w:before="0" w:after="200" w:lineRule="auto" w:line="276"/>
      </w:pPr>
      <w:r>
        <w:rPr>
          <w:b/>
        </w:rPr>
        <w:t xml:space="preserve">Abstract (EN): </w:t>
      </w:r>
      <w:r>
        <w:t>Communication of policies is piecemeal and in some cases contradictory</w:t>
      </w:r>
    </w:p>
    <w:p>
      <w:pPr>
        <w:spacing w:before="120" w:after="120"/>
      </w:pPr>
      <w:r>
        <w:rPr>
          <w:sz w:val="18"/>
        </w:rPr>
        <w:t>——————————————————————————————————————————————————————————————————————</w:t>
      </w:r>
    </w:p>
    <w:p>
      <w:pPr>
        <w:spacing w:before="160" w:after="40" w:line="240" w:lineRule="auto"/>
      </w:pPr>
      <w:r>
        <w:rPr>
          <w:b/>
        </w:rPr>
        <w:t xml:space="preserve">[478] </w:t>
      </w:r>
      <w:hyperlink r:id="rId1127">
        <w:r>
          <w:rPr>
            <w:color w:val="1155CC"/>
            <w:u w:val="single"/>
          </w:rPr>
          <w:t>船舶勘测捕捉到地幔羽流的脉动</w:t>
        </w:r>
      </w:hyperlink>
    </w:p>
    <w:p>
      <w:pPr>
        <w:spacing w:before="0" w:after="80"/>
      </w:pPr>
      <w:r>
        <w:rPr>
          <w:i/>
          <w:sz w:val="20"/>
        </w:rPr>
        <w:t>EN: Ship surveys capture the pulsing beat of mantle plumes</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28">
        <w:r>
          <w:rPr>
            <w:color w:val="1155CC"/>
            <w:u w:val="single"/>
          </w:rPr>
          <w:t>10.1126/science.aej2008</w:t>
        </w:r>
      </w:hyperlink>
    </w:p>
    <w:p>
      <w:pPr>
        <w:spacing w:before="0" w:after="120"/>
      </w:pPr>
      <w:r>
        <w:rPr>
          <w:b/>
        </w:rPr>
        <w:t xml:space="preserve">Notes: </w:t>
      </w:r>
      <w:r>
        <w:t>abstract_source=crossref</w:t>
      </w:r>
    </w:p>
    <w:p>
      <w:pPr>
        <w:spacing w:before="0" w:after="80" w:lineRule="auto" w:line="276"/>
      </w:pPr>
      <w:r>
        <w:rPr>
          <w:b/>
        </w:rPr>
        <w:t xml:space="preserve">摘要（ZH）: </w:t>
      </w:r>
      <w:r>
        <w:t>地震成像和钻探巡航支持了对古代大规模灭绝的有争议的解释</w:t>
      </w:r>
    </w:p>
    <w:p>
      <w:pPr>
        <w:spacing w:before="0" w:after="200" w:lineRule="auto" w:line="276"/>
      </w:pPr>
      <w:r>
        <w:rPr>
          <w:b/>
        </w:rPr>
        <w:t xml:space="preserve">Abstract (EN): </w:t>
      </w:r>
      <w:r>
        <w:t>Seismic imaging and drilling cruises bolster a controversial explanation for ancient mass extinctions</w:t>
      </w:r>
    </w:p>
    <w:p>
      <w:pPr>
        <w:spacing w:before="120" w:after="120"/>
      </w:pPr>
      <w:r>
        <w:rPr>
          <w:sz w:val="18"/>
        </w:rPr>
        <w:t>——————————————————————————————————————————————————————————————————————</w:t>
      </w:r>
    </w:p>
    <w:p>
      <w:pPr>
        <w:spacing w:before="160" w:after="40" w:line="240" w:lineRule="auto"/>
      </w:pPr>
      <w:r>
        <w:rPr>
          <w:b/>
        </w:rPr>
        <w:t xml:space="preserve">[479] </w:t>
      </w:r>
      <w:hyperlink r:id="rId1129">
        <w:r>
          <w:rPr>
            <w:color w:val="1155CC"/>
            <w:u w:val="single"/>
          </w:rPr>
          <w:t>用于药物测试的无实体人脑</w:t>
        </w:r>
      </w:hyperlink>
    </w:p>
    <w:p>
      <w:pPr>
        <w:spacing w:before="0" w:after="80"/>
      </w:pPr>
      <w:r>
        <w:rPr>
          <w:i/>
          <w:sz w:val="20"/>
        </w:rPr>
        <w:t>EN: Disembodied human brains used for drug testing</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30">
        <w:r>
          <w:rPr>
            <w:color w:val="1155CC"/>
            <w:u w:val="single"/>
          </w:rPr>
          <w:t>10.1126/science.aej2007</w:t>
        </w:r>
      </w:hyperlink>
    </w:p>
    <w:p>
      <w:pPr>
        <w:spacing w:before="0" w:after="120"/>
      </w:pPr>
      <w:r>
        <w:rPr>
          <w:b/>
        </w:rPr>
        <w:t xml:space="preserve">Notes: </w:t>
      </w:r>
      <w:r>
        <w:t>abstract_source=crossref</w:t>
      </w:r>
    </w:p>
    <w:p>
      <w:pPr>
        <w:spacing w:before="0" w:after="80" w:lineRule="auto" w:line="276"/>
      </w:pPr>
      <w:r>
        <w:rPr>
          <w:b/>
        </w:rPr>
        <w:t xml:space="preserve">摘要（ZH）: </w:t>
      </w:r>
      <w:r>
        <w:t>通过恢复已故捐赠者整个大脑的部分功能，初创公司 Bexorg 希望更好地测试治疗神经退行性疾病的药物</w:t>
      </w:r>
    </w:p>
    <w:p>
      <w:pPr>
        <w:spacing w:before="0" w:after="200" w:lineRule="auto" w:line="276"/>
      </w:pPr>
      <w:r>
        <w:rPr>
          <w:b/>
        </w:rPr>
        <w:t xml:space="preserve">Abstract (EN): </w:t>
      </w:r>
      <w:r>
        <w:t>By restoring some functions to whole brains from deceased donors, the startup Bexorg hopes to better test drugs for neurodegenerative diseases</w:t>
      </w:r>
    </w:p>
    <w:p>
      <w:pPr>
        <w:spacing w:before="120" w:after="120"/>
      </w:pPr>
      <w:r>
        <w:rPr>
          <w:sz w:val="18"/>
        </w:rPr>
        <w:t>——————————————————————————————————————————————————————————————————————</w:t>
      </w:r>
    </w:p>
    <w:p>
      <w:pPr>
        <w:spacing w:before="160" w:after="40" w:line="240" w:lineRule="auto"/>
      </w:pPr>
      <w:r>
        <w:rPr>
          <w:b/>
        </w:rPr>
        <w:t xml:space="preserve">[480] </w:t>
      </w:r>
      <w:hyperlink r:id="rId1131">
        <w:r>
          <w:rPr>
            <w:color w:val="1155CC"/>
            <w:u w:val="single"/>
          </w:rPr>
          <w:t>重新思考科学中的无脊椎动物福利</w:t>
        </w:r>
      </w:hyperlink>
    </w:p>
    <w:p>
      <w:pPr>
        <w:spacing w:before="0" w:after="80"/>
      </w:pPr>
      <w:r>
        <w:rPr>
          <w:i/>
          <w:sz w:val="20"/>
        </w:rPr>
        <w:t>EN: Rethinking invertebrate welfare in science</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32">
        <w:r>
          <w:rPr>
            <w:color w:val="1155CC"/>
            <w:u w:val="single"/>
          </w:rPr>
          <w:t>10.1126/science.aeh3585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[481] </w:t>
      </w:r>
      <w:hyperlink r:id="rId1133">
        <w:r>
          <w:rPr>
            <w:color w:val="1155CC"/>
            <w:u w:val="single"/>
          </w:rPr>
          <w:t>不稳定的食品贸易政策威胁生物多样性</w:t>
        </w:r>
      </w:hyperlink>
    </w:p>
    <w:p>
      <w:pPr>
        <w:spacing w:before="0" w:after="80"/>
      </w:pPr>
      <w:r>
        <w:rPr>
          <w:i/>
          <w:sz w:val="20"/>
        </w:rPr>
        <w:t>EN: Volatile food trade policy threatens biodiversity</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34">
        <w:r>
          <w:rPr>
            <w:color w:val="1155CC"/>
            <w:u w:val="single"/>
          </w:rPr>
          <w:t>10.1126/science.aeh4080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[482] </w:t>
      </w:r>
      <w:hyperlink r:id="rId1135">
        <w:r>
          <w:rPr>
            <w:color w:val="1155CC"/>
            <w:u w:val="single"/>
          </w:rPr>
          <w:t>詹姆斯韦伯太空望远镜是否发现了一颗爆炸的原始恒星？</w:t>
        </w:r>
      </w:hyperlink>
    </w:p>
    <w:p>
      <w:pPr>
        <w:spacing w:before="0" w:after="80"/>
      </w:pPr>
      <w:r>
        <w:rPr>
          <w:i/>
          <w:sz w:val="20"/>
        </w:rPr>
        <w:t>EN: Has JWST spotted an exploding primordial star?</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36">
        <w:r>
          <w:rPr>
            <w:color w:val="1155CC"/>
            <w:u w:val="single"/>
          </w:rPr>
          <w:t>10.1126/science.aej2009</w:t>
        </w:r>
      </w:hyperlink>
    </w:p>
    <w:p>
      <w:pPr>
        <w:spacing w:before="0" w:after="120"/>
      </w:pPr>
      <w:r>
        <w:rPr>
          <w:b/>
        </w:rPr>
        <w:t xml:space="preserve">Notes: </w:t>
      </w:r>
      <w:r>
        <w:t>abstract_source=crossref</w:t>
      </w:r>
    </w:p>
    <w:p>
      <w:pPr>
        <w:spacing w:before="0" w:after="80" w:lineRule="auto" w:line="276"/>
      </w:pPr>
      <w:r>
        <w:rPr>
          <w:b/>
        </w:rPr>
        <w:t xml:space="preserve">摘要（ZH）: </w:t>
      </w:r>
      <w:r>
        <w:t>神秘物体可能是奇异的超新星、宇宙最早的星系之一，或者更平凡的东西</w:t>
      </w:r>
    </w:p>
    <w:p>
      <w:pPr>
        <w:spacing w:before="0" w:after="200" w:lineRule="auto" w:line="276"/>
      </w:pPr>
      <w:r>
        <w:rPr>
          <w:b/>
        </w:rPr>
        <w:t xml:space="preserve">Abstract (EN): </w:t>
      </w:r>
      <w:r>
        <w:t>Mysterious object could be an exotic supernova, one of the universe’s first galaxies, or something more mundane</w:t>
      </w:r>
    </w:p>
    <w:p>
      <w:pPr>
        <w:spacing w:before="120" w:after="120"/>
      </w:pPr>
      <w:r>
        <w:rPr>
          <w:sz w:val="18"/>
        </w:rPr>
        <w:t>——————————————————————————————————————————————————————————————————————</w:t>
      </w:r>
    </w:p>
    <w:p>
      <w:pPr>
        <w:spacing w:before="160" w:after="40" w:line="240" w:lineRule="auto"/>
      </w:pPr>
      <w:r>
        <w:rPr>
          <w:b/>
        </w:rPr>
        <w:t xml:space="preserve">[483] </w:t>
      </w:r>
      <w:hyperlink r:id="rId1137">
        <w:r>
          <w:rPr>
            <w:color w:val="1155CC"/>
            <w:u w:val="single"/>
          </w:rPr>
          <w:t>一边做中文一边做研究</w:t>
        </w:r>
      </w:hyperlink>
    </w:p>
    <w:p>
      <w:pPr>
        <w:spacing w:before="0" w:after="80"/>
      </w:pPr>
      <w:r>
        <w:rPr>
          <w:i/>
          <w:sz w:val="20"/>
        </w:rPr>
        <w:t>EN: Researching while Chinese</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38">
        <w:r>
          <w:rPr>
            <w:color w:val="1155CC"/>
            <w:u w:val="single"/>
          </w:rPr>
          <w:t>10.1126/science.aej1922</w:t>
        </w:r>
      </w:hyperlink>
    </w:p>
    <w:p>
      <w:pPr>
        <w:spacing w:before="0" w:after="120"/>
      </w:pPr>
      <w:r>
        <w:rPr>
          <w:b/>
        </w:rPr>
        <w:t xml:space="preserve">Notes: </w:t>
      </w:r>
      <w:r>
        <w:t>abstract_source=crossref</w:t>
      </w:r>
    </w:p>
    <w:p>
      <w:pPr>
        <w:spacing w:before="0" w:after="80" w:lineRule="auto" w:line="276"/>
      </w:pPr>
      <w:r>
        <w:rPr>
          <w:b/>
        </w:rPr>
        <w:t xml:space="preserve">摘要（ZH）: </w:t>
      </w:r>
      <w:r>
        <w:t>多名博士后被捕并被驱逐出境，一些人认为这是特朗普“中国倡议”的重演</w:t>
      </w:r>
    </w:p>
    <w:p>
      <w:pPr>
        <w:spacing w:before="0" w:after="200" w:lineRule="auto" w:line="276"/>
      </w:pPr>
      <w:r>
        <w:rPr>
          <w:b/>
        </w:rPr>
        <w:t xml:space="preserve">Abstract (EN): </w:t>
      </w:r>
      <w:r>
        <w:t>Multiple postdocs have been arrested and deported in what some see as a replay of Trump’s China Initiative</w:t>
      </w:r>
    </w:p>
    <w:p>
      <w:pPr>
        <w:spacing w:before="120" w:after="120"/>
      </w:pPr>
      <w:r>
        <w:rPr>
          <w:sz w:val="18"/>
        </w:rPr>
        <w:t>——————————————————————————————————————————————————————————————————————</w:t>
      </w:r>
    </w:p>
    <w:p>
      <w:pPr>
        <w:spacing w:before="160" w:after="40" w:line="240" w:lineRule="auto"/>
      </w:pPr>
      <w:r>
        <w:rPr>
          <w:b/>
        </w:rPr>
        <w:t xml:space="preserve">[484] </w:t>
      </w:r>
      <w:hyperlink r:id="rId1139">
        <w:r>
          <w:rPr>
            <w:color w:val="1155CC"/>
            <w:u w:val="single"/>
          </w:rPr>
          <w:t>无声干扰</w:t>
        </w:r>
      </w:hyperlink>
    </w:p>
    <w:p>
      <w:pPr>
        <w:spacing w:before="0" w:after="80"/>
      </w:pPr>
      <w:r>
        <w:rPr>
          <w:i/>
          <w:sz w:val="20"/>
        </w:rPr>
        <w:t>EN: Silent interference</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40">
        <w:r>
          <w:rPr>
            <w:color w:val="1155CC"/>
            <w:u w:val="single"/>
          </w:rPr>
          <w:t>10.1126/science.aei2381</w:t>
        </w:r>
      </w:hyperlink>
    </w:p>
    <w:p>
      <w:pPr>
        <w:spacing w:before="0" w:after="120"/>
      </w:pPr>
      <w:r>
        <w:rPr>
          <w:b/>
        </w:rPr>
        <w:t xml:space="preserve">Notes: </w:t>
      </w:r>
      <w:r>
        <w:t>abstract_source=crossref</w:t>
      </w:r>
    </w:p>
    <w:p>
      <w:pPr>
        <w:spacing w:before="0" w:after="80" w:lineRule="auto" w:line="276"/>
      </w:pPr>
      <w:r>
        <w:rPr>
          <w:b/>
        </w:rPr>
        <w:t xml:space="preserve">摘要（ZH）: </w:t>
      </w:r>
      <w:r>
        <w:t>人类产生的电磁噪声对蝙蝠的飞行方向有长期影响</w:t>
      </w:r>
    </w:p>
    <w:p>
      <w:pPr>
        <w:spacing w:before="0" w:after="200" w:lineRule="auto" w:line="276"/>
      </w:pPr>
      <w:r>
        <w:rPr>
          <w:b/>
        </w:rPr>
        <w:t xml:space="preserve">Abstract (EN): </w:t>
      </w:r>
      <w:r>
        <w:t>Human-generated electromagnetic noise has long-lasting effects on flight orientation in bats</w:t>
      </w:r>
    </w:p>
    <w:p>
      <w:pPr>
        <w:spacing w:before="120" w:after="120"/>
      </w:pPr>
      <w:r>
        <w:rPr>
          <w:sz w:val="18"/>
        </w:rPr>
        <w:t>——————————————————————————————————————————————————————————————————————</w:t>
      </w:r>
    </w:p>
    <w:p>
      <w:pPr>
        <w:spacing w:before="160" w:after="40" w:line="240" w:lineRule="auto"/>
      </w:pPr>
      <w:r>
        <w:rPr>
          <w:b/>
        </w:rPr>
        <w:t xml:space="preserve">[485] </w:t>
      </w:r>
      <w:hyperlink r:id="rId1141">
        <w:r>
          <w:rPr>
            <w:color w:val="1155CC"/>
            <w:u w:val="single"/>
          </w:rPr>
          <w:t>大象灭绝的隐藏后果</w:t>
        </w:r>
      </w:hyperlink>
    </w:p>
    <w:p>
      <w:pPr>
        <w:spacing w:before="0" w:after="80"/>
      </w:pPr>
      <w:r>
        <w:rPr>
          <w:i/>
          <w:sz w:val="20"/>
        </w:rPr>
        <w:t>EN: The hidden consequences of elephant extinction</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42">
        <w:r>
          <w:rPr>
            <w:color w:val="1155CC"/>
            <w:u w:val="single"/>
          </w:rPr>
          <w:t>10.1126/science.aei2362</w:t>
        </w:r>
      </w:hyperlink>
    </w:p>
    <w:p>
      <w:pPr>
        <w:spacing w:before="0" w:after="120"/>
      </w:pPr>
      <w:r>
        <w:rPr>
          <w:b/>
        </w:rPr>
        <w:t xml:space="preserve">Notes: </w:t>
      </w:r>
      <w:r>
        <w:t>abstract_source=crossref</w:t>
      </w:r>
    </w:p>
    <w:p>
      <w:pPr>
        <w:spacing w:before="0" w:after="80" w:lineRule="auto" w:line="276"/>
      </w:pPr>
      <w:r>
        <w:rPr>
          <w:b/>
        </w:rPr>
        <w:t xml:space="preserve">摘要（ZH）: </w:t>
      </w:r>
      <w:r>
        <w:t>非洲象的消失削弱了粪甲虫的生态作用</w:t>
      </w:r>
    </w:p>
    <w:p>
      <w:pPr>
        <w:spacing w:before="0" w:after="200" w:lineRule="auto" w:line="276"/>
      </w:pPr>
      <w:r>
        <w:rPr>
          <w:b/>
        </w:rPr>
        <w:t xml:space="preserve">Abstract (EN): </w:t>
      </w:r>
      <w:r>
        <w:t>The absence of African elephants impairs the ecological role of dung beetles</w:t>
      </w:r>
    </w:p>
    <w:p>
      <w:pPr>
        <w:spacing w:before="120" w:after="120"/>
      </w:pPr>
      <w:r>
        <w:rPr>
          <w:sz w:val="18"/>
        </w:rPr>
        <w:t>——————————————————————————————————————————————————————————————————————</w:t>
      </w:r>
    </w:p>
    <w:p>
      <w:pPr>
        <w:spacing w:before="160" w:after="40" w:line="240" w:lineRule="auto"/>
      </w:pPr>
      <w:r>
        <w:rPr>
          <w:b/>
        </w:rPr>
        <w:t xml:space="preserve">[486] </w:t>
      </w:r>
      <w:hyperlink r:id="rId1143">
        <w:r>
          <w:rPr>
            <w:color w:val="1155CC"/>
            <w:u w:val="single"/>
          </w:rPr>
          <w:t>古老的科学艺术启发了几代人</w:t>
        </w:r>
      </w:hyperlink>
    </w:p>
    <w:p>
      <w:pPr>
        <w:spacing w:before="0" w:after="80"/>
      </w:pPr>
      <w:r>
        <w:rPr>
          <w:i/>
          <w:sz w:val="20"/>
        </w:rPr>
        <w:t>EN: Old scientific art inspires generations</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44">
        <w:r>
          <w:rPr>
            <w:color w:val="1155CC"/>
            <w:u w:val="single"/>
          </w:rPr>
          <w:t>10.1126/science.aeh5443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[487] </w:t>
      </w:r>
      <w:hyperlink r:id="rId1145">
        <w:r>
          <w:rPr>
            <w:color w:val="1155CC"/>
            <w:u w:val="single"/>
          </w:rPr>
          <w:t>埃博拉疫情对灵活的治疗试验设计进行了考验</w:t>
        </w:r>
      </w:hyperlink>
    </w:p>
    <w:p>
      <w:pPr>
        <w:spacing w:before="0" w:after="80"/>
      </w:pPr>
      <w:r>
        <w:rPr>
          <w:i/>
          <w:sz w:val="20"/>
        </w:rPr>
        <w:t>EN: Ebola outbreak puts nimble treatment trial designs to the test</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46">
        <w:r>
          <w:rPr>
            <w:color w:val="1155CC"/>
            <w:u w:val="single"/>
          </w:rPr>
          <w:t>10.1126/science.aej2010</w:t>
        </w:r>
      </w:hyperlink>
    </w:p>
    <w:p>
      <w:pPr>
        <w:spacing w:before="0" w:after="120"/>
      </w:pPr>
      <w:r>
        <w:rPr>
          <w:b/>
        </w:rPr>
        <w:t xml:space="preserve">Notes: </w:t>
      </w:r>
      <w:r>
        <w:t>abstract_source=crossref</w:t>
      </w:r>
    </w:p>
    <w:p>
      <w:pPr>
        <w:spacing w:before="0" w:after="80" w:lineRule="auto" w:line="276"/>
      </w:pPr>
      <w:r>
        <w:rPr>
          <w:b/>
        </w:rPr>
        <w:t xml:space="preserve">摘要（ZH）: </w:t>
      </w:r>
      <w:r>
        <w:t>研究抗病毒药物和抗体的更新策略将面临实地后勤挑战</w:t>
      </w:r>
    </w:p>
    <w:p>
      <w:pPr>
        <w:spacing w:before="0" w:after="200" w:lineRule="auto" w:line="276"/>
      </w:pPr>
      <w:r>
        <w:rPr>
          <w:b/>
        </w:rPr>
        <w:t xml:space="preserve">Abstract (EN): </w:t>
      </w:r>
      <w:r>
        <w:t>Updated strategies for studying antivirals and antibodies will face logistical challenges on the ground</w:t>
      </w:r>
    </w:p>
    <w:p>
      <w:pPr>
        <w:spacing w:before="120" w:after="120"/>
      </w:pPr>
      <w:r>
        <w:rPr>
          <w:sz w:val="18"/>
        </w:rPr>
        <w:t>——————————————————————————————————————————————————————————————————————</w:t>
      </w:r>
    </w:p>
    <w:p>
      <w:pPr>
        <w:spacing w:before="160" w:after="40" w:line="240" w:lineRule="auto"/>
      </w:pPr>
      <w:r>
        <w:rPr>
          <w:b/>
        </w:rPr>
        <w:t xml:space="preserve">[488] </w:t>
      </w:r>
      <w:hyperlink r:id="rId1147">
        <w:r>
          <w:rPr>
            <w:color w:val="1155CC"/>
            <w:u w:val="single"/>
          </w:rPr>
          <w:t>澳大利亚同行评审受到侵蚀</w:t>
        </w:r>
      </w:hyperlink>
    </w:p>
    <w:p>
      <w:pPr>
        <w:spacing w:before="0" w:after="80"/>
      </w:pPr>
      <w:r>
        <w:rPr>
          <w:i/>
          <w:sz w:val="20"/>
        </w:rPr>
        <w:t>EN: Australia’s erosion of peer review</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48">
        <w:r>
          <w:rPr>
            <w:color w:val="1155CC"/>
            <w:u w:val="single"/>
          </w:rPr>
          <w:t>10.1126/science.aei8900</w:t>
        </w:r>
      </w:hyperlink>
    </w:p>
    <w:p>
      <w:pPr>
        <w:spacing w:before="0" w:after="120"/>
      </w:pPr>
      <w:r>
        <w:rPr>
          <w:b/>
        </w:rPr>
        <w:t xml:space="preserve">Notes: </w:t>
      </w:r>
      <w:r>
        <w:t>abstract_source=crossref</w:t>
      </w:r>
    </w:p>
    <w:p>
      <w:pPr>
        <w:spacing w:before="0" w:after="80" w:lineRule="auto" w:line="276"/>
      </w:pPr>
      <w:r>
        <w:rPr>
          <w:b/>
        </w:rPr>
        <w:t xml:space="preserve">摘要（ZH）: </w:t>
      </w:r>
      <w:r>
        <w:t>在世界各地，同行评审是科学事业的基石，提供严格的质量控制并建立支撑科学和社会进步的信心。如果没有这样一个强有力的过程，科学家和公众将很快失去区分突破性进展和噪音的能力，这会损害政策决策、研究成果转化，最重要的是，损害公众对科学的信任。可悲的是，这正是澳大利亚正在发生的事情。</w:t>
      </w:r>
    </w:p>
    <w:p>
      <w:pPr>
        <w:spacing w:before="0" w:after="200" w:lineRule="auto" w:line="276"/>
      </w:pPr>
      <w:r>
        <w:rPr>
          <w:b/>
        </w:rPr>
        <w:t xml:space="preserve">Abstract (EN): </w:t>
      </w:r>
      <w:r>
        <w:t>Throughout the world, peer review serves as the cornerstone of the scientific enterprise, providing rigorous quality control and building the confidence that underpins progress for both science and society. Without such a robust process, scientists and the general public would rapidly lose the ability to distinguish groundbreaking advances from noise, which undermines policy decisions, research translation, and most importantly, public trust in science. Sadly, that is exactly what has been happening in Australia.</w:t>
      </w:r>
    </w:p>
    <w:p>
      <w:pPr>
        <w:spacing w:before="120" w:after="120"/>
      </w:pPr>
      <w:r>
        <w:rPr>
          <w:sz w:val="18"/>
        </w:rPr>
        <w:t>——————————————————————————————————————————————————————————————————————</w:t>
      </w:r>
    </w:p>
    <w:p>
      <w:pPr>
        <w:spacing w:before="160" w:after="40" w:line="240" w:lineRule="auto"/>
      </w:pPr>
      <w:r>
        <w:rPr>
          <w:b/>
        </w:rPr>
        <w:t xml:space="preserve">[489] </w:t>
      </w:r>
      <w:hyperlink r:id="rId1149">
        <w:r>
          <w:rPr>
            <w:color w:val="1155CC"/>
            <w:u w:val="single"/>
          </w:rPr>
          <w:t>天黑时回家</w:t>
        </w:r>
      </w:hyperlink>
    </w:p>
    <w:p>
      <w:pPr>
        <w:spacing w:before="0" w:after="80"/>
      </w:pPr>
      <w:r>
        <w:rPr>
          <w:i/>
          <w:sz w:val="20"/>
        </w:rPr>
        <w:t>EN: Getting home in the dark</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50">
        <w:r>
          <w:rPr>
            <w:color w:val="1155CC"/>
            <w:u w:val="single"/>
          </w:rPr>
          <w:t>10.1126/science.aeh9507</w:t>
        </w:r>
      </w:hyperlink>
    </w:p>
    <w:p>
      <w:pPr>
        <w:spacing w:before="0" w:after="120"/>
      </w:pPr>
      <w:r>
        <w:rPr>
          <w:b/>
        </w:rPr>
        <w:t xml:space="preserve">Notes: </w:t>
      </w:r>
      <w:r>
        <w:t>abstract_source=crossref</w:t>
      </w:r>
    </w:p>
    <w:p>
      <w:pPr>
        <w:spacing w:before="0" w:after="80" w:lineRule="auto" w:line="276"/>
      </w:pPr>
      <w:r>
        <w:rPr>
          <w:b/>
        </w:rPr>
        <w:t xml:space="preserve">摘要（ZH）: </w:t>
      </w:r>
      <w:r>
        <w:t>两种不受日光影响的机制可以使鸽子利用地球磁场进行导航</w:t>
      </w:r>
    </w:p>
    <w:p>
      <w:pPr>
        <w:spacing w:before="0" w:after="200" w:lineRule="auto" w:line="276"/>
      </w:pPr>
      <w:r>
        <w:rPr>
          <w:b/>
        </w:rPr>
        <w:t xml:space="preserve">Abstract (EN): </w:t>
      </w:r>
      <w:r>
        <w:t>Two mechanisms, independent of daylight, may enable pigeons to navigate using Earth’s magnetic field</w:t>
      </w:r>
    </w:p>
    <w:p>
      <w:pPr>
        <w:spacing w:before="120" w:after="120"/>
      </w:pPr>
      <w:r>
        <w:rPr>
          <w:sz w:val="18"/>
        </w:rPr>
        <w:t>——————————————————————————————————————————————————————————————————————</w:t>
      </w:r>
    </w:p>
    <w:p>
      <w:pPr>
        <w:spacing w:before="160" w:after="40" w:line="240" w:lineRule="auto"/>
      </w:pPr>
      <w:r>
        <w:rPr>
          <w:b/>
        </w:rPr>
        <w:t xml:space="preserve">[490] </w:t>
      </w:r>
      <w:hyperlink r:id="rId1151">
        <w:r>
          <w:rPr>
            <w:color w:val="1155CC"/>
            <w:u w:val="single"/>
          </w:rPr>
          <w:t>赤铁矿是火星古代气候变化的矿物学标志</w:t>
        </w:r>
      </w:hyperlink>
    </w:p>
    <w:p>
      <w:pPr>
        <w:spacing w:before="0" w:after="80"/>
      </w:pPr>
      <w:r>
        <w:rPr>
          <w:i/>
          <w:sz w:val="20"/>
        </w:rPr>
        <w:t>EN: Hematite is a mineralogical marker of ancient climate change on Mars</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52">
        <w:r>
          <w:rPr>
            <w:color w:val="1155CC"/>
            <w:u w:val="single"/>
          </w:rPr>
          <w:t>10.1126/science.adv5447</w:t>
        </w:r>
      </w:hyperlink>
    </w:p>
    <w:p>
      <w:pPr>
        <w:spacing w:before="0" w:after="120"/>
      </w:pPr>
      <w:r>
        <w:rPr>
          <w:b/>
        </w:rPr>
        <w:t xml:space="preserve">Notes: </w:t>
      </w:r>
      <w:r>
        <w:t>abstract_source=crossref</w:t>
      </w:r>
    </w:p>
    <w:p>
      <w:pPr>
        <w:spacing w:before="0" w:after="80" w:lineRule="auto" w:line="276"/>
      </w:pPr>
      <w:r>
        <w:rPr>
          <w:b/>
        </w:rPr>
        <w:t xml:space="preserve">摘要（ZH）: </w:t>
      </w:r>
      <w:r>
        <w:t>火星古老的气候从温暖的表面条件转变为寒冷的表面条件。这种气候转变是由地貌证据证明的，但缺乏合适的矿物学指标。我们研究了好奇号火星车测量的盖尔陨石坑中赤铁矿（氧化铁）的晶体学特性，并将其与实验室实验进行了比较。火星车调查的最古老的沉积岩（墨累地层）中赤铁矿微晶尺寸约为 5 至 65 纳米，而较年轻的上覆地层（米拉多尔和卡罗琳舒梅克地层）的赤铁矿微晶尺寸小于 10 纳米。我们将墨累地层中较大的微晶归因于地下水在温暖和潮湿的条件下沉积后的粗化，这种粗化持续了数百万年。具有小晶粒的赤铁矿与针铁矿（羟基氧化铁）共生在上覆层中，这与较冷和缺水的条件一致。</w:t>
      </w:r>
    </w:p>
    <w:p>
      <w:pPr>
        <w:spacing w:before="0" w:after="200" w:lineRule="auto" w:line="276"/>
      </w:pPr>
      <w:r>
        <w:rPr>
          <w:b/>
        </w:rPr>
        <w:t xml:space="preserve">Abstract (EN): </w:t>
      </w:r>
      <w:r>
        <w:t>The ancient climate of Mars changed from warm to cold surface conditions. This climate transition is demonstrated by geomorphological evidence but lacks suitable mineralogical indicators. We investigated the crystallographic properties of hematite (iron oxide) in Gale crater measured by the Curiosity rover and compared them with laboratory experiments. Hematite crystallite sizes are about 5 to 65 nm in the oldest sedimentary rocks investigated by the rover (the Murray formation) and less than 10 nm in the younger overlying strata (the Mirador and Carolyn Shoemaker formations). We attribute the larger crystallites in the Murray formation to postdepositional coarsening by groundwater in warm and wet conditions that persisted for several million years. Hematite with small crystallites co-occurs with goethite (iron oxyhydroxide) in the overlying layers, consistent with colder and water-limited conditions.</w:t>
      </w:r>
    </w:p>
    <w:p>
      <w:pPr>
        <w:spacing w:before="120" w:after="120"/>
      </w:pPr>
      <w:r>
        <w:rPr>
          <w:sz w:val="18"/>
        </w:rPr>
        <w:t>——————————————————————————————————————————————————————————————————————</w:t>
      </w:r>
    </w:p>
    <w:p>
      <w:pPr>
        <w:spacing w:before="160" w:after="40" w:line="240" w:lineRule="auto"/>
      </w:pPr>
      <w:r>
        <w:rPr>
          <w:b/>
        </w:rPr>
        <w:t xml:space="preserve">[491] </w:t>
      </w:r>
      <w:hyperlink r:id="rId1153">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54">
        <w:r>
          <w:rPr>
            <w:color w:val="1155CC"/>
            <w:u w:val="single"/>
          </w:rPr>
          <w:t>10.1126/science.aei9225</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[492] </w:t>
      </w:r>
      <w:hyperlink r:id="rId1155">
        <w:r>
          <w:rPr>
            <w:color w:val="1155CC"/>
            <w:u w:val="single"/>
          </w:rPr>
          <w:t>母亲工作与儿童发展：回顾</w:t>
        </w:r>
      </w:hyperlink>
    </w:p>
    <w:p>
      <w:pPr>
        <w:spacing w:before="0" w:after="80"/>
      </w:pPr>
      <w:r>
        <w:rPr>
          <w:i/>
          <w:sz w:val="20"/>
        </w:rPr>
        <w:t>EN: Maternal work and children’s development: A review</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56">
        <w:r>
          <w:rPr>
            <w:color w:val="1155CC"/>
            <w:u w:val="single"/>
          </w:rPr>
          <w:t>10.1126/science.adt7494</w:t>
        </w:r>
      </w:hyperlink>
    </w:p>
    <w:p>
      <w:pPr>
        <w:spacing w:before="0" w:after="120"/>
      </w:pPr>
      <w:r>
        <w:rPr>
          <w:b/>
        </w:rPr>
        <w:t xml:space="preserve">Notes: </w:t>
      </w:r>
      <w:r>
        <w:t>abstract_source=crossref</w:t>
      </w:r>
    </w:p>
    <w:p>
      <w:pPr>
        <w:spacing w:before="0" w:after="80" w:lineRule="auto" w:line="276"/>
      </w:pPr>
      <w:r>
        <w:rPr>
          <w:b/>
        </w:rPr>
        <w:t xml:space="preserve">摘要（ZH）: </w:t>
      </w:r>
      <w:r>
        <w:t>因果推理研究表明，母亲的工作对幼儿期到青春期的发展影响极小</w:t>
      </w:r>
    </w:p>
    <w:p>
      <w:pPr>
        <w:spacing w:before="0" w:after="200" w:lineRule="auto" w:line="276"/>
      </w:pPr>
      <w:r>
        <w:rPr>
          <w:b/>
        </w:rPr>
        <w:t xml:space="preserve">Abstract (EN): </w:t>
      </w:r>
      <w:r>
        <w:t>Causal inference studies suggest minimal impacts of mothers’ work on development from early childhood to adolescence</w:t>
      </w:r>
    </w:p>
    <w:p>
      <w:pPr>
        <w:spacing w:before="120" w:after="120"/>
      </w:pPr>
      <w:r>
        <w:rPr>
          <w:sz w:val="18"/>
        </w:rPr>
        <w:t>——————————————————————————————————————————————————————————————————————</w:t>
      </w:r>
    </w:p>
    <w:p>
      <w:pPr>
        <w:spacing w:before="160" w:after="40" w:line="240" w:lineRule="auto"/>
      </w:pPr>
      <w:r>
        <w:rPr>
          <w:b/>
        </w:rPr>
        <w:t xml:space="preserve">[493] </w:t>
      </w:r>
      <w:hyperlink r:id="rId1157">
        <w:r>
          <w:rPr>
            <w:color w:val="1155CC"/>
            <w:u w:val="single"/>
          </w:rPr>
          <w:t>美国科学促进会 (AAAS) 推出 AAAS 学习中心，为 STEMM 专业人员提供当今世界所需的技能</w:t>
        </w:r>
      </w:hyperlink>
    </w:p>
    <w:p>
      <w:pPr>
        <w:spacing w:before="0" w:after="80"/>
      </w:pPr>
      <w:r>
        <w:rPr>
          <w:i/>
          <w:sz w:val="20"/>
        </w:rPr>
        <w:t>EN: AAAS unveils the AAAS Learning Hub to equip STEMM professionals with skills needed for today’s world</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58">
        <w:r>
          <w:rPr>
            <w:color w:val="1155CC"/>
            <w:u w:val="single"/>
          </w:rPr>
          <w:t>10.1126/science.aej1106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[494] </w:t>
      </w:r>
      <w:hyperlink r:id="rId1159">
        <w:r>
          <w:rPr>
            <w:color w:val="1155CC"/>
            <w:u w:val="single"/>
          </w:rPr>
          <w:t>慢慢来</w:t>
        </w:r>
      </w:hyperlink>
    </w:p>
    <w:p>
      <w:pPr>
        <w:spacing w:before="0" w:after="80"/>
      </w:pPr>
      <w:r>
        <w:rPr>
          <w:i/>
          <w:sz w:val="20"/>
        </w:rPr>
        <w:t>EN: Take it slow</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60">
        <w:r>
          <w:rPr>
            <w:color w:val="1155CC"/>
            <w:u w:val="single"/>
          </w:rPr>
          <w:t>10.1126/science.aei9226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[495] </w:t>
      </w:r>
      <w:hyperlink r:id="rId1161">
        <w:r>
          <w:rPr>
            <w:color w:val="1155CC"/>
            <w:u w:val="single"/>
          </w:rPr>
          <w:t>处于气候前沿的北极社区</w:t>
        </w:r>
      </w:hyperlink>
    </w:p>
    <w:p>
      <w:pPr>
        <w:spacing w:before="0" w:after="80"/>
      </w:pPr>
      <w:r>
        <w:rPr>
          <w:i/>
          <w:sz w:val="20"/>
        </w:rPr>
        <w:t>EN: An Arctic community on the climate front lines</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62">
        <w:r>
          <w:rPr>
            <w:color w:val="1155CC"/>
            <w:u w:val="single"/>
          </w:rPr>
          <w:t>10.1126/science.aeh0733</w:t>
        </w:r>
      </w:hyperlink>
    </w:p>
    <w:p>
      <w:pPr>
        <w:spacing w:before="0" w:after="120"/>
      </w:pPr>
      <w:r>
        <w:rPr>
          <w:b/>
        </w:rPr>
        <w:t xml:space="preserve">Notes: </w:t>
      </w:r>
      <w:r>
        <w:t>abstract_source=crossref</w:t>
      </w:r>
    </w:p>
    <w:p>
      <w:pPr>
        <w:spacing w:before="0" w:after="80" w:lineRule="auto" w:line="276"/>
      </w:pPr>
      <w:r>
        <w:rPr>
          <w:b/>
        </w:rPr>
        <w:t xml:space="preserve">摘要（ZH）: </w:t>
      </w:r>
      <w:r>
        <w:t>在挪威朗伊尔城，全球变暖的严峻现实正变得难以忽视</w:t>
      </w:r>
    </w:p>
    <w:p>
      <w:pPr>
        <w:spacing w:before="0" w:after="200" w:lineRule="auto" w:line="276"/>
      </w:pPr>
      <w:r>
        <w:rPr>
          <w:b/>
        </w:rPr>
        <w:t xml:space="preserve">Abstract (EN): </w:t>
      </w:r>
      <w:r>
        <w:t>The harsh realities of global warming are becoming difficult to ignore in Norway’s Longyearbyen</w:t>
      </w:r>
    </w:p>
    <w:p>
      <w:pPr>
        <w:spacing w:before="120" w:after="120"/>
      </w:pPr>
      <w:r>
        <w:rPr>
          <w:sz w:val="18"/>
        </w:rPr>
        <w:t>——————————————————————————————————————————————————————————————————————</w:t>
      </w:r>
    </w:p>
    <w:p>
      <w:pPr>
        <w:spacing w:before="160" w:after="40" w:line="240" w:lineRule="auto"/>
      </w:pPr>
      <w:r>
        <w:rPr>
          <w:b/>
        </w:rPr>
        <w:t xml:space="preserve">[496] </w:t>
      </w:r>
      <w:hyperlink r:id="rId1163">
        <w:r>
          <w:rPr>
            <w:color w:val="1155CC"/>
            <w:u w:val="single"/>
          </w:rPr>
          <w:t>伽利略的名声：17 世纪的科学、可信度和记忆力</w:t>
        </w:r>
      </w:hyperlink>
    </w:p>
    <w:p>
      <w:pPr>
        <w:spacing w:before="0" w:after="80"/>
      </w:pPr>
      <w:r>
        <w:rPr>
          <w:i/>
          <w:sz w:val="20"/>
        </w:rPr>
        <w:t>EN: Galileo's Fame: Science, Credibility, and Memory in the Seventeenth Century</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64">
        <w:r>
          <w:rPr>
            <w:color w:val="1155CC"/>
            <w:u w:val="single"/>
          </w:rPr>
          <w:t>10.1126/science.aei4055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[497] </w:t>
      </w:r>
      <w:hyperlink r:id="rId1165">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66">
        <w:r>
          <w:rPr>
            <w:color w:val="1155CC"/>
            <w:u w:val="single"/>
          </w:rPr>
          <w:t>10.1126/science.aei9224</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[498] </w:t>
      </w:r>
      <w:hyperlink r:id="rId1167">
        <w:r>
          <w:rPr>
            <w:color w:val="1155CC"/>
            <w:u w:val="single"/>
          </w:rPr>
          <w:t>不寻常的化学入门</w:t>
        </w:r>
      </w:hyperlink>
    </w:p>
    <w:p>
      <w:pPr>
        <w:spacing w:before="0" w:after="80"/>
      </w:pPr>
      <w:r>
        <w:rPr>
          <w:i/>
          <w:sz w:val="20"/>
        </w:rPr>
        <w:t>EN: An uncommon introduction to chemistry</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68">
        <w:r>
          <w:rPr>
            <w:color w:val="1155CC"/>
            <w:u w:val="single"/>
          </w:rPr>
          <w:t>10.1126/science.aeg5513</w:t>
        </w:r>
      </w:hyperlink>
    </w:p>
    <w:p>
      <w:pPr>
        <w:spacing w:before="0" w:after="120"/>
      </w:pPr>
      <w:r>
        <w:rPr>
          <w:b/>
        </w:rPr>
        <w:t xml:space="preserve">Notes: </w:t>
      </w:r>
      <w:r>
        <w:t>abstract_source=crossref</w:t>
      </w:r>
    </w:p>
    <w:p>
      <w:pPr>
        <w:spacing w:before="0" w:after="80" w:lineRule="auto" w:line="276"/>
      </w:pPr>
      <w:r>
        <w:rPr>
          <w:b/>
        </w:rPr>
        <w:t xml:space="preserve">摘要（ZH）: </w:t>
      </w:r>
      <w:r>
        <w:t>纳米科学家动人的叙述充满了对日常生活中化学物质的感染力热情</w:t>
      </w:r>
    </w:p>
    <w:p>
      <w:pPr>
        <w:spacing w:before="0" w:after="200" w:lineRule="auto" w:line="276"/>
      </w:pPr>
      <w:r>
        <w:rPr>
          <w:b/>
        </w:rPr>
        <w:t xml:space="preserve">Abstract (EN): </w:t>
      </w:r>
      <w:r>
        <w:t>Infectious enthusiasm for the chemicals of everyday life pervades a nanoscientist’s moving narrative</w:t>
      </w:r>
    </w:p>
    <w:p>
      <w:pPr>
        <w:spacing w:before="120" w:after="120"/>
      </w:pPr>
      <w:r>
        <w:rPr>
          <w:sz w:val="18"/>
        </w:rPr>
        <w:t>——————————————————————————————————————————————————————————————————————</w:t>
      </w:r>
    </w:p>
    <w:p>
      <w:pPr>
        <w:spacing w:before="160" w:after="40" w:line="240" w:lineRule="auto"/>
      </w:pPr>
      <w:r>
        <w:rPr>
          <w:b/>
        </w:rPr>
        <w:t xml:space="preserve">[499] </w:t>
      </w:r>
      <w:hyperlink r:id="rId1169">
        <w:r>
          <w:rPr>
            <w:color w:val="1155CC"/>
            <w:u w:val="single"/>
          </w:rPr>
          <w:t>东南极洲下方的上地幔地震</w:t>
        </w:r>
      </w:hyperlink>
    </w:p>
    <w:p>
      <w:pPr>
        <w:spacing w:before="0" w:after="80"/>
      </w:pPr>
      <w:r>
        <w:rPr>
          <w:i/>
          <w:sz w:val="20"/>
        </w:rPr>
        <w:t>EN: Upper-mantle earthquakes beneath East Antarctica</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70">
        <w:r>
          <w:rPr>
            <w:color w:val="1155CC"/>
            <w:u w:val="single"/>
          </w:rPr>
          <w:t>10.1126/science.aea9895</w:t>
        </w:r>
      </w:hyperlink>
    </w:p>
    <w:p>
      <w:pPr>
        <w:spacing w:before="0" w:after="120"/>
      </w:pPr>
      <w:r>
        <w:rPr>
          <w:b/>
        </w:rPr>
        <w:t xml:space="preserve">Notes: </w:t>
      </w:r>
      <w:r>
        <w:t>abstract_source=crossref</w:t>
      </w:r>
    </w:p>
    <w:p>
      <w:pPr>
        <w:spacing w:before="0" w:after="80" w:lineRule="auto" w:line="276"/>
      </w:pPr>
      <w:r>
        <w:rPr>
          <w:b/>
        </w:rPr>
        <w:t xml:space="preserve">摘要（ZH）: </w:t>
      </w:r>
      <w:r>
        <w:t>板内中深度地震（IDE）发生在&gt;70公里的深度，远低于地壳的脆性-韧性转变，其起源很难与传统的板块构造相一致。我们将深度学习技术应用于区域地震数据，并识别了南极洲下方的板内 IDE。它们的出现可以通过沿东南极洲边缘的可变热驱动隆起产生的集中弯曲应力来解释，那里的岩石圈强度发生了突变。我们的结果支持地球动力学模型的预测，即板内地震活动很大程度上取决于岩石圈与软流圈的相互作用。南极冰盖也会影响区域应力条件，凸显地球系统之间复杂的相互作用。先进的地震探测功能（例如此处使用的功能）可以表明，板内 IDE 在全球范围内比目前认识到的更为常见。</w:t>
      </w:r>
    </w:p>
    <w:p>
      <w:pPr>
        <w:spacing w:before="0" w:after="200" w:lineRule="auto" w:line="276"/>
      </w:pPr>
      <w:r>
        <w:rPr>
          <w:b/>
        </w:rPr>
        <w:t xml:space="preserve">Abstract (EN): </w:t>
      </w:r>
      <w:r>
        <w:t>Intraplate intermediate-depth earthquakes (IDEs) occur at depths &amp;gt;70 kilometers, which is well below the brittle‒ductile transition in Earth’s crust, and their origins are difficult to reconcile with traditional plate tectonics. We applied a deep-learning technique to regional seismic data and identified intraplate IDEs beneath Antarctica. Their occurrence can be explained by concentrated bending stresses resulting from variable, thermally driven uplift along the edge of East Antarctica, where there is an abrupt change in lithospheric strength. Our results support geodynamic model predictions that intraplate seismicity strongly depends on lithosphere‒asthenosphere interactions. The Antarctic ice sheet can also affect regional stress conditions, highlighting the complex interplay between Earth systems. Advanced seismic detection capabilities, such as those used here, could reveal that intraplate IDEs are more common globally than currently recognized.</w:t>
      </w:r>
    </w:p>
    <w:p>
      <w:pPr>
        <w:spacing w:before="120" w:after="120"/>
      </w:pPr>
      <w:r>
        <w:rPr>
          <w:sz w:val="18"/>
        </w:rPr>
        <w:t>——————————————————————————————————————————————————————————————————————</w:t>
      </w:r>
    </w:p>
    <w:p>
      <w:pPr>
        <w:spacing w:before="160" w:after="40" w:line="240" w:lineRule="auto"/>
      </w:pPr>
      <w:r>
        <w:rPr>
          <w:b/>
        </w:rPr>
        <w:t xml:space="preserve">[500] </w:t>
      </w:r>
      <w:hyperlink r:id="rId1171">
        <w:r>
          <w:rPr>
            <w:color w:val="1155CC"/>
            <w:u w:val="single"/>
          </w:rPr>
          <w:t>基于机械谐振器的量子计算</w:t>
        </w:r>
      </w:hyperlink>
    </w:p>
    <w:p>
      <w:pPr>
        <w:spacing w:before="0" w:after="80"/>
      </w:pPr>
      <w:r>
        <w:rPr>
          <w:i/>
          <w:sz w:val="20"/>
        </w:rPr>
        <w:t>EN: Mechanical resonator–based quantum computing</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72">
        <w:r>
          <w:rPr>
            <w:color w:val="1155CC"/>
            <w:u w:val="single"/>
          </w:rPr>
          <w:t>10.1126/science.aef4139</w:t>
        </w:r>
      </w:hyperlink>
    </w:p>
    <w:p>
      <w:pPr>
        <w:spacing w:before="0" w:after="120"/>
      </w:pPr>
      <w:r>
        <w:rPr>
          <w:b/>
        </w:rPr>
        <w:t xml:space="preserve">Notes: </w:t>
      </w:r>
      <w:r>
        <w:t>abstract_source=crossref</w:t>
      </w:r>
    </w:p>
    <w:p>
      <w:pPr>
        <w:spacing w:before="0" w:after="80" w:lineRule="auto" w:line="276"/>
      </w:pPr>
      <w:r>
        <w:rPr>
          <w:b/>
        </w:rPr>
        <w:t xml:space="preserve">摘要（ZH）: </w:t>
      </w:r>
      <w:r>
        <w:t>混合量子系统结合了不同物理平台的优点，目标是实现更强大的量子信息处理设备。体声波谐振器等机械系统在紧凑的占地面积中具有许多高度相干的谐波模式，补充了超导量子电路的强非线性和快速运行。我们开发了一种基于机械谐振器的量子计算架构，其中超导量子位用于在一组机械模式上执行量子门。我们演示了由单量子位门和受控任意相位门组成的通用门组，并展示了它们在量子傅里叶变换和周期查找算法中的用途。这些结果显示了使用机械系统构建量子技术关键组件（例如量子随机存取存储器）的潜力。</w:t>
      </w:r>
    </w:p>
    <w:p>
      <w:pPr>
        <w:spacing w:before="0" w:after="200" w:lineRule="auto" w:line="276"/>
      </w:pPr>
      <w:r>
        <w:rPr>
          <w:b/>
        </w:rPr>
        <w:t xml:space="preserve">Abstract (EN): </w:t>
      </w:r>
      <w:r>
        <w:t>Hybrid quantum systems combine the advantages of different physical platforms with the goal of realizing more powerful quantum information processing devices. Mechanical systems, such as bulk acoustic wave resonators, feature many highly coherent harmonic modes in a compact footprint, complementing the strong nonlinearities and fast operation of superconducting quantum circuits. We developed an architecture for mechanical resonator–based quantum computing in which a superconducting qubit is used to perform quantum gates on a collection of mechanical modes. We demonstrate a universal gate set composed of single-qubit gates and controlled arbitrary-phase gates and showcase their use in the quantum Fourier transform and period-finding algorithms. These results show the potential of using mechanical systems to build crucial components for quantum technologies, such as quantum random-access memories.</w:t>
      </w:r>
    </w:p>
    <w:p>
      <w:pPr>
        <w:spacing w:before="120" w:after="120"/>
      </w:pPr>
      <w:r>
        <w:rPr>
          <w:sz w:val="18"/>
        </w:rPr>
        <w:t>——————————————————————————————————————————————————————————————————————</w:t>
      </w:r>
    </w:p>
    <w:p>
      <w:pPr>
        <w:spacing w:before="160" w:after="40" w:line="240" w:lineRule="auto"/>
      </w:pPr>
      <w:r>
        <w:rPr>
          <w:b/>
        </w:rPr>
        <w:t xml:space="preserve">[501] </w:t>
      </w:r>
      <w:hyperlink r:id="rId1173">
        <w:r>
          <w:rPr>
            <w:color w:val="1155CC"/>
            <w:u w:val="single"/>
          </w:rPr>
          <w:t>阴天条件下信鸽导航依赖于超顺磁性巨噬细胞</w:t>
        </w:r>
      </w:hyperlink>
    </w:p>
    <w:p>
      <w:pPr>
        <w:spacing w:before="0" w:after="80"/>
      </w:pPr>
      <w:r>
        <w:rPr>
          <w:i/>
          <w:sz w:val="20"/>
        </w:rPr>
        <w:t>EN: Homing pigeon navigation relies on superparamagnetic macrophages under overcast conditions</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74">
        <w:r>
          <w:rPr>
            <w:color w:val="1155CC"/>
            <w:u w:val="single"/>
          </w:rPr>
          <w:t>10.1126/science.ady2486</w:t>
        </w:r>
      </w:hyperlink>
    </w:p>
    <w:p>
      <w:pPr>
        <w:spacing w:before="0" w:after="120"/>
      </w:pPr>
      <w:r>
        <w:rPr>
          <w:b/>
        </w:rPr>
        <w:t xml:space="preserve">Notes: </w:t>
      </w:r>
      <w:r>
        <w:t>abstract_source=crossref</w:t>
      </w:r>
    </w:p>
    <w:p>
      <w:pPr>
        <w:spacing w:before="0" w:after="80" w:lineRule="auto" w:line="276"/>
      </w:pPr>
      <w:r>
        <w:rPr>
          <w:b/>
        </w:rPr>
        <w:t xml:space="preserve">摘要（ZH）: </w:t>
      </w:r>
      <w:r>
        <w:t>鸟类使用各种导航策略，包括地磁场，尤其是在没有其他线索的情况下，例如在阴天或夜间条件下。喙中的磁铁矿颗粒、眼睛中的隐花色素、细胞离子通道的改变和前庭系统的变化都被提出来解释磁感受，但确切的机制仍然存在争议。在这里，我们使用物理、形态、功能和基因组分析来鉴定肝脏中超顺磁性巨噬细胞的存在。我们发现巨噬细胞耗竭后，在阴天条件下飞行的鸽子缺乏通常的定向能力。当太阳可见时，没有巨噬细胞的鸟类的定向能力没有受到影响，这表明这是它们的主要线索。我们认为，在信鸽中，肝脏中的超顺磁性巨噬细胞是寻找磁方向所必需的。</w:t>
      </w:r>
    </w:p>
    <w:p>
      <w:pPr>
        <w:spacing w:before="0" w:after="200" w:lineRule="auto" w:line="276"/>
      </w:pPr>
      <w:r>
        <w:rPr>
          <w:b/>
        </w:rPr>
        <w:t xml:space="preserve">Abstract (EN): </w:t>
      </w:r>
      <w:r>
        <w:t>Birds use a variety of navigational strategies, including the geomagnetic field, especially when other cues are not available, such as under overcast or nocturnal conditions. Magnetite particles in the beak, cryptochromes in the eye, cellular ion-channel alterations, and changes in the vestibular system have been proposed to explain magnetoreception, but the exact mechanisms remain debated. Here, we used physical, morphological, functional, and genomic assays to identify the presence of superparamagnetic macrophages in the liver. We found that after macrophage depletion, pigeons flying under overcast conditions lacked their usual orientation capabilities. Orientation was unimpaired in birds without macrophages when the sun was visible, suggesting that this was their primary cue. We propose that in homing pigeons, superparamagnetic macrophages in the liver are required for finding magnetic direction.</w:t>
      </w:r>
    </w:p>
    <w:p>
      <w:pPr>
        <w:spacing w:before="120" w:after="120"/>
      </w:pPr>
      <w:r>
        <w:rPr>
          <w:sz w:val="18"/>
        </w:rPr>
        <w:t>——————————————————————————————————————————————————————————————————————</w:t>
      </w:r>
    </w:p>
    <w:p>
      <w:pPr>
        <w:spacing w:before="160" w:after="40" w:line="240" w:lineRule="auto"/>
      </w:pPr>
      <w:r>
        <w:rPr>
          <w:b/>
        </w:rPr>
        <w:t xml:space="preserve">[502] </w:t>
      </w:r>
      <w:hyperlink r:id="rId1175">
        <w:r>
          <w:rPr>
            <w:color w:val="1155CC"/>
            <w:u w:val="single"/>
          </w:rPr>
          <w:t>短暂射频噪声暴露对迁徙蝙蝠导航的破坏性影响</w:t>
        </w:r>
      </w:hyperlink>
    </w:p>
    <w:p>
      <w:pPr>
        <w:spacing w:before="0" w:after="80"/>
      </w:pPr>
      <w:r>
        <w:rPr>
          <w:i/>
          <w:sz w:val="20"/>
        </w:rPr>
        <w:t>EN: Disruptive effects of brief radiofrequency noise exposure on migratory bat navigation</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76">
        <w:r>
          <w:rPr>
            <w:color w:val="1155CC"/>
            <w:u w:val="single"/>
          </w:rPr>
          <w:t>10.1126/science.adq4418</w:t>
        </w:r>
      </w:hyperlink>
    </w:p>
    <w:p>
      <w:pPr>
        <w:spacing w:before="0" w:after="120"/>
      </w:pPr>
      <w:r>
        <w:rPr>
          <w:b/>
        </w:rPr>
        <w:t xml:space="preserve">Notes: </w:t>
      </w:r>
      <w:r>
        <w:t>abstract_source=crossref</w:t>
      </w:r>
    </w:p>
    <w:p>
      <w:pPr>
        <w:spacing w:before="0" w:after="80" w:lineRule="auto" w:line="276"/>
      </w:pPr>
      <w:r>
        <w:rPr>
          <w:b/>
        </w:rPr>
        <w:t xml:space="preserve">摘要（ZH）: </w:t>
      </w:r>
      <w:r>
        <w:t>人为电磁噪声如何影响生命系统，人们对日益城市化的自然环境的影响知之甚少，特别是当以亚致命的方式发生时。在这项研究中，我们研究了弱宽带射频 (RF) 场对动物行为的影响。我们暴露了迁徙的女高音蝙蝠（</w:t>
      </w:r>
      <w:r>
        <w:t xml:space="preserve"> </w:t>
      </w:r>
      <w:r>
        <w:t>侏儒海螺</w:t>
      </w:r>
      <w:r>
        <w:t xml:space="preserve"> </w:t>
      </w:r>
      <w:r>
        <w:t>）到 0.01 到 300 兆赫的射频场，然后在晚上晚些时候测试它们的方向。对照蝙蝠的方向正常，而暴露于射频噪声的蝙蝠则表现出随机的离场飞行方向，这表明破坏性影响比立即暴露更持久。这些发现表明，电磁污染对动物行为的影响可能比之前的假设更大。</w:t>
      </w:r>
    </w:p>
    <w:p>
      <w:pPr>
        <w:spacing w:before="0" w:after="200" w:lineRule="auto" w:line="276"/>
      </w:pPr>
      <w:r>
        <w:rPr>
          <w:b/>
        </w:rPr>
        <w:t xml:space="preserve">Abstract (EN): </w:t>
      </w:r>
      <w:r>
        <w:t>How anthropogenic electromagnetic noise can affect living systems is a poorly understood impact of an increasingly urbanized natural environment, especially when occurring in a sublethal manner. In this study, we investigated impacts of weak-broadband radiofrequency (RF) fields on animal behavior. We exposed migratory soprano pipistrelle bats (</w:t>
      </w:r>
      <w:r>
        <w:t xml:space="preserve"> </w:t>
      </w:r>
      <w:r>
        <w:t>Pipistrellus pygmaeus</w:t>
      </w:r>
      <w:r>
        <w:t xml:space="preserve"> </w:t>
      </w:r>
      <w:r>
        <w:t>) to 0.01- to 300-megahertz RF fields and then tested their orientation later in the night. Whereas control bats oriented normally, bats exposed to RF noise exhibited random departure flight orientation, suggesting disruptive effects lasting beyond immediate exposure. These findings suggest that electromagnetic pollution has the potential to have a greater effect on animal behavior than previously assumed.</w:t>
      </w:r>
    </w:p>
    <w:p>
      <w:pPr>
        <w:spacing w:before="120" w:after="120"/>
      </w:pPr>
      <w:r>
        <w:rPr>
          <w:sz w:val="18"/>
        </w:rPr>
        <w:t>——————————————————————————————————————————————————————————————————————</w:t>
      </w:r>
    </w:p>
    <w:p>
      <w:pPr>
        <w:spacing w:before="160" w:after="40" w:line="240" w:lineRule="auto"/>
      </w:pPr>
      <w:r>
        <w:rPr>
          <w:b/>
        </w:rPr>
        <w:t xml:space="preserve">[503] </w:t>
      </w:r>
      <w:hyperlink r:id="rId1177">
        <w:r>
          <w:rPr>
            <w:color w:val="1155CC"/>
            <w:u w:val="single"/>
          </w:rPr>
          <w:t>通过银纳米晶体的形状控制稳定超晶格的过渡相</w:t>
        </w:r>
      </w:hyperlink>
    </w:p>
    <w:p>
      <w:pPr>
        <w:spacing w:before="0" w:after="80"/>
      </w:pPr>
      <w:r>
        <w:rPr>
          <w:i/>
          <w:sz w:val="20"/>
        </w:rPr>
        <w:t>EN: Stabilizing in-transition phases of superlattices through shape control of silver nanocrystals</w:t>
      </w:r>
    </w:p>
    <w:p>
      <w:pPr>
        <w:spacing w:before="0" w:after="120"/>
      </w:pPr>
      <w:r>
        <w:rPr>
          <w:b/>
        </w:rPr>
        <w:t xml:space="preserve">Source: </w:t>
      </w:r>
      <w:r>
        <w:t>AAAS: Science: Table of Contents</w:t>
      </w:r>
      <w:r>
        <w:t xml:space="preserve">    </w:t>
      </w:r>
      <w:r>
        <w:rPr>
          <w:b/>
        </w:rPr>
        <w:t xml:space="preserve">Pub date: </w:t>
      </w:r>
      <w:r>
        <w:t>2026-05-28 06:00:06+00:00</w:t>
      </w:r>
      <w:r>
        <w:t xml:space="preserve">    </w:t>
      </w:r>
      <w:r>
        <w:rPr>
          <w:b/>
        </w:rPr>
        <w:t xml:space="preserve">DOI: </w:t>
      </w:r>
      <w:hyperlink r:id="rId1178">
        <w:r>
          <w:rPr>
            <w:color w:val="1155CC"/>
            <w:u w:val="single"/>
          </w:rPr>
          <w:t>10.1126/science.ady6472</w:t>
        </w:r>
      </w:hyperlink>
    </w:p>
    <w:p>
      <w:pPr>
        <w:spacing w:before="0" w:after="120"/>
      </w:pPr>
      <w:r>
        <w:rPr>
          <w:b/>
        </w:rPr>
        <w:t xml:space="preserve">Notes: </w:t>
      </w:r>
      <w:r>
        <w:t>abstract_source=crossref</w:t>
      </w:r>
    </w:p>
    <w:p>
      <w:pPr>
        <w:spacing w:before="0" w:after="80" w:lineRule="auto" w:line="276"/>
      </w:pPr>
      <w:r>
        <w:rPr>
          <w:b/>
        </w:rPr>
        <w:t xml:space="preserve">摘要（ZH）: </w:t>
      </w:r>
      <w:r>
        <w:t>在纳米级组装中，由于中间相固有的不稳定性，对高对称性晶格之间的过渡路径中的结构的观察很少。我们报告说，形状类似于截顶八面体（mecons）的银纳米晶体自组装成稳定的超晶格，并且类似于以前未观察到的相，该相沿西山-瓦瑟曼马氏体路径桥接面心立方结构和体心立方结构。这些超晶格表现出高结构纯度和稳定性，并创造了强大且可调节的不对称相景观。值得注意的是，这些银纳米晶体超晶格中通过量子水平的等离激元-光子杂化出现了光-物质耦合。</w:t>
      </w:r>
    </w:p>
    <w:p>
      <w:pPr>
        <w:spacing w:before="0" w:after="200" w:lineRule="auto" w:line="276"/>
      </w:pPr>
      <w:r>
        <w:rPr>
          <w:b/>
        </w:rPr>
        <w:t xml:space="preserve">Abstract (EN): </w:t>
      </w:r>
      <w:r>
        <w:t>In nanoscale assemblies, observations of structures in the transition pathways between high-symmetry lattices are rare because of the inherent instability of the intermediate phases. We report that silver nanocrystals with shapes similar to truncated octahedra (mecons) self-assemble into superlattices that are stable and resemble a previously unobserved phase that bridges face-centered and body-centered cubic structures along the Nishiyama-Wassermann martensitic pathway. These superlattices exhibited high structural purity and stability and created a robust and tunable dissymmetric phase landscape. Notably, light-matter coupling emerged in these silver nanocrystal superlattices through plasmon-photon hybridization at the quantum level.</w:t>
      </w:r>
    </w:p>
    <w:p>
      <w:pPr>
        <w:spacing w:before="120" w:after="120"/>
      </w:pPr>
      <w:r>
        <w:rPr>
          <w:sz w:val="18"/>
        </w:rPr>
        <w:t>——————————————————————————————————————————————————————————————————————</w:t>
      </w:r>
    </w:p>
    <w:p>
      <w:pPr>
        <w:spacing w:before="160" w:after="40" w:line="240" w:lineRule="auto"/>
      </w:pPr>
      <w:r>
        <w:rPr>
          <w:b/>
        </w:rPr>
        <w:t xml:space="preserve">[504] </w:t>
      </w:r>
      <w:hyperlink r:id="rId1179">
        <w:r>
          <w:rPr>
            <w:color w:val="1155CC"/>
            <w:u w:val="single"/>
          </w:rPr>
          <w:t>高性能红外光电器件 HgTe 量子点的界面和表面化学工程</w:t>
        </w:r>
      </w:hyperlink>
    </w:p>
    <w:p>
      <w:pPr>
        <w:spacing w:before="0" w:after="80"/>
      </w:pPr>
      <w:r>
        <w:rPr>
          <w:i/>
          <w:sz w:val="20"/>
        </w:rPr>
        <w:t>EN: Interface and Surface Chemistry Engineering in HgTe Quantum Dots for High‐Performance Infrared Optoelectronic Devices</w:t>
      </w:r>
    </w:p>
    <w:p>
      <w:pPr>
        <w:spacing w:before="0" w:after="120"/>
      </w:pPr>
      <w:r>
        <w:rPr>
          <w:b/>
        </w:rPr>
        <w:t xml:space="preserve">Source: </w:t>
      </w:r>
      <w:r>
        <w:t>Wiley: Advanced Materials: Table of Contents</w:t>
      </w:r>
      <w:r>
        <w:t xml:space="preserve">    </w:t>
      </w:r>
      <w:r>
        <w:rPr>
          <w:b/>
        </w:rPr>
        <w:t xml:space="preserve">Pub date: </w:t>
      </w:r>
      <w:r>
        <w:t>2026-05-28 06:16:24+00:00</w:t>
      </w:r>
      <w:r>
        <w:t xml:space="preserve">    </w:t>
      </w:r>
      <w:r>
        <w:rPr>
          <w:b/>
        </w:rPr>
        <w:t xml:space="preserve">DOI: </w:t>
      </w:r>
      <w:hyperlink r:id="rId1180">
        <w:r>
          <w:rPr>
            <w:color w:val="1155CC"/>
            <w:u w:val="single"/>
          </w:rPr>
          <w:t>10.1002/adma.73486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由碲化汞 (HgTe) 组成的胶体量子点已成为红外探测系统、成像应用、焦平面阵列技术和各种其他光电平台的有前途的材料。这些纳米材料表现出独特的带隙，可以通过粒度控制进行控制，覆盖从近红外到太赫兹区域的波长，并表现出强大的载流子传输特性，使其有利于先进的红外技术应用。本综述总结了 HgTe CQD 制造方法、其电子能带结构以及功能器件集成策略的当前发展。 HgTe 的纳米级尺寸会产生量子限制现象，从而实现精确的带隙工程，从负能隙过渡到正能隙，并促进在广泛的波长范围内可调谐的光吸收和发射。我们分析了纳米颗粒尺寸、形态和表面功能化的变化如何影响其光学行为和电传输特性。此外，我们还探索了 HgTe CQD 在光电探测平台、场效应晶体管配置和成像阵列架构中的实现，强调设计策略、操作特性和耐用性限制。这项全面的调查旨在增进对 HgTe CQD 系统的了解，并促进其不断发展为商业上可行、具有成本效益和高效的基础设施。</w:t>
      </w:r>
    </w:p>
    <w:p>
      <w:pPr>
        <w:spacing w:before="0" w:after="200" w:lineRule="auto" w:line="276"/>
      </w:pPr>
      <w:r>
        <w:rPr>
          <w:b/>
        </w:rPr>
        <w:t xml:space="preserve">Abstract (EN): </w:t>
      </w:r>
      <w:r>
        <w:t>Colloidal quantum dots composed of mercury telluride (HgTe) have emerged as promising materials for infrared detection systems, imaging applications, focal plane array technologies, and various other optoelectronic platforms. These nanomaterials exhibit a distinctive bandgap that can be controlled through particle size manipulation, covering wavelengths from the near‐infrared through terahertz regions, and demonstrate robust charge carrier transport characteristics that position them favorably for advanced infrared technological applications. This review consolidates current developments in HgTe CQD fabrication methods, their electronic band structures, and integration strategies for functional devices. The nanoscale dimensions of HgTe induce quantum confinement phenomena that enable precise bandgap engineering, transitioning from negative to positive energy gaps and facilitating tunable light absorption and emission across an extensive wavelength spectrum. We analyze how variations in nanoparticle dimensions, morphology, and surface functionalization impact their optical behavior and electrical transport characteristics. Additionally, we explore the implementation of HgTe CQDs in photodetection platforms, field‐effect transistor configurations, and imaging array architectures, emphasizing design strategies, operational characteristics, and durability limitations. This comprehensive survey seeks to advance understanding of HgTe CQD systems and facilitate their continued evolution toward commercially viable, cost‐effective, and high‐efficiency infrared optoelectronic solutions.</w:t>
      </w:r>
    </w:p>
    <w:p>
      <w:pPr>
        <w:spacing w:before="120" w:after="120"/>
      </w:pPr>
      <w:r>
        <w:rPr>
          <w:sz w:val="18"/>
        </w:rPr>
        <w:t>——————————————————————————————————————————————————————————————————————</w:t>
      </w:r>
    </w:p>
    <w:p>
      <w:pPr>
        <w:spacing w:before="160" w:after="40" w:line="240" w:lineRule="auto"/>
      </w:pPr>
      <w:r>
        <w:rPr>
          <w:b/>
        </w:rPr>
        <w:t xml:space="preserve">[505] </w:t>
      </w:r>
      <w:hyperlink r:id="rId1181">
        <w:r>
          <w:rPr>
            <w:color w:val="1155CC"/>
            <w:u w:val="single"/>
          </w:rPr>
          <w:t>人工拓扑纳米结构：设计、制造和生物医学应用策略</w:t>
        </w:r>
      </w:hyperlink>
    </w:p>
    <w:p>
      <w:pPr>
        <w:spacing w:before="0" w:after="80"/>
      </w:pPr>
      <w:r>
        <w:rPr>
          <w:i/>
          <w:sz w:val="20"/>
        </w:rPr>
        <w:t>EN: Artificial Topological Nanostructures: Strategies for Design, Manufacturing, and Biomedical Applications</w:t>
      </w:r>
    </w:p>
    <w:p>
      <w:pPr>
        <w:spacing w:before="0" w:after="120"/>
      </w:pPr>
      <w:r>
        <w:rPr>
          <w:b/>
        </w:rPr>
        <w:t xml:space="preserve">Source: </w:t>
      </w:r>
      <w:r>
        <w:t>Wiley: Advanced Materials: Table of Contents</w:t>
      </w:r>
      <w:r>
        <w:t xml:space="preserve">    </w:t>
      </w:r>
      <w:r>
        <w:rPr>
          <w:b/>
        </w:rPr>
        <w:t xml:space="preserve">Pub date: </w:t>
      </w:r>
      <w:r>
        <w:t>2026-05-28 06:23:11+00:00</w:t>
      </w:r>
      <w:r>
        <w:t xml:space="preserve">    </w:t>
      </w:r>
      <w:r>
        <w:rPr>
          <w:b/>
        </w:rPr>
        <w:t xml:space="preserve">DOI: </w:t>
      </w:r>
      <w:hyperlink r:id="rId1182">
        <w:r>
          <w:rPr>
            <w:color w:val="1155CC"/>
            <w:u w:val="single"/>
          </w:rPr>
          <w:t>10.1002/adma.73542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具有明确定义和重要拓扑的纳米级结构的合理设计已成为材料科学中调节结构依赖的物理化学和生物功能的重要方向。然而，以人工拓扑纳米结构（ATN）为中心的框架仍然不发达。在这篇综述中，我们重点关注 ATN，这是一类工程纳米系统，其中全局连通性和变形不变的拓扑结构作为组成和形态之外的设计参数。与传统的纳米结构材料相比，ATN 代表了一种拓扑驱动的设计范式，能够在纳米尺度上实现可控的结构组织。我们总结了 ATN 的最新进展，以莫比乌斯带、三叶结和互锁环等代表性图案为特色，强调了拓扑结构如何控制结构稳定性和功能。重点强调拓扑结构作为 ATN 中结构-功能关系的中心组织原则。讨论了网状框架、基于肽和核酸的系统以及软物质组装的关键设计原则和组装策略，重点是拓扑状态的可编程编码。我们进一步强调了纳米医学中的制造策略和新兴生物医学应用，其中拓扑依赖的特性增强了性能。最后，我们概述了可扩展综合、定量拓扑函数关系和生物转化方面的关键挑战，并讨论了将拓扑建立为</w:t>
      </w:r>
    </w:p>
    <w:p>
      <w:pPr>
        <w:spacing w:before="0" w:after="200" w:lineRule="auto" w:line="276"/>
      </w:pPr>
      <w:r>
        <w:rPr>
          <w:b/>
        </w:rPr>
        <w:t xml:space="preserve">Abstract (EN): </w:t>
      </w:r>
      <w:r>
        <w:t>The rational design of nanoscale architectures with well‐defined and nontrivial topologies has emerged as an important direction in materials science for regulating structure‐dependent physicochemical and biological functions. However, a focused framework centered on artificial topological nanostructures (ATNs) remains underdeveloped. In this review, we focus on ATNs, a class of engineered nanosystems in which global connectivity and deformation‐invariant topology serve as design parameters beyond composition and morphology. Compared with conventional nanostructured materials, ATNs represent a topology‐driven design paradigm enabling controllable structural organization at the nanoscale. We summarize recent progress in ATNs featuring representative motifs such as Möbius strips, trefoil knots, and interlocked rings, highlighting how topology governs structural stability and function. Emphasis is placed on topology as the central organizing principle of structure‐function relationships in ATNs. Key design principles and assembly strategies are discussed across reticular frameworks, peptide and nucleic acid‐based systems, and soft‐matter assemblies, focusing on programmable encoding of topological states. We further highlight fabrication strategies and emerging biomedical applications in nanomedicine, where topology‐dependent properties enhance performance. Finally, we outline key challenges in scalable synthesis, quantitative topology function relationships, and biological translation, and discuss future opportunities for establishing topology as a unifying design paradigm for functional nanomaterials.</w:t>
      </w:r>
    </w:p>
    <w:p>
      <w:pPr>
        <w:spacing w:before="120" w:after="120"/>
      </w:pPr>
      <w:r>
        <w:rPr>
          <w:sz w:val="18"/>
        </w:rPr>
        <w:t>——————————————————————————————————————————————————————————————————————</w:t>
      </w:r>
    </w:p>
    <w:p>
      <w:pPr>
        <w:spacing w:before="160" w:after="40" w:line="240" w:lineRule="auto"/>
      </w:pPr>
      <w:r>
        <w:rPr>
          <w:b/>
        </w:rPr>
        <w:t xml:space="preserve">[506] </w:t>
      </w:r>
      <w:hyperlink r:id="rId1183">
        <w:r>
          <w:rPr>
            <w:color w:val="1155CC"/>
            <w:u w:val="single"/>
          </w:rPr>
          <w:t>全癌三级淋巴结构空间图谱</w:t>
        </w:r>
      </w:hyperlink>
    </w:p>
    <w:p>
      <w:pPr>
        <w:spacing w:before="0" w:after="80"/>
      </w:pPr>
      <w:r>
        <w:rPr>
          <w:i/>
          <w:sz w:val="20"/>
        </w:rPr>
        <w:t>EN: Pan-cancer spatial atlas of tertiary lymphoid structures</w:t>
      </w:r>
    </w:p>
    <w:p>
      <w:pPr>
        <w:spacing w:before="0" w:after="120"/>
      </w:pPr>
      <w:r>
        <w:rPr>
          <w:b/>
        </w:rPr>
        <w:t xml:space="preserve">Source: </w:t>
      </w:r>
      <w:r>
        <w:t>AAAS: Science: Table of Contents</w:t>
      </w:r>
      <w:r>
        <w:t xml:space="preserve">    </w:t>
      </w:r>
      <w:r>
        <w:rPr>
          <w:b/>
        </w:rPr>
        <w:t xml:space="preserve">Pub date: </w:t>
      </w:r>
      <w:r>
        <w:t>2026-05-28 07:00:00+00:00</w:t>
      </w:r>
      <w:r>
        <w:t xml:space="preserve">    </w:t>
      </w:r>
      <w:r>
        <w:rPr>
          <w:b/>
        </w:rPr>
        <w:t xml:space="preserve">DOI: </w:t>
      </w:r>
      <w:hyperlink r:id="rId1184">
        <w:r>
          <w:rPr>
            <w:color w:val="1155CC"/>
            <w:u w:val="single"/>
          </w:rPr>
          <w:t>10.1126/science.adz2742</w:t>
        </w:r>
      </w:hyperlink>
    </w:p>
    <w:p>
      <w:pPr>
        <w:spacing w:before="0" w:after="120"/>
      </w:pPr>
      <w:r>
        <w:rPr>
          <w:b/>
        </w:rPr>
        <w:t xml:space="preserve">Notes: </w:t>
      </w:r>
      <w:r>
        <w:t>abstract_source=crossref</w:t>
      </w:r>
    </w:p>
    <w:p>
      <w:pPr>
        <w:spacing w:before="0" w:after="80" w:lineRule="auto" w:line="276"/>
      </w:pPr>
      <w:r>
        <w:rPr>
          <w:b/>
        </w:rPr>
        <w:t xml:space="preserve">摘要（ZH）: </w:t>
      </w:r>
      <w:r>
        <w:t>三级淋巴结构（TLS）是抗肿瘤免疫的关键调节因子，但它们的空间组织、成熟度和临床相关性在癌症中仍未完全确定。我们分析了涵盖 12 种癌症类型的空间转录组学，构建了泛癌 TLS 图谱，并表征了 TLS 空间结构和成熟状态。 TLS 的成熟伴随着肿瘤程序中不同生态位细胞群和距离依赖性梯度的协调重塑，并由超高复数单细胞空间分析正交支持。为了实现可扩展的 TLS 分析，我们训练了一个人工智能框架，该框架直接从苏木精和伊红染色图像预测 TLS 成熟状态，并在 TCGA 和独立治疗队列中对其进行评估。我们进一步得出了一个成熟感知的综合评分，捕获肿瘤内 TLS 状态的组成，该评分可以对癌症和治疗背景下的患者进行稳健分层，优于传统的 TLS 指标。</w:t>
      </w:r>
    </w:p>
    <w:p>
      <w:pPr>
        <w:spacing w:before="0" w:after="200" w:lineRule="auto" w:line="276"/>
      </w:pPr>
      <w:r>
        <w:rPr>
          <w:b/>
        </w:rPr>
        <w:t xml:space="preserve">Abstract (EN): </w:t>
      </w:r>
      <w:r>
        <w:t>Tertiary lymphoid structures (TLSs) are critical regulators of antitumor immunity, yet their spatial organization, maturation, and clinical relevance remain incompletely defined across cancers. We analyzed spatial transcriptomics spanning 12 cancer types to construct a pan-cancer TLS atlas and characterized TLS spatial architecture and maturation states. TLS maturation was accompanied by coordinated remodeling of distinct niche cell populations and distance-dependent gradients in tumor programs, orthogonally supported by ultrahigh-plex single-cell spatial profiling. To enable scalable TLS profiling, we trained an artificial intelligence framework that predicts TLS maturation states directly from hematoxylin and eosin–stained images and evaluated it across TCGA and independent therapy cohorts. We further derived a maturation-aware composite score capturing intratumoral TLS state composition, which robustly stratifies patients across cancer and treatment contexts, outperforming conventional TLS metrics.</w:t>
      </w:r>
    </w:p>
    <w:p>
      <w:pPr>
        <w:spacing w:before="120" w:after="120"/>
      </w:pPr>
      <w:r>
        <w:rPr>
          <w:sz w:val="18"/>
        </w:rPr>
        <w:t>——————————————————————————————————————————————————————————————————————</w:t>
      </w:r>
    </w:p>
    <w:p>
      <w:pPr>
        <w:spacing w:before="160" w:after="40" w:line="240" w:lineRule="auto"/>
      </w:pPr>
      <w:r>
        <w:rPr>
          <w:b/>
        </w:rPr>
        <w:t xml:space="preserve">[507] </w:t>
      </w:r>
      <w:hyperlink r:id="rId1185">
        <w:r>
          <w:rPr>
            <w:color w:val="1155CC"/>
            <w:u w:val="single"/>
          </w:rPr>
          <w:t>小鼠脓毒症期间肺中性粒细胞-血小板免疫血栓形成级联的可视化</w:t>
        </w:r>
      </w:hyperlink>
    </w:p>
    <w:p>
      <w:pPr>
        <w:spacing w:before="0" w:after="80"/>
      </w:pPr>
      <w:r>
        <w:rPr>
          <w:i/>
          <w:sz w:val="20"/>
        </w:rPr>
        <w:t>EN: Visualizing a lung neutrophil-platelet immunothrombosis cascade during sepsis in mice</w:t>
      </w:r>
    </w:p>
    <w:p>
      <w:pPr>
        <w:spacing w:before="0" w:after="120"/>
      </w:pPr>
      <w:r>
        <w:rPr>
          <w:b/>
        </w:rPr>
        <w:t xml:space="preserve">Source: </w:t>
      </w:r>
      <w:r>
        <w:t>AAAS: Science: Table of Contents</w:t>
      </w:r>
      <w:r>
        <w:t xml:space="preserve">    </w:t>
      </w:r>
      <w:r>
        <w:rPr>
          <w:b/>
        </w:rPr>
        <w:t xml:space="preserve">Pub date: </w:t>
      </w:r>
      <w:r>
        <w:t>2026-05-28 07:00:00+00:00</w:t>
      </w:r>
      <w:r>
        <w:t xml:space="preserve">    </w:t>
      </w:r>
      <w:r>
        <w:rPr>
          <w:b/>
        </w:rPr>
        <w:t xml:space="preserve">DOI: </w:t>
      </w:r>
      <w:hyperlink r:id="rId1186">
        <w:r>
          <w:rPr>
            <w:color w:val="1155CC"/>
            <w:u w:val="single"/>
          </w:rPr>
          <w:t>10.1126/science.adv0377</w:t>
        </w:r>
      </w:hyperlink>
    </w:p>
    <w:p>
      <w:pPr>
        <w:spacing w:before="0" w:after="120"/>
      </w:pPr>
      <w:r>
        <w:rPr>
          <w:b/>
        </w:rPr>
        <w:t xml:space="preserve">Notes: </w:t>
      </w:r>
      <w:r>
        <w:t>abstract_source=crossref</w:t>
      </w:r>
    </w:p>
    <w:p>
      <w:pPr>
        <w:spacing w:before="0" w:after="80" w:lineRule="auto" w:line="276"/>
      </w:pPr>
      <w:r>
        <w:rPr>
          <w:b/>
        </w:rPr>
        <w:t xml:space="preserve">摘要（ZH）: </w:t>
      </w:r>
      <w:r>
        <w:t>脓毒症是一种免疫悖论，宿主防御对于生存是必要的，但也会导致器官损伤和死亡。我们定义了肺微循环中中性粒细胞和血小板的免疫血栓形成级联反应</w:t>
      </w:r>
      <w:r>
        <w:t xml:space="preserve"> </w:t>
      </w:r>
      <w:r>
        <w:t>大肠杆菌</w:t>
      </w:r>
      <w:r>
        <w:t xml:space="preserve"> </w:t>
      </w:r>
      <w:r>
        <w:t>–败血症小鼠。 Cathelicidin 是一种抗菌肽，可定位中性粒细胞</w:t>
      </w:r>
      <w:r>
        <w:t xml:space="preserve"> </w:t>
      </w:r>
      <w:r>
        <w:t>大肠杆菌</w:t>
      </w:r>
      <w:r>
        <w:t xml:space="preserve"> </w:t>
      </w:r>
      <w:r>
        <w:t>并通过甲酰肽受体引发免疫血栓。免疫血栓捕获细菌，抗菌素使血小板具有抗菌活性。阻断导管素可预防免疫血栓形成并减少早期脓毒症死亡，但会因感染不受控制而导致延迟死亡。白三烯 B4 是一种重要的中性粒细胞间通讯分子，可放大免疫血栓，抑制它可改善血管损害，同时保留宿主防御，从而代表脓毒症疾病进展的离散拐点。因此，针对免疫血栓级联反应可以减轻免疫病理学，而不抑制脓毒症期间宿主的防御。</w:t>
      </w:r>
    </w:p>
    <w:p>
      <w:pPr>
        <w:spacing w:before="0" w:after="200" w:lineRule="auto" w:line="276"/>
      </w:pPr>
      <w:r>
        <w:rPr>
          <w:b/>
        </w:rPr>
        <w:t xml:space="preserve">Abstract (EN): </w:t>
      </w:r>
      <w:r>
        <w:t>Sepsis is an immune paradox in which host defense is necessary for survival but also contributes to organ damage and death. We defined an immunothrombosis cascade of neutrophil and platelets in the lung microcirculation of</w:t>
      </w:r>
      <w:r>
        <w:t xml:space="preserve"> </w:t>
      </w:r>
      <w:r>
        <w:t>Escherichia coli</w:t>
      </w:r>
      <w:r>
        <w:t xml:space="preserve"> </w:t>
      </w:r>
      <w:r>
        <w:t>–septic mice. Cathelicidin, an antimicrobial peptide, localized neutrophils to</w:t>
      </w:r>
      <w:r>
        <w:t xml:space="preserve"> </w:t>
      </w:r>
      <w:r>
        <w:t>E. coli</w:t>
      </w:r>
      <w:r>
        <w:t xml:space="preserve"> </w:t>
      </w:r>
      <w:r>
        <w:t>and initiated immunothrombi through formyl-peptide receptors. Immunothrombi captured bacteria, and cathelicidin enabled antimicrobial activities in platelets. Blocking cathelicidin prevented immunothrombosis and attenuated early sepsis death but resulted in delayed death with uncontrolled infection. Leukotriene B4, an important neutrophil-to-neutrophil communication molecule, amplified immunothrombi, and inhibiting it improved vascular compromise while preserving host defense, thus representing a discrete inflection point of sepsis disease progression. Therefore, targeting the immunothrombi cascade can mitigate immunopathology without suppressing host defense during sepsis.</w:t>
      </w:r>
    </w:p>
    <w:p>
      <w:pPr>
        <w:spacing w:before="120" w:after="120"/>
      </w:pPr>
      <w:r>
        <w:rPr>
          <w:sz w:val="18"/>
        </w:rPr>
        <w:t>——————————————————————————————————————————————————————————————————————</w:t>
      </w:r>
    </w:p>
    <w:p>
      <w:pPr>
        <w:spacing w:before="160" w:after="40" w:line="240" w:lineRule="auto"/>
      </w:pPr>
      <w:r>
        <w:rPr>
          <w:b/>
        </w:rPr>
        <w:t xml:space="preserve">[508] </w:t>
      </w:r>
      <w:hyperlink r:id="rId1187">
        <w:r>
          <w:rPr>
            <w:color w:val="1155CC"/>
            <w:u w:val="single"/>
          </w:rPr>
          <w:t>速效共价蛋白药物的高通量选择系统</w:t>
        </w:r>
      </w:hyperlink>
    </w:p>
    <w:p>
      <w:pPr>
        <w:spacing w:before="0" w:after="80"/>
      </w:pPr>
      <w:r>
        <w:rPr>
          <w:i/>
          <w:sz w:val="20"/>
        </w:rPr>
        <w:t>EN: A high-throughput selection system for fast-acting covalent protein drugs</w:t>
      </w:r>
    </w:p>
    <w:p>
      <w:pPr>
        <w:spacing w:before="0" w:after="120"/>
      </w:pPr>
      <w:r>
        <w:rPr>
          <w:b/>
        </w:rPr>
        <w:t xml:space="preserve">Source: </w:t>
      </w:r>
      <w:r>
        <w:t>AAAS: Science: Table of Contents</w:t>
      </w:r>
      <w:r>
        <w:t xml:space="preserve">    </w:t>
      </w:r>
      <w:r>
        <w:rPr>
          <w:b/>
        </w:rPr>
        <w:t xml:space="preserve">Pub date: </w:t>
      </w:r>
      <w:r>
        <w:t>2026-05-28 07:00:00+00:00</w:t>
      </w:r>
      <w:r>
        <w:t xml:space="preserve">    </w:t>
      </w:r>
      <w:r>
        <w:rPr>
          <w:b/>
        </w:rPr>
        <w:t xml:space="preserve">DOI: </w:t>
      </w:r>
      <w:hyperlink r:id="rId1188">
        <w:r>
          <w:rPr>
            <w:color w:val="1155CC"/>
            <w:u w:val="single"/>
          </w:rPr>
          <w:t>10.1126/science.adv3081</w:t>
        </w:r>
      </w:hyperlink>
    </w:p>
    <w:p>
      <w:pPr>
        <w:spacing w:before="0" w:after="120"/>
      </w:pPr>
      <w:r>
        <w:rPr>
          <w:b/>
        </w:rPr>
        <w:t xml:space="preserve">Notes: </w:t>
      </w:r>
      <w:r>
        <w:t>abstract_source=crossref</w:t>
      </w:r>
    </w:p>
    <w:p>
      <w:pPr>
        <w:spacing w:before="0" w:after="80" w:lineRule="auto" w:line="276"/>
      </w:pPr>
      <w:r>
        <w:rPr>
          <w:b/>
        </w:rPr>
        <w:t xml:space="preserve">摘要（ZH）: </w:t>
      </w:r>
      <w:r>
        <w:t>共价蛋白药物具有治疗潜力，但受到靶标结合缓慢和缺乏高通量选择平台的限制。快速共价结合需要亲和力、稳定性和弹头几何形状的协调优化，这本质上是一个多维的挑战。我们开发了一个酵母展示平台，结合化学选择性修饰，可以选择快速作用的共价蛋白，而不增加内在的弹头反应性。使用该系统，我们设计了一种具有快速交联动力学的共价程序性死亡配体 1 (PD-L1) 拮抗纳米抗体 [观察到的速率常数 (</w:t>
      </w:r>
      <w:r>
        <w:t xml:space="preserve"> </w:t>
      </w:r>
      <w:r>
        <w:t>k</w:t>
      </w:r>
      <w:r>
        <w:t xml:space="preserve"> </w:t>
      </w:r>
      <w:r>
        <w:t>观测值</w:t>
      </w:r>
      <w:r>
        <w:t xml:space="preserve"> </w:t>
      </w:r>
      <w:r>
        <w:t>) = 0.18 分钟</w:t>
      </w:r>
      <w:r>
        <w:t xml:space="preserve"> </w:t>
      </w:r>
      <w:r>
        <w:t>−1</w:t>
      </w:r>
      <w:r>
        <w:t xml:space="preserve"> </w:t>
      </w:r>
      <w:r>
        <w:t>，半衰期（</w:t>
      </w:r>
      <w:r>
        <w:t xml:space="preserve"> </w:t>
      </w:r>
      <w:r>
        <w:t>t</w:t>
      </w:r>
      <w:r>
        <w:t xml:space="preserve"> </w:t>
      </w:r>
      <w:r>
        <w:t>1/2</w:t>
      </w:r>
      <w:r>
        <w:t xml:space="preserve"> </w:t>
      </w:r>
      <w:r>
        <w:t>) = 3.8 分钟] 与 envafolimab 和 atezolizumab 相比，肿瘤抑制得到改善。同样，我们设计了一种快速作用的共价白细胞介素 18（</w:t>
      </w:r>
      <w:r>
        <w:t xml:space="preserve"> </w:t>
      </w:r>
      <w:r>
        <w:t>k</w:t>
      </w:r>
      <w:r>
        <w:t xml:space="preserve"> </w:t>
      </w:r>
      <w:r>
        <w:t>观测值</w:t>
      </w:r>
      <w:r>
        <w:t xml:space="preserve"> </w:t>
      </w:r>
      <w:r>
        <w:t>= 0.54 分钟</w:t>
      </w:r>
      <w:r>
        <w:t xml:space="preserve"> </w:t>
      </w:r>
      <w:r>
        <w:t>−1</w:t>
      </w:r>
      <w:r>
        <w:t xml:space="preserve"> </w:t>
      </w:r>
      <w:r>
        <w:t>,</w:t>
      </w:r>
      <w:r>
        <w:t xml:space="preserve"> </w:t>
      </w:r>
      <w:r>
        <w:t>t</w:t>
      </w:r>
      <w:r>
        <w:t xml:space="preserve"> </w:t>
      </w:r>
      <w:r>
        <w:t>1/2</w:t>
      </w:r>
      <w:r>
        <w:t xml:space="preserve"> </w:t>
      </w:r>
      <w:r>
        <w:t>= 1.3 分钟）和针对严重急性呼吸综合征冠状病毒 2 (SARS-CoV-2) 受体结合域的共价小蛋白，证明了跨蛋白质模式的适用性。</w:t>
      </w:r>
    </w:p>
    <w:p>
      <w:pPr>
        <w:spacing w:before="0" w:after="200" w:lineRule="auto" w:line="276"/>
      </w:pPr>
      <w:r>
        <w:rPr>
          <w:b/>
        </w:rPr>
        <w:t xml:space="preserve">Abstract (EN): </w:t>
      </w:r>
      <w:r>
        <w:t>Covalent protein drugs offer therapeutic potential but are limited by slow target engagement and the absence of high-throughput selection platforms. Rapid covalent binding requires coordinated optimization of affinity, stability, and warhead geometry, which is an intrinsically multidimensional challenge. We developed a yeast display platform coupled with chemoselective modification that enables selection of fast-acting covalent proteins without increasing intrinsic warhead reactivity. Using this system, we engineered a covalent programmed death-ligand 1 (PD-L1) antagonistic nanobody with rapid cross-linking kinetics [observed rate constant (</w:t>
      </w:r>
      <w:r>
        <w:t xml:space="preserve"> </w:t>
      </w:r>
      <w:r>
        <w:t>k</w:t>
      </w:r>
      <w:r>
        <w:t xml:space="preserve"> </w:t>
      </w:r>
      <w:r>
        <w:t>obs</w:t>
      </w:r>
      <w:r>
        <w:t xml:space="preserve"> </w:t>
      </w:r>
      <w:r>
        <w:t>) = 0.18 min</w:t>
      </w:r>
      <w:r>
        <w:t xml:space="preserve"> </w:t>
      </w:r>
      <w:r>
        <w:t>−1</w:t>
      </w:r>
      <w:r>
        <w:t xml:space="preserve"> </w:t>
      </w:r>
      <w:r>
        <w:t>, half-life (</w:t>
      </w:r>
      <w:r>
        <w:t xml:space="preserve"> </w:t>
      </w:r>
      <w:r>
        <w:t>t</w:t>
      </w:r>
      <w:r>
        <w:t xml:space="preserve"> </w:t>
      </w:r>
      <w:r>
        <w:t>1/2</w:t>
      </w:r>
      <w:r>
        <w:t xml:space="preserve"> </w:t>
      </w:r>
      <w:r>
        <w:t>) = 3.8 min] and improved tumor suppression compared with envafolimab and atezolizumab. Similarly, we engineered a fast-acting covalent interleukin-18 (</w:t>
      </w:r>
      <w:r>
        <w:t xml:space="preserve"> </w:t>
      </w:r>
      <w:r>
        <w:t>k</w:t>
      </w:r>
      <w:r>
        <w:t xml:space="preserve"> </w:t>
      </w:r>
      <w:r>
        <w:t>obs</w:t>
      </w:r>
      <w:r>
        <w:t xml:space="preserve"> </w:t>
      </w:r>
      <w:r>
        <w:t>= 0.54 min</w:t>
      </w:r>
      <w:r>
        <w:t xml:space="preserve"> </w:t>
      </w:r>
      <w:r>
        <w:t>−1</w:t>
      </w:r>
      <w:r>
        <w:t xml:space="preserve"> </w:t>
      </w:r>
      <w:r>
        <w:t>,</w:t>
      </w:r>
      <w:r>
        <w:t xml:space="preserve"> </w:t>
      </w:r>
      <w:r>
        <w:t>t</w:t>
      </w:r>
      <w:r>
        <w:t xml:space="preserve"> </w:t>
      </w:r>
      <w:r>
        <w:t>1/2</w:t>
      </w:r>
      <w:r>
        <w:t xml:space="preserve"> </w:t>
      </w:r>
      <w:r>
        <w:t>= 1.3 min) and a covalent miniprotein targeting the receptor binding domain of severe acute respiratory syndrome coronavirus 2 (SARS-CoV-2), demonstrating applicability across protein modalities.</w:t>
      </w:r>
    </w:p>
    <w:p>
      <w:pPr>
        <w:spacing w:before="120" w:after="120"/>
      </w:pPr>
      <w:r>
        <w:rPr>
          <w:sz w:val="18"/>
        </w:rPr>
        <w:t>——————————————————————————————————————————————————————————————————————</w:t>
      </w:r>
    </w:p>
    <w:p>
      <w:pPr>
        <w:spacing w:before="160" w:after="40" w:line="240" w:lineRule="auto"/>
      </w:pPr>
      <w:r>
        <w:rPr>
          <w:b/>
        </w:rPr>
        <w:t xml:space="preserve">[509] </w:t>
      </w:r>
      <w:hyperlink r:id="rId1189">
        <w:r>
          <w:rPr>
            <w:color w:val="1155CC"/>
            <w:u w:val="single"/>
          </w:rPr>
          <w:t>非结构化转录因子相互作用实现了新兴的特异性</w:t>
        </w:r>
      </w:hyperlink>
    </w:p>
    <w:p>
      <w:pPr>
        <w:spacing w:before="0" w:after="80"/>
      </w:pPr>
      <w:r>
        <w:rPr>
          <w:i/>
          <w:sz w:val="20"/>
        </w:rPr>
        <w:t>EN: Unstructured transcription factor interactions enable emergent specificity</w:t>
      </w:r>
    </w:p>
    <w:p>
      <w:pPr>
        <w:spacing w:before="0" w:after="120"/>
      </w:pPr>
      <w:r>
        <w:rPr>
          <w:b/>
        </w:rPr>
        <w:t xml:space="preserve">Source: </w:t>
      </w:r>
      <w:r>
        <w:t>AAAS: Science: Table of Contents</w:t>
      </w:r>
      <w:r>
        <w:t xml:space="preserve">    </w:t>
      </w:r>
      <w:r>
        <w:rPr>
          <w:b/>
        </w:rPr>
        <w:t xml:space="preserve">Pub date: </w:t>
      </w:r>
      <w:r>
        <w:t>2026-05-28 07:00:00+00:00</w:t>
      </w:r>
      <w:r>
        <w:t xml:space="preserve">    </w:t>
      </w:r>
      <w:r>
        <w:rPr>
          <w:b/>
        </w:rPr>
        <w:t xml:space="preserve">DOI: </w:t>
      </w:r>
      <w:hyperlink r:id="rId1190">
        <w:r>
          <w:rPr>
            <w:color w:val="1155CC"/>
            <w:u w:val="single"/>
          </w:rPr>
          <w:t>10.1126/science.aeb6487</w:t>
        </w:r>
      </w:hyperlink>
    </w:p>
    <w:p>
      <w:pPr>
        <w:spacing w:before="0" w:after="120"/>
      </w:pPr>
      <w:r>
        <w:rPr>
          <w:b/>
        </w:rPr>
        <w:t xml:space="preserve">Notes: </w:t>
      </w:r>
      <w:r>
        <w:t>abstract_source=crossref</w:t>
      </w:r>
    </w:p>
    <w:p>
      <w:pPr>
        <w:spacing w:before="0" w:after="80" w:lineRule="auto" w:line="276"/>
      </w:pPr>
      <w:r>
        <w:rPr>
          <w:b/>
        </w:rPr>
        <w:t xml:space="preserve">摘要（ZH）: </w:t>
      </w:r>
      <w:r>
        <w:t>本质无序区域 (IDR) 如何塑造染色质结合和转录因子 (TF) 的核组织仍不清楚。我们使用邻近辅助光激活 (PAPA)（一种单分子蛋白质-蛋白质相互作用传感器）来研究 IDR 如何影响 TF 之间以及活细胞中 TF 与染色质的相互作用。我们发现 Sp1 DNA 结合域 (DBD) 与染色质的相互作用很差，并且不与 Sp1 共定位。分离的 IDR 与全长 Sp1 的弱相互作用通过与各种不相关的 DBD 融合而得到增强。实时成像</w:t>
      </w:r>
      <w:r>
        <w:t xml:space="preserve"> </w:t>
      </w:r>
      <w:r>
        <w:t>果蝇</w:t>
      </w:r>
      <w:r>
        <w:t xml:space="preserve"> </w:t>
      </w:r>
      <w:r>
        <w:t>多线染色体证实 IDR 可以赋予非特异性 DBD 尖锐的位点特异性。这些发现表明，当多种非结构化相互作用的整体通过短暂的 DNA 接触形成支架时，染​​色质上就会出现 TF 特异性。</w:t>
      </w:r>
    </w:p>
    <w:p>
      <w:pPr>
        <w:spacing w:before="0" w:after="200" w:lineRule="auto" w:line="276"/>
      </w:pPr>
      <w:r>
        <w:rPr>
          <w:b/>
        </w:rPr>
        <w:t xml:space="preserve">Abstract (EN): </w:t>
      </w:r>
      <w:r>
        <w:t>How intrinsically disordered regions (IDRs) shape chromatin binding and nuclear organization of transcription factors (TFs) remains unclear. We used proximity-assisted photoactivation (PAPA), a single-molecule protein-protein interaction sensor, to investigate how IDRs might influence TF interactions with each other and with chromatin in live cells. We found that the Sp1 DNA binding domain (DBD) interacted poorly with chromatin and did not colocalize with Sp1. Weak interaction of the isolated IDR with full-length Sp1 was enhanced by fusion to various unrelated DBDs. Live imaging of</w:t>
      </w:r>
      <w:r>
        <w:t xml:space="preserve"> </w:t>
      </w:r>
      <w:r>
        <w:t>Drosophila</w:t>
      </w:r>
      <w:r>
        <w:t xml:space="preserve"> </w:t>
      </w:r>
      <w:r>
        <w:t>polytene chromosomes confirmed that an IDR could confer sharp locus specificity on an otherwise nonspecific DBD. These findings suggest that TF specificity emerges on chromatin when ensembles of diverse, unstructured interactions are scaffolded by transient DNA contacts.</w:t>
      </w:r>
    </w:p>
    <w:p>
      <w:pPr>
        <w:spacing w:before="120" w:after="120"/>
      </w:pPr>
      <w:r>
        <w:rPr>
          <w:sz w:val="18"/>
        </w:rPr>
        <w:t>——————————————————————————————————————————————————————————————————————</w:t>
      </w:r>
    </w:p>
    <w:p>
      <w:pPr>
        <w:spacing w:before="160" w:after="40" w:line="240" w:lineRule="auto"/>
      </w:pPr>
      <w:r>
        <w:rPr>
          <w:b/>
        </w:rPr>
        <w:t xml:space="preserve">[510] </w:t>
      </w:r>
      <w:hyperlink r:id="rId1191">
        <w:r>
          <w:rPr>
            <w:color w:val="1155CC"/>
            <w:u w:val="single"/>
          </w:rPr>
          <w:t>大象对粪甲虫生物多样性和生态系统功能的重要性</w:t>
        </w:r>
      </w:hyperlink>
    </w:p>
    <w:p>
      <w:pPr>
        <w:spacing w:before="0" w:after="80"/>
      </w:pPr>
      <w:r>
        <w:rPr>
          <w:i/>
          <w:sz w:val="20"/>
        </w:rPr>
        <w:t>EN: Importance of elephants for dung beetle biodiversity and ecosystem functions</w:t>
      </w:r>
    </w:p>
    <w:p>
      <w:pPr>
        <w:spacing w:before="0" w:after="120"/>
      </w:pPr>
      <w:r>
        <w:rPr>
          <w:b/>
        </w:rPr>
        <w:t xml:space="preserve">Source: </w:t>
      </w:r>
      <w:r>
        <w:t>AAAS: Science: Table of Contents</w:t>
      </w:r>
      <w:r>
        <w:t xml:space="preserve">    </w:t>
      </w:r>
      <w:r>
        <w:rPr>
          <w:b/>
        </w:rPr>
        <w:t xml:space="preserve">Pub date: </w:t>
      </w:r>
      <w:r>
        <w:t>2026-05-28 07:00:00+00:00</w:t>
      </w:r>
      <w:r>
        <w:t xml:space="preserve">    </w:t>
      </w:r>
      <w:r>
        <w:rPr>
          <w:b/>
        </w:rPr>
        <w:t xml:space="preserve">DOI: </w:t>
      </w:r>
      <w:hyperlink r:id="rId1192">
        <w:r>
          <w:rPr>
            <w:color w:val="1155CC"/>
            <w:u w:val="single"/>
          </w:rPr>
          <w:t>10.1126/science.aeb7062</w:t>
        </w:r>
      </w:hyperlink>
    </w:p>
    <w:p>
      <w:pPr>
        <w:spacing w:before="0" w:after="120"/>
      </w:pPr>
      <w:r>
        <w:rPr>
          <w:b/>
        </w:rPr>
        <w:t xml:space="preserve">Notes: </w:t>
      </w:r>
      <w:r>
        <w:t>abstract_source=crossref</w:t>
      </w:r>
    </w:p>
    <w:p>
      <w:pPr>
        <w:spacing w:before="0" w:after="80" w:lineRule="auto" w:line="276"/>
      </w:pPr>
      <w:r>
        <w:rPr>
          <w:b/>
        </w:rPr>
        <w:t xml:space="preserve">摘要（ZH）: </w:t>
      </w:r>
      <w:r>
        <w:t>生态学家推测，从生态网络中移除高度关联的物种将引发共灭绝浪潮，但经验证据很少。我们表明，大象是东非粪甲虫和大型食草动物之间普遍相互作用网络的核心。基于该网络的计算机模拟预测，如果大象灭绝，粪甲虫将遭受不成比例的损失，一项为期 15 年的实验支持了这一预测：排除大象会减少粪甲虫的丰度、多样性和生态系统功能，而排除较小的有蹄类动物则几乎没有增加效果。在牲畜取代大象的附近地区，粪甲虫丰度下降，证实了实验结果。我们的研究结果证实了一个长期存在的观点，即极易灭绝的大型动物作为关键物种，为许多相互关联的消费者提供了必要的资源，从而维持了生物多样性和生态系统服务。</w:t>
      </w:r>
    </w:p>
    <w:p>
      <w:pPr>
        <w:spacing w:before="0" w:after="200" w:lineRule="auto" w:line="276"/>
      </w:pPr>
      <w:r>
        <w:rPr>
          <w:b/>
        </w:rPr>
        <w:t xml:space="preserve">Abstract (EN): </w:t>
      </w:r>
      <w:r>
        <w:t>Ecologists theorize that removing highly connected species from ecological networks will trigger waves of coextinction, but empirical evidence is scant. We show that elephants are central to a generalized network of interactions between dung beetles and large herbivores in East Africa. Computer simulations based on this network predicted disproportionate dung beetle losses if elephants go extinct, and a 15-year experiment supported this prediction: Excluding elephants diminished dung beetle abundance, diversity, and ecosystem functions, whereas excluding smaller ungulates had little added effect. Dung beetle abundance was depressed in nearby landscapes where livestock had displaced elephants, corroborating the experimental results. Our findings affirm the long-standing idea that large animals—which are inordinately extinction-prone—act as keystone species by provisioning many linked consumers with essential resources, thereby sustaining biodiversity and ecosystem services.</w:t>
      </w:r>
    </w:p>
    <w:p>
      <w:pPr>
        <w:spacing w:before="120" w:after="120"/>
      </w:pPr>
      <w:r>
        <w:rPr>
          <w:sz w:val="18"/>
        </w:rPr>
        <w:t>——————————————————————————————————————————————————————————————————————</w:t>
      </w:r>
    </w:p>
    <w:p>
      <w:pPr>
        <w:spacing w:before="160" w:after="40" w:line="240" w:lineRule="auto"/>
      </w:pPr>
      <w:r>
        <w:rPr>
          <w:b/>
        </w:rPr>
        <w:t xml:space="preserve">[511] </w:t>
      </w:r>
      <w:hyperlink r:id="rId1193">
        <w:r>
          <w:rPr>
            <w:color w:val="1155CC"/>
            <w:u w:val="single"/>
          </w:rPr>
          <w:t>选择性自噬微调植物免疫力以促进病毒感染期间细胞的存活</w:t>
        </w:r>
      </w:hyperlink>
    </w:p>
    <w:p>
      <w:pPr>
        <w:spacing w:before="0" w:after="80"/>
      </w:pPr>
      <w:r>
        <w:rPr>
          <w:i/>
          <w:sz w:val="20"/>
        </w:rPr>
        <w:t>EN: Selective autophagy fine-tunes plant immunity to promote cell survival during viral infection</w:t>
      </w:r>
    </w:p>
    <w:p>
      <w:pPr>
        <w:spacing w:before="0" w:after="120"/>
      </w:pPr>
      <w:r>
        <w:rPr>
          <w:b/>
        </w:rPr>
        <w:t xml:space="preserve">Source: </w:t>
      </w:r>
      <w:r>
        <w:t>AAAS: Science: Table of Contents</w:t>
      </w:r>
      <w:r>
        <w:t xml:space="preserve">    </w:t>
      </w:r>
      <w:r>
        <w:rPr>
          <w:b/>
        </w:rPr>
        <w:t xml:space="preserve">Pub date: </w:t>
      </w:r>
      <w:r>
        <w:t>2026-05-28 07:00:00+00:00</w:t>
      </w:r>
      <w:r>
        <w:t xml:space="preserve">    </w:t>
      </w:r>
      <w:r>
        <w:rPr>
          <w:b/>
        </w:rPr>
        <w:t xml:space="preserve">DOI: </w:t>
      </w:r>
      <w:hyperlink r:id="rId1194">
        <w:r>
          <w:rPr>
            <w:color w:val="1155CC"/>
            <w:u w:val="single"/>
          </w:rPr>
          <w:t>10.1126/science.adu9554</w:t>
        </w:r>
      </w:hyperlink>
    </w:p>
    <w:p>
      <w:pPr>
        <w:spacing w:before="0" w:after="120"/>
      </w:pPr>
      <w:r>
        <w:rPr>
          <w:b/>
        </w:rPr>
        <w:t xml:space="preserve">Notes: </w:t>
      </w:r>
      <w:r>
        <w:t>abstract_source=crossref</w:t>
      </w:r>
    </w:p>
    <w:p>
      <w:pPr>
        <w:spacing w:before="0" w:after="80" w:lineRule="auto" w:line="276"/>
      </w:pPr>
      <w:r>
        <w:rPr>
          <w:b/>
        </w:rPr>
        <w:t xml:space="preserve">摘要（ZH）: </w:t>
      </w:r>
      <w:r>
        <w:t>RNA病毒利用宿主内膜形成复制复合物，通常会引发细胞应激和免疫反应。在这里，我们表明</w:t>
      </w:r>
      <w:r>
        <w:t xml:space="preserve"> </w:t>
      </w:r>
      <w:r>
        <w:t>拟南芥</w:t>
      </w:r>
      <w:r>
        <w:t xml:space="preserve"> </w:t>
      </w:r>
      <w:r>
        <w:t>激活选择性自噬以响应针对线粒体、叶绿体和内质网的病毒。自噬不是降解病毒成分，而是选择性地去除免疫调节剂增强疾病易感性 1 (EDS1) 以防止细胞死亡。这种靶向机制是由寡聚代谢酶介导的，这些酶充当选择性自噬受体，将细胞器应激与免疫稳态联系起来。我们的研究结果表明，选择性自噬是一种重要的免疫变阻器，可以微调防御反应并保护细胞完整性，以促进病毒感染期间宿主的生存。</w:t>
      </w:r>
    </w:p>
    <w:p>
      <w:pPr>
        <w:spacing w:before="0" w:after="200" w:lineRule="auto" w:line="276"/>
      </w:pPr>
      <w:r>
        <w:rPr>
          <w:b/>
        </w:rPr>
        <w:t xml:space="preserve">Abstract (EN): </w:t>
      </w:r>
      <w:r>
        <w:t>RNA viruses co-opt host endomembranes to form replication complexes, often triggering cellular stress and immune responses. Here, we show that</w:t>
      </w:r>
      <w:r>
        <w:t xml:space="preserve"> </w:t>
      </w:r>
      <w:r>
        <w:t>Arabidopsis thaliana</w:t>
      </w:r>
      <w:r>
        <w:t xml:space="preserve"> </w:t>
      </w:r>
      <w:r>
        <w:t>activates selective autophagy to respond to viruses targeting mitochondria, chloroplasts, and the endoplasmic reticulum. Rather than degrading viral components, autophagy selectively removes the immune regulator Enhanced Disease Susceptibility 1 (EDS1) to prevent cell death. This targeted mechanism is mediated by oligomeric metabolic enzymes that moonlight as selective autophagy receptors, linking organelle stress to immune homeostasis. Our findings establish selective autophagy as an essential immune rheostat that fine-tunes defense responses and safeguards cellular integrity to promote host survival during viral infections.</w:t>
      </w:r>
    </w:p>
    <w:p>
      <w:pPr>
        <w:spacing w:before="120" w:after="120"/>
      </w:pPr>
      <w:r>
        <w:rPr>
          <w:sz w:val="18"/>
        </w:rPr>
        <w:t>——————————————————————————————————————————————————————————————————————</w:t>
      </w:r>
    </w:p>
    <w:p>
      <w:pPr>
        <w:spacing w:before="160" w:after="40" w:line="240" w:lineRule="auto"/>
      </w:pPr>
      <w:r>
        <w:rPr>
          <w:b/>
        </w:rPr>
        <w:t xml:space="preserve">[512] </w:t>
      </w:r>
      <w:hyperlink r:id="rId1195">
        <w:r>
          <w:rPr>
            <w:color w:val="1155CC"/>
            <w:u w:val="single"/>
          </w:rPr>
          <w:t>3-脱氧-3-氟甘露糖醛酸海藻酸盐：立体选择性自动合成和构象行为</w:t>
        </w:r>
      </w:hyperlink>
    </w:p>
    <w:p>
      <w:pPr>
        <w:spacing w:before="0" w:after="80"/>
      </w:pPr>
      <w:r>
        <w:rPr>
          <w:i/>
          <w:sz w:val="20"/>
        </w:rPr>
        <w:t>EN: 3‐Deoxy‐3‐Fluoro Mannuronic Acid Alginates: Stereoselective Automated Synthesis and Conformational Behaviour</w:t>
      </w:r>
    </w:p>
    <w:p>
      <w:pPr>
        <w:spacing w:before="0" w:after="120"/>
      </w:pPr>
      <w:r>
        <w:rPr>
          <w:b/>
        </w:rPr>
        <w:t xml:space="preserve">Source: </w:t>
      </w:r>
      <w:r>
        <w:t>Wiley: Angewandte Chemie International Edition: Table of Contents</w:t>
      </w:r>
      <w:r>
        <w:t xml:space="preserve">    </w:t>
      </w:r>
      <w:r>
        <w:rPr>
          <w:b/>
        </w:rPr>
        <w:t xml:space="preserve">Pub date: </w:t>
      </w:r>
      <w:r>
        <w:t>2026-05-28 07:00:00+00:00</w:t>
      </w:r>
      <w:r>
        <w:t xml:space="preserve">    </w:t>
      </w:r>
      <w:r>
        <w:rPr>
          <w:b/>
        </w:rPr>
        <w:t xml:space="preserve">DOI: </w:t>
      </w:r>
      <w:hyperlink r:id="rId1196">
        <w:r>
          <w:rPr>
            <w:color w:val="1155CC"/>
            <w:u w:val="single"/>
          </w:rPr>
          <w:t>10.1002/anie.5914227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氟化是编辑聚糖的一种强大策略，可创建定制工具来探测碳水化合物蛋白质的识别和加工。无论是检查键合相互作用还是安装良性报告能力，定位聚糖内的氟化位点都至关重要。在此，我们研究了甘露糖醛酸的 C-3 氟化对 β-1,4- 组装的影响</w:t>
      </w:r>
      <w:r>
        <w:t xml:space="preserve"> </w:t>
      </w:r>
      <w:r>
        <w:t>d</w:t>
      </w:r>
      <w:r>
        <w:t xml:space="preserve"> </w:t>
      </w:r>
      <w:r>
        <w:t>‐甘露糖醛酸海藻酸盐片段以及这些点突变对生成的寡糖构象偏好的影响。我们探索了 3-脱氧-3-氟的合成和糖基化特性</w:t>
      </w:r>
      <w:r>
        <w:t xml:space="preserve"> </w:t>
      </w:r>
      <w:r>
        <w:t>d</w:t>
      </w:r>
      <w:r>
        <w:t xml:space="preserve"> </w:t>
      </w:r>
      <w:r>
        <w:t>‐甘露糖醛酸供体，以确定 C-3 氟化物不会阻碍甘露糖醛酸系统的高 β-立体选择性。随后在自动化聚糖组装中部署这些构建模块可以制备小型 β- 文库</w:t>
      </w:r>
      <w:r>
        <w:t xml:space="preserve"> </w:t>
      </w:r>
      <w:r>
        <w:t>d</w:t>
      </w:r>
      <w:r>
        <w:t xml:space="preserve"> </w:t>
      </w:r>
      <w:r>
        <w:t>含有C-3-F修饰的-甘露糖醛酸寡糖。综合NMR分析表明，尽管3-脱氧-3-氟单元破坏了天然残基间C3-OH•••O5氢键，但整体构象仍然与天然β-1,4甘露糖醛酸海藻酸盐一致。这表明这些结构工具对这种修饰的耐受性，并为研究 β-1,4 甘露糖醛酸寡糖的自组装和酶促加工提供了令人兴奋的基础。</w:t>
      </w:r>
    </w:p>
    <w:p>
      <w:pPr>
        <w:spacing w:before="0" w:after="200" w:lineRule="auto" w:line="276"/>
      </w:pPr>
      <w:r>
        <w:rPr>
          <w:b/>
        </w:rPr>
        <w:t xml:space="preserve">Abstract (EN): </w:t>
      </w:r>
      <w:r>
        <w:t>Fluorination is a powerful strategy for the editing of glycans, creating bespoke tools to probe carbohydrate‐protein recognition and processing. Positioning the site for fluorination within a glycan is critical, whether examining bonding interactions or installing benign reporter capability. Herein, we study the effect of C‐3 fluorination of mannuronic acids in the assembly of β‐1,4‐</w:t>
      </w:r>
      <w:r>
        <w:t xml:space="preserve"> </w:t>
      </w:r>
      <w:r>
        <w:t>d</w:t>
      </w:r>
      <w:r>
        <w:t xml:space="preserve"> </w:t>
      </w:r>
      <w:r>
        <w:t>‐mannuronic acid alginate fragments and the effect of these point mutations on the conformational preference of the generated oligosaccharides. We explore the synthesis and glycosylating properties of a 3‐deoxy‐3‐fluoro</w:t>
      </w:r>
      <w:r>
        <w:t xml:space="preserve"> </w:t>
      </w:r>
      <w:r>
        <w:t>d</w:t>
      </w:r>
      <w:r>
        <w:t xml:space="preserve"> </w:t>
      </w:r>
      <w:r>
        <w:t>‐mannuronate donor to establish that the C‐3 fluoride does not thwart the high β‐stereoselectivity of the mannuronate system. Subsequent deployment of these building blocks in automated glycan assembly enables the preparation of a small library of β‐</w:t>
      </w:r>
      <w:r>
        <w:t xml:space="preserve"> </w:t>
      </w:r>
      <w:r>
        <w:t>d</w:t>
      </w:r>
      <w:r>
        <w:t xml:space="preserve"> </w:t>
      </w:r>
      <w:r>
        <w:t>‐mannuronate oligosaccharides containing the C‐3‐F modification. Comprehensive NMR analysis shows that even though the 3‐deoxy‐3‐fluoro units disrupt the native inter‐residue C3‐OH•••O5 hydrogen bonds, the overall conformation remains in line with that of the native β‐1,4 mannuronic acid alginate. This indicates tolerance for this modification in these structural tools and provides an exciting foundation to study self‐assembly and enzymatic processing of β‐1,4 mannuronic acid oligosaccharides.</w:t>
      </w:r>
    </w:p>
    <w:p>
      <w:pPr>
        <w:spacing w:before="120" w:after="120"/>
      </w:pPr>
      <w:r>
        <w:rPr>
          <w:sz w:val="18"/>
        </w:rPr>
        <w:t>——————————————————————————————————————————————————————————————————————</w:t>
      </w:r>
    </w:p>
    <w:p>
      <w:pPr>
        <w:spacing w:before="160" w:after="40" w:line="240" w:lineRule="auto"/>
      </w:pPr>
      <w:r>
        <w:rPr>
          <w:b/>
        </w:rPr>
        <w:t xml:space="preserve">[513] </w:t>
      </w:r>
      <w:hyperlink r:id="rId1197">
        <w:r>
          <w:rPr>
            <w:color w:val="1155CC"/>
            <w:u w:val="single"/>
          </w:rPr>
          <w:t>应变弹性本质可拉伸电化学生物界面</w:t>
        </w:r>
      </w:hyperlink>
    </w:p>
    <w:p>
      <w:pPr>
        <w:spacing w:before="0" w:after="80"/>
      </w:pPr>
      <w:r>
        <w:rPr>
          <w:i/>
          <w:sz w:val="20"/>
        </w:rPr>
        <w:t>EN: Strain-resilient intrinsically stretchable electrochemical biointerfaces</w:t>
      </w:r>
    </w:p>
    <w:p>
      <w:pPr>
        <w:spacing w:before="0" w:after="120"/>
      </w:pPr>
      <w:r>
        <w:rPr>
          <w:b/>
        </w:rPr>
        <w:t xml:space="preserve">Source: </w:t>
      </w:r>
      <w:r>
        <w:t>AAAS: Science: Table of Contents</w:t>
      </w:r>
      <w:r>
        <w:t xml:space="preserve">    </w:t>
      </w:r>
      <w:r>
        <w:rPr>
          <w:b/>
        </w:rPr>
        <w:t xml:space="preserve">Pub date: </w:t>
      </w:r>
      <w:r>
        <w:t>2026-05-28 07:00:00+00:00</w:t>
      </w:r>
      <w:r>
        <w:t xml:space="preserve">    </w:t>
      </w:r>
      <w:r>
        <w:rPr>
          <w:b/>
        </w:rPr>
        <w:t xml:space="preserve">DOI: </w:t>
      </w:r>
      <w:hyperlink r:id="rId1198">
        <w:r>
          <w:rPr>
            <w:color w:val="1155CC"/>
            <w:u w:val="single"/>
          </w:rPr>
          <w:t>10.1126/science.aed1630</w:t>
        </w:r>
      </w:hyperlink>
    </w:p>
    <w:p>
      <w:pPr>
        <w:spacing w:before="0" w:after="120"/>
      </w:pPr>
      <w:r>
        <w:rPr>
          <w:b/>
        </w:rPr>
        <w:t xml:space="preserve">Notes: </w:t>
      </w:r>
      <w:r>
        <w:t>abstract_source=crossref</w:t>
      </w:r>
    </w:p>
    <w:p>
      <w:pPr>
        <w:spacing w:before="0" w:after="80" w:lineRule="auto" w:line="276"/>
      </w:pPr>
      <w:r>
        <w:rPr>
          <w:b/>
        </w:rPr>
        <w:t xml:space="preserve">摘要（ZH）: </w:t>
      </w:r>
      <w:r>
        <w:t>可拉伸生物电子学有望与动态组织无缝集成，但其电化学性能通常会因破裂、层间分层和信号失真而在应变下崩溃。我们引入了一种用于弹性电化学传感（SIRES）的本质可拉伸接口，该接口由应变弹性导体、电可调夹层和可拉伸功能涂层构建而成。通过抵消应变引起的电阻随着活性表面积的增加而增加，SIRES 在高达 300% 的应变下保持接近恒定的电阻和高保真电化学读数。该平台支持伏安法、电位法和电流法模式，并能够以可穿戴和可植入的形式对动态变形组织进行多重分子监测。其统一的架构提供了适合长期使用的抗分层接口，并且设计规则推广到基于亲和力的转导，为精确诊断和治疗建立了一条通向应变弹性分子传感的途径。</w:t>
      </w:r>
    </w:p>
    <w:p>
      <w:pPr>
        <w:spacing w:before="0" w:after="200" w:lineRule="auto" w:line="276"/>
      </w:pPr>
      <w:r>
        <w:rPr>
          <w:b/>
        </w:rPr>
        <w:t xml:space="preserve">Abstract (EN): </w:t>
      </w:r>
      <w:r>
        <w:t>Stretchable bioelectronics promise seamless integration with dynamic tissues, yet their electrochemical performance often collapses under strain owing to cracking, interlayer delamination, and signal distortion. We introduce an intrinsically stretchable interface for resilient electrochemical sensing (SIRES) built from a strain-resilient conductor, an electrically tunable interlayer, and a stretchable functional coating. By offsetting strain-induced resistance increases with gains in active surface area, SIRES maintains near-constant resistance and high-fidelity electrochemical readouts under strains up to 300%. The platform supports voltammetric, potentiometric, and amperometric modalities and enables multiplexed molecular monitoring across dynamically deforming tissues in wearable and implantable formats. Its unified architecture provides delamination-resistant interfaces suitable for long-term use, and the design rules generalize to affinity-based transduction, establishing a pathway toward strain-resilient molecular sensing for precision diagnostics and therapy.</w:t>
      </w:r>
    </w:p>
    <w:p>
      <w:pPr>
        <w:spacing w:before="120" w:after="120"/>
      </w:pPr>
      <w:r>
        <w:rPr>
          <w:sz w:val="18"/>
        </w:rPr>
        <w:t>——————————————————————————————————————————————————————————————————————</w:t>
      </w:r>
    </w:p>
    <w:p>
      <w:pPr>
        <w:spacing w:before="160" w:after="40" w:line="240" w:lineRule="auto"/>
      </w:pPr>
      <w:r>
        <w:rPr>
          <w:b/>
        </w:rPr>
        <w:t xml:space="preserve">[514] </w:t>
      </w:r>
      <w:hyperlink r:id="rId1199">
        <w:r>
          <w:rPr>
            <w:color w:val="1155CC"/>
            <w:u w:val="single"/>
          </w:rPr>
          <w:t>通过 1,5-HAT 氧化 PCET 触发的苄基 C─H 亚氨基内酯化/笼内光催化环化</w:t>
        </w:r>
      </w:hyperlink>
    </w:p>
    <w:p>
      <w:pPr>
        <w:spacing w:before="0" w:after="80"/>
      </w:pPr>
      <w:r>
        <w:rPr>
          <w:i/>
          <w:sz w:val="20"/>
        </w:rPr>
        <w:t>EN: Oxidative PCET‐Triggered Benzylic C─H Iminolactonization via 1,5‐HAT/Cyclization Enabled by Cage‐Confined Photocatalysis</w:t>
      </w:r>
    </w:p>
    <w:p>
      <w:pPr>
        <w:spacing w:before="0" w:after="120"/>
      </w:pPr>
      <w:r>
        <w:rPr>
          <w:b/>
        </w:rPr>
        <w:t xml:space="preserve">Source: </w:t>
      </w:r>
      <w:r>
        <w:t>Wiley: Angewandte Chemie International Edition: Table of Contents</w:t>
      </w:r>
      <w:r>
        <w:t xml:space="preserve">    </w:t>
      </w:r>
      <w:r>
        <w:rPr>
          <w:b/>
        </w:rPr>
        <w:t xml:space="preserve">Pub date: </w:t>
      </w:r>
      <w:r>
        <w:t>2026-05-28 09:16:40+00:00</w:t>
      </w:r>
      <w:r>
        <w:t xml:space="preserve">    </w:t>
      </w:r>
      <w:r>
        <w:rPr>
          <w:b/>
        </w:rPr>
        <w:t xml:space="preserve">DOI: </w:t>
      </w:r>
      <w:hyperlink r:id="rId1200">
        <w:r>
          <w:rPr>
            <w:color w:val="1155CC"/>
            <w:u w:val="single"/>
          </w:rPr>
          <w:t>10.1002/anie.1454473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我们提出了一种基于光敏金属有机笼（PMOC）的可见光驱动光催化平台，该平台能够选择性识别和激活酰胺基 N─H 键，同时抑制竞争性自偶联途径。该系统使用市售的 BPO 作为氧化剂和原位生成的苯甲酸阴离子作为碱，通过氧化质子耦合电子转移 (PCET) 过程促进受控的分子内 1,5-HAT/环化级联。机理研究表明，笼结构具有双重作用——促进 PCET 氧化并通过空间限制增强产物选择性——引导反应通过单分子途径，有效抑制本体相系统中典型的 N─N 同二聚化。这项工作将笼型光催化确立为一种强有力的策略，用于引导氮中心自由基（NCR）反应性合成增值杂环化合物。</w:t>
      </w:r>
    </w:p>
    <w:p>
      <w:pPr>
        <w:spacing w:before="0" w:after="200" w:lineRule="auto" w:line="276"/>
      </w:pPr>
      <w:r>
        <w:rPr>
          <w:b/>
        </w:rPr>
        <w:t xml:space="preserve">Abstract (EN): </w:t>
      </w:r>
      <w:r>
        <w:t>We present a visible‐light‐driven photocatalytic platform based on a photosensitive metal–organic cage (PMOC), which enables selective recognition and activation of amidyl N─H bonds while suppressing competing homocoupling pathways. This system promotes a controlled intramolecular 1,5‐HAT/cyclization cascade via an oxidative proton‐coupled electron transfer (PCET) process, using commercially available BPO as oxidant and the in situ generated benzoate anion as the base. Mechanistic studies reveal that the cage architecture serves a dual role—facilitating oxidative PCET and enforcing product selectivity through spatial confinement—which steers the reaction through a unimolecular pathway, effectively inhibiting N─N homodimerization typical of bulk‐phase systems. This work establishes cage‐confined photocatalysis as a powerful strategy for directing nitrogen‐centered radical (NCR) reactivity toward the synthesis of value‐added heterocyclic compounds.</w:t>
      </w:r>
    </w:p>
    <w:p>
      <w:pPr>
        <w:spacing w:before="120" w:after="120"/>
      </w:pPr>
      <w:r>
        <w:rPr>
          <w:sz w:val="18"/>
        </w:rPr>
        <w:t>——————————————————————————————————————————————————————————————————————</w:t>
      </w:r>
    </w:p>
    <w:p>
      <w:pPr>
        <w:spacing w:before="160" w:after="40" w:line="240" w:lineRule="auto"/>
      </w:pPr>
      <w:r>
        <w:rPr>
          <w:b/>
        </w:rPr>
        <w:t xml:space="preserve">[515] </w:t>
      </w:r>
      <w:hyperlink r:id="rId1201">
        <w:r>
          <w:rPr>
            <w:color w:val="1155CC"/>
            <w:u w:val="single"/>
          </w:rPr>
          <w:t>线粒体靶向铱 (III) 复合物诱导全凋亡和铁死亡，以增强针对免疫沙漠结直肠癌的化学免疫疗法</w:t>
        </w:r>
      </w:hyperlink>
    </w:p>
    <w:p>
      <w:pPr>
        <w:spacing w:before="0" w:after="80"/>
      </w:pPr>
      <w:r>
        <w:rPr>
          <w:i/>
          <w:sz w:val="20"/>
        </w:rPr>
        <w:t>EN: Mitochondria‐Targeting Iridium(III) Complexes Induce PANoptosis and Ferroptosis for Boosting Chemoimmunotherapy Against Immune‐Desert Colorectal Cancer</w:t>
      </w:r>
    </w:p>
    <w:p>
      <w:pPr>
        <w:spacing w:before="0" w:after="120"/>
      </w:pPr>
      <w:r>
        <w:rPr>
          <w:b/>
        </w:rPr>
        <w:t xml:space="preserve">Source: </w:t>
      </w:r>
      <w:r>
        <w:t>Wiley: Angewandte Chemie International Edition: Table of Contents</w:t>
      </w:r>
      <w:r>
        <w:t xml:space="preserve">    </w:t>
      </w:r>
      <w:r>
        <w:rPr>
          <w:b/>
        </w:rPr>
        <w:t xml:space="preserve">Pub date: </w:t>
      </w:r>
      <w:r>
        <w:t>2026-05-28 09:20:46+00:00</w:t>
      </w:r>
      <w:r>
        <w:t xml:space="preserve">    </w:t>
      </w:r>
      <w:r>
        <w:rPr>
          <w:b/>
        </w:rPr>
        <w:t xml:space="preserve">DOI: </w:t>
      </w:r>
      <w:hyperlink r:id="rId1202">
        <w:r>
          <w:rPr>
            <w:color w:val="1155CC"/>
            <w:u w:val="single"/>
          </w:rPr>
          <w:t>10.1002/anie.3918717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超过 80% 的结直肠癌 (CRC) 病例被归类为微卫星稳定型 (MSS)，这是一种以免疫抑制肿瘤微环境为特征的亚型，对化疗提出了重大挑战。新的证据表明，炎症性程序性细胞死亡途径可以有效激活各种癌症类型的抗癌免疫。然而，探索这些死亡途径在逆转免疫荒漠化中的作用以及为 MSS-CRC 提供独特治疗优势的研究仍然很少。在此，我们提出了一种使用基于铱（III）的诱导剂同时触发免疫原性全凋亡和铁死亡的策略，旨在逆转 MSS-CRC 的“免疫沙漠”表型并将化疗与免疫治疗相结合。在线粒体积累时，这些铱(III)化合物抑制电子传递链的复合体I，导致电子泄漏和过量活性氧的产生，共同启动MSS-CRC中的PANoptotic和ferroptotic信号通路。蛋白质组分析和体内实验进一步证明</w:t>
      </w:r>
      <w:r>
        <w:t xml:space="preserve"> </w:t>
      </w:r>
      <w:r>
        <w:t>红外线</w:t>
      </w:r>
      <w:r>
        <w:t xml:space="preserve"> </w:t>
      </w:r>
      <w:r>
        <w:t>可以激活 PANoptotic 和 ferroptotic 途径来对抗 MSS-CRC 中的免疫荒漠化。重要的是，这项研究建立了一种机制引导的化学设计策略，通过环金属化 Ir(III) 平台内的微妙配体工程控制线粒体积累、氧化还原破坏以及随后诱导免疫原性细胞死亡。</w:t>
      </w:r>
    </w:p>
    <w:p>
      <w:pPr>
        <w:spacing w:before="0" w:after="200" w:lineRule="auto" w:line="276"/>
      </w:pPr>
      <w:r>
        <w:rPr>
          <w:b/>
        </w:rPr>
        <w:t xml:space="preserve">Abstract (EN): </w:t>
      </w:r>
      <w:r>
        <w:t>Over 80% of colorectal cancer (CRC) cases are classified as microsatellite stable (MSS), a subtype characterized by an immunosuppressive tumor microenvironment that poses a significant challenge for chemotherapy. Emerging evidence suggests that inflammatory programmed cell death pathways can effectively activate anti‐cancer immunity across various cancer types. However, studies exploring the role of these death pathways in reversing the immune desertification and providing unique therapeutic advantages in MSS‐CRC remain scarce. Herein, we present a strategy using iridium(III)‐based inducers to concurrently trigger immunogenic PANoptosis and ferroptosis, aiming to reverse the “immune desert” phenotype of MSS‐CRC and integrate chemotherapy with immunotherapy. Upon mitochondrial accumulation, these iridium(III) compounds inhibit complex I of the electron transport chain, leading to electron leakage and excessive reactive oxygen species generation, which collectively initiate the PANoptotic and ferroptotic signaling pathways in MSS‐CRC. Proteomic analysis and in vivo experiments further demonstrated that</w:t>
      </w:r>
      <w:r>
        <w:t xml:space="preserve"> </w:t>
      </w:r>
      <w:r>
        <w:t>Ir2</w:t>
      </w:r>
      <w:r>
        <w:t xml:space="preserve"> </w:t>
      </w:r>
      <w:r>
        <w:t>can activate PANoptotic and ferroptotic pathways to counteract immune desertification in MSS‐CRC. Importantly, this study establishes a mechanism‐guided chemical design strategy whereby subtle ligand engineering within a cyclometalated Ir(III) platform governs mitochondrial accumulation, redox disruption, and subsequent induction of immunogenic cell death.</w:t>
      </w:r>
    </w:p>
    <w:p>
      <w:pPr>
        <w:spacing w:before="120" w:after="120"/>
      </w:pPr>
      <w:r>
        <w:rPr>
          <w:sz w:val="18"/>
        </w:rPr>
        <w:t>——————————————————————————————————————————————————————————————————————</w:t>
      </w:r>
    </w:p>
    <w:p>
      <w:pPr>
        <w:spacing w:before="160" w:after="40" w:line="240" w:lineRule="auto"/>
      </w:pPr>
      <w:r>
        <w:rPr>
          <w:b/>
        </w:rPr>
        <w:t xml:space="preserve">[516] </w:t>
      </w:r>
      <w:hyperlink r:id="rId1203">
        <w:r>
          <w:rPr>
            <w:color w:val="1155CC"/>
            <w:u w:val="single"/>
          </w:rPr>
          <w:t>环丙烯修饰脂肪酸的合成允许免疫细胞摄取的单细胞定量</w:t>
        </w:r>
      </w:hyperlink>
    </w:p>
    <w:p>
      <w:pPr>
        <w:spacing w:before="0" w:after="80"/>
      </w:pPr>
      <w:r>
        <w:rPr>
          <w:i/>
          <w:sz w:val="20"/>
        </w:rPr>
        <w:t>EN: Synthesis of Cyclopropene‐Modified Fatty Acids Allows Single‐Cell Quantification of Uptake by Immune Cells</w:t>
      </w:r>
    </w:p>
    <w:p>
      <w:pPr>
        <w:spacing w:before="0" w:after="120"/>
      </w:pPr>
      <w:r>
        <w:rPr>
          <w:b/>
        </w:rPr>
        <w:t xml:space="preserve">Source: </w:t>
      </w:r>
      <w:r>
        <w:t>Wiley: Angewandte Chemie International Edition: Table of Contents</w:t>
      </w:r>
      <w:r>
        <w:t xml:space="preserve">    </w:t>
      </w:r>
      <w:r>
        <w:rPr>
          <w:b/>
        </w:rPr>
        <w:t xml:space="preserve">Pub date: </w:t>
      </w:r>
      <w:r>
        <w:t>2026-05-28 09:22:56+00:00</w:t>
      </w:r>
      <w:r>
        <w:t xml:space="preserve">    </w:t>
      </w:r>
      <w:r>
        <w:rPr>
          <w:b/>
        </w:rPr>
        <w:t xml:space="preserve">DOI: </w:t>
      </w:r>
      <w:hyperlink r:id="rId1204">
        <w:r>
          <w:rPr>
            <w:color w:val="1155CC"/>
            <w:u w:val="single"/>
          </w:rPr>
          <w:t>10.1002/anie.202525040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免疫细胞活性受到激活过程中存在的营养物质的强烈影响。特定脂肪酸 (FA) 的作用可能特别复杂，它们对免疫细胞产生多种甚至有时相反的作用。这些功能差异被认为源于 FA 之间的结构差异，从而导致细胞处理方式的改变。然而，直接探测这些方面的化学工具仍然有限。在这里，我们报告了饱和、不饱和和多不饱和环丙烯基脂肪酸的设计和合成，每种脂肪酸都包含最小的单碳环丙烯部分作为生物正交点击手柄。该基序通过逆电子需求 Diels-Alder 反应实现快速且活细胞兼容的标记，为追踪生物系统中的 FA 行为提供了一个多功能平台。这些合成环丙烯基 FA 在原代免疫细胞混合物中的应用揭示了不同细胞类型之间不同的摄取模式，多不饱和类似物在所有免疫细胞类型中均显示出强烈的摄取。补充代谢和蛋白质组学分析表明，这种摄取导致高/低摄取免疫群体之间的生物学差异，突出了环丙烯基 FA 探针在免疫细胞生物学背景下剖析脂质摄取的效用。</w:t>
      </w:r>
    </w:p>
    <w:p>
      <w:pPr>
        <w:spacing w:before="0" w:after="200" w:lineRule="auto" w:line="276"/>
      </w:pPr>
      <w:r>
        <w:rPr>
          <w:b/>
        </w:rPr>
        <w:t xml:space="preserve">Abstract (EN): </w:t>
      </w:r>
      <w:r>
        <w:t>Immune cell activity is strongly influenced by the nutrients present during activation. The effects of specific fatty acids (FAs) can be particularly complex, with them exerting diverse and sometimes opposing effects on immune cells. These functional differences are thought to stem from structural differences between the FAs, leading to altered cellular handling. However, chemical tools to directly probe these aspects remain limited. Here, we report the design and synthesis of saturated, unsaturated, and polyunsaturated cyclopropenyl fatty acids, each incorporating a minimal one‐carbon cyclopropene moiety as a bioorthogonal click handle. This motif enables rapid and live‐cell‐compatible labeling via the inverse electron‐demand Diels–Alder reaction, providing a versatile platform to trace FA behavior in biological systems. Application of these synthetic cyclopropenyl FAs in primary immune cell mixtures reveals distinct uptake patterns between different cell types, with polyunsaturated analogues showing strong uptake across all immune cell types. Complementary metabolic and proteomic analyses suggest that this uptake results in biological differences between high/low uptake immune populations, highlighting the utility of cyclopropenyl FA probes for dissecting lipid uptake in the context of immune cell biology.</w:t>
      </w:r>
    </w:p>
    <w:p>
      <w:pPr>
        <w:spacing w:before="120" w:after="120"/>
      </w:pPr>
      <w:r>
        <w:rPr>
          <w:sz w:val="18"/>
        </w:rPr>
        <w:t>——————————————————————————————————————————————————————————————————————</w:t>
      </w:r>
    </w:p>
    <w:p>
      <w:pPr>
        <w:spacing w:before="160" w:after="40" w:line="240" w:lineRule="auto"/>
      </w:pPr>
      <w:r>
        <w:rPr>
          <w:b/>
        </w:rPr>
        <w:t xml:space="preserve">[517] </w:t>
      </w:r>
      <w:hyperlink r:id="rId1205">
        <w:r>
          <w:rPr>
            <w:color w:val="1155CC"/>
            <w:u w:val="single"/>
          </w:rPr>
          <w:t>用于治疗性移植的高质量线粒体的光激活分离</w:t>
        </w:r>
      </w:hyperlink>
    </w:p>
    <w:p>
      <w:pPr>
        <w:spacing w:before="0" w:after="80"/>
      </w:pPr>
      <w:r>
        <w:rPr>
          <w:i/>
          <w:sz w:val="20"/>
        </w:rPr>
        <w:t>EN: Light‐Activated Isolation of High‐Quality Mitochondria for Therapeutic Transplantation</w:t>
      </w:r>
    </w:p>
    <w:p>
      <w:pPr>
        <w:spacing w:before="0" w:after="120"/>
      </w:pPr>
      <w:r>
        <w:rPr>
          <w:b/>
        </w:rPr>
        <w:t xml:space="preserve">Source: </w:t>
      </w:r>
      <w:r>
        <w:t>Wiley: Angewandte Chemie International Edition: Table of Contents</w:t>
      </w:r>
      <w:r>
        <w:t xml:space="preserve">    </w:t>
      </w:r>
      <w:r>
        <w:rPr>
          <w:b/>
        </w:rPr>
        <w:t xml:space="preserve">Pub date: </w:t>
      </w:r>
      <w:r>
        <w:t>2026-05-28 09:28:07+00:00</w:t>
      </w:r>
      <w:r>
        <w:t xml:space="preserve">    </w:t>
      </w:r>
      <w:r>
        <w:rPr>
          <w:b/>
        </w:rPr>
        <w:t xml:space="preserve">DOI: </w:t>
      </w:r>
      <w:hyperlink r:id="rId1206">
        <w:r>
          <w:rPr>
            <w:color w:val="1155CC"/>
            <w:u w:val="single"/>
          </w:rPr>
          <w:t>10.1002/anie.7935890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人工线粒体移植（AMT）对于重新编程细胞代谢和恢复细胞功能具有广阔的前景。然而，其临床转化依赖于获得高纯度和代谢活性的线粒体，这是当前分离技术难以满足的要求。传统的差速离心 (DC) 方法会产生异质且低活性的线粒体，而基于磁珠 (MB) 的免疫分离会使不可生物降解的珠子永久附着。在此，我们提出了光激活线粒体分离（</w:t>
      </w:r>
      <w:r>
        <w:t xml:space="preserve"> </w:t>
      </w:r>
      <w:r>
        <w:t>左心肌梗死</w:t>
      </w:r>
      <w:r>
        <w:t xml:space="preserve"> </w:t>
      </w:r>
      <w:r>
        <w:t>）平台包含可编程线粒体靶向 MB 和光响应释放机制，用于选择性、高效和非破坏性提取高质量线粒体。</w:t>
      </w:r>
      <w:r>
        <w:t xml:space="preserve"> </w:t>
      </w:r>
      <w:r>
        <w:t>左心肌梗死</w:t>
      </w:r>
      <w:r>
        <w:t xml:space="preserve"> </w:t>
      </w:r>
      <w:r>
        <w:t>采用磁性纳米颗粒，装饰有分支、模块化探针结构，支持线粒体靶向配体类型、配体密度和光学跟踪元件的系统变化。光可裂解连接体的掺入允许按需、温和且无试剂地释放捕获的线粒体。与DC法相比，</w:t>
      </w:r>
      <w:r>
        <w:t xml:space="preserve"> </w:t>
      </w:r>
      <w:r>
        <w:t>左心肌梗死</w:t>
      </w:r>
      <w:r>
        <w:t xml:space="preserve"> </w:t>
      </w:r>
      <w:r>
        <w:t>产生纯度、结构完整性和功能显着提高的线粒体。在缺血再灌注损伤（IRI）模型中，</w:t>
      </w:r>
      <w:r>
        <w:t xml:space="preserve"> </w:t>
      </w:r>
      <w:r>
        <w:t>左心肌梗死</w:t>
      </w:r>
      <w:r>
        <w:t xml:space="preserve"> </w:t>
      </w:r>
      <w:r>
        <w:t>‐基于分离线粒体的 AMT 表现出卓越的治疗性能。一起，</w:t>
      </w:r>
    </w:p>
    <w:p>
      <w:pPr>
        <w:spacing w:before="0" w:after="200" w:lineRule="auto" w:line="276"/>
      </w:pPr>
      <w:r>
        <w:rPr>
          <w:b/>
        </w:rPr>
        <w:t xml:space="preserve">Abstract (EN): </w:t>
      </w:r>
      <w:r>
        <w:t>Artificial mitochondrial transplantation (AMT) holds great promise for reprogramming cellular metabolism and restoring cell function. Its clinical translation, however, relies on access to mitochondria that are both of high purity and metabolically active, requirements that current isolation techniques struggle to meet. Conventional differential centrifugation (DC) method yields heterogeneous and low‐activity mitochondria, whereas magnetic bead (MB)‐based immuno‐isolation leaves non‐biodegradable beads permanently attached. Herein, we present a Light‐Activated Mitochondrial Isolation (</w:t>
      </w:r>
      <w:r>
        <w:t xml:space="preserve"> </w:t>
      </w:r>
      <w:r>
        <w:t>LAMI</w:t>
      </w:r>
      <w:r>
        <w:t xml:space="preserve"> </w:t>
      </w:r>
      <w:r>
        <w:t>) platform comprising programmable mitochondria‐targeting MBs and a photo‐responsive release mechanism for the selective, efficient, and non‐destructive extraction of high‐quality mitochondria.</w:t>
      </w:r>
      <w:r>
        <w:t xml:space="preserve"> </w:t>
      </w:r>
      <w:r>
        <w:t>LAMI</w:t>
      </w:r>
      <w:r>
        <w:t xml:space="preserve"> </w:t>
      </w:r>
      <w:r>
        <w:t>employs magnetic nanoparticles decorated with a branched, modular probe architecture that supports systematic variation in mitochondria‐targeting ligand type, ligand density, and optical tracking elements. Incorporation of a photo‐cleavable linker allows on‐demand, mild, and reagent‐free release of captured mitochondria. Compared with DC method,</w:t>
      </w:r>
      <w:r>
        <w:t xml:space="preserve"> </w:t>
      </w:r>
      <w:r>
        <w:t>LAMI</w:t>
      </w:r>
      <w:r>
        <w:t xml:space="preserve"> </w:t>
      </w:r>
      <w:r>
        <w:t>produces mitochondria with markedly improved purity, structural integrity, and functionality. In an ischemia‐reperfusion injury (IRI) model,</w:t>
      </w:r>
      <w:r>
        <w:t xml:space="preserve"> </w:t>
      </w:r>
      <w:r>
        <w:t>LAMI</w:t>
      </w:r>
      <w:r>
        <w:t xml:space="preserve"> </w:t>
      </w:r>
      <w:r>
        <w:t>‐isolated mitochondria‐based AMT exhibits superior therapeutic performance. Together,</w:t>
      </w:r>
      <w:r>
        <w:t xml:space="preserve"> </w:t>
      </w:r>
      <w:r>
        <w:t>LAMI</w:t>
      </w:r>
      <w:r>
        <w:t xml:space="preserve"> </w:t>
      </w:r>
      <w:r>
        <w:t>provides a non‐destructive, efficient, and versatile mitochondrial isolation strategy that overcomes long‐standing limitations of current methods, offering a robust platform to advance AMT and its future biomedical applications.</w:t>
      </w:r>
    </w:p>
    <w:p>
      <w:pPr>
        <w:spacing w:before="120" w:after="120"/>
      </w:pPr>
      <w:r>
        <w:rPr>
          <w:sz w:val="18"/>
        </w:rPr>
        <w:t>——————————————————————————————————————————————————————————————————————</w:t>
      </w:r>
    </w:p>
    <w:p>
      <w:pPr>
        <w:spacing w:before="160" w:after="40" w:line="240" w:lineRule="auto"/>
      </w:pPr>
      <w:r>
        <w:rPr>
          <w:b/>
        </w:rPr>
        <w:t xml:space="preserve">[518] </w:t>
      </w:r>
      <w:hyperlink r:id="rId1207">
        <w:r>
          <w:rPr>
            <w:color w:val="1155CC"/>
            <w:u w:val="single"/>
          </w:rPr>
          <w:t>光调节交联动力学引起的蛋白质水凝胶中的多色和衰减光强度响应</w:t>
        </w:r>
      </w:hyperlink>
    </w:p>
    <w:p>
      <w:pPr>
        <w:spacing w:before="0" w:after="80"/>
      </w:pPr>
      <w:r>
        <w:rPr>
          <w:i/>
          <w:sz w:val="20"/>
        </w:rPr>
        <w:t>EN: Multicolor and Attenuated Light Intensity Responses in Protein Hydrogels Arising from Photoregulated Crosslink Dynamics</w:t>
      </w:r>
    </w:p>
    <w:p>
      <w:pPr>
        <w:spacing w:before="0" w:after="120"/>
      </w:pPr>
      <w:r>
        <w:rPr>
          <w:b/>
        </w:rPr>
        <w:t xml:space="preserve">Source: </w:t>
      </w:r>
      <w:r>
        <w:t>Wiley: Angewandte Chemie International Edition: Table of Contents</w:t>
      </w:r>
      <w:r>
        <w:t xml:space="preserve">    </w:t>
      </w:r>
      <w:r>
        <w:rPr>
          <w:b/>
        </w:rPr>
        <w:t xml:space="preserve">Pub date: </w:t>
      </w:r>
      <w:r>
        <w:t>2026-05-28 09:32:26+00:00</w:t>
      </w:r>
      <w:r>
        <w:t xml:space="preserve">    </w:t>
      </w:r>
      <w:r>
        <w:rPr>
          <w:b/>
        </w:rPr>
        <w:t xml:space="preserve">DOI: </w:t>
      </w:r>
      <w:hyperlink r:id="rId1208">
        <w:r>
          <w:rPr>
            <w:color w:val="1155CC"/>
            <w:u w:val="single"/>
          </w:rPr>
          <w:t>10.1002/anie.6692301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响应水凝胶能够以良好的生物相容性对材料特性进行无创、精确、远程控制，但实现多色寻址和机械特性的动态调节仍然具有挑战性。大多数系统依赖于单个光电开关，并主要通过交联密度的变化来调节刚度。在这里，我们提出了一种完全基于蛋白质的水凝胶，它将多色光响应性与交联动力学的光学控制结合起来。该水凝胶包含两种可见光响应感光体：蓝藻光敏色素 Cph1（可实现可逆的红/远红光控制交联）和 CarH（可引入不可逆的绿光诱导的凝胶-溶胶转变）。值得注意的是，基于 Cph1 的水凝胶表现出减弱的红光强度响应，在低强度照明下形成比在高强度光下更僵硬的网络，并且一旦停止红光照明，就会显示出随后的暗适应和硬化。这种违反直觉的行为是由光驱动的双向光异构化引起的，它可以在不改变光稳态组成的情况下调节交联寿命。总之，这些发现确立了正交可逆和不可逆交联以及光调节交联动力学作为多色光响应生物材料的新设计原则。</w:t>
      </w:r>
    </w:p>
    <w:p>
      <w:pPr>
        <w:spacing w:before="0" w:after="200" w:lineRule="auto" w:line="276"/>
      </w:pPr>
      <w:r>
        <w:rPr>
          <w:b/>
        </w:rPr>
        <w:t xml:space="preserve">Abstract (EN): </w:t>
      </w:r>
      <w:r>
        <w:t>Light‐responsive hydrogels enable noninvasive, precise, remote control over material properties with great biocompatibility, yet achieving multicolor addressability and dynamic regulation of mechanical properties remains challenging. Most systems rely on single photoswitches and regulate stiffness primarily through changes in crosslinking density. Here, we present a fully protein‐based hydrogel that combines multicolor light responsiveness with optical control of crosslink dynamics. The hydrogel includes two visible light‐responsive photoceptors: the cyanobacterial phytochrome Cph1, which enables reversible red/far‐red light‐controlled crosslinking, and CarH, which introduces irreversible green light‐induced gel‐sol transitions. Remarkably, Cph1‐based hydrogels exhibited an attenuated red light intensity response, forming stiffer networks under low‐intensity illumination than under high‐intensity light and show a subsequent dark‐adaptation with stiffening once red light illumination is stopped. This counterintuitive behavior arises from light‐driven bidirectional photoisomerization that modulates crosslink lifetimes without altering the photostationary state composition. Together, these findings establish orthogonally addressable reversible and irreversible crosslinks and photoregulated crosslink dynamics as new design principles for multicolor light‐responsive biomaterials.</w:t>
      </w:r>
    </w:p>
    <w:p>
      <w:pPr>
        <w:spacing w:before="120" w:after="120"/>
      </w:pPr>
      <w:r>
        <w:rPr>
          <w:sz w:val="18"/>
        </w:rPr>
        <w:t>——————————————————————————————————————————————————————————————————————</w:t>
      </w:r>
    </w:p>
    <w:p>
      <w:pPr>
        <w:spacing w:before="160" w:after="40" w:line="240" w:lineRule="auto"/>
      </w:pPr>
      <w:r>
        <w:rPr>
          <w:b/>
        </w:rPr>
        <w:t xml:space="preserve">[519] </w:t>
      </w:r>
      <w:hyperlink r:id="rId1209">
        <w:r>
          <w:rPr>
            <w:color w:val="1155CC"/>
            <w:u w:val="single"/>
          </w:rPr>
          <w:t>基于硫族醇银簇的 MOF (SCC-MOF) 中水触发的结构转变实现了视觉可读的痕量水传感</w:t>
        </w:r>
      </w:hyperlink>
    </w:p>
    <w:p>
      <w:pPr>
        <w:spacing w:before="0" w:after="80"/>
      </w:pPr>
      <w:r>
        <w:rPr>
          <w:i/>
          <w:sz w:val="20"/>
        </w:rPr>
        <w:t>EN: Water‐Triggered Structural Transformation in a Silver Chalcogenolate Cluster‐Based MOF (SCC‐MOF) Enables Visually Readable Trace Water Sensing</w:t>
      </w:r>
    </w:p>
    <w:p>
      <w:pPr>
        <w:spacing w:before="0" w:after="120"/>
      </w:pPr>
      <w:r>
        <w:rPr>
          <w:b/>
        </w:rPr>
        <w:t xml:space="preserve">Source: </w:t>
      </w:r>
      <w:r>
        <w:t>Wiley: Advanced Materials: Table of Contents</w:t>
      </w:r>
      <w:r>
        <w:t xml:space="preserve">    </w:t>
      </w:r>
      <w:r>
        <w:rPr>
          <w:b/>
        </w:rPr>
        <w:t xml:space="preserve">Pub date: </w:t>
      </w:r>
      <w:r>
        <w:t>2026-05-28 10:02:21+00:00</w:t>
      </w:r>
      <w:r>
        <w:t xml:space="preserve">    </w:t>
      </w:r>
      <w:r>
        <w:rPr>
          <w:b/>
        </w:rPr>
        <w:t xml:space="preserve">DOI: </w:t>
      </w:r>
      <w:hyperlink r:id="rId1210">
        <w:r>
          <w:rPr>
            <w:color w:val="1155CC"/>
            <w:u w:val="single"/>
          </w:rPr>
          <w:t>10.1002/adma.73504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监测痕量水对于化学过程和湿度敏感材料至关重要，但传统的电气湿度传感器需要复杂的仪器，并且缺乏直观的视觉读数。发光金属有机框架（MOF）提供光学驱动的水传感；然而，大多数现有系统仍然依赖于传统的节点链接器结构，而集群组装框架由于其多站点存在而可能具有潜力，并且在很大程度上仍未被探索。在这里，我们介绍了一种基于硫属醇银簇的框架（SCC-MOF），</w:t>
      </w:r>
      <w:r>
        <w:t xml:space="preserve"> </w:t>
      </w:r>
      <w:r>
        <w:t>银</w:t>
      </w:r>
      <w:r>
        <w:rPr>
          <w:vertAlign w:val="subscript"/>
        </w:rPr>
        <w:t>12</w:t>
      </w:r>
      <w:r>
        <w:t>‐TCNB 3D‐3D（TCNB，1,2,4,5-四氰基苯</w:t>
      </w:r>
      <w:r>
        <w:t xml:space="preserve"> </w:t>
      </w:r>
      <w:r>
        <w:t>）在暴露于水时表现出惊人的橙色到黄色的发光转变，从而能够在相对湿度（RH）&lt;1.26％的情况下快速进行肉眼检测。原子级精确的 Ag</w:t>
      </w:r>
      <w:r>
        <w:rPr>
          <w:vertAlign w:val="subscript"/>
        </w:rPr>
        <w:t>12</w:t>
      </w:r>
      <w:r>
        <w:t>集群节点（</w:t>
      </w:r>
      <w:r>
        <w:t xml:space="preserve"> </w:t>
      </w:r>
      <w:r>
        <w:t>银</w:t>
      </w:r>
      <w:r>
        <w:rPr>
          <w:vertAlign w:val="subscript"/>
        </w:rPr>
        <w:t>12</w:t>
      </w:r>
      <w:r>
        <w:t>‐TCNB 0D</w:t>
      </w:r>
      <w:r>
        <w:t xml:space="preserve"> </w:t>
      </w:r>
      <w:r>
        <w:t>），由缺电子TCNB连接体桥接，形成一个二维网络，实现与水分子的配位（</w:t>
      </w:r>
      <w:r>
        <w:t xml:space="preserve"> </w:t>
      </w:r>
      <w:r>
        <w:t>银</w:t>
      </w:r>
      <w:r>
        <w:rPr>
          <w:vertAlign w:val="subscript"/>
        </w:rPr>
        <w:t>12</w:t>
      </w:r>
      <w:r>
        <w:t>‐TCNB 2D‐H</w:t>
      </w:r>
      <w:r>
        <w:rPr>
          <w:vertAlign w:val="subscript"/>
        </w:rPr>
        <w:t>2</w:t>
      </w:r>
      <w:r>
        <w:t>氧</w:t>
      </w:r>
      <w:r>
        <w:t xml:space="preserve"> </w:t>
      </w:r>
      <w:r>
        <w:t>）。单晶 X 射线衍射 (SCXRD) 和粉末 X 射线衍射 (PXRD) 表明水诱导</w:t>
      </w:r>
    </w:p>
    <w:p>
      <w:pPr>
        <w:spacing w:before="0" w:after="200" w:lineRule="auto" w:line="276"/>
      </w:pPr>
      <w:r>
        <w:rPr>
          <w:b/>
        </w:rPr>
        <w:t xml:space="preserve">Abstract (EN): </w:t>
      </w:r>
      <w:r>
        <w:t>Monitoring trace water is vital for chemical processes and moisture‐sensitive materials, but conventional electrical humidity sensors require complex instrumentation and lack intuitive visual readout. Luminescent metal‐organic frameworks (MOFs) offer optically driven water sensing; however, most existing systems still rely on traditional node‐linker structures, whereas cluster‐assembled frameworks may have potential due to their multisite existence and remain largely unexplored. Here, we introduce a silver chalcogenolate cluster‐based framework (SCC‐MOF),</w:t>
      </w:r>
      <w:r>
        <w:t xml:space="preserve"> </w:t>
      </w:r>
      <w:r>
        <w:t>Ag</w:t>
      </w:r>
      <w:r>
        <w:rPr>
          <w:vertAlign w:val="subscript"/>
        </w:rPr>
        <w:t>12</w:t>
      </w:r>
      <w:r>
        <w:t>‐TCNB 3D‐3D ( TCNB, 1,2,4,5‐tetracyanobenzene</w:t>
      </w:r>
      <w:r>
        <w:t xml:space="preserve"> </w:t>
      </w:r>
      <w:r>
        <w:t>) that exhibits a striking orange‐to‐yellow luminescence transition upon water exposure, enabling rapid, naked‐eye detection within relative humidity (RH) &amp;lt;1.26%. The atomically precise Ag</w:t>
      </w:r>
      <w:r>
        <w:rPr>
          <w:vertAlign w:val="subscript"/>
        </w:rPr>
        <w:t>12</w:t>
      </w:r>
      <w:r>
        <w:t>cluster node (</w:t>
      </w:r>
      <w:r>
        <w:t xml:space="preserve"> </w:t>
      </w:r>
      <w:r>
        <w:t>Ag</w:t>
      </w:r>
      <w:r>
        <w:rPr>
          <w:vertAlign w:val="subscript"/>
        </w:rPr>
        <w:t>12</w:t>
      </w:r>
      <w:r>
        <w:t>‐TCNB 0D</w:t>
      </w:r>
      <w:r>
        <w:t xml:space="preserve"> </w:t>
      </w:r>
      <w:r>
        <w:t>), bridged by the electron‐deficient TCNB linker, forms a 2D network that achieve coordination with water molecules (</w:t>
      </w:r>
      <w:r>
        <w:t xml:space="preserve"> </w:t>
      </w:r>
      <w:r>
        <w:t>Ag</w:t>
      </w:r>
      <w:r>
        <w:rPr>
          <w:vertAlign w:val="subscript"/>
        </w:rPr>
        <w:t>12</w:t>
      </w:r>
      <w:r>
        <w:t>‐TCNB 2D‐H</w:t>
      </w:r>
      <w:r>
        <w:rPr>
          <w:vertAlign w:val="subscript"/>
        </w:rPr>
        <w:t>2</w:t>
      </w:r>
      <w:r>
        <w:t>O</w:t>
      </w:r>
      <w:r>
        <w:t xml:space="preserve"> </w:t>
      </w:r>
      <w:r>
        <w:t>). Single‐crystal X‐ray diffraction (SCXRD) and powder X‐ray diffraction (PXRD) reveal that water induces lattice displacement and perturbs the cluster‐centered excited states, a conclusion further supported by electronic structure calculations. This work establishes cluster‐based MOFs as a promising platform for optically readable water‐vapor sensing.</w:t>
      </w:r>
    </w:p>
    <w:p>
      <w:pPr>
        <w:spacing w:before="120" w:after="120"/>
      </w:pPr>
      <w:r>
        <w:rPr>
          <w:sz w:val="18"/>
        </w:rPr>
        <w:t>——————————————————————————————————————————————————————————————————————</w:t>
      </w:r>
    </w:p>
    <w:p>
      <w:pPr>
        <w:spacing w:before="160" w:after="40" w:line="240" w:lineRule="auto"/>
      </w:pPr>
      <w:r>
        <w:rPr>
          <w:b/>
        </w:rPr>
        <w:t xml:space="preserve">[520] </w:t>
      </w:r>
      <w:hyperlink r:id="rId1211">
        <w:r>
          <w:rPr>
            <w:color w:val="1155CC"/>
            <w:u w:val="single"/>
          </w:rPr>
          <w:t>晶体 Cu2O/Cu 异质结构中的巨轨道 Rashba-Edelstein 效应</w:t>
        </w:r>
      </w:hyperlink>
    </w:p>
    <w:p>
      <w:pPr>
        <w:spacing w:before="0" w:after="80"/>
      </w:pPr>
      <w:r>
        <w:rPr>
          <w:i/>
          <w:sz w:val="20"/>
        </w:rPr>
        <w:t>EN: Giant Orbital Rashba–Edelstein Effect in Crystalline Cu2O/Cu Heterostructures</w:t>
      </w:r>
    </w:p>
    <w:p>
      <w:pPr>
        <w:spacing w:before="0" w:after="120"/>
      </w:pPr>
      <w:r>
        <w:rPr>
          <w:b/>
        </w:rPr>
        <w:t xml:space="preserve">Source: </w:t>
      </w:r>
      <w:r>
        <w:t>Wiley: Advanced Materials: Table of Contents</w:t>
      </w:r>
      <w:r>
        <w:t xml:space="preserve">    </w:t>
      </w:r>
      <w:r>
        <w:rPr>
          <w:b/>
        </w:rPr>
        <w:t xml:space="preserve">Pub date: </w:t>
      </w:r>
      <w:r>
        <w:t>2026-05-28 10:07:52+00:00</w:t>
      </w:r>
      <w:r>
        <w:t xml:space="preserve">    </w:t>
      </w:r>
      <w:r>
        <w:rPr>
          <w:b/>
        </w:rPr>
        <w:t xml:space="preserve">DOI: </w:t>
      </w:r>
      <w:hyperlink r:id="rId1212">
        <w:r>
          <w:rPr>
            <w:color w:val="1155CC"/>
            <w:u w:val="single"/>
          </w:rPr>
          <w:t>10.1002/adma.73522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轨道霍尔电导率通常较大，轨道电流感应扭矩（OT）已成为自旋轨道扭矩的有前途的替代方案。通过轨道拉什巴-埃德尔斯坦效应（OREE），可以在金属/氧化物界面处产生大量的OT，该效应主要在表面氧化的Cu结构中被报道。然而，氧化铜中缺乏明确的晶体和界面结构阻碍了对潜在机制的清晰理解，并限制了 OT 的进一步增强。在这里，我们展示了结晶 CuO 中 OREE 的显着增强</w:t>
      </w:r>
      <w:r>
        <w:t xml:space="preserve"> </w:t>
      </w:r>
      <w:r>
        <w:t>x</w:t>
      </w:r>
      <w:r>
        <w:t xml:space="preserve"> </w:t>
      </w:r>
      <w:r>
        <w:t>/Cu 异质结构具有明确的界面。通过采用单晶 Cu 的受控氧化，我们制造了晶体 CuO</w:t>
      </w:r>
      <w:r>
        <w:t xml:space="preserve"> </w:t>
      </w:r>
      <w:r>
        <w:t>x</w:t>
      </w:r>
      <w:r>
        <w:t xml:space="preserve"> </w:t>
      </w:r>
      <w:r>
        <w:t>具有不同化学相的层，并使用谐波霍尔测量来量化所得的 OT。我们发现结晶铜</w:t>
      </w:r>
      <w:r>
        <w:rPr>
          <w:vertAlign w:val="subscript"/>
        </w:rPr>
        <w:t>2</w:t>
      </w:r>
      <w:r>
        <w:t>O/Cu异质结构表现出类似阻尼的OT效率，大约是自然氧化Cu的七倍，凸显了结构有序性和界面清晰度的关键作用。值得注意的是，这种巨大的 OT 效率与 Cu 的高电导率相结合，产生了 1.9 × 10 的自旋扭矩电导率</w:t>
      </w:r>
      <w:r>
        <w:rPr>
          <w:vertAlign w:val="subscript"/>
        </w:rPr>
        <w:t>6</w:t>
      </w:r>
      <w:r>
        <w:t>(ℏ/2e)Ω</w:t>
      </w:r>
      <w:r>
        <w:t xml:space="preserve"> </w:t>
      </w:r>
      <w:r>
        <w:t>−1</w:t>
      </w:r>
      <w:r>
        <w:t xml:space="preserve"> </w:t>
      </w:r>
      <w:r>
        <w:t>米</w:t>
      </w:r>
      <w:r>
        <w:t xml:space="preserve"> </w:t>
      </w:r>
      <w:r>
        <w:t>−1</w:t>
      </w:r>
      <w:r>
        <w:t xml:space="preserve"> </w:t>
      </w:r>
      <w:r>
        <w:t>，超过了Pt。这些结果建立了结晶铜</w:t>
      </w:r>
    </w:p>
    <w:p>
      <w:pPr>
        <w:spacing w:before="0" w:after="200" w:lineRule="auto" w:line="276"/>
      </w:pPr>
      <w:r>
        <w:rPr>
          <w:b/>
        </w:rPr>
        <w:t xml:space="preserve">Abstract (EN): </w:t>
      </w:r>
      <w:r>
        <w:t>Orbital current‐induced torque (OT) has emerged as a promising alternative to spin–orbit torque owing to the typically larger orbital Hall conductivity. A substantial OT can be generated at metal/oxide interfaces via the orbital Rashba–Edelstein effect (OREE), which has been predominantly reported in surface‐oxidized Cu structures. However, the lack of well‐defined crystalline and interfacial structures in oxidized Cu has hindered a clear understanding of the underlying mechanism and limited further enhancement of OT. Here, we demonstrate a significantly enhanced OREE in crystalline CuO</w:t>
      </w:r>
      <w:r>
        <w:t xml:space="preserve"> </w:t>
      </w:r>
      <w:r>
        <w:t>x</w:t>
      </w:r>
      <w:r>
        <w:t xml:space="preserve"> </w:t>
      </w:r>
      <w:r>
        <w:t>/Cu heterostructures with well‐defined interfaces. By employing controlled oxidation of single‐crystalline Cu, we fabricate crystalline CuO</w:t>
      </w:r>
      <w:r>
        <w:t xml:space="preserve"> </w:t>
      </w:r>
      <w:r>
        <w:t>x</w:t>
      </w:r>
      <w:r>
        <w:t xml:space="preserve"> </w:t>
      </w:r>
      <w:r>
        <w:t>layers with distinct chemical phases and quantify the resulting OT using harmonic Hall measurements. We find that the crystalline Cu</w:t>
      </w:r>
      <w:r>
        <w:rPr>
          <w:vertAlign w:val="subscript"/>
        </w:rPr>
        <w:t>2</w:t>
      </w:r>
      <w:r>
        <w:t>O/Cu heterostructure exhibits a damping‐like OT efficiency approximately seven times larger than that of naturally oxidized Cu, highlighting the crucial role of structural ordering and interface sharpness. Notably, this large OT efficiency, combined with the high electrical conductivity of Cu, yields a spin torque conductivity of 1.9 × 10</w:t>
      </w:r>
      <w:r>
        <w:rPr>
          <w:vertAlign w:val="subscript"/>
        </w:rPr>
        <w:t>6</w:t>
      </w:r>
      <w:r>
        <w:t>(ℏ/2e)Ω</w:t>
      </w:r>
      <w:r>
        <w:t xml:space="preserve"> </w:t>
      </w:r>
      <w:r>
        <w:t>−1</w:t>
      </w:r>
      <w:r>
        <w:t xml:space="preserve"> </w:t>
      </w:r>
      <w:r>
        <w:t>m</w:t>
      </w:r>
      <w:r>
        <w:t xml:space="preserve"> </w:t>
      </w:r>
      <w:r>
        <w:t>−1</w:t>
      </w:r>
      <w:r>
        <w:t xml:space="preserve"> </w:t>
      </w:r>
      <w:r>
        <w:t>, exceeding that of Pt. These results establish crystalline Cu</w:t>
      </w:r>
      <w:r>
        <w:rPr>
          <w:vertAlign w:val="subscript"/>
        </w:rPr>
        <w:t>2</w:t>
      </w:r>
      <w:r>
        <w:t>O/Cu heterostructures as a promising platform for ultralow‐power spin‐orbitronic devices.</w:t>
      </w:r>
    </w:p>
    <w:p>
      <w:pPr>
        <w:spacing w:before="120" w:after="120"/>
      </w:pPr>
      <w:r>
        <w:rPr>
          <w:sz w:val="18"/>
        </w:rPr>
        <w:t>——————————————————————————————————————————————————————————————————————</w:t>
      </w:r>
    </w:p>
    <w:p>
      <w:pPr>
        <w:spacing w:before="160" w:after="40" w:line="240" w:lineRule="auto"/>
      </w:pPr>
      <w:r>
        <w:rPr>
          <w:b/>
        </w:rPr>
        <w:t xml:space="preserve">[521] </w:t>
      </w:r>
      <w:hyperlink r:id="rId1213">
        <w:r>
          <w:rPr>
            <w:color w:val="1155CC"/>
            <w:u w:val="single"/>
          </w:rPr>
          <w:t>Zexin Jin</w:t>
        </w:r>
      </w:hyperlink>
    </w:p>
    <w:p>
      <w:pPr>
        <w:spacing w:before="0" w:after="120"/>
      </w:pPr>
      <w:r>
        <w:rPr>
          <w:b/>
        </w:rPr>
        <w:t xml:space="preserve">Source: </w:t>
      </w:r>
      <w:r>
        <w:t>Wiley: Angewandte Chemie International Edition: Table of Contents</w:t>
      </w:r>
      <w:r>
        <w:t xml:space="preserve">    </w:t>
      </w:r>
      <w:r>
        <w:rPr>
          <w:b/>
        </w:rPr>
        <w:t xml:space="preserve">Pub date: </w:t>
      </w:r>
      <w:r>
        <w:t>2026-05-28 10:47:00+00:00</w:t>
      </w:r>
      <w:r>
        <w:t xml:space="preserve">    </w:t>
      </w:r>
      <w:r>
        <w:rPr>
          <w:b/>
        </w:rPr>
        <w:t xml:space="preserve">DOI: </w:t>
      </w:r>
      <w:hyperlink r:id="rId1214">
        <w:r>
          <w:rPr>
            <w:color w:val="1155CC"/>
            <w:u w:val="single"/>
          </w:rPr>
          <w:t>10.1002/anie.2280142</w:t>
        </w:r>
      </w:hyperlink>
    </w:p>
    <w:p>
      <w:pPr>
        <w:spacing w:before="0" w:after="120"/>
      </w:pPr>
      <w:r>
        <w:rPr>
          <w:b/>
        </w:rPr>
        <w:t xml:space="preserve">Notes: </w:t>
      </w:r>
      <w:r>
        <w:t>abstract_source=openalex</w:t>
      </w:r>
    </w:p>
    <w:p>
      <w:pPr>
        <w:spacing w:before="0" w:after="80" w:lineRule="auto" w:line="276"/>
      </w:pPr>
      <w:r>
        <w:rPr>
          <w:b/>
        </w:rPr>
        <w:t xml:space="preserve">摘要（ZH）: </w:t>
      </w:r>
      <w:r>
        <w:t>“我的座右铭是：生活是令人惊奇的......我的长期目标是充分探索和体验生活，并释放其最大的潜力......”在他的介绍......简介中了解更多关于金泽新的信息。</w:t>
      </w:r>
    </w:p>
    <w:p>
      <w:pPr>
        <w:spacing w:before="0" w:after="200" w:lineRule="auto" w:line="276"/>
      </w:pPr>
      <w:r>
        <w:rPr>
          <w:b/>
        </w:rPr>
        <w:t xml:space="preserve">Abstract (EN): </w:t>
      </w:r>
      <w:r>
        <w:t>"My motto is: life is amazing… My long-term goal is to fully explore and experience life, and to unlock its greatest potential…" Find out more about Zexin Jin in his Introducing… Profile.</w:t>
      </w:r>
    </w:p>
    <w:p>
      <w:pPr>
        <w:spacing w:before="120" w:after="120"/>
      </w:pPr>
      <w:r>
        <w:rPr>
          <w:sz w:val="18"/>
        </w:rPr>
        <w:t>——————————————————————————————————————————————————————————————————————</w:t>
      </w:r>
    </w:p>
    <w:p>
      <w:pPr>
        <w:spacing w:before="160" w:after="40" w:line="240" w:lineRule="auto"/>
      </w:pPr>
      <w:r>
        <w:rPr>
          <w:b/>
        </w:rPr>
        <w:t xml:space="preserve">[522] </w:t>
      </w:r>
      <w:hyperlink r:id="rId1215">
        <w:r>
          <w:rPr>
            <w:color w:val="1155CC"/>
            <w:u w:val="single"/>
          </w:rPr>
          <w:t>解锁用于脱羧酶加氢硝化的硝基琥珀酸裂解酶</w:t>
        </w:r>
      </w:hyperlink>
    </w:p>
    <w:p>
      <w:pPr>
        <w:spacing w:before="0" w:after="80"/>
      </w:pPr>
      <w:r>
        <w:rPr>
          <w:i/>
          <w:sz w:val="20"/>
        </w:rPr>
        <w:t>EN: Unlocking a Nitrosuccinate Lyase for Decarboxylative Enzymatic Hydronitration</w:t>
      </w:r>
    </w:p>
    <w:p>
      <w:pPr>
        <w:spacing w:before="0" w:after="120"/>
      </w:pPr>
      <w:r>
        <w:rPr>
          <w:b/>
        </w:rPr>
        <w:t xml:space="preserve">Source: </w:t>
      </w:r>
      <w:r>
        <w:t>Wiley: Angewandte Chemie International Edition: Table of Contents</w:t>
      </w:r>
      <w:r>
        <w:t xml:space="preserve">    </w:t>
      </w:r>
      <w:r>
        <w:rPr>
          <w:b/>
        </w:rPr>
        <w:t xml:space="preserve">Pub date: </w:t>
      </w:r>
      <w:r>
        <w:t>2026-05-28 10:51:06+00:00</w:t>
      </w:r>
      <w:r>
        <w:t xml:space="preserve">    </w:t>
      </w:r>
      <w:r>
        <w:rPr>
          <w:b/>
        </w:rPr>
        <w:t xml:space="preserve">DOI: </w:t>
      </w:r>
      <w:hyperlink r:id="rId1216">
        <w:r>
          <w:rPr>
            <w:color w:val="1155CC"/>
            <w:u w:val="single"/>
          </w:rPr>
          <w:t>10.1002/anie.7821033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硝基化合物是合成化学的核心，但这些基序的温和且选择性的生物催化途径仍然难以捉摸。我们报告了一种用于富马酸独特脱羧氢化硝化的酶促策略，该策略通过重新利用天冬氨酸酶/富马酸酶超家族的硝基琥珀酸裂解酶 CreD 来实现合成方向。信用证来自</w:t>
      </w:r>
      <w:r>
        <w:t xml:space="preserve"> </w:t>
      </w:r>
      <w:r>
        <w:t>奶油链霉菌</w:t>
      </w:r>
      <w:r>
        <w:t xml:space="preserve"> </w:t>
      </w:r>
      <w:r>
        <w:t>三种相关的细菌同系物利用亚硝酸钠盐催化氢化硝化，具有显着的效率（周转数高达102,000）和高原子经济性。由于整个超家族已经具有异常广泛的功能群耐受性，这一特征强调了保守但适应性强的活动景观。在所有功能不同的超家族成员的全面诱变和计算分析的指导下，我们发现了控制亲核试剂选择性并保持活性四聚体组装所需的结构完整性的关键分子决定因素。我们还定义了用于预测加氢硝化活性的诊断指纹，并提出了由广泛的 QM/MM 模拟支持的反应机制。这些分子见解为在环境友好的水条件下扩展生物催化迈克尔型加成提供了基础。</w:t>
      </w:r>
    </w:p>
    <w:p>
      <w:pPr>
        <w:spacing w:before="0" w:after="200" w:lineRule="auto" w:line="276"/>
      </w:pPr>
      <w:r>
        <w:rPr>
          <w:b/>
        </w:rPr>
        <w:t xml:space="preserve">Abstract (EN): </w:t>
      </w:r>
      <w:r>
        <w:t>Nitro compounds are central to synthetic chemistry, yet mild and selective biocatalytic routes to these motifs remain elusive. We report an enzymatic strategy for the unique decarboxylative hydronitration of fumarate, achieved by repurposing the nitrosuccinate lyase CreD from the aspartase/fumarase superfamily for the synthetic direction. CreD from</w:t>
      </w:r>
      <w:r>
        <w:t xml:space="preserve"> </w:t>
      </w:r>
      <w:r>
        <w:t>Streptomyces cremeus</w:t>
      </w:r>
      <w:r>
        <w:t xml:space="preserve"> </w:t>
      </w:r>
      <w:r>
        <w:t>and three related bacterial homologues catalyze hydronitration using sodium nitrite salt with remarkable efficiency (turnover numbers up to 102,000) and high atom economy. With an already exceptionally broad functional group tolerance across the superfamily, this feature underscores a conserved yet adaptable activity landscape. Guided by comprehensive mutagenesis and computational analysis across all functionally distinct superfamily members, we uncovered key molecular determinants that govern nucleophile selectivity and preserve the structural integrity required for active tetramer assembly. We also define a diagnostic fingerprint for predicting hydronitration activity and propose a reaction mechanism supported by extensive QM/MM simulations. These molecular insights provide a foundation for expanding biocatalytic Michael‐type additions under environmentally benign aqueous conditions.</w:t>
      </w:r>
    </w:p>
    <w:p>
      <w:pPr>
        <w:spacing w:before="120" w:after="120"/>
      </w:pPr>
      <w:r>
        <w:rPr>
          <w:sz w:val="18"/>
        </w:rPr>
        <w:t>——————————————————————————————————————————————————————————————————————</w:t>
      </w:r>
    </w:p>
    <w:p>
      <w:pPr>
        <w:spacing w:before="160" w:after="40" w:line="240" w:lineRule="auto"/>
      </w:pPr>
      <w:r>
        <w:rPr>
          <w:b/>
        </w:rPr>
        <w:t xml:space="preserve">[523] </w:t>
      </w:r>
      <w:hyperlink r:id="rId1217">
        <w:r>
          <w:rPr>
            <w:color w:val="1155CC"/>
            <w:u w:val="single"/>
          </w:rPr>
          <w:t>通过邻近条形码扩展超灵敏单分子蛋白质检测中的高保真多重检测</w:t>
        </w:r>
      </w:hyperlink>
    </w:p>
    <w:p>
      <w:pPr>
        <w:spacing w:before="0" w:after="80"/>
      </w:pPr>
      <w:r>
        <w:rPr>
          <w:i/>
          <w:sz w:val="20"/>
        </w:rPr>
        <w:t>EN: Expanding High‐Fidelity Multiplexing in Ultrasensitive Single‐Molecule Protein Detection via Proximity Barcoding</w:t>
      </w:r>
    </w:p>
    <w:p>
      <w:pPr>
        <w:spacing w:before="0" w:after="120"/>
      </w:pPr>
      <w:r>
        <w:rPr>
          <w:b/>
        </w:rPr>
        <w:t xml:space="preserve">Source: </w:t>
      </w:r>
      <w:r>
        <w:t>Wiley: Angewandte Chemie International Edition: Table of Contents</w:t>
      </w:r>
      <w:r>
        <w:t xml:space="preserve">    </w:t>
      </w:r>
      <w:r>
        <w:rPr>
          <w:b/>
        </w:rPr>
        <w:t xml:space="preserve">Pub date: </w:t>
      </w:r>
      <w:r>
        <w:t>2026-05-28 15:11:08+00:00</w:t>
      </w:r>
      <w:r>
        <w:t xml:space="preserve">    </w:t>
      </w:r>
      <w:r>
        <w:rPr>
          <w:b/>
        </w:rPr>
        <w:t xml:space="preserve">DOI: </w:t>
      </w:r>
      <w:hyperlink r:id="rId1218">
        <w:r>
          <w:rPr>
            <w:color w:val="1155CC"/>
            <w:u w:val="single"/>
          </w:rPr>
          <w:t>10.1002/anie.9011937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类蛋白质组为基础和诊断研究提供了巨大的信息库，但生物体液中许多蛋白质的低丰度构成了分析挑战。虽然数字酶联免疫吸附测定等超灵敏方法扩大了可检测蛋白质的窗口，但高精度、高灵敏度和通量的多重检测仍然受到交叉反应和信号读出通道的限制。为了应对这一挑战，我们推出了 PRO-MOSAIX（用于单独多重分析的 PROximity 条形码分子珠上信号放大），这是一种高精度多重数字免疫分析平台，集成了超灵敏单分子蛋白质检测与邻近连接。 PRO-MOSAIX 仅从附近匹配的亲和试剂产生“ON”信号，最大限度地减少交叉反应结合的假阳性。该方法通过采用单个信号读出通道和 DNA 条形码克服了荧光光谱重叠造成的多重上限。我们通过减少基于 DNA 的信号放大产生的假阳性次要来源，进一步提高了多重分析的保真度。作为原理证明，我们在人血浆中建立并验证了 15 重 PRO-MOSAIX 测定，具有低飞摩尔灵敏度和高测量精度。 PRO-MOSAIX 是模块化的，利用具有高通量流式细胞仪读数的常见实验室仪器，为研究和临床实验室提供了一种广泛使用的工具，并弥合了分析灵敏度和高阶多重分析之间的差距。</w:t>
      </w:r>
    </w:p>
    <w:p>
      <w:pPr>
        <w:spacing w:before="0" w:after="200" w:lineRule="auto" w:line="276"/>
      </w:pPr>
      <w:r>
        <w:rPr>
          <w:b/>
        </w:rPr>
        <w:t xml:space="preserve">Abstract (EN): </w:t>
      </w:r>
      <w:r>
        <w:t>The human proteome presents a vast information reservoir for basic and diagnostics research, yet the low abundances of many proteins in biofluids pose an analytical challenge. While ultrasensitive methods such asdigital enzyme‐linked immunosorbent assay have expanded the window of detectable proteins, multiplexing with high accuracy, sensitivity, and throughput remains limited by cross‐reactivity and signal readout channels. To address this challenge, we introduce PRO‐MOSAIX (PROximity‐barcoded Molecular On‐bead Signal Amplification for Individual MultipleXing), a high‐accuracy multiplex digital immunoassay platform that integrates ultrasensitive single‐molecule protein detection with proximity ligation. PRO‐MOSAIX generates “ON” signals only from matched affinity reagents in proximity, minimizing false positives from cross‐reactive binding. This approach overcomes the multiplexing ceiling imposed by fluorescence spectral overlap by employing a single signal readout channel and DNA barcoding. We further improve multiplexing fidelity by mitigating a secondary source of false positives from DNA‐based signal amplification. As a proof of principle, we establish and validate a 15‐plex PRO‐MOSAIX assay in human plasma, with low femtomolar sensitivities and high measurement accuracies. PRO‐MOSAIX is modular and utilizes common laboratory instrumentation with a high‐throughput flow cytometric readout, providing a broadly accessible tool across research and clinical labs and bridging the gap between analytical sensitivity and high‐order multiplexing.</w:t>
      </w:r>
    </w:p>
    <w:p>
      <w:pPr>
        <w:spacing w:before="120" w:after="120"/>
      </w:pPr>
      <w:r>
        <w:rPr>
          <w:sz w:val="18"/>
        </w:rPr>
        <w:t>——————————————————————————————————————————————————————————————————————</w:t>
      </w:r>
    </w:p>
    <w:p>
      <w:pPr>
        <w:spacing w:before="160" w:after="40" w:line="240" w:lineRule="auto"/>
      </w:pPr>
      <w:r>
        <w:rPr>
          <w:b/>
        </w:rPr>
        <w:t xml:space="preserve">[524] </w:t>
      </w:r>
      <w:hyperlink r:id="rId1219">
        <w:r>
          <w:rPr>
            <w:color w:val="1155CC"/>
            <w:u w:val="single"/>
          </w:rPr>
          <w:t>刺激响应纳米药物和微型疗法的临床转化和前景</w:t>
        </w:r>
      </w:hyperlink>
    </w:p>
    <w:p>
      <w:pPr>
        <w:spacing w:before="0" w:after="80"/>
      </w:pPr>
      <w:r>
        <w:rPr>
          <w:i/>
          <w:sz w:val="20"/>
        </w:rPr>
        <w:t>EN: Clinical translation and landscape of stimuli-responsive nanomedicines and microscale therapeutics</w:t>
      </w:r>
    </w:p>
    <w:p>
      <w:pPr>
        <w:spacing w:before="0" w:after="120"/>
      </w:pPr>
      <w:r>
        <w:rPr>
          <w:b/>
        </w:rPr>
        <w:t xml:space="preserve">Source: </w:t>
      </w:r>
      <w:r>
        <w:t>RSC - Chem. Soc. Rev. latest articles</w:t>
      </w:r>
      <w:r>
        <w:t xml:space="preserve">    </w:t>
      </w:r>
      <w:r>
        <w:rPr>
          <w:b/>
        </w:rPr>
        <w:t xml:space="preserve">Pub date: </w:t>
      </w:r>
      <w:r>
        <w:t>2026-05-28 23:00:00+00:00</w:t>
      </w:r>
    </w:p>
    <w:p>
      <w:pPr>
        <w:spacing w:before="0" w:after="120"/>
      </w:pPr>
      <w:r>
        <w:rPr>
          <w:b/>
        </w:rPr>
        <w:t xml:space="preserve">Notes: </w:t>
      </w:r>
      <w:r>
        <w:t>abstract_source=rsc_html</w:t>
      </w:r>
    </w:p>
    <w:p>
      <w:pPr>
        <w:spacing w:before="0" w:after="80" w:lineRule="auto" w:line="276"/>
      </w:pPr>
      <w:r>
        <w:rPr>
          <w:b/>
        </w:rPr>
        <w:t xml:space="preserve">摘要（ZH）: </w:t>
      </w:r>
      <w:r>
        <w:t>刺激响应材料能够对药物输送和作用进行时间和空间控制。传统的可触发疗法主要基于小分子，例如前药和光动力治疗剂。纳米技术和微材料的进步极大地扩展了该领域，临床转化的热疗氧化铁纳米颗粒、增强放射治疗的氧化铪纳米颗粒和超声响应微泡就证明了这一点。我们在此分析了 2014 年至 2024 年间触发反应疗法的（前）临床情况，涵盖超过 90,000 篇出版物和 1000 项临床试验。外部刺激包括光、超声波、辐射、磁场和温度。关键的内部刺激是 pH 值、氧化还原和酶。我们的分析表明，光是迄今为止最受欢迎的外部刺激（44% 的论文；361 项试验）。在占论文（558 项试验）46% 的内部刺激中，氧化还原和酶激活是探索最多的。近年来，人们对辐射（114 项试验）、超声波（33 项试验）、温度（14 项试验）和磁驱动（3 项试验）的兴趣不断增加，通常涉及纳米和微米级平台。在本文的第二部分中，我们研究了转化轨迹并确定了限制刺激响应疗法临床进展的关键障碍。帮助促进临床转化需要解决的重要问题包括：（1）医疗需求识别不准确； (2)材质设计过于复杂； (3)组织穿透力有限； (4) 设备可访问性有限</w:t>
      </w:r>
    </w:p>
    <w:p>
      <w:pPr>
        <w:spacing w:before="0" w:after="200" w:lineRule="auto" w:line="276"/>
      </w:pPr>
      <w:r>
        <w:rPr>
          <w:b/>
        </w:rPr>
        <w:t xml:space="preserve">Abstract (EN): </w:t>
      </w:r>
      <w:r>
        <w:t>Stimuli-responsive materials enable temporal and spatial control over drug delivery and action. Traditional triggerable therapeutics are largely based on small molecules, like prodrugs and photodynamic therapy agents. Advances in nanotechnology and micromaterials have greatly expanded the field, as evidenced by clinically translated hyperthermia-generating iron oxide nanoparticles, radiotherapy-enhancing hafnium oxide nanoparticles, and ultrasound-responsive microbubbles. We here analyze the (pre-)clinical landscape of trigger-responsive therapeutics between 2014 and 2024, encompassing over 90 000 publications and 1000 clinical trials. External stimuli include light, ultrasound, radiation, magnetic field and temperature. Key internal stimuli are pH, redox and enzymes. Our analysis shows that light is by far the most popular external stimulus (44% of papers; 361 trials). Among internal stimuli, which account for 46% of papers (558 trials), redox and enzyme activation are the most explored ones. In recent years, interest in radiation (114 trials), ultrasound (33 trials), temperature (14 trials), and magnetic actuation (3 trials) is increasing, typically involving nano- and microscale platforms. In the second part of our paper, we examine translational trajectories and identify key barriers that are limiting the clinical progress of stimuli-responsive therapeutics. Important issues to address to help promote clinical translation include: (1) inaccurate medical need identification; (2) overly complex material design; (3) limited tissue penetration; (4) limited device accessibility; (5) economic constraints; and (6) challenging clinical adoption. We conclude by providing practical and practicable solutions to address these key limitations, going from nano- and micro-formulation design to development, translation and implementation, together aiming to increase the clinical impact of stimuli-responsive therapeutics.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dvanced.onlinelibrary.wiley.com/doi/10.1002/adma.73481?af=R" TargetMode="External"/><Relationship Id="rId10" Type="http://schemas.openxmlformats.org/officeDocument/2006/relationships/hyperlink" Target="https://doi.org/10.1002/adma.73481" TargetMode="External"/><Relationship Id="rId11" Type="http://schemas.openxmlformats.org/officeDocument/2006/relationships/hyperlink" Target="https://advanced.onlinelibrary.wiley.com/doi/10.1002/adma.73477?af=R" TargetMode="External"/><Relationship Id="rId12" Type="http://schemas.openxmlformats.org/officeDocument/2006/relationships/hyperlink" Target="https://doi.org/10.1002/adma.73477" TargetMode="External"/><Relationship Id="rId13" Type="http://schemas.openxmlformats.org/officeDocument/2006/relationships/hyperlink" Target="https://advanced.onlinelibrary.wiley.com/doi/10.1002/adma.202519143?af=R" TargetMode="External"/><Relationship Id="rId14" Type="http://schemas.openxmlformats.org/officeDocument/2006/relationships/hyperlink" Target="https://doi.org/10.1002/adma.202519143" TargetMode="External"/><Relationship Id="rId15" Type="http://schemas.openxmlformats.org/officeDocument/2006/relationships/hyperlink" Target="https://advanced.onlinelibrary.wiley.com/doi/10.1002/adma.73489?af=R" TargetMode="External"/><Relationship Id="rId16" Type="http://schemas.openxmlformats.org/officeDocument/2006/relationships/hyperlink" Target="https://doi.org/10.1002/adma.73489" TargetMode="External"/><Relationship Id="rId17" Type="http://schemas.openxmlformats.org/officeDocument/2006/relationships/hyperlink" Target="https://www.nature.com/articles/s41467-026-73709-6" TargetMode="External"/><Relationship Id="rId18" Type="http://schemas.openxmlformats.org/officeDocument/2006/relationships/hyperlink" Target="https://www.nature.com/articles/s41560-026-02077-8" TargetMode="External"/><Relationship Id="rId19" Type="http://schemas.openxmlformats.org/officeDocument/2006/relationships/hyperlink" Target="https://doi.org/10.1038/s41560-026-02077-8" TargetMode="External"/><Relationship Id="rId20" Type="http://schemas.openxmlformats.org/officeDocument/2006/relationships/hyperlink" Target="https://www.nature.com/articles/s44359-026-00181-2" TargetMode="External"/><Relationship Id="rId21" Type="http://schemas.openxmlformats.org/officeDocument/2006/relationships/hyperlink" Target="https://doi.org/10.1038/s44359-026-00181-2" TargetMode="External"/><Relationship Id="rId22" Type="http://schemas.openxmlformats.org/officeDocument/2006/relationships/hyperlink" Target="https://advanced.onlinelibrary.wiley.com/doi/10.1002/aenm.71099?af=R" TargetMode="External"/><Relationship Id="rId23" Type="http://schemas.openxmlformats.org/officeDocument/2006/relationships/hyperlink" Target="https://doi.org/10.1002/aenm.71099" TargetMode="External"/><Relationship Id="rId24" Type="http://schemas.openxmlformats.org/officeDocument/2006/relationships/hyperlink" Target="https://advanced.onlinelibrary.wiley.com/doi/10.1002/adma.73502?af=R" TargetMode="External"/><Relationship Id="rId25" Type="http://schemas.openxmlformats.org/officeDocument/2006/relationships/hyperlink" Target="https://doi.org/10.1002/adma.73502" TargetMode="External"/><Relationship Id="rId26" Type="http://schemas.openxmlformats.org/officeDocument/2006/relationships/hyperlink" Target="https://onlinelibrary.wiley.com/doi/10.1002/anie.9811085?af=R" TargetMode="External"/><Relationship Id="rId27" Type="http://schemas.openxmlformats.org/officeDocument/2006/relationships/hyperlink" Target="https://doi.org/10.1002/anie.9811085" TargetMode="External"/><Relationship Id="rId28" Type="http://schemas.openxmlformats.org/officeDocument/2006/relationships/hyperlink" Target="https://onlinelibrary.wiley.com/doi/10.1002/anie.7292679?af=R" TargetMode="External"/><Relationship Id="rId29" Type="http://schemas.openxmlformats.org/officeDocument/2006/relationships/hyperlink" Target="https://doi.org/10.1002/anie.7292679" TargetMode="External"/><Relationship Id="rId30" Type="http://schemas.openxmlformats.org/officeDocument/2006/relationships/hyperlink" Target="http://dx.doi.org/10.1021/acsenergylett.6c00863" TargetMode="External"/><Relationship Id="rId31" Type="http://schemas.openxmlformats.org/officeDocument/2006/relationships/hyperlink" Target="https://doi.org/10.1021/acsenergylett.6c00863" TargetMode="External"/><Relationship Id="rId32" Type="http://schemas.openxmlformats.org/officeDocument/2006/relationships/hyperlink" Target="https://www.sciencedirect.com/science/article/pii/S0306261926007439?dgcid=rss_sd_all" TargetMode="External"/><Relationship Id="rId33" Type="http://schemas.openxmlformats.org/officeDocument/2006/relationships/hyperlink" Target="https://advanced.onlinelibrary.wiley.com/doi/10.1002/aenm.71131?af=R" TargetMode="External"/><Relationship Id="rId34" Type="http://schemas.openxmlformats.org/officeDocument/2006/relationships/hyperlink" Target="https://doi.org/10.1002/aenm.71131" TargetMode="External"/><Relationship Id="rId35" Type="http://schemas.openxmlformats.org/officeDocument/2006/relationships/hyperlink" Target="https://advanced.onlinelibrary.wiley.com/doi/10.1002/adma.73532?af=R" TargetMode="External"/><Relationship Id="rId36" Type="http://schemas.openxmlformats.org/officeDocument/2006/relationships/hyperlink" Target="https://doi.org/10.1002/adma.73532" TargetMode="External"/><Relationship Id="rId37" Type="http://schemas.openxmlformats.org/officeDocument/2006/relationships/hyperlink" Target="https://advanced.onlinelibrary.wiley.com/doi/10.1002/adma.73479?af=R" TargetMode="External"/><Relationship Id="rId38" Type="http://schemas.openxmlformats.org/officeDocument/2006/relationships/hyperlink" Target="https://doi.org/10.1002/adma.73479" TargetMode="External"/><Relationship Id="rId39" Type="http://schemas.openxmlformats.org/officeDocument/2006/relationships/hyperlink" Target="https://www.science.org/doi/abs/10.1126/sciadv.aed0037?af=R" TargetMode="External"/><Relationship Id="rId40" Type="http://schemas.openxmlformats.org/officeDocument/2006/relationships/hyperlink" Target="https://doi.org/10.1126/sciadv.aed0037" TargetMode="External"/><Relationship Id="rId41" Type="http://schemas.openxmlformats.org/officeDocument/2006/relationships/hyperlink" Target="https://advanced.onlinelibrary.wiley.com/doi/10.1002/adma.73498?af=R" TargetMode="External"/><Relationship Id="rId42" Type="http://schemas.openxmlformats.org/officeDocument/2006/relationships/hyperlink" Target="https://doi.org/10.1002/adma.73498" TargetMode="External"/><Relationship Id="rId43" Type="http://schemas.openxmlformats.org/officeDocument/2006/relationships/hyperlink" Target="https://advanced.onlinelibrary.wiley.com/doi/10.1002/adma.73529?af=R" TargetMode="External"/><Relationship Id="rId44" Type="http://schemas.openxmlformats.org/officeDocument/2006/relationships/hyperlink" Target="https://doi.org/10.1002/adma.73529" TargetMode="External"/><Relationship Id="rId45" Type="http://schemas.openxmlformats.org/officeDocument/2006/relationships/hyperlink" Target="https://www.cell.com/joule/fulltext/S2542-4351(26)00179-0?rss=yes" TargetMode="External"/><Relationship Id="rId46" Type="http://schemas.openxmlformats.org/officeDocument/2006/relationships/hyperlink" Target="https://doi.org/10.1016/j.joule.2026.102495" TargetMode="External"/><Relationship Id="rId47" Type="http://schemas.openxmlformats.org/officeDocument/2006/relationships/hyperlink" Target="https://www.cell.com/joule/fulltext/S2542-4351(26)00178-9?rss=yes" TargetMode="External"/><Relationship Id="rId48" Type="http://schemas.openxmlformats.org/officeDocument/2006/relationships/hyperlink" Target="https://doi.org/10.1016/j.joule.2026.102494" TargetMode="External"/><Relationship Id="rId49" Type="http://schemas.openxmlformats.org/officeDocument/2006/relationships/hyperlink" Target="https://www.cell.com/joule/fulltext/S2542-4351(26)00172-8?rss=yes" TargetMode="External"/><Relationship Id="rId50" Type="http://schemas.openxmlformats.org/officeDocument/2006/relationships/hyperlink" Target="https://doi.org/10.1016/j.joule.2026.102488" TargetMode="External"/><Relationship Id="rId51" Type="http://schemas.openxmlformats.org/officeDocument/2006/relationships/hyperlink" Target="https://www.sciencedirect.com/science/article/pii/S0306261926007452?dgcid=rss_sd_all" TargetMode="External"/><Relationship Id="rId52" Type="http://schemas.openxmlformats.org/officeDocument/2006/relationships/hyperlink" Target="https://www.sciencedirect.com/science/article/pii/S0306261926007622?dgcid=rss_sd_all" TargetMode="External"/><Relationship Id="rId53" Type="http://schemas.openxmlformats.org/officeDocument/2006/relationships/hyperlink" Target="https://advanced.onlinelibrary.wiley.com/doi/10.1002/adma.73497?af=R" TargetMode="External"/><Relationship Id="rId54" Type="http://schemas.openxmlformats.org/officeDocument/2006/relationships/hyperlink" Target="https://doi.org/10.1002/adma.73497" TargetMode="External"/><Relationship Id="rId55" Type="http://schemas.openxmlformats.org/officeDocument/2006/relationships/hyperlink" Target="https://advanced.onlinelibrary.wiley.com/doi/10.1002/aenm.71059?af=R" TargetMode="External"/><Relationship Id="rId56" Type="http://schemas.openxmlformats.org/officeDocument/2006/relationships/hyperlink" Target="https://doi.org/10.1002/aenm.71059" TargetMode="External"/><Relationship Id="rId57" Type="http://schemas.openxmlformats.org/officeDocument/2006/relationships/hyperlink" Target="https://onlinelibrary.wiley.com/doi/10.1002/anie.1924612?af=R" TargetMode="External"/><Relationship Id="rId58" Type="http://schemas.openxmlformats.org/officeDocument/2006/relationships/hyperlink" Target="https://doi.org/10.1002/anie.1924612" TargetMode="External"/><Relationship Id="rId59" Type="http://schemas.openxmlformats.org/officeDocument/2006/relationships/hyperlink" Target="https://www.nature.com/articles/s41557-026-02161-2" TargetMode="External"/><Relationship Id="rId60" Type="http://schemas.openxmlformats.org/officeDocument/2006/relationships/hyperlink" Target="https://doi.org/10.1038/s41557-026-02161-2" TargetMode="External"/><Relationship Id="rId61" Type="http://schemas.openxmlformats.org/officeDocument/2006/relationships/hyperlink" Target="https://advanced.onlinelibrary.wiley.com/doi/10.1002/adma.73469?af=R" TargetMode="External"/><Relationship Id="rId62" Type="http://schemas.openxmlformats.org/officeDocument/2006/relationships/hyperlink" Target="https://doi.org/10.1002/adma.73469" TargetMode="External"/><Relationship Id="rId63" Type="http://schemas.openxmlformats.org/officeDocument/2006/relationships/hyperlink" Target="https://advanced.onlinelibrary.wiley.com/doi/10.1002/adma.73500?af=R" TargetMode="External"/><Relationship Id="rId64" Type="http://schemas.openxmlformats.org/officeDocument/2006/relationships/hyperlink" Target="https://doi.org/10.1002/adma.73500" TargetMode="External"/><Relationship Id="rId65" Type="http://schemas.openxmlformats.org/officeDocument/2006/relationships/hyperlink" Target="https://onlinelibrary.wiley.com/doi/10.1002/anie.2888520?af=R" TargetMode="External"/><Relationship Id="rId66" Type="http://schemas.openxmlformats.org/officeDocument/2006/relationships/hyperlink" Target="https://doi.org/10.1002/anie.2888520" TargetMode="External"/><Relationship Id="rId67" Type="http://schemas.openxmlformats.org/officeDocument/2006/relationships/hyperlink" Target="https://onlinelibrary.wiley.com/doi/10.1002/anie.9377760?af=R" TargetMode="External"/><Relationship Id="rId68" Type="http://schemas.openxmlformats.org/officeDocument/2006/relationships/hyperlink" Target="https://doi.org/10.1002/anie.9377760" TargetMode="External"/><Relationship Id="rId69" Type="http://schemas.openxmlformats.org/officeDocument/2006/relationships/hyperlink" Target="https://onlinelibrary.wiley.com/doi/10.1002/anie.7090074?af=R" TargetMode="External"/><Relationship Id="rId70" Type="http://schemas.openxmlformats.org/officeDocument/2006/relationships/hyperlink" Target="https://doi.org/10.1002/anie.7090074" TargetMode="External"/><Relationship Id="rId71" Type="http://schemas.openxmlformats.org/officeDocument/2006/relationships/hyperlink" Target="http://pubs.rsc.org/en/Content/ArticleLanding/2026/EE/D6EE02022D" TargetMode="External"/><Relationship Id="rId72" Type="http://schemas.openxmlformats.org/officeDocument/2006/relationships/hyperlink" Target="https://advanced.onlinelibrary.wiley.com/doi/10.1002/aenm.71116?af=R" TargetMode="External"/><Relationship Id="rId73" Type="http://schemas.openxmlformats.org/officeDocument/2006/relationships/hyperlink" Target="https://doi.org/10.1002/aenm.71116" TargetMode="External"/><Relationship Id="rId74" Type="http://schemas.openxmlformats.org/officeDocument/2006/relationships/hyperlink" Target="https://advanced.onlinelibrary.wiley.com/doi/10.1002/aenm.71122?af=R" TargetMode="External"/><Relationship Id="rId75" Type="http://schemas.openxmlformats.org/officeDocument/2006/relationships/hyperlink" Target="https://doi.org/10.1002/aenm.71122" TargetMode="External"/><Relationship Id="rId76" Type="http://schemas.openxmlformats.org/officeDocument/2006/relationships/hyperlink" Target="https://onlinelibrary.wiley.com/doi/10.1002/anie.8496886?af=R" TargetMode="External"/><Relationship Id="rId77" Type="http://schemas.openxmlformats.org/officeDocument/2006/relationships/hyperlink" Target="https://doi.org/10.1002/anie.8496886" TargetMode="External"/><Relationship Id="rId78" Type="http://schemas.openxmlformats.org/officeDocument/2006/relationships/hyperlink" Target="https://advanced.onlinelibrary.wiley.com/doi/10.1002/aenm.71110?af=R" TargetMode="External"/><Relationship Id="rId79" Type="http://schemas.openxmlformats.org/officeDocument/2006/relationships/hyperlink" Target="https://doi.org/10.1002/aenm.71110" TargetMode="External"/><Relationship Id="rId80" Type="http://schemas.openxmlformats.org/officeDocument/2006/relationships/hyperlink" Target="http://pubs.rsc.org/en/Content/ArticleLanding/2026/EE/D6EE02323A" TargetMode="External"/><Relationship Id="rId81" Type="http://schemas.openxmlformats.org/officeDocument/2006/relationships/hyperlink" Target="https://advanced.onlinelibrary.wiley.com/doi/10.1002/adma.73517?af=R" TargetMode="External"/><Relationship Id="rId82" Type="http://schemas.openxmlformats.org/officeDocument/2006/relationships/hyperlink" Target="https://doi.org/10.1002/adma.73517" TargetMode="External"/><Relationship Id="rId83" Type="http://schemas.openxmlformats.org/officeDocument/2006/relationships/hyperlink" Target="https://advanced.onlinelibrary.wiley.com/doi/10.1002/adma.73507?af=R" TargetMode="External"/><Relationship Id="rId84" Type="http://schemas.openxmlformats.org/officeDocument/2006/relationships/hyperlink" Target="https://doi.org/10.1002/adma.73507" TargetMode="External"/><Relationship Id="rId85" Type="http://schemas.openxmlformats.org/officeDocument/2006/relationships/hyperlink" Target="https://onlinelibrary.wiley.com/doi/10.1002/anie.1169706?af=R" TargetMode="External"/><Relationship Id="rId86" Type="http://schemas.openxmlformats.org/officeDocument/2006/relationships/hyperlink" Target="https://doi.org/10.1002/anie.1169706" TargetMode="External"/><Relationship Id="rId87" Type="http://schemas.openxmlformats.org/officeDocument/2006/relationships/hyperlink" Target="https://onlinelibrary.wiley.com/doi/10.1002/anie.2860930?af=R" TargetMode="External"/><Relationship Id="rId88" Type="http://schemas.openxmlformats.org/officeDocument/2006/relationships/hyperlink" Target="https://doi.org/10.1002/anie.2860930" TargetMode="External"/><Relationship Id="rId89" Type="http://schemas.openxmlformats.org/officeDocument/2006/relationships/hyperlink" Target="https://www.nature.com/articles/s41557-026-02150-5" TargetMode="External"/><Relationship Id="rId90" Type="http://schemas.openxmlformats.org/officeDocument/2006/relationships/hyperlink" Target="https://doi.org/10.1038/s41557-026-02150-5" TargetMode="External"/><Relationship Id="rId91" Type="http://schemas.openxmlformats.org/officeDocument/2006/relationships/hyperlink" Target="https://www.pnas.org/doi/abs/10.1073/pnas.2533390123?mi=eymic2&amp;af=R&amp;access=on&amp;content=articlesChapters&amp;publication=pnas&amp;sortBy=Earliest&amp;target=default" TargetMode="External"/><Relationship Id="rId92" Type="http://schemas.openxmlformats.org/officeDocument/2006/relationships/hyperlink" Target="https://doi.org/10.1073/pnas.2533390123" TargetMode="External"/><Relationship Id="rId93" Type="http://schemas.openxmlformats.org/officeDocument/2006/relationships/hyperlink" Target="http://pubs.rsc.org/en/Content/ArticleLanding/2026/EE/D6EE02327D" TargetMode="External"/><Relationship Id="rId94" Type="http://schemas.openxmlformats.org/officeDocument/2006/relationships/hyperlink" Target="https://advanced.onlinelibrary.wiley.com/doi/10.1002/adma.73327?af=R" TargetMode="External"/><Relationship Id="rId95" Type="http://schemas.openxmlformats.org/officeDocument/2006/relationships/hyperlink" Target="https://doi.org/10.1002/adma.73327" TargetMode="External"/><Relationship Id="rId96" Type="http://schemas.openxmlformats.org/officeDocument/2006/relationships/hyperlink" Target="https://onlinelibrary.wiley.com/doi/10.1002/anie.4110177?af=R" TargetMode="External"/><Relationship Id="rId97" Type="http://schemas.openxmlformats.org/officeDocument/2006/relationships/hyperlink" Target="https://doi.org/10.1002/anie.4110177" TargetMode="External"/><Relationship Id="rId98" Type="http://schemas.openxmlformats.org/officeDocument/2006/relationships/hyperlink" Target="https://onlinelibrary.wiley.com/doi/10.1002/anie.1508746?af=R" TargetMode="External"/><Relationship Id="rId99" Type="http://schemas.openxmlformats.org/officeDocument/2006/relationships/hyperlink" Target="https://doi.org/10.1002/anie.1508746" TargetMode="External"/><Relationship Id="rId100" Type="http://schemas.openxmlformats.org/officeDocument/2006/relationships/hyperlink" Target="https://advanced.onlinelibrary.wiley.com/doi/10.1002/aenm.71104?af=R" TargetMode="External"/><Relationship Id="rId101" Type="http://schemas.openxmlformats.org/officeDocument/2006/relationships/hyperlink" Target="https://doi.org/10.1002/aenm.71104" TargetMode="External"/><Relationship Id="rId102" Type="http://schemas.openxmlformats.org/officeDocument/2006/relationships/hyperlink" Target="https://onlinelibrary.wiley.com/doi/10.1002/anie.5778118?af=R" TargetMode="External"/><Relationship Id="rId103" Type="http://schemas.openxmlformats.org/officeDocument/2006/relationships/hyperlink" Target="https://doi.org/10.1002/anie.5778118" TargetMode="External"/><Relationship Id="rId104" Type="http://schemas.openxmlformats.org/officeDocument/2006/relationships/hyperlink" Target="http://dx.doi.org/10.1021/jacs.6c04647" TargetMode="External"/><Relationship Id="rId105" Type="http://schemas.openxmlformats.org/officeDocument/2006/relationships/hyperlink" Target="https://doi.org/10.1021/jacs.6c04647" TargetMode="External"/><Relationship Id="rId106" Type="http://schemas.openxmlformats.org/officeDocument/2006/relationships/hyperlink" Target="https://academic.oup.com/nsr/advance-article/doi/10.1093/nsr/nwag291/8694697?rss=1" TargetMode="External"/><Relationship Id="rId107" Type="http://schemas.openxmlformats.org/officeDocument/2006/relationships/hyperlink" Target="https://doi.org/10.1093/nsr/nwag291" TargetMode="External"/><Relationship Id="rId108" Type="http://schemas.openxmlformats.org/officeDocument/2006/relationships/hyperlink" Target="https://www.cell.com/matter/fulltext/S2590-2385(26)00191-8?rss=yes" TargetMode="External"/><Relationship Id="rId109" Type="http://schemas.openxmlformats.org/officeDocument/2006/relationships/hyperlink" Target="https://doi.org/10.1016/j.matt.2026.102828" TargetMode="External"/><Relationship Id="rId110" Type="http://schemas.openxmlformats.org/officeDocument/2006/relationships/hyperlink" Target="https://advanced.onlinelibrary.wiley.com/doi/10.1002/adma.73328?af=R" TargetMode="External"/><Relationship Id="rId111" Type="http://schemas.openxmlformats.org/officeDocument/2006/relationships/hyperlink" Target="https://doi.org/10.1002/adma.73328" TargetMode="External"/><Relationship Id="rId112" Type="http://schemas.openxmlformats.org/officeDocument/2006/relationships/hyperlink" Target="https://advanced.onlinelibrary.wiley.com/doi/10.1002/adma.73331?af=R" TargetMode="External"/><Relationship Id="rId113" Type="http://schemas.openxmlformats.org/officeDocument/2006/relationships/hyperlink" Target="https://doi.org/10.1002/adma.73331" TargetMode="External"/><Relationship Id="rId114" Type="http://schemas.openxmlformats.org/officeDocument/2006/relationships/hyperlink" Target="https://www.nature.com/articles/s41467-026-73566-3" TargetMode="External"/><Relationship Id="rId115" Type="http://schemas.openxmlformats.org/officeDocument/2006/relationships/hyperlink" Target="https://www.nature.com/articles/s41557-026-02154-1" TargetMode="External"/><Relationship Id="rId116" Type="http://schemas.openxmlformats.org/officeDocument/2006/relationships/hyperlink" Target="https://doi.org/10.1038/s41557-026-02154-1" TargetMode="External"/><Relationship Id="rId117" Type="http://schemas.openxmlformats.org/officeDocument/2006/relationships/hyperlink" Target="https://www.cell.com/matter/fulltext/S2590-2385(26)00188-8?rss=yes" TargetMode="External"/><Relationship Id="rId118" Type="http://schemas.openxmlformats.org/officeDocument/2006/relationships/hyperlink" Target="https://doi.org/10.1016/j.matt.2026.102825" TargetMode="External"/><Relationship Id="rId119" Type="http://schemas.openxmlformats.org/officeDocument/2006/relationships/hyperlink" Target="https://advanced.onlinelibrary.wiley.com/doi/10.1002/aenm.71128?af=R" TargetMode="External"/><Relationship Id="rId120" Type="http://schemas.openxmlformats.org/officeDocument/2006/relationships/hyperlink" Target="https://doi.org/10.1002/aenm.71128" TargetMode="External"/><Relationship Id="rId121" Type="http://schemas.openxmlformats.org/officeDocument/2006/relationships/hyperlink" Target="https://onlinelibrary.wiley.com/doi/10.1002/anie.5558984?af=R" TargetMode="External"/><Relationship Id="rId122" Type="http://schemas.openxmlformats.org/officeDocument/2006/relationships/hyperlink" Target="https://doi.org/10.1002/anie.5558984" TargetMode="External"/><Relationship Id="rId123" Type="http://schemas.openxmlformats.org/officeDocument/2006/relationships/hyperlink" Target="https://www.sciencedirect.com/science/article/pii/S0306261926007300?dgcid=rss_sd_all" TargetMode="External"/><Relationship Id="rId124" Type="http://schemas.openxmlformats.org/officeDocument/2006/relationships/hyperlink" Target="https://www.sciencedirect.com/science/article/pii/S0306261926007154?dgcid=rss_sd_all" TargetMode="External"/><Relationship Id="rId125" Type="http://schemas.openxmlformats.org/officeDocument/2006/relationships/hyperlink" Target="https://www.sciencedirect.com/science/article/pii/S0306261926006677?dgcid=rss_sd_all" TargetMode="External"/><Relationship Id="rId126" Type="http://schemas.openxmlformats.org/officeDocument/2006/relationships/hyperlink" Target="https://www.sciencedirect.com/science/article/pii/S0306261926007099?dgcid=rss_sd_all" TargetMode="External"/><Relationship Id="rId127" Type="http://schemas.openxmlformats.org/officeDocument/2006/relationships/hyperlink" Target="https://www.sciencedirect.com/science/article/pii/S0306261926007488?dgcid=rss_sd_all" TargetMode="External"/><Relationship Id="rId128" Type="http://schemas.openxmlformats.org/officeDocument/2006/relationships/hyperlink" Target="http://dx.doi.org/10.1021/jacs.6c05817" TargetMode="External"/><Relationship Id="rId129" Type="http://schemas.openxmlformats.org/officeDocument/2006/relationships/hyperlink" Target="https://doi.org/10.1021/jacs.6c05817" TargetMode="External"/><Relationship Id="rId130" Type="http://schemas.openxmlformats.org/officeDocument/2006/relationships/hyperlink" Target="https://www.nature.com/articles/s41467-026-73792-9" TargetMode="External"/><Relationship Id="rId131" Type="http://schemas.openxmlformats.org/officeDocument/2006/relationships/hyperlink" Target="https://www.science.org/doi/abs/10.1126/science.aei1181?af=R" TargetMode="External"/><Relationship Id="rId132" Type="http://schemas.openxmlformats.org/officeDocument/2006/relationships/hyperlink" Target="https://doi.org/10.1126/science.aei1181" TargetMode="External"/><Relationship Id="rId133" Type="http://schemas.openxmlformats.org/officeDocument/2006/relationships/hyperlink" Target="https://www.science.org/doi/abs/10.1126/science.aec4652?af=R" TargetMode="External"/><Relationship Id="rId134" Type="http://schemas.openxmlformats.org/officeDocument/2006/relationships/hyperlink" Target="https://doi.org/10.1126/science.aec4652" TargetMode="External"/><Relationship Id="rId135" Type="http://schemas.openxmlformats.org/officeDocument/2006/relationships/hyperlink" Target="https://advanced.onlinelibrary.wiley.com/doi/10.1002/aenm.71138?af=R" TargetMode="External"/><Relationship Id="rId136" Type="http://schemas.openxmlformats.org/officeDocument/2006/relationships/hyperlink" Target="https://doi.org/10.1002/aenm.71138" TargetMode="External"/><Relationship Id="rId137" Type="http://schemas.openxmlformats.org/officeDocument/2006/relationships/hyperlink" Target="https://onlinelibrary.wiley.com/doi/10.1002/anie.9690932?af=R" TargetMode="External"/><Relationship Id="rId138" Type="http://schemas.openxmlformats.org/officeDocument/2006/relationships/hyperlink" Target="https://doi.org/10.1002/anie.9690932" TargetMode="External"/><Relationship Id="rId139" Type="http://schemas.openxmlformats.org/officeDocument/2006/relationships/hyperlink" Target="https://academic.oup.com/nsr/advance-article/doi/10.1093/nsr/nwag304/8692774?rss=1" TargetMode="External"/><Relationship Id="rId140" Type="http://schemas.openxmlformats.org/officeDocument/2006/relationships/hyperlink" Target="https://doi.org/10.1093/nsr/nwag304" TargetMode="External"/><Relationship Id="rId141" Type="http://schemas.openxmlformats.org/officeDocument/2006/relationships/hyperlink" Target="https://onlinelibrary.wiley.com/doi/10.1002/anie.7852726?af=R" TargetMode="External"/><Relationship Id="rId142" Type="http://schemas.openxmlformats.org/officeDocument/2006/relationships/hyperlink" Target="https://doi.org/10.1002/anie.7852726" TargetMode="External"/><Relationship Id="rId143" Type="http://schemas.openxmlformats.org/officeDocument/2006/relationships/hyperlink" Target="https://onlinelibrary.wiley.com/doi/10.1002/anie.8798664?af=R" TargetMode="External"/><Relationship Id="rId144" Type="http://schemas.openxmlformats.org/officeDocument/2006/relationships/hyperlink" Target="https://doi.org/10.1002/anie.8798664" TargetMode="External"/><Relationship Id="rId145" Type="http://schemas.openxmlformats.org/officeDocument/2006/relationships/hyperlink" Target="https://onlinelibrary.wiley.com/doi/10.1002/anie.8986840?af=R" TargetMode="External"/><Relationship Id="rId146" Type="http://schemas.openxmlformats.org/officeDocument/2006/relationships/hyperlink" Target="https://doi.org/10.1002/anie.8986840" TargetMode="External"/><Relationship Id="rId147" Type="http://schemas.openxmlformats.org/officeDocument/2006/relationships/hyperlink" Target="https://academic.oup.com/nsr/advance-article/doi/10.1093/nsr/nwag306/8696162?rss=1" TargetMode="External"/><Relationship Id="rId148" Type="http://schemas.openxmlformats.org/officeDocument/2006/relationships/hyperlink" Target="https://doi.org/10.1093/nsr/nwag306" TargetMode="External"/><Relationship Id="rId149" Type="http://schemas.openxmlformats.org/officeDocument/2006/relationships/hyperlink" Target="https://www.cell.com/chem/fulltext/S2451-9294(26)00141-5?rss=yes" TargetMode="External"/><Relationship Id="rId150" Type="http://schemas.openxmlformats.org/officeDocument/2006/relationships/hyperlink" Target="https://doi.org/10.1016/j.chempr.2026.103075" TargetMode="External"/><Relationship Id="rId151" Type="http://schemas.openxmlformats.org/officeDocument/2006/relationships/hyperlink" Target="https://www.cell.com/matter/fulltext/S2590-2385(26)00178-5?rss=yes" TargetMode="External"/><Relationship Id="rId152" Type="http://schemas.openxmlformats.org/officeDocument/2006/relationships/hyperlink" Target="https://doi.org/10.1016/j.matt.2026.102815" TargetMode="External"/><Relationship Id="rId153" Type="http://schemas.openxmlformats.org/officeDocument/2006/relationships/hyperlink" Target="https://www.nature.com/articles/s41557-026-02168-9" TargetMode="External"/><Relationship Id="rId154" Type="http://schemas.openxmlformats.org/officeDocument/2006/relationships/hyperlink" Target="https://doi.org/10.1038/s41557-026-02168-9" TargetMode="External"/><Relationship Id="rId155" Type="http://schemas.openxmlformats.org/officeDocument/2006/relationships/hyperlink" Target="http://pubs.rsc.org/en/Content/ArticleLanding/2026/EE/D6EE01945E" TargetMode="External"/><Relationship Id="rId156" Type="http://schemas.openxmlformats.org/officeDocument/2006/relationships/hyperlink" Target="https://academic.oup.com/nsr/advance-article/doi/10.1093/nsr/nwag296/8691444?rss=1" TargetMode="External"/><Relationship Id="rId157" Type="http://schemas.openxmlformats.org/officeDocument/2006/relationships/hyperlink" Target="https://doi.org/10.1093/nsr/nwag296" TargetMode="External"/><Relationship Id="rId158" Type="http://schemas.openxmlformats.org/officeDocument/2006/relationships/hyperlink" Target="https://www.sciencedirect.com/science/article/pii/S0306261926007476?dgcid=rss_sd_all" TargetMode="External"/><Relationship Id="rId159" Type="http://schemas.openxmlformats.org/officeDocument/2006/relationships/hyperlink" Target="https://www.sciencedirect.com/science/article/pii/S0306261926007245?dgcid=rss_sd_all" TargetMode="External"/><Relationship Id="rId160" Type="http://schemas.openxmlformats.org/officeDocument/2006/relationships/hyperlink" Target="https://academic.oup.com/nsr/advance-article/doi/10.1093/nsr/nwag286/8692773?rss=1" TargetMode="External"/><Relationship Id="rId161" Type="http://schemas.openxmlformats.org/officeDocument/2006/relationships/hyperlink" Target="https://doi.org/10.1093/nsr/nwag286" TargetMode="External"/><Relationship Id="rId162" Type="http://schemas.openxmlformats.org/officeDocument/2006/relationships/hyperlink" Target="https://www.cell.com/joule/fulltext/S2542-4351(26)00174-1?rss=yes" TargetMode="External"/><Relationship Id="rId163" Type="http://schemas.openxmlformats.org/officeDocument/2006/relationships/hyperlink" Target="https://doi.org/10.1016/j.joule.2026.102490" TargetMode="External"/><Relationship Id="rId164" Type="http://schemas.openxmlformats.org/officeDocument/2006/relationships/hyperlink" Target="https://www.sciencedirect.com/science/article/pii/S0306261926007440?dgcid=rss_sd_all" TargetMode="External"/><Relationship Id="rId165" Type="http://schemas.openxmlformats.org/officeDocument/2006/relationships/hyperlink" Target="http://dx.doi.org/10.1021/jacs.6c06415" TargetMode="External"/><Relationship Id="rId166" Type="http://schemas.openxmlformats.org/officeDocument/2006/relationships/hyperlink" Target="https://doi.org/10.1021/jacs.6c06415" TargetMode="External"/><Relationship Id="rId167" Type="http://schemas.openxmlformats.org/officeDocument/2006/relationships/hyperlink" Target="https://advanced.onlinelibrary.wiley.com/doi/10.1002/aenm.71066?af=R" TargetMode="External"/><Relationship Id="rId168" Type="http://schemas.openxmlformats.org/officeDocument/2006/relationships/hyperlink" Target="https://doi.org/10.1002/aenm.71066" TargetMode="External"/><Relationship Id="rId169" Type="http://schemas.openxmlformats.org/officeDocument/2006/relationships/hyperlink" Target="https://academic.oup.com/nsr/advance-article/doi/10.1093/nsr/nwag308/8696159?rss=1" TargetMode="External"/><Relationship Id="rId170" Type="http://schemas.openxmlformats.org/officeDocument/2006/relationships/hyperlink" Target="https://doi.org/10.1093/nsr/nwag308" TargetMode="External"/><Relationship Id="rId171" Type="http://schemas.openxmlformats.org/officeDocument/2006/relationships/hyperlink" Target="https://www.nature.com/articles/s41586-026-10595-4" TargetMode="External"/><Relationship Id="rId172" Type="http://schemas.openxmlformats.org/officeDocument/2006/relationships/hyperlink" Target="https://doi.org/10.1038/s41586-026-10595-4" TargetMode="External"/><Relationship Id="rId173" Type="http://schemas.openxmlformats.org/officeDocument/2006/relationships/hyperlink" Target="https://www.sciencedirect.com/science/article/pii/S0306261926007233?dgcid=rss_sd_all" TargetMode="External"/><Relationship Id="rId174" Type="http://schemas.openxmlformats.org/officeDocument/2006/relationships/hyperlink" Target="https://www.cell.com/chem/fulltext/S2451-9294(26)00146-4?rss=yes" TargetMode="External"/><Relationship Id="rId175" Type="http://schemas.openxmlformats.org/officeDocument/2006/relationships/hyperlink" Target="https://doi.org/10.1016/j.chempr.2026.103080" TargetMode="External"/><Relationship Id="rId176" Type="http://schemas.openxmlformats.org/officeDocument/2006/relationships/hyperlink" Target="https://academic.oup.com/nsr/advance-article/doi/10.1093/nsr/nwag320/8697345?rss=1" TargetMode="External"/><Relationship Id="rId177" Type="http://schemas.openxmlformats.org/officeDocument/2006/relationships/hyperlink" Target="https://doi.org/10.1093/nsr/nwag320" TargetMode="External"/><Relationship Id="rId178" Type="http://schemas.openxmlformats.org/officeDocument/2006/relationships/hyperlink" Target="https://www.sciencedirect.com/science/article/pii/S0301421526003228?dgcid=rss_sd_all" TargetMode="External"/><Relationship Id="rId179" Type="http://schemas.openxmlformats.org/officeDocument/2006/relationships/hyperlink" Target="https://www.nature.com/articles/s41467-026-73712-x" TargetMode="External"/><Relationship Id="rId180" Type="http://schemas.openxmlformats.org/officeDocument/2006/relationships/hyperlink" Target="https://advanced.onlinelibrary.wiley.com/doi/10.1002/adma.73472?af=R" TargetMode="External"/><Relationship Id="rId181" Type="http://schemas.openxmlformats.org/officeDocument/2006/relationships/hyperlink" Target="https://doi.org/10.1002/adma.73472" TargetMode="External"/><Relationship Id="rId182" Type="http://schemas.openxmlformats.org/officeDocument/2006/relationships/hyperlink" Target="https://www.sciencedirect.com/science/article/pii/S0306261926006926?dgcid=rss_sd_all" TargetMode="External"/><Relationship Id="rId183" Type="http://schemas.openxmlformats.org/officeDocument/2006/relationships/hyperlink" Target="https://academic.oup.com/nsr/advance-article/doi/10.1093/nsr/nwag303/8691445?rss=1" TargetMode="External"/><Relationship Id="rId184" Type="http://schemas.openxmlformats.org/officeDocument/2006/relationships/hyperlink" Target="https://doi.org/10.1093/nsr/nwag303" TargetMode="External"/><Relationship Id="rId185" Type="http://schemas.openxmlformats.org/officeDocument/2006/relationships/hyperlink" Target="https://www.sciencedirect.com/science/article/pii/S0306261926006264?dgcid=rss_sd_all" TargetMode="External"/><Relationship Id="rId186" Type="http://schemas.openxmlformats.org/officeDocument/2006/relationships/hyperlink" Target="https://www.sciencedirect.com/science/article/pii/S0306261926007038?dgcid=rss_sd_all" TargetMode="External"/><Relationship Id="rId187" Type="http://schemas.openxmlformats.org/officeDocument/2006/relationships/hyperlink" Target="https://advanced.onlinelibrary.wiley.com/doi/10.1002/adma.202523682?af=R" TargetMode="External"/><Relationship Id="rId188" Type="http://schemas.openxmlformats.org/officeDocument/2006/relationships/hyperlink" Target="https://doi.org/10.1002/adma.202523682" TargetMode="External"/><Relationship Id="rId189" Type="http://schemas.openxmlformats.org/officeDocument/2006/relationships/hyperlink" Target="https://advanced.onlinelibrary.wiley.com/doi/10.1002/adma.73442?af=R" TargetMode="External"/><Relationship Id="rId190" Type="http://schemas.openxmlformats.org/officeDocument/2006/relationships/hyperlink" Target="https://doi.org/10.1002/adma.73442" TargetMode="External"/><Relationship Id="rId191" Type="http://schemas.openxmlformats.org/officeDocument/2006/relationships/hyperlink" Target="https://onlinelibrary.wiley.com/doi/10.1002/anie.2883791?af=R" TargetMode="External"/><Relationship Id="rId192" Type="http://schemas.openxmlformats.org/officeDocument/2006/relationships/hyperlink" Target="https://doi.org/10.1002/anie.2883791" TargetMode="External"/><Relationship Id="rId193" Type="http://schemas.openxmlformats.org/officeDocument/2006/relationships/hyperlink" Target="https://www.sciencedirect.com/science/article/pii/S0306261926007257?dgcid=rss_sd_all" TargetMode="External"/><Relationship Id="rId194" Type="http://schemas.openxmlformats.org/officeDocument/2006/relationships/hyperlink" Target="https://www.sciencedirect.com/science/article/pii/S030626192600694X?dgcid=rss_sd_all" TargetMode="External"/><Relationship Id="rId195" Type="http://schemas.openxmlformats.org/officeDocument/2006/relationships/hyperlink" Target="https://www.sciencedirect.com/science/article/pii/S0306261926007130?dgcid=rss_sd_all" TargetMode="External"/><Relationship Id="rId196" Type="http://schemas.openxmlformats.org/officeDocument/2006/relationships/hyperlink" Target="https://advanced.onlinelibrary.wiley.com/doi/10.1002/adma.73476?af=R" TargetMode="External"/><Relationship Id="rId197" Type="http://schemas.openxmlformats.org/officeDocument/2006/relationships/hyperlink" Target="https://doi.org/10.1002/adma.73476" TargetMode="External"/><Relationship Id="rId198" Type="http://schemas.openxmlformats.org/officeDocument/2006/relationships/hyperlink" Target="http://dx.doi.org/10.1021/jacs.6c03810" TargetMode="External"/><Relationship Id="rId199" Type="http://schemas.openxmlformats.org/officeDocument/2006/relationships/hyperlink" Target="https://doi.org/10.1021/jacs.6c03810" TargetMode="External"/><Relationship Id="rId200" Type="http://schemas.openxmlformats.org/officeDocument/2006/relationships/hyperlink" Target="http://dx.doi.org/10.1021/acsenergylett.6c00750" TargetMode="External"/><Relationship Id="rId201" Type="http://schemas.openxmlformats.org/officeDocument/2006/relationships/hyperlink" Target="https://doi.org/10.1021/acsenergylett.6c00750" TargetMode="External"/><Relationship Id="rId202" Type="http://schemas.openxmlformats.org/officeDocument/2006/relationships/hyperlink" Target="http://dx.doi.org/10.1021/jacs.6c04283" TargetMode="External"/><Relationship Id="rId203" Type="http://schemas.openxmlformats.org/officeDocument/2006/relationships/hyperlink" Target="https://doi.org/10.1021/jacs.6c04283" TargetMode="External"/><Relationship Id="rId204" Type="http://schemas.openxmlformats.org/officeDocument/2006/relationships/hyperlink" Target="http://dx.doi.org/10.1021/jacs.6c03329" TargetMode="External"/><Relationship Id="rId205" Type="http://schemas.openxmlformats.org/officeDocument/2006/relationships/hyperlink" Target="https://doi.org/10.1021/jacs.6c03329" TargetMode="External"/><Relationship Id="rId206" Type="http://schemas.openxmlformats.org/officeDocument/2006/relationships/hyperlink" Target="http://pubs.rsc.org/en/Content/ArticleLanding/2026/CS/D6CS00515B" TargetMode="External"/><Relationship Id="rId207" Type="http://schemas.openxmlformats.org/officeDocument/2006/relationships/hyperlink" Target="https://www.cell.com/joule/fulltext/S2542-4351(26)00175-3?rss=yes" TargetMode="External"/><Relationship Id="rId208" Type="http://schemas.openxmlformats.org/officeDocument/2006/relationships/hyperlink" Target="https://doi.org/10.1016/j.joule.2026.102491" TargetMode="External"/><Relationship Id="rId209" Type="http://schemas.openxmlformats.org/officeDocument/2006/relationships/hyperlink" Target="https://advanced.onlinelibrary.wiley.com/doi/10.1002/aenm.71079?af=R" TargetMode="External"/><Relationship Id="rId210" Type="http://schemas.openxmlformats.org/officeDocument/2006/relationships/hyperlink" Target="https://doi.org/10.1002/aenm.71079" TargetMode="External"/><Relationship Id="rId211" Type="http://schemas.openxmlformats.org/officeDocument/2006/relationships/hyperlink" Target="http://dx.doi.org/10.1021/jacs.6c02221" TargetMode="External"/><Relationship Id="rId212" Type="http://schemas.openxmlformats.org/officeDocument/2006/relationships/hyperlink" Target="https://doi.org/10.1021/jacs.6c02221" TargetMode="External"/><Relationship Id="rId213" Type="http://schemas.openxmlformats.org/officeDocument/2006/relationships/hyperlink" Target="https://onlinelibrary.wiley.com/doi/10.1002/anie.5529813?af=R" TargetMode="External"/><Relationship Id="rId214" Type="http://schemas.openxmlformats.org/officeDocument/2006/relationships/hyperlink" Target="https://doi.org/10.1002/anie.5529813" TargetMode="External"/><Relationship Id="rId215" Type="http://schemas.openxmlformats.org/officeDocument/2006/relationships/hyperlink" Target="http://dx.doi.org/10.1021/jacs.6c06054" TargetMode="External"/><Relationship Id="rId216" Type="http://schemas.openxmlformats.org/officeDocument/2006/relationships/hyperlink" Target="https://doi.org/10.1021/jacs.6c06054" TargetMode="External"/><Relationship Id="rId217" Type="http://schemas.openxmlformats.org/officeDocument/2006/relationships/hyperlink" Target="http://pubs.rsc.org/en/Content/ArticleLanding/2026/EE/D6EE00362A" TargetMode="External"/><Relationship Id="rId218" Type="http://schemas.openxmlformats.org/officeDocument/2006/relationships/hyperlink" Target="http://pubs.rsc.org/en/Content/ArticleLanding/2026/EE/D6EE02182D" TargetMode="External"/><Relationship Id="rId219" Type="http://schemas.openxmlformats.org/officeDocument/2006/relationships/hyperlink" Target="https://www.nature.com/articles/s41467-026-73172-3" TargetMode="External"/><Relationship Id="rId220" Type="http://schemas.openxmlformats.org/officeDocument/2006/relationships/hyperlink" Target="https://www.nature.com/articles/s41467-026-73708-7" TargetMode="External"/><Relationship Id="rId221" Type="http://schemas.openxmlformats.org/officeDocument/2006/relationships/hyperlink" Target="https://www.nature.com/articles/s41467-026-73754-1" TargetMode="External"/><Relationship Id="rId222" Type="http://schemas.openxmlformats.org/officeDocument/2006/relationships/hyperlink" Target="https://www.sciencedirect.com/science/article/pii/S0306261926006835?dgcid=rss_sd_all" TargetMode="External"/><Relationship Id="rId223" Type="http://schemas.openxmlformats.org/officeDocument/2006/relationships/hyperlink" Target="https://advanced.onlinelibrary.wiley.com/doi/10.1002/aenm.71118?af=R" TargetMode="External"/><Relationship Id="rId224" Type="http://schemas.openxmlformats.org/officeDocument/2006/relationships/hyperlink" Target="https://doi.org/10.1002/aenm.71118" TargetMode="External"/><Relationship Id="rId225" Type="http://schemas.openxmlformats.org/officeDocument/2006/relationships/hyperlink" Target="https://advanced.onlinelibrary.wiley.com/doi/10.1002/adma.73332?af=R" TargetMode="External"/><Relationship Id="rId226" Type="http://schemas.openxmlformats.org/officeDocument/2006/relationships/hyperlink" Target="https://doi.org/10.1002/adma.73332" TargetMode="External"/><Relationship Id="rId227" Type="http://schemas.openxmlformats.org/officeDocument/2006/relationships/hyperlink" Target="https://www.science.org/doi/abs/10.1126/sciadv.aeb9828?af=R" TargetMode="External"/><Relationship Id="rId228" Type="http://schemas.openxmlformats.org/officeDocument/2006/relationships/hyperlink" Target="https://doi.org/10.1126/sciadv.aeb9828" TargetMode="External"/><Relationship Id="rId229" Type="http://schemas.openxmlformats.org/officeDocument/2006/relationships/hyperlink" Target="https://onlinelibrary.wiley.com/doi/10.1002/anie.9066578?af=R" TargetMode="External"/><Relationship Id="rId230" Type="http://schemas.openxmlformats.org/officeDocument/2006/relationships/hyperlink" Target="https://doi.org/10.1002/anie.9066578" TargetMode="External"/><Relationship Id="rId231" Type="http://schemas.openxmlformats.org/officeDocument/2006/relationships/hyperlink" Target="https://onlinelibrary.wiley.com/doi/10.1002/anie.3903637?af=R" TargetMode="External"/><Relationship Id="rId232" Type="http://schemas.openxmlformats.org/officeDocument/2006/relationships/hyperlink" Target="https://doi.org/10.1002/anie.3903637" TargetMode="External"/><Relationship Id="rId233" Type="http://schemas.openxmlformats.org/officeDocument/2006/relationships/hyperlink" Target="https://advanced.onlinelibrary.wiley.com/doi/10.1002/adma.73499?af=R" TargetMode="External"/><Relationship Id="rId234" Type="http://schemas.openxmlformats.org/officeDocument/2006/relationships/hyperlink" Target="https://doi.org/10.1002/adma.73499" TargetMode="External"/><Relationship Id="rId235" Type="http://schemas.openxmlformats.org/officeDocument/2006/relationships/hyperlink" Target="https://onlinelibrary.wiley.com/doi/10.1002/anie.5129158?af=R" TargetMode="External"/><Relationship Id="rId236" Type="http://schemas.openxmlformats.org/officeDocument/2006/relationships/hyperlink" Target="https://doi.org/10.1002/anie.5129158" TargetMode="External"/><Relationship Id="rId237" Type="http://schemas.openxmlformats.org/officeDocument/2006/relationships/hyperlink" Target="https://www.sciencedirect.com/science/article/pii/S0306261926007427?dgcid=rss_sd_all" TargetMode="External"/><Relationship Id="rId238" Type="http://schemas.openxmlformats.org/officeDocument/2006/relationships/hyperlink" Target="https://www.science.org/doi/abs/10.1126/science.aeb3087?af=R" TargetMode="External"/><Relationship Id="rId239" Type="http://schemas.openxmlformats.org/officeDocument/2006/relationships/hyperlink" Target="https://doi.org/10.1126/science.aeb3087" TargetMode="External"/><Relationship Id="rId240" Type="http://schemas.openxmlformats.org/officeDocument/2006/relationships/hyperlink" Target="https://advanced.onlinelibrary.wiley.com/doi/10.1002/adma.73496?af=R" TargetMode="External"/><Relationship Id="rId241" Type="http://schemas.openxmlformats.org/officeDocument/2006/relationships/hyperlink" Target="https://doi.org/10.1002/adma.73496" TargetMode="External"/><Relationship Id="rId242" Type="http://schemas.openxmlformats.org/officeDocument/2006/relationships/hyperlink" Target="https://onlinelibrary.wiley.com/doi/10.1002/anie.8241756?af=R" TargetMode="External"/><Relationship Id="rId243" Type="http://schemas.openxmlformats.org/officeDocument/2006/relationships/hyperlink" Target="https://doi.org/10.1002/anie.8241756" TargetMode="External"/><Relationship Id="rId244" Type="http://schemas.openxmlformats.org/officeDocument/2006/relationships/hyperlink" Target="https://onlinelibrary.wiley.com/doi/10.1002/anie.9951729?af=R" TargetMode="External"/><Relationship Id="rId245" Type="http://schemas.openxmlformats.org/officeDocument/2006/relationships/hyperlink" Target="https://doi.org/10.1002/anie.9951729" TargetMode="External"/><Relationship Id="rId246" Type="http://schemas.openxmlformats.org/officeDocument/2006/relationships/hyperlink" Target="https://www.sciencedirect.com/science/article/pii/S0301421526003101?dgcid=rss_sd_all" TargetMode="External"/><Relationship Id="rId247" Type="http://schemas.openxmlformats.org/officeDocument/2006/relationships/hyperlink" Target="https://www.sciencedirect.com/science/article/pii/S0306261926007221?dgcid=rss_sd_all" TargetMode="External"/><Relationship Id="rId248" Type="http://schemas.openxmlformats.org/officeDocument/2006/relationships/hyperlink" Target="https://onlinelibrary.wiley.com/doi/10.1002/anie.5526884?af=R" TargetMode="External"/><Relationship Id="rId249" Type="http://schemas.openxmlformats.org/officeDocument/2006/relationships/hyperlink" Target="https://doi.org/10.1002/anie.5526884" TargetMode="External"/><Relationship Id="rId250" Type="http://schemas.openxmlformats.org/officeDocument/2006/relationships/hyperlink" Target="https://onlinelibrary.wiley.com/doi/10.1002/anie.3794364?af=R" TargetMode="External"/><Relationship Id="rId251" Type="http://schemas.openxmlformats.org/officeDocument/2006/relationships/hyperlink" Target="https://doi.org/10.1002/anie.3794364" TargetMode="External"/><Relationship Id="rId252" Type="http://schemas.openxmlformats.org/officeDocument/2006/relationships/hyperlink" Target="https://www.sciencedirect.com/science/article/pii/S0301421526003071?dgcid=rss_sd_all" TargetMode="External"/><Relationship Id="rId253" Type="http://schemas.openxmlformats.org/officeDocument/2006/relationships/hyperlink" Target="http://dx.doi.org/10.1021/jacs.6c03536" TargetMode="External"/><Relationship Id="rId254" Type="http://schemas.openxmlformats.org/officeDocument/2006/relationships/hyperlink" Target="https://doi.org/10.1021/jacs.6c03536" TargetMode="External"/><Relationship Id="rId255" Type="http://schemas.openxmlformats.org/officeDocument/2006/relationships/hyperlink" Target="https://www.nature.com/articles/s41467-026-73559-2" TargetMode="External"/><Relationship Id="rId256" Type="http://schemas.openxmlformats.org/officeDocument/2006/relationships/hyperlink" Target="https://www.nature.com/articles/s41467-026-73433-1" TargetMode="External"/><Relationship Id="rId257" Type="http://schemas.openxmlformats.org/officeDocument/2006/relationships/hyperlink" Target="https://www.sciencedirect.com/science/article/pii/S0306261926007282?dgcid=rss_sd_all" TargetMode="External"/><Relationship Id="rId258" Type="http://schemas.openxmlformats.org/officeDocument/2006/relationships/hyperlink" Target="https://onlinelibrary.wiley.com/doi/10.1002/anie.4395812?af=R" TargetMode="External"/><Relationship Id="rId259" Type="http://schemas.openxmlformats.org/officeDocument/2006/relationships/hyperlink" Target="https://doi.org/10.1002/anie.4395812" TargetMode="External"/><Relationship Id="rId260" Type="http://schemas.openxmlformats.org/officeDocument/2006/relationships/hyperlink" Target="https://www.nature.com/articles/s41467-026-73719-4" TargetMode="External"/><Relationship Id="rId261" Type="http://schemas.openxmlformats.org/officeDocument/2006/relationships/hyperlink" Target="https://www.nature.com/articles/s41560-026-02078-7" TargetMode="External"/><Relationship Id="rId262" Type="http://schemas.openxmlformats.org/officeDocument/2006/relationships/hyperlink" Target="https://doi.org/10.1038/s41560-026-02078-7" TargetMode="External"/><Relationship Id="rId263" Type="http://schemas.openxmlformats.org/officeDocument/2006/relationships/hyperlink" Target="https://www.nature.com/articles/s41467-026-73564-5" TargetMode="External"/><Relationship Id="rId264" Type="http://schemas.openxmlformats.org/officeDocument/2006/relationships/hyperlink" Target="https://onlinelibrary.wiley.com/doi/10.1002/anie.7729112?af=R" TargetMode="External"/><Relationship Id="rId265" Type="http://schemas.openxmlformats.org/officeDocument/2006/relationships/hyperlink" Target="https://doi.org/10.1002/anie.7729112" TargetMode="External"/><Relationship Id="rId266" Type="http://schemas.openxmlformats.org/officeDocument/2006/relationships/hyperlink" Target="https://advanced.onlinelibrary.wiley.com/doi/10.1002/aenm.71106?af=R" TargetMode="External"/><Relationship Id="rId267" Type="http://schemas.openxmlformats.org/officeDocument/2006/relationships/hyperlink" Target="https://doi.org/10.1002/aenm.71106" TargetMode="External"/><Relationship Id="rId268" Type="http://schemas.openxmlformats.org/officeDocument/2006/relationships/hyperlink" Target="https://onlinelibrary.wiley.com/doi/10.1002/anie.1066259?af=R" TargetMode="External"/><Relationship Id="rId269" Type="http://schemas.openxmlformats.org/officeDocument/2006/relationships/hyperlink" Target="https://doi.org/10.1002/anie.1066259" TargetMode="External"/><Relationship Id="rId270" Type="http://schemas.openxmlformats.org/officeDocument/2006/relationships/hyperlink" Target="https://onlinelibrary.wiley.com/doi/10.1002/anie.6197518?af=R" TargetMode="External"/><Relationship Id="rId271" Type="http://schemas.openxmlformats.org/officeDocument/2006/relationships/hyperlink" Target="https://doi.org/10.1002/anie.6197518" TargetMode="External"/><Relationship Id="rId272" Type="http://schemas.openxmlformats.org/officeDocument/2006/relationships/hyperlink" Target="https://onlinelibrary.wiley.com/doi/10.1002/anie.202522125?af=R" TargetMode="External"/><Relationship Id="rId273" Type="http://schemas.openxmlformats.org/officeDocument/2006/relationships/hyperlink" Target="https://doi.org/10.1002/anie.202522125" TargetMode="External"/><Relationship Id="rId274" Type="http://schemas.openxmlformats.org/officeDocument/2006/relationships/hyperlink" Target="https://onlinelibrary.wiley.com/doi/10.1002/anie.7521348?af=R" TargetMode="External"/><Relationship Id="rId275" Type="http://schemas.openxmlformats.org/officeDocument/2006/relationships/hyperlink" Target="https://doi.org/10.1002/anie.7521348" TargetMode="External"/><Relationship Id="rId276" Type="http://schemas.openxmlformats.org/officeDocument/2006/relationships/hyperlink" Target="http://dx.doi.org/10.1021/jacs.6c04783" TargetMode="External"/><Relationship Id="rId277" Type="http://schemas.openxmlformats.org/officeDocument/2006/relationships/hyperlink" Target="https://doi.org/10.1021/jacs.6c04783" TargetMode="External"/><Relationship Id="rId278" Type="http://schemas.openxmlformats.org/officeDocument/2006/relationships/hyperlink" Target="http://pubs.rsc.org/en/Content/ArticleLanding/2026/EE/D5EE04922A" TargetMode="External"/><Relationship Id="rId279" Type="http://schemas.openxmlformats.org/officeDocument/2006/relationships/hyperlink" Target="https://www.nature.com/articles/s44286-026-00384-1" TargetMode="External"/><Relationship Id="rId280" Type="http://schemas.openxmlformats.org/officeDocument/2006/relationships/hyperlink" Target="https://doi.org/10.1038/s44286-026-00384-1" TargetMode="External"/><Relationship Id="rId281" Type="http://schemas.openxmlformats.org/officeDocument/2006/relationships/hyperlink" Target="https://www.nature.com/articles/s44286-026-00391-2" TargetMode="External"/><Relationship Id="rId282" Type="http://schemas.openxmlformats.org/officeDocument/2006/relationships/hyperlink" Target="https://doi.org/10.1038/s44286-026-00391-2" TargetMode="External"/><Relationship Id="rId283" Type="http://schemas.openxmlformats.org/officeDocument/2006/relationships/hyperlink" Target="https://www.nature.com/articles/s41578-026-00925-3" TargetMode="External"/><Relationship Id="rId284" Type="http://schemas.openxmlformats.org/officeDocument/2006/relationships/hyperlink" Target="https://doi.org/10.1038/s41578-026-00925-3" TargetMode="External"/><Relationship Id="rId285" Type="http://schemas.openxmlformats.org/officeDocument/2006/relationships/hyperlink" Target="https://onlinelibrary.wiley.com/doi/10.1002/anie.6865093?af=R" TargetMode="External"/><Relationship Id="rId286" Type="http://schemas.openxmlformats.org/officeDocument/2006/relationships/hyperlink" Target="https://doi.org/10.1002/anie.6865093" TargetMode="External"/><Relationship Id="rId287" Type="http://schemas.openxmlformats.org/officeDocument/2006/relationships/hyperlink" Target="http://pubs.rsc.org/en/Content/ArticleLanding/2026/EE/D6EE02221A" TargetMode="External"/><Relationship Id="rId288" Type="http://schemas.openxmlformats.org/officeDocument/2006/relationships/hyperlink" Target="https://www.nature.com/articles/s41586-026-10607-3" TargetMode="External"/><Relationship Id="rId289" Type="http://schemas.openxmlformats.org/officeDocument/2006/relationships/hyperlink" Target="https://doi.org/10.1038/s41586-026-10607-3" TargetMode="External"/><Relationship Id="rId290" Type="http://schemas.openxmlformats.org/officeDocument/2006/relationships/hyperlink" Target="https://www.science.org/doi/abs/10.1126/sciadv.aec3918?af=R" TargetMode="External"/><Relationship Id="rId291" Type="http://schemas.openxmlformats.org/officeDocument/2006/relationships/hyperlink" Target="https://doi.org/10.1126/sciadv.aec3918" TargetMode="External"/><Relationship Id="rId292" Type="http://schemas.openxmlformats.org/officeDocument/2006/relationships/hyperlink" Target="https://www.nature.com/articles/s41467-026-73084-2" TargetMode="External"/><Relationship Id="rId293" Type="http://schemas.openxmlformats.org/officeDocument/2006/relationships/hyperlink" Target="https://www.nature.com/articles/s41467-026-72123-2" TargetMode="External"/><Relationship Id="rId294" Type="http://schemas.openxmlformats.org/officeDocument/2006/relationships/hyperlink" Target="https://www.nature.com/articles/s41467-026-73168-z" TargetMode="External"/><Relationship Id="rId295" Type="http://schemas.openxmlformats.org/officeDocument/2006/relationships/hyperlink" Target="https://onlinelibrary.wiley.com/doi/10.1002/anie.1182476?af=R" TargetMode="External"/><Relationship Id="rId296" Type="http://schemas.openxmlformats.org/officeDocument/2006/relationships/hyperlink" Target="https://doi.org/10.1002/anie.1182476" TargetMode="External"/><Relationship Id="rId297" Type="http://schemas.openxmlformats.org/officeDocument/2006/relationships/hyperlink" Target="https://onlinelibrary.wiley.com/doi/10.1002/anie.5880155?af=R" TargetMode="External"/><Relationship Id="rId298" Type="http://schemas.openxmlformats.org/officeDocument/2006/relationships/hyperlink" Target="https://doi.org/10.1002/anie.5880155" TargetMode="External"/><Relationship Id="rId299" Type="http://schemas.openxmlformats.org/officeDocument/2006/relationships/hyperlink" Target="https://onlinelibrary.wiley.com/doi/10.1002/anie.9300642?af=R" TargetMode="External"/><Relationship Id="rId300" Type="http://schemas.openxmlformats.org/officeDocument/2006/relationships/hyperlink" Target="https://doi.org/10.1002/anie.9300642" TargetMode="External"/><Relationship Id="rId301" Type="http://schemas.openxmlformats.org/officeDocument/2006/relationships/hyperlink" Target="https://www.nature.com/articles/s41893-026-01837-4" TargetMode="External"/><Relationship Id="rId302" Type="http://schemas.openxmlformats.org/officeDocument/2006/relationships/hyperlink" Target="https://doi.org/10.1038/s41893-026-01837-4" TargetMode="External"/><Relationship Id="rId303" Type="http://schemas.openxmlformats.org/officeDocument/2006/relationships/hyperlink" Target="https://academic.oup.com/nsr/advance-article/doi/10.1093/nsr/nwag277/8691435?rss=1" TargetMode="External"/><Relationship Id="rId304" Type="http://schemas.openxmlformats.org/officeDocument/2006/relationships/hyperlink" Target="https://doi.org/10.1093/nsr/nwag277" TargetMode="External"/><Relationship Id="rId305" Type="http://schemas.openxmlformats.org/officeDocument/2006/relationships/hyperlink" Target="https://www.nature.com/articles/s41467-026-73545-8" TargetMode="External"/><Relationship Id="rId306" Type="http://schemas.openxmlformats.org/officeDocument/2006/relationships/hyperlink" Target="https://doi.org/10.1038/s41467-026-73545-8" TargetMode="External"/><Relationship Id="rId307" Type="http://schemas.openxmlformats.org/officeDocument/2006/relationships/hyperlink" Target="https://www.nature.com/articles/s41467-026-73425-1" TargetMode="External"/><Relationship Id="rId308" Type="http://schemas.openxmlformats.org/officeDocument/2006/relationships/hyperlink" Target="https://doi.org/10.1038/s41467-026-73425-1" TargetMode="External"/><Relationship Id="rId309" Type="http://schemas.openxmlformats.org/officeDocument/2006/relationships/hyperlink" Target="https://www.nature.com/articles/s41467-026-73208-8" TargetMode="External"/><Relationship Id="rId310" Type="http://schemas.openxmlformats.org/officeDocument/2006/relationships/hyperlink" Target="https://doi.org/10.1038/s41467-026-73208-8" TargetMode="External"/><Relationship Id="rId311" Type="http://schemas.openxmlformats.org/officeDocument/2006/relationships/hyperlink" Target="https://www.nature.com/articles/s41467-026-73618-8" TargetMode="External"/><Relationship Id="rId312" Type="http://schemas.openxmlformats.org/officeDocument/2006/relationships/hyperlink" Target="https://doi.org/10.1038/s41467-026-73618-8" TargetMode="External"/><Relationship Id="rId313" Type="http://schemas.openxmlformats.org/officeDocument/2006/relationships/hyperlink" Target="https://www.sciencedirect.com/science/article/pii/S0301421526002910?dgcid=rss_sd_all" TargetMode="External"/><Relationship Id="rId314" Type="http://schemas.openxmlformats.org/officeDocument/2006/relationships/hyperlink" Target="https://www.nature.com/articles/s41467-026-73446-w" TargetMode="External"/><Relationship Id="rId315" Type="http://schemas.openxmlformats.org/officeDocument/2006/relationships/hyperlink" Target="https://doi.org/10.1038/s41467-026-73446-w" TargetMode="External"/><Relationship Id="rId316" Type="http://schemas.openxmlformats.org/officeDocument/2006/relationships/hyperlink" Target="https://www.sciencedirect.com/science/article/pii/S0306261926006641?dgcid=rss_sd_all" TargetMode="External"/><Relationship Id="rId317" Type="http://schemas.openxmlformats.org/officeDocument/2006/relationships/hyperlink" Target="https://www.sciencedirect.com/science/article/pii/S0306261926006859?dgcid=rss_sd_all" TargetMode="External"/><Relationship Id="rId318" Type="http://schemas.openxmlformats.org/officeDocument/2006/relationships/hyperlink" Target="https://www.sciencedirect.com/science/article/pii/S0306261926006963?dgcid=rss_sd_all" TargetMode="External"/><Relationship Id="rId319" Type="http://schemas.openxmlformats.org/officeDocument/2006/relationships/hyperlink" Target="https://www.sciencedirect.com/science/article/pii/S0306261926007105?dgcid=rss_sd_all" TargetMode="External"/><Relationship Id="rId320" Type="http://schemas.openxmlformats.org/officeDocument/2006/relationships/hyperlink" Target="https://www.sciencedirect.com/science/article/pii/S0306261926007178?dgcid=rss_sd_all" TargetMode="External"/><Relationship Id="rId321" Type="http://schemas.openxmlformats.org/officeDocument/2006/relationships/hyperlink" Target="https://www.sciencedirect.com/science/article/pii/S0306261926007117?dgcid=rss_sd_all" TargetMode="External"/><Relationship Id="rId322" Type="http://schemas.openxmlformats.org/officeDocument/2006/relationships/hyperlink" Target="https://www.sciencedirect.com/science/article/pii/S0306261926006689?dgcid=rss_sd_all" TargetMode="External"/><Relationship Id="rId323" Type="http://schemas.openxmlformats.org/officeDocument/2006/relationships/hyperlink" Target="https://advanced.onlinelibrary.wiley.com/doi/10.1002/adma.73463?af=R" TargetMode="External"/><Relationship Id="rId324" Type="http://schemas.openxmlformats.org/officeDocument/2006/relationships/hyperlink" Target="https://doi.org/10.1002/adma.73463" TargetMode="External"/><Relationship Id="rId325" Type="http://schemas.openxmlformats.org/officeDocument/2006/relationships/hyperlink" Target="https://onlinelibrary.wiley.com/doi/10.1002/anie.4042285?af=R" TargetMode="External"/><Relationship Id="rId326" Type="http://schemas.openxmlformats.org/officeDocument/2006/relationships/hyperlink" Target="https://doi.org/10.1002/anie.4042285" TargetMode="External"/><Relationship Id="rId327" Type="http://schemas.openxmlformats.org/officeDocument/2006/relationships/hyperlink" Target="https://onlinelibrary.wiley.com/doi/10.1002/anie.2764179?af=R" TargetMode="External"/><Relationship Id="rId328" Type="http://schemas.openxmlformats.org/officeDocument/2006/relationships/hyperlink" Target="https://doi.org/10.1002/anie.2764179" TargetMode="External"/><Relationship Id="rId329" Type="http://schemas.openxmlformats.org/officeDocument/2006/relationships/hyperlink" Target="https://onlinelibrary.wiley.com/doi/10.1002/anie.6698305?af=R" TargetMode="External"/><Relationship Id="rId330" Type="http://schemas.openxmlformats.org/officeDocument/2006/relationships/hyperlink" Target="https://doi.org/10.1002/anie.6698305" TargetMode="External"/><Relationship Id="rId331" Type="http://schemas.openxmlformats.org/officeDocument/2006/relationships/hyperlink" Target="https://onlinelibrary.wiley.com/doi/10.1002/anie.9356220?af=R" TargetMode="External"/><Relationship Id="rId332" Type="http://schemas.openxmlformats.org/officeDocument/2006/relationships/hyperlink" Target="https://doi.org/10.1002/anie.9356220" TargetMode="External"/><Relationship Id="rId333" Type="http://schemas.openxmlformats.org/officeDocument/2006/relationships/hyperlink" Target="https://onlinelibrary.wiley.com/doi/10.1002/anie.1265929?af=R" TargetMode="External"/><Relationship Id="rId334" Type="http://schemas.openxmlformats.org/officeDocument/2006/relationships/hyperlink" Target="https://doi.org/10.1002/anie.1265929" TargetMode="External"/><Relationship Id="rId335" Type="http://schemas.openxmlformats.org/officeDocument/2006/relationships/hyperlink" Target="https://onlinelibrary.wiley.com/doi/10.1002/anie.3262519?af=R" TargetMode="External"/><Relationship Id="rId336" Type="http://schemas.openxmlformats.org/officeDocument/2006/relationships/hyperlink" Target="https://doi.org/10.1002/anie.3262519" TargetMode="External"/><Relationship Id="rId337" Type="http://schemas.openxmlformats.org/officeDocument/2006/relationships/hyperlink" Target="https://onlinelibrary.wiley.com/doi/10.1002/anie.202600005?af=R" TargetMode="External"/><Relationship Id="rId338" Type="http://schemas.openxmlformats.org/officeDocument/2006/relationships/hyperlink" Target="https://doi.org/10.1002/anie.202600005" TargetMode="External"/><Relationship Id="rId339" Type="http://schemas.openxmlformats.org/officeDocument/2006/relationships/hyperlink" Target="https://onlinelibrary.wiley.com/doi/10.1002/anie.8945722?af=R" TargetMode="External"/><Relationship Id="rId340" Type="http://schemas.openxmlformats.org/officeDocument/2006/relationships/hyperlink" Target="https://doi.org/10.1002/anie.8945722" TargetMode="External"/><Relationship Id="rId341" Type="http://schemas.openxmlformats.org/officeDocument/2006/relationships/hyperlink" Target="https://onlinelibrary.wiley.com/doi/10.1002/anie.202525762?af=R" TargetMode="External"/><Relationship Id="rId342" Type="http://schemas.openxmlformats.org/officeDocument/2006/relationships/hyperlink" Target="https://doi.org/10.1002/anie.202525762" TargetMode="External"/><Relationship Id="rId343" Type="http://schemas.openxmlformats.org/officeDocument/2006/relationships/hyperlink" Target="https://onlinelibrary.wiley.com/doi/10.1002/anie.3922737?af=R" TargetMode="External"/><Relationship Id="rId344" Type="http://schemas.openxmlformats.org/officeDocument/2006/relationships/hyperlink" Target="https://doi.org/10.1002/anie.3922737" TargetMode="External"/><Relationship Id="rId345" Type="http://schemas.openxmlformats.org/officeDocument/2006/relationships/hyperlink" Target="https://onlinelibrary.wiley.com/doi/10.1002/anie.3007492?af=R" TargetMode="External"/><Relationship Id="rId346" Type="http://schemas.openxmlformats.org/officeDocument/2006/relationships/hyperlink" Target="https://doi.org/10.1002/anie.3007492" TargetMode="External"/><Relationship Id="rId347" Type="http://schemas.openxmlformats.org/officeDocument/2006/relationships/hyperlink" Target="https://onlinelibrary.wiley.com/doi/10.1002/anie.1942100?af=R" TargetMode="External"/><Relationship Id="rId348" Type="http://schemas.openxmlformats.org/officeDocument/2006/relationships/hyperlink" Target="https://doi.org/10.1002/anie.1942100" TargetMode="External"/><Relationship Id="rId349" Type="http://schemas.openxmlformats.org/officeDocument/2006/relationships/hyperlink" Target="https://onlinelibrary.wiley.com/doi/10.1002/anie.202521499?af=R" TargetMode="External"/><Relationship Id="rId350" Type="http://schemas.openxmlformats.org/officeDocument/2006/relationships/hyperlink" Target="https://doi.org/10.1002/anie.202521499" TargetMode="External"/><Relationship Id="rId351" Type="http://schemas.openxmlformats.org/officeDocument/2006/relationships/hyperlink" Target="https://onlinelibrary.wiley.com/doi/10.1002/anie.7636911?af=R" TargetMode="External"/><Relationship Id="rId352" Type="http://schemas.openxmlformats.org/officeDocument/2006/relationships/hyperlink" Target="https://doi.org/10.1002/anie.7636911" TargetMode="External"/><Relationship Id="rId353" Type="http://schemas.openxmlformats.org/officeDocument/2006/relationships/hyperlink" Target="https://onlinelibrary.wiley.com/doi/10.1002/anie.2991471?af=R" TargetMode="External"/><Relationship Id="rId354" Type="http://schemas.openxmlformats.org/officeDocument/2006/relationships/hyperlink" Target="https://doi.org/10.1002/anie.2991471" TargetMode="External"/><Relationship Id="rId355" Type="http://schemas.openxmlformats.org/officeDocument/2006/relationships/hyperlink" Target="https://onlinelibrary.wiley.com/doi/10.1002/anie.5518257?af=R" TargetMode="External"/><Relationship Id="rId356" Type="http://schemas.openxmlformats.org/officeDocument/2006/relationships/hyperlink" Target="https://doi.org/10.1002/anie.5518257" TargetMode="External"/><Relationship Id="rId357" Type="http://schemas.openxmlformats.org/officeDocument/2006/relationships/hyperlink" Target="https://onlinelibrary.wiley.com/doi/10.1002/anie.8826625?af=R" TargetMode="External"/><Relationship Id="rId358" Type="http://schemas.openxmlformats.org/officeDocument/2006/relationships/hyperlink" Target="https://doi.org/10.1002/anie.8826625" TargetMode="External"/><Relationship Id="rId359" Type="http://schemas.openxmlformats.org/officeDocument/2006/relationships/hyperlink" Target="https://onlinelibrary.wiley.com/doi/10.1002/anie.6004948?af=R" TargetMode="External"/><Relationship Id="rId360" Type="http://schemas.openxmlformats.org/officeDocument/2006/relationships/hyperlink" Target="https://doi.org/10.1002/anie.6004948" TargetMode="External"/><Relationship Id="rId361" Type="http://schemas.openxmlformats.org/officeDocument/2006/relationships/hyperlink" Target="https://onlinelibrary.wiley.com/doi/10.1002/anie.3924815?af=R" TargetMode="External"/><Relationship Id="rId362" Type="http://schemas.openxmlformats.org/officeDocument/2006/relationships/hyperlink" Target="https://doi.org/10.1002/anie.3924815" TargetMode="External"/><Relationship Id="rId363" Type="http://schemas.openxmlformats.org/officeDocument/2006/relationships/hyperlink" Target="https://onlinelibrary.wiley.com/doi/10.1002/anie.6867886?af=R" TargetMode="External"/><Relationship Id="rId364" Type="http://schemas.openxmlformats.org/officeDocument/2006/relationships/hyperlink" Target="https://doi.org/10.1002/anie.6867886" TargetMode="External"/><Relationship Id="rId365" Type="http://schemas.openxmlformats.org/officeDocument/2006/relationships/hyperlink" Target="http://dx.doi.org/10.1021/jacs.6c06697" TargetMode="External"/><Relationship Id="rId366" Type="http://schemas.openxmlformats.org/officeDocument/2006/relationships/hyperlink" Target="https://doi.org/10.1021/jacs.6c06697" TargetMode="External"/><Relationship Id="rId367" Type="http://schemas.openxmlformats.org/officeDocument/2006/relationships/hyperlink" Target="http://dx.doi.org/10.1021/jacs.5c22369" TargetMode="External"/><Relationship Id="rId368" Type="http://schemas.openxmlformats.org/officeDocument/2006/relationships/hyperlink" Target="https://doi.org/10.1021/jacs.5c22369" TargetMode="External"/><Relationship Id="rId369" Type="http://schemas.openxmlformats.org/officeDocument/2006/relationships/hyperlink" Target="https://advanced.onlinelibrary.wiley.com/doi/10.1002/adma.73482?af=R" TargetMode="External"/><Relationship Id="rId370" Type="http://schemas.openxmlformats.org/officeDocument/2006/relationships/hyperlink" Target="https://doi.org/10.1002/adma.73482" TargetMode="External"/><Relationship Id="rId371" Type="http://schemas.openxmlformats.org/officeDocument/2006/relationships/hyperlink" Target="https://advanced.onlinelibrary.wiley.com/doi/10.1002/adma.73395?af=R" TargetMode="External"/><Relationship Id="rId372" Type="http://schemas.openxmlformats.org/officeDocument/2006/relationships/hyperlink" Target="https://doi.org/10.1002/adma.73395" TargetMode="External"/><Relationship Id="rId373" Type="http://schemas.openxmlformats.org/officeDocument/2006/relationships/hyperlink" Target="https://onlinelibrary.wiley.com/doi/10.1002/anie.6864772?af=R" TargetMode="External"/><Relationship Id="rId374" Type="http://schemas.openxmlformats.org/officeDocument/2006/relationships/hyperlink" Target="https://doi.org/10.1002/anie.6864772" TargetMode="External"/><Relationship Id="rId375" Type="http://schemas.openxmlformats.org/officeDocument/2006/relationships/hyperlink" Target="http://dx.doi.org/10.1021/jacs.6c03900" TargetMode="External"/><Relationship Id="rId376" Type="http://schemas.openxmlformats.org/officeDocument/2006/relationships/hyperlink" Target="https://doi.org/10.1021/jacs.6c03900" TargetMode="External"/><Relationship Id="rId377" Type="http://schemas.openxmlformats.org/officeDocument/2006/relationships/hyperlink" Target="https://advanced.onlinelibrary.wiley.com/doi/10.1002/aenm.71112?af=R" TargetMode="External"/><Relationship Id="rId378" Type="http://schemas.openxmlformats.org/officeDocument/2006/relationships/hyperlink" Target="https://doi.org/10.1002/aenm.71112" TargetMode="External"/><Relationship Id="rId379" Type="http://schemas.openxmlformats.org/officeDocument/2006/relationships/hyperlink" Target="https://advanced.onlinelibrary.wiley.com/doi/10.1002/adma.73424?af=R" TargetMode="External"/><Relationship Id="rId380" Type="http://schemas.openxmlformats.org/officeDocument/2006/relationships/hyperlink" Target="https://doi.org/10.1002/adma.73424" TargetMode="External"/><Relationship Id="rId381" Type="http://schemas.openxmlformats.org/officeDocument/2006/relationships/hyperlink" Target="https://advanced.onlinelibrary.wiley.com/doi/10.1002/adma.202600005?af=R" TargetMode="External"/><Relationship Id="rId382" Type="http://schemas.openxmlformats.org/officeDocument/2006/relationships/hyperlink" Target="https://doi.org/10.1002/adma.202600005" TargetMode="External"/><Relationship Id="rId383" Type="http://schemas.openxmlformats.org/officeDocument/2006/relationships/hyperlink" Target="https://advanced.onlinelibrary.wiley.com/doi/10.1002/adma.73396?af=R" TargetMode="External"/><Relationship Id="rId384" Type="http://schemas.openxmlformats.org/officeDocument/2006/relationships/hyperlink" Target="https://doi.org/10.1002/adma.73396" TargetMode="External"/><Relationship Id="rId385" Type="http://schemas.openxmlformats.org/officeDocument/2006/relationships/hyperlink" Target="https://advanced.onlinelibrary.wiley.com/doi/10.1002/adma.202523646?af=R" TargetMode="External"/><Relationship Id="rId386" Type="http://schemas.openxmlformats.org/officeDocument/2006/relationships/hyperlink" Target="https://doi.org/10.1002/adma.202523646" TargetMode="External"/><Relationship Id="rId387" Type="http://schemas.openxmlformats.org/officeDocument/2006/relationships/hyperlink" Target="https://www.sciencedirect.com/science/article/pii/S0306261926006872?dgcid=rss_sd_all" TargetMode="External"/><Relationship Id="rId388" Type="http://schemas.openxmlformats.org/officeDocument/2006/relationships/hyperlink" Target="https://www.sciencedirect.com/science/article/pii/S0306261926006902?dgcid=rss_sd_all" TargetMode="External"/><Relationship Id="rId389" Type="http://schemas.openxmlformats.org/officeDocument/2006/relationships/hyperlink" Target="https://www.sciencedirect.com/science/article/pii/S0306261926007191?dgcid=rss_sd_all" TargetMode="External"/><Relationship Id="rId390" Type="http://schemas.openxmlformats.org/officeDocument/2006/relationships/hyperlink" Target="https://www.sciencedirect.com/science/article/pii/S0301421526003083?dgcid=rss_sd_all" TargetMode="External"/><Relationship Id="rId391" Type="http://schemas.openxmlformats.org/officeDocument/2006/relationships/hyperlink" Target="https://www.sciencedirect.com/science/article/pii/S0301421526003095?dgcid=rss_sd_all" TargetMode="External"/><Relationship Id="rId392" Type="http://schemas.openxmlformats.org/officeDocument/2006/relationships/hyperlink" Target="https://www.sciencedirect.com/science/article/pii/S0301421526003034?dgcid=rss_sd_all" TargetMode="External"/><Relationship Id="rId393" Type="http://schemas.openxmlformats.org/officeDocument/2006/relationships/hyperlink" Target="https://www.sciencedirect.com/science/article/pii/S0306261926007129?dgcid=rss_sd_all" TargetMode="External"/><Relationship Id="rId394" Type="http://schemas.openxmlformats.org/officeDocument/2006/relationships/hyperlink" Target="http://dx.doi.org/10.1021/jacs.6c01106" TargetMode="External"/><Relationship Id="rId395" Type="http://schemas.openxmlformats.org/officeDocument/2006/relationships/hyperlink" Target="https://doi.org/10.1021/jacs.6c01106" TargetMode="External"/><Relationship Id="rId396" Type="http://schemas.openxmlformats.org/officeDocument/2006/relationships/hyperlink" Target="http://dx.doi.org/10.1021/jacs.6c05918" TargetMode="External"/><Relationship Id="rId397" Type="http://schemas.openxmlformats.org/officeDocument/2006/relationships/hyperlink" Target="https://doi.org/10.1021/jacs.6c05918" TargetMode="External"/><Relationship Id="rId398" Type="http://schemas.openxmlformats.org/officeDocument/2006/relationships/hyperlink" Target="http://dx.doi.org/10.1021/jacs.6c03767" TargetMode="External"/><Relationship Id="rId399" Type="http://schemas.openxmlformats.org/officeDocument/2006/relationships/hyperlink" Target="https://doi.org/10.1021/jacs.6c03767" TargetMode="External"/><Relationship Id="rId400" Type="http://schemas.openxmlformats.org/officeDocument/2006/relationships/hyperlink" Target="https://www.nature.com/articles/s41467-026-73573-4" TargetMode="External"/><Relationship Id="rId401" Type="http://schemas.openxmlformats.org/officeDocument/2006/relationships/hyperlink" Target="https://www.nature.com/articles/s41467-026-73655-3" TargetMode="External"/><Relationship Id="rId402" Type="http://schemas.openxmlformats.org/officeDocument/2006/relationships/hyperlink" Target="https://www.nature.com/articles/s41467-026-73717-6" TargetMode="External"/><Relationship Id="rId403" Type="http://schemas.openxmlformats.org/officeDocument/2006/relationships/hyperlink" Target="https://www.nature.com/articles/s41467-026-71607-5" TargetMode="External"/><Relationship Id="rId404" Type="http://schemas.openxmlformats.org/officeDocument/2006/relationships/hyperlink" Target="https://www.nature.com/articles/s41467-026-73617-9" TargetMode="External"/><Relationship Id="rId405" Type="http://schemas.openxmlformats.org/officeDocument/2006/relationships/hyperlink" Target="https://www.nature.com/articles/s41467-026-73711-y" TargetMode="External"/><Relationship Id="rId406" Type="http://schemas.openxmlformats.org/officeDocument/2006/relationships/hyperlink" Target="https://www.nature.com/articles/s41467-026-73658-0" TargetMode="External"/><Relationship Id="rId407" Type="http://schemas.openxmlformats.org/officeDocument/2006/relationships/hyperlink" Target="https://www.nature.com/articles/s41467-026-73439-9" TargetMode="External"/><Relationship Id="rId408" Type="http://schemas.openxmlformats.org/officeDocument/2006/relationships/hyperlink" Target="https://www.nature.com/articles/s41467-026-73616-w" TargetMode="External"/><Relationship Id="rId409" Type="http://schemas.openxmlformats.org/officeDocument/2006/relationships/hyperlink" Target="https://www.nature.com/articles/s41467-026-73338-z" TargetMode="External"/><Relationship Id="rId410" Type="http://schemas.openxmlformats.org/officeDocument/2006/relationships/hyperlink" Target="https://www.nature.com/articles/s41467-026-71536-3" TargetMode="External"/><Relationship Id="rId411" Type="http://schemas.openxmlformats.org/officeDocument/2006/relationships/hyperlink" Target="https://www.nature.com/articles/s41557-026-02159-w" TargetMode="External"/><Relationship Id="rId412" Type="http://schemas.openxmlformats.org/officeDocument/2006/relationships/hyperlink" Target="https://doi.org/10.1038/s41557-026-02159-w" TargetMode="External"/><Relationship Id="rId413" Type="http://schemas.openxmlformats.org/officeDocument/2006/relationships/hyperlink" Target="https://www.nature.com/articles/d41586-026-01619-0" TargetMode="External"/><Relationship Id="rId414" Type="http://schemas.openxmlformats.org/officeDocument/2006/relationships/hyperlink" Target="https://doi.org/10.1038/d41586-026-01619-0" TargetMode="External"/><Relationship Id="rId415" Type="http://schemas.openxmlformats.org/officeDocument/2006/relationships/hyperlink" Target="https://www.sciencedirect.com/science/article/pii/S030626192600718X?dgcid=rss_sd_all" TargetMode="External"/><Relationship Id="rId416" Type="http://schemas.openxmlformats.org/officeDocument/2006/relationships/hyperlink" Target="https://www.nature.com/articles/s41560-026-02081-y" TargetMode="External"/><Relationship Id="rId417" Type="http://schemas.openxmlformats.org/officeDocument/2006/relationships/hyperlink" Target="https://doi.org/10.1038/s41560-026-02081-y" TargetMode="External"/><Relationship Id="rId418" Type="http://schemas.openxmlformats.org/officeDocument/2006/relationships/hyperlink" Target="https://www.nature.com/articles/d41586-026-01621-6" TargetMode="External"/><Relationship Id="rId419" Type="http://schemas.openxmlformats.org/officeDocument/2006/relationships/hyperlink" Target="https://doi.org/10.1038/d41586-026-01621-6" TargetMode="External"/><Relationship Id="rId420" Type="http://schemas.openxmlformats.org/officeDocument/2006/relationships/hyperlink" Target="https://advanced.onlinelibrary.wiley.com/doi/10.1002/adma.202523674?af=R" TargetMode="External"/><Relationship Id="rId421" Type="http://schemas.openxmlformats.org/officeDocument/2006/relationships/hyperlink" Target="https://doi.org/10.1002/adma.202523674" TargetMode="External"/><Relationship Id="rId422" Type="http://schemas.openxmlformats.org/officeDocument/2006/relationships/hyperlink" Target="https://advanced.onlinelibrary.wiley.com/doi/10.1002/adma.73466?af=R" TargetMode="External"/><Relationship Id="rId423" Type="http://schemas.openxmlformats.org/officeDocument/2006/relationships/hyperlink" Target="https://doi.org/10.1002/adma.73466" TargetMode="External"/><Relationship Id="rId424" Type="http://schemas.openxmlformats.org/officeDocument/2006/relationships/hyperlink" Target="https://advanced.onlinelibrary.wiley.com/doi/10.1002/adma.73478?af=R" TargetMode="External"/><Relationship Id="rId425" Type="http://schemas.openxmlformats.org/officeDocument/2006/relationships/hyperlink" Target="https://doi.org/10.1002/adma.73478" TargetMode="External"/><Relationship Id="rId426" Type="http://schemas.openxmlformats.org/officeDocument/2006/relationships/hyperlink" Target="https://advanced.onlinelibrary.wiley.com/doi/10.1002/adma.73480?af=R" TargetMode="External"/><Relationship Id="rId427" Type="http://schemas.openxmlformats.org/officeDocument/2006/relationships/hyperlink" Target="https://doi.org/10.1002/adma.73480" TargetMode="External"/><Relationship Id="rId428" Type="http://schemas.openxmlformats.org/officeDocument/2006/relationships/hyperlink" Target="https://onlinelibrary.wiley.com/doi/10.1002/anie.5081033?af=R" TargetMode="External"/><Relationship Id="rId429" Type="http://schemas.openxmlformats.org/officeDocument/2006/relationships/hyperlink" Target="https://doi.org/10.1002/anie.5081033" TargetMode="External"/><Relationship Id="rId430" Type="http://schemas.openxmlformats.org/officeDocument/2006/relationships/hyperlink" Target="https://onlinelibrary.wiley.com/doi/10.1002/anie.4046829?af=R" TargetMode="External"/><Relationship Id="rId431" Type="http://schemas.openxmlformats.org/officeDocument/2006/relationships/hyperlink" Target="https://doi.org/10.1002/anie.4046829" TargetMode="External"/><Relationship Id="rId432" Type="http://schemas.openxmlformats.org/officeDocument/2006/relationships/hyperlink" Target="https://onlinelibrary.wiley.com/doi/10.1002/anie.8895173?af=R" TargetMode="External"/><Relationship Id="rId433" Type="http://schemas.openxmlformats.org/officeDocument/2006/relationships/hyperlink" Target="https://doi.org/10.1002/anie.8895173" TargetMode="External"/><Relationship Id="rId434" Type="http://schemas.openxmlformats.org/officeDocument/2006/relationships/hyperlink" Target="https://onlinelibrary.wiley.com/doi/10.1002/anie.8862620?af=R" TargetMode="External"/><Relationship Id="rId435" Type="http://schemas.openxmlformats.org/officeDocument/2006/relationships/hyperlink" Target="https://doi.org/10.1002/anie.8862620" TargetMode="External"/><Relationship Id="rId436" Type="http://schemas.openxmlformats.org/officeDocument/2006/relationships/hyperlink" Target="https://onlinelibrary.wiley.com/doi/10.1002/anie.2586132?af=R" TargetMode="External"/><Relationship Id="rId437" Type="http://schemas.openxmlformats.org/officeDocument/2006/relationships/hyperlink" Target="https://doi.org/10.1002/anie.2586132" TargetMode="External"/><Relationship Id="rId438" Type="http://schemas.openxmlformats.org/officeDocument/2006/relationships/hyperlink" Target="https://onlinelibrary.wiley.com/doi/10.1002/anie.7852611?af=R" TargetMode="External"/><Relationship Id="rId439" Type="http://schemas.openxmlformats.org/officeDocument/2006/relationships/hyperlink" Target="https://doi.org/10.1002/anie.7852611" TargetMode="External"/><Relationship Id="rId440" Type="http://schemas.openxmlformats.org/officeDocument/2006/relationships/hyperlink" Target="http://dx.doi.org/10.1021/jacs.6c05609" TargetMode="External"/><Relationship Id="rId441" Type="http://schemas.openxmlformats.org/officeDocument/2006/relationships/hyperlink" Target="https://doi.org/10.1021/jacs.6c05609" TargetMode="External"/><Relationship Id="rId442" Type="http://schemas.openxmlformats.org/officeDocument/2006/relationships/hyperlink" Target="https://onlinelibrary.wiley.com/doi/10.1002/anie.2111490?af=R" TargetMode="External"/><Relationship Id="rId443" Type="http://schemas.openxmlformats.org/officeDocument/2006/relationships/hyperlink" Target="https://doi.org/10.1002/anie.2111490" TargetMode="External"/><Relationship Id="rId444" Type="http://schemas.openxmlformats.org/officeDocument/2006/relationships/hyperlink" Target="https://onlinelibrary.wiley.com/doi/10.1002/anie.6797341?af=R" TargetMode="External"/><Relationship Id="rId445" Type="http://schemas.openxmlformats.org/officeDocument/2006/relationships/hyperlink" Target="https://doi.org/10.1002/anie.6797341" TargetMode="External"/><Relationship Id="rId446" Type="http://schemas.openxmlformats.org/officeDocument/2006/relationships/hyperlink" Target="https://onlinelibrary.wiley.com/doi/10.1002/anie.9746205?af=R" TargetMode="External"/><Relationship Id="rId447" Type="http://schemas.openxmlformats.org/officeDocument/2006/relationships/hyperlink" Target="https://doi.org/10.1002/anie.9746205" TargetMode="External"/><Relationship Id="rId448" Type="http://schemas.openxmlformats.org/officeDocument/2006/relationships/hyperlink" Target="https://onlinelibrary.wiley.com/doi/10.1002/anie.4591365?af=R" TargetMode="External"/><Relationship Id="rId449" Type="http://schemas.openxmlformats.org/officeDocument/2006/relationships/hyperlink" Target="https://doi.org/10.1002/anie.4591365" TargetMode="External"/><Relationship Id="rId450" Type="http://schemas.openxmlformats.org/officeDocument/2006/relationships/hyperlink" Target="http://dx.doi.org/10.1021/jacs.5c21153" TargetMode="External"/><Relationship Id="rId451" Type="http://schemas.openxmlformats.org/officeDocument/2006/relationships/hyperlink" Target="https://doi.org/10.1021/jacs.5c21153" TargetMode="External"/><Relationship Id="rId452" Type="http://schemas.openxmlformats.org/officeDocument/2006/relationships/hyperlink" Target="http://dx.doi.org/10.1021/jacs.6c03321" TargetMode="External"/><Relationship Id="rId453" Type="http://schemas.openxmlformats.org/officeDocument/2006/relationships/hyperlink" Target="https://doi.org/10.1021/jacs.6c03321" TargetMode="External"/><Relationship Id="rId454" Type="http://schemas.openxmlformats.org/officeDocument/2006/relationships/hyperlink" Target="http://dx.doi.org/10.1021/jacs.6c06618" TargetMode="External"/><Relationship Id="rId455" Type="http://schemas.openxmlformats.org/officeDocument/2006/relationships/hyperlink" Target="https://doi.org/10.1021/jacs.6c06618" TargetMode="External"/><Relationship Id="rId456" Type="http://schemas.openxmlformats.org/officeDocument/2006/relationships/hyperlink" Target="http://dx.doi.org/10.1021/jacs.6c06828" TargetMode="External"/><Relationship Id="rId457" Type="http://schemas.openxmlformats.org/officeDocument/2006/relationships/hyperlink" Target="https://doi.org/10.1021/jacs.6c06828" TargetMode="External"/><Relationship Id="rId458" Type="http://schemas.openxmlformats.org/officeDocument/2006/relationships/hyperlink" Target="http://dx.doi.org/10.1021/jacs.6c03637" TargetMode="External"/><Relationship Id="rId459" Type="http://schemas.openxmlformats.org/officeDocument/2006/relationships/hyperlink" Target="https://doi.org/10.1021/jacs.6c03637" TargetMode="External"/><Relationship Id="rId460" Type="http://schemas.openxmlformats.org/officeDocument/2006/relationships/hyperlink" Target="http://dx.doi.org/10.1021/jacs.6c04473" TargetMode="External"/><Relationship Id="rId461" Type="http://schemas.openxmlformats.org/officeDocument/2006/relationships/hyperlink" Target="https://doi.org/10.1021/jacs.6c04473" TargetMode="External"/><Relationship Id="rId462" Type="http://schemas.openxmlformats.org/officeDocument/2006/relationships/hyperlink" Target="http://dx.doi.org/10.1021/jacs.6c01411" TargetMode="External"/><Relationship Id="rId463" Type="http://schemas.openxmlformats.org/officeDocument/2006/relationships/hyperlink" Target="https://doi.org/10.1021/jacs.6c01411" TargetMode="External"/><Relationship Id="rId464" Type="http://schemas.openxmlformats.org/officeDocument/2006/relationships/hyperlink" Target="http://dx.doi.org/10.1021/jacs.6c04538" TargetMode="External"/><Relationship Id="rId465" Type="http://schemas.openxmlformats.org/officeDocument/2006/relationships/hyperlink" Target="https://doi.org/10.1021/jacs.6c04538" TargetMode="External"/><Relationship Id="rId466" Type="http://schemas.openxmlformats.org/officeDocument/2006/relationships/hyperlink" Target="https://advanced.onlinelibrary.wiley.com/doi/10.1002/aenm.71115?af=R" TargetMode="External"/><Relationship Id="rId467" Type="http://schemas.openxmlformats.org/officeDocument/2006/relationships/hyperlink" Target="https://doi.org/10.1002/aenm.71115" TargetMode="External"/><Relationship Id="rId468" Type="http://schemas.openxmlformats.org/officeDocument/2006/relationships/hyperlink" Target="http://dx.doi.org/10.1021/jacs.6c06722" TargetMode="External"/><Relationship Id="rId469" Type="http://schemas.openxmlformats.org/officeDocument/2006/relationships/hyperlink" Target="https://doi.org/10.1021/jacs.6c06722" TargetMode="External"/><Relationship Id="rId470" Type="http://schemas.openxmlformats.org/officeDocument/2006/relationships/hyperlink" Target="http://dx.doi.org/10.1021/jacs.6c04102" TargetMode="External"/><Relationship Id="rId471" Type="http://schemas.openxmlformats.org/officeDocument/2006/relationships/hyperlink" Target="https://doi.org/10.1021/jacs.6c04102" TargetMode="External"/><Relationship Id="rId472" Type="http://schemas.openxmlformats.org/officeDocument/2006/relationships/hyperlink" Target="http://dx.doi.org/10.1021/jacs.6c01137" TargetMode="External"/><Relationship Id="rId473" Type="http://schemas.openxmlformats.org/officeDocument/2006/relationships/hyperlink" Target="https://doi.org/10.1021/jacs.6c01137" TargetMode="External"/><Relationship Id="rId474" Type="http://schemas.openxmlformats.org/officeDocument/2006/relationships/hyperlink" Target="http://dx.doi.org/10.1021/jacs.6c06687" TargetMode="External"/><Relationship Id="rId475" Type="http://schemas.openxmlformats.org/officeDocument/2006/relationships/hyperlink" Target="https://doi.org/10.1021/jacs.6c06687" TargetMode="External"/><Relationship Id="rId476" Type="http://schemas.openxmlformats.org/officeDocument/2006/relationships/hyperlink" Target="http://dx.doi.org/10.1021/jacs.6c02343" TargetMode="External"/><Relationship Id="rId477" Type="http://schemas.openxmlformats.org/officeDocument/2006/relationships/hyperlink" Target="https://doi.org/10.1021/jacs.6c02343" TargetMode="External"/><Relationship Id="rId478" Type="http://schemas.openxmlformats.org/officeDocument/2006/relationships/hyperlink" Target="https://www.nature.com/articles/d41586-026-01663-w" TargetMode="External"/><Relationship Id="rId479" Type="http://schemas.openxmlformats.org/officeDocument/2006/relationships/hyperlink" Target="https://doi.org/10.1038/d41586-026-01663-w" TargetMode="External"/><Relationship Id="rId480" Type="http://schemas.openxmlformats.org/officeDocument/2006/relationships/hyperlink" Target="https://www.nature.com/articles/d41586-026-01665-8" TargetMode="External"/><Relationship Id="rId481" Type="http://schemas.openxmlformats.org/officeDocument/2006/relationships/hyperlink" Target="https://doi.org/10.1038/d41586-026-01665-8" TargetMode="External"/><Relationship Id="rId482" Type="http://schemas.openxmlformats.org/officeDocument/2006/relationships/hyperlink" Target="https://www.nature.com/articles/d41586-026-01664-9" TargetMode="External"/><Relationship Id="rId483" Type="http://schemas.openxmlformats.org/officeDocument/2006/relationships/hyperlink" Target="https://doi.org/10.1038/d41586-026-01664-9" TargetMode="External"/><Relationship Id="rId484" Type="http://schemas.openxmlformats.org/officeDocument/2006/relationships/hyperlink" Target="https://www.nature.com/articles/s41586-026-10651-z" TargetMode="External"/><Relationship Id="rId485" Type="http://schemas.openxmlformats.org/officeDocument/2006/relationships/hyperlink" Target="https://doi.org/10.1038/s41586-026-10651-z" TargetMode="External"/><Relationship Id="rId486" Type="http://schemas.openxmlformats.org/officeDocument/2006/relationships/hyperlink" Target="https://www.nature.com/articles/d41586-026-01617-2" TargetMode="External"/><Relationship Id="rId487" Type="http://schemas.openxmlformats.org/officeDocument/2006/relationships/hyperlink" Target="https://doi.org/10.1038/d41586-026-01617-2" TargetMode="External"/><Relationship Id="rId488" Type="http://schemas.openxmlformats.org/officeDocument/2006/relationships/hyperlink" Target="https://www.nature.com/articles/s41467-026-73414-4" TargetMode="External"/><Relationship Id="rId489" Type="http://schemas.openxmlformats.org/officeDocument/2006/relationships/hyperlink" Target="https://www.nature.com/articles/s41467-026-73723-8" TargetMode="External"/><Relationship Id="rId490" Type="http://schemas.openxmlformats.org/officeDocument/2006/relationships/hyperlink" Target="https://www.nature.com/articles/s41467-026-73581-4" TargetMode="External"/><Relationship Id="rId491" Type="http://schemas.openxmlformats.org/officeDocument/2006/relationships/hyperlink" Target="https://www.nature.com/articles/s41467-026-73748-z" TargetMode="External"/><Relationship Id="rId492" Type="http://schemas.openxmlformats.org/officeDocument/2006/relationships/hyperlink" Target="https://www.nature.com/articles/s41467-026-73679-9" TargetMode="External"/><Relationship Id="rId493" Type="http://schemas.openxmlformats.org/officeDocument/2006/relationships/hyperlink" Target="https://www.nature.com/articles/s41467-026-73073-5" TargetMode="External"/><Relationship Id="rId494" Type="http://schemas.openxmlformats.org/officeDocument/2006/relationships/hyperlink" Target="https://www.nature.com/articles/s41467-026-73607-x" TargetMode="External"/><Relationship Id="rId495" Type="http://schemas.openxmlformats.org/officeDocument/2006/relationships/hyperlink" Target="https://academic.oup.com/nsr/advance-article/doi/10.1093/nsr/nwag293/8694698?rss=1" TargetMode="External"/><Relationship Id="rId496" Type="http://schemas.openxmlformats.org/officeDocument/2006/relationships/hyperlink" Target="https://doi.org/10.1093/nsr/nwag293" TargetMode="External"/><Relationship Id="rId497" Type="http://schemas.openxmlformats.org/officeDocument/2006/relationships/hyperlink" Target="https://www.nature.com/articles/s41467-026-73450-0" TargetMode="External"/><Relationship Id="rId498" Type="http://schemas.openxmlformats.org/officeDocument/2006/relationships/hyperlink" Target="https://www.nature.com/articles/d41586-026-00402-5" TargetMode="External"/><Relationship Id="rId499" Type="http://schemas.openxmlformats.org/officeDocument/2006/relationships/hyperlink" Target="https://doi.org/10.1038/d41586-026-00402-5" TargetMode="External"/><Relationship Id="rId500" Type="http://schemas.openxmlformats.org/officeDocument/2006/relationships/hyperlink" Target="https://www.nature.com/articles/s41893-026-01857-0" TargetMode="External"/><Relationship Id="rId501" Type="http://schemas.openxmlformats.org/officeDocument/2006/relationships/hyperlink" Target="https://doi.org/10.1038/s41893-026-01857-0" TargetMode="External"/><Relationship Id="rId502" Type="http://schemas.openxmlformats.org/officeDocument/2006/relationships/hyperlink" Target="https://www.cell.com/chem/fulltext/S2451-9294(26)00169-5?rss=yes" TargetMode="External"/><Relationship Id="rId503" Type="http://schemas.openxmlformats.org/officeDocument/2006/relationships/hyperlink" Target="https://doi.org/10.1016/j.chempr.2026.103103" TargetMode="External"/><Relationship Id="rId504" Type="http://schemas.openxmlformats.org/officeDocument/2006/relationships/hyperlink" Target="https://www.nature.com/articles/s44286-026-00395-y" TargetMode="External"/><Relationship Id="rId505" Type="http://schemas.openxmlformats.org/officeDocument/2006/relationships/hyperlink" Target="https://doi.org/10.1038/s44286-026-00395-y" TargetMode="External"/><Relationship Id="rId506" Type="http://schemas.openxmlformats.org/officeDocument/2006/relationships/hyperlink" Target="https://www.nature.com/articles/s44286-026-00403-1" TargetMode="External"/><Relationship Id="rId507" Type="http://schemas.openxmlformats.org/officeDocument/2006/relationships/hyperlink" Target="https://doi.org/10.1038/s44286-026-00403-1" TargetMode="External"/><Relationship Id="rId508" Type="http://schemas.openxmlformats.org/officeDocument/2006/relationships/hyperlink" Target="https://www.nature.com/articles/d41586-026-01666-7" TargetMode="External"/><Relationship Id="rId509" Type="http://schemas.openxmlformats.org/officeDocument/2006/relationships/hyperlink" Target="https://doi.org/10.1038/d41586-026-01666-7" TargetMode="External"/><Relationship Id="rId510" Type="http://schemas.openxmlformats.org/officeDocument/2006/relationships/hyperlink" Target="https://www.nature.com/articles/d41586-026-01336-8" TargetMode="External"/><Relationship Id="rId511" Type="http://schemas.openxmlformats.org/officeDocument/2006/relationships/hyperlink" Target="https://doi.org/10.1038/d41586-026-01336-8" TargetMode="External"/><Relationship Id="rId512" Type="http://schemas.openxmlformats.org/officeDocument/2006/relationships/hyperlink" Target="https://www.nature.com/articles/s41586-026-10669-3" TargetMode="External"/><Relationship Id="rId513" Type="http://schemas.openxmlformats.org/officeDocument/2006/relationships/hyperlink" Target="https://doi.org/10.1038/s41586-026-10669-3" TargetMode="External"/><Relationship Id="rId514" Type="http://schemas.openxmlformats.org/officeDocument/2006/relationships/hyperlink" Target="https://www.nature.com/articles/d41586-026-01415-w" TargetMode="External"/><Relationship Id="rId515" Type="http://schemas.openxmlformats.org/officeDocument/2006/relationships/hyperlink" Target="https://doi.org/10.1038/d41586-026-01415-w" TargetMode="External"/><Relationship Id="rId516" Type="http://schemas.openxmlformats.org/officeDocument/2006/relationships/hyperlink" Target="https://www.nature.com/articles/d41586-026-01625-2" TargetMode="External"/><Relationship Id="rId517" Type="http://schemas.openxmlformats.org/officeDocument/2006/relationships/hyperlink" Target="https://doi.org/10.1038/d41586-026-01625-2" TargetMode="External"/><Relationship Id="rId518" Type="http://schemas.openxmlformats.org/officeDocument/2006/relationships/hyperlink" Target="https://www.nature.com/articles/d41586-026-01696-1" TargetMode="External"/><Relationship Id="rId519" Type="http://schemas.openxmlformats.org/officeDocument/2006/relationships/hyperlink" Target="https://doi.org/10.1038/d41586-026-01696-1" TargetMode="External"/><Relationship Id="rId520" Type="http://schemas.openxmlformats.org/officeDocument/2006/relationships/hyperlink" Target="https://www.nature.com/articles/d41586-026-01620-7" TargetMode="External"/><Relationship Id="rId521" Type="http://schemas.openxmlformats.org/officeDocument/2006/relationships/hyperlink" Target="https://doi.org/10.1038/d41586-026-01620-7" TargetMode="External"/><Relationship Id="rId522" Type="http://schemas.openxmlformats.org/officeDocument/2006/relationships/hyperlink" Target="https://www.nature.com/articles/d41586-026-01616-3" TargetMode="External"/><Relationship Id="rId523" Type="http://schemas.openxmlformats.org/officeDocument/2006/relationships/hyperlink" Target="https://doi.org/10.1038/d41586-026-01616-3" TargetMode="External"/><Relationship Id="rId524" Type="http://schemas.openxmlformats.org/officeDocument/2006/relationships/hyperlink" Target="https://www.nature.com/articles/s41467-026-73557-4" TargetMode="External"/><Relationship Id="rId525" Type="http://schemas.openxmlformats.org/officeDocument/2006/relationships/hyperlink" Target="https://www.nature.com/articles/s41467-026-73659-z" TargetMode="External"/><Relationship Id="rId526" Type="http://schemas.openxmlformats.org/officeDocument/2006/relationships/hyperlink" Target="https://www.nature.com/articles/s41467-026-73646-4" TargetMode="External"/><Relationship Id="rId527" Type="http://schemas.openxmlformats.org/officeDocument/2006/relationships/hyperlink" Target="https://www.nature.com/articles/s41467-026-73549-4" TargetMode="External"/><Relationship Id="rId528" Type="http://schemas.openxmlformats.org/officeDocument/2006/relationships/hyperlink" Target="https://www.nature.com/articles/s41467-026-69081-0" TargetMode="External"/><Relationship Id="rId529" Type="http://schemas.openxmlformats.org/officeDocument/2006/relationships/hyperlink" Target="https://www.nature.com/articles/s41467-026-73503-4" TargetMode="External"/><Relationship Id="rId530" Type="http://schemas.openxmlformats.org/officeDocument/2006/relationships/hyperlink" Target="https://www.nature.com/articles/s41467-026-73609-9" TargetMode="External"/><Relationship Id="rId531" Type="http://schemas.openxmlformats.org/officeDocument/2006/relationships/hyperlink" Target="https://www.nature.com/articles/s41467-026-73663-3" TargetMode="External"/><Relationship Id="rId532" Type="http://schemas.openxmlformats.org/officeDocument/2006/relationships/hyperlink" Target="https://www.nature.com/articles/s41467-026-73054-8" TargetMode="External"/><Relationship Id="rId533" Type="http://schemas.openxmlformats.org/officeDocument/2006/relationships/hyperlink" Target="https://www.nature.com/articles/s41467-026-73633-9" TargetMode="External"/><Relationship Id="rId534" Type="http://schemas.openxmlformats.org/officeDocument/2006/relationships/hyperlink" Target="https://www.nature.com/articles/s41467-026-73600-4" TargetMode="External"/><Relationship Id="rId535" Type="http://schemas.openxmlformats.org/officeDocument/2006/relationships/hyperlink" Target="https://www.nature.com/articles/s41467-026-73641-9" TargetMode="External"/><Relationship Id="rId536" Type="http://schemas.openxmlformats.org/officeDocument/2006/relationships/hyperlink" Target="https://www.nature.com/articles/s41467-026-73427-z" TargetMode="External"/><Relationship Id="rId537" Type="http://schemas.openxmlformats.org/officeDocument/2006/relationships/hyperlink" Target="https://www.nature.com/articles/s44359-026-00173-2" TargetMode="External"/><Relationship Id="rId538" Type="http://schemas.openxmlformats.org/officeDocument/2006/relationships/hyperlink" Target="https://doi.org/10.1038/s44359-026-00173-2" TargetMode="External"/><Relationship Id="rId539" Type="http://schemas.openxmlformats.org/officeDocument/2006/relationships/hyperlink" Target="https://www.nature.com/articles/s41467-026-73621-z" TargetMode="External"/><Relationship Id="rId540" Type="http://schemas.openxmlformats.org/officeDocument/2006/relationships/hyperlink" Target="https://www.nature.com/articles/s41467-026-73684-y" TargetMode="External"/><Relationship Id="rId541" Type="http://schemas.openxmlformats.org/officeDocument/2006/relationships/hyperlink" Target="https://www.nature.com/articles/s41467-026-73540-z" TargetMode="External"/><Relationship Id="rId542" Type="http://schemas.openxmlformats.org/officeDocument/2006/relationships/hyperlink" Target="https://www.nature.com/articles/s41928-026-01641-0" TargetMode="External"/><Relationship Id="rId543" Type="http://schemas.openxmlformats.org/officeDocument/2006/relationships/hyperlink" Target="https://doi.org/10.1038/s41928-026-01641-0" TargetMode="External"/><Relationship Id="rId544" Type="http://schemas.openxmlformats.org/officeDocument/2006/relationships/hyperlink" Target="https://www.nature.com/articles/s41467-026-73608-w" TargetMode="External"/><Relationship Id="rId545" Type="http://schemas.openxmlformats.org/officeDocument/2006/relationships/hyperlink" Target="https://www.nature.com/articles/s41467-026-73736-3" TargetMode="External"/><Relationship Id="rId546" Type="http://schemas.openxmlformats.org/officeDocument/2006/relationships/hyperlink" Target="https://www.nature.com/articles/s41467-026-73049-5" TargetMode="External"/><Relationship Id="rId547" Type="http://schemas.openxmlformats.org/officeDocument/2006/relationships/hyperlink" Target="https://www.nature.com/articles/s41467-026-73382-9" TargetMode="External"/><Relationship Id="rId548" Type="http://schemas.openxmlformats.org/officeDocument/2006/relationships/hyperlink" Target="https://www.nature.com/articles/s41467-026-73387-4" TargetMode="External"/><Relationship Id="rId549" Type="http://schemas.openxmlformats.org/officeDocument/2006/relationships/hyperlink" Target="https://www.nature.com/articles/s41467-026-73745-2" TargetMode="External"/><Relationship Id="rId550" Type="http://schemas.openxmlformats.org/officeDocument/2006/relationships/hyperlink" Target="https://www.nature.com/articles/s41467-026-73397-2" TargetMode="External"/><Relationship Id="rId551" Type="http://schemas.openxmlformats.org/officeDocument/2006/relationships/hyperlink" Target="https://www.nature.com/articles/s41467-026-73458-6" TargetMode="External"/><Relationship Id="rId552" Type="http://schemas.openxmlformats.org/officeDocument/2006/relationships/hyperlink" Target="https://www.nature.com/articles/s41467-026-73472-8" TargetMode="External"/><Relationship Id="rId553" Type="http://schemas.openxmlformats.org/officeDocument/2006/relationships/hyperlink" Target="https://www.nature.com/articles/s41467-026-73654-4" TargetMode="External"/><Relationship Id="rId554" Type="http://schemas.openxmlformats.org/officeDocument/2006/relationships/hyperlink" Target="https://www.nature.com/articles/s41467-026-73639-3" TargetMode="External"/><Relationship Id="rId555" Type="http://schemas.openxmlformats.org/officeDocument/2006/relationships/hyperlink" Target="https://www.nature.com/articles/s41467-026-73567-2" TargetMode="External"/><Relationship Id="rId556" Type="http://schemas.openxmlformats.org/officeDocument/2006/relationships/hyperlink" Target="https://www.nature.com/articles/s41467-026-73574-3" TargetMode="External"/><Relationship Id="rId557" Type="http://schemas.openxmlformats.org/officeDocument/2006/relationships/hyperlink" Target="https://www.nature.com/articles/s41467-026-73568-1" TargetMode="External"/><Relationship Id="rId558" Type="http://schemas.openxmlformats.org/officeDocument/2006/relationships/hyperlink" Target="https://www.nature.com/articles/s41467-026-73506-1" TargetMode="External"/><Relationship Id="rId559" Type="http://schemas.openxmlformats.org/officeDocument/2006/relationships/hyperlink" Target="https://www.nature.com/articles/s41467-026-73696-8" TargetMode="External"/><Relationship Id="rId560" Type="http://schemas.openxmlformats.org/officeDocument/2006/relationships/hyperlink" Target="https://advanced.onlinelibrary.wiley.com/doi/10.1002/adma.73492?af=R" TargetMode="External"/><Relationship Id="rId561" Type="http://schemas.openxmlformats.org/officeDocument/2006/relationships/hyperlink" Target="https://doi.org/10.1002/adma.73492" TargetMode="External"/><Relationship Id="rId562" Type="http://schemas.openxmlformats.org/officeDocument/2006/relationships/hyperlink" Target="https://advanced.onlinelibrary.wiley.com/doi/10.1002/adma.73491?af=R" TargetMode="External"/><Relationship Id="rId563" Type="http://schemas.openxmlformats.org/officeDocument/2006/relationships/hyperlink" Target="https://doi.org/10.1002/adma.73491" TargetMode="External"/><Relationship Id="rId564" Type="http://schemas.openxmlformats.org/officeDocument/2006/relationships/hyperlink" Target="https://advanced.onlinelibrary.wiley.com/doi/10.1002/aenm.71114?af=R" TargetMode="External"/><Relationship Id="rId565" Type="http://schemas.openxmlformats.org/officeDocument/2006/relationships/hyperlink" Target="https://doi.org/10.1002/aenm.71114" TargetMode="External"/><Relationship Id="rId566" Type="http://schemas.openxmlformats.org/officeDocument/2006/relationships/hyperlink" Target="https://www.pnas.org/doi/abs/10.1073/pnas.2531920123?mi=eymic2&amp;af=R&amp;access=on&amp;content=articlesChapters&amp;publication=pnas&amp;sortBy=Earliest&amp;target=default" TargetMode="External"/><Relationship Id="rId567" Type="http://schemas.openxmlformats.org/officeDocument/2006/relationships/hyperlink" Target="https://doi.org/10.1073/pnas.2531920123" TargetMode="External"/><Relationship Id="rId568" Type="http://schemas.openxmlformats.org/officeDocument/2006/relationships/hyperlink" Target="https://www.pnas.org/doi/abs/10.1073/pnas.2531932123?mi=eymic2&amp;af=R&amp;access=on&amp;content=articlesChapters&amp;publication=pnas&amp;sortBy=Earliest&amp;target=default" TargetMode="External"/><Relationship Id="rId569" Type="http://schemas.openxmlformats.org/officeDocument/2006/relationships/hyperlink" Target="https://doi.org/10.1073/pnas.2531932123" TargetMode="External"/><Relationship Id="rId570" Type="http://schemas.openxmlformats.org/officeDocument/2006/relationships/hyperlink" Target="https://www.pnas.org/doi/abs/10.1073/pnas.2601534123?mi=eymic2&amp;af=R&amp;access=on&amp;content=articlesChapters&amp;publication=pnas&amp;sortBy=Earliest&amp;target=default" TargetMode="External"/><Relationship Id="rId571" Type="http://schemas.openxmlformats.org/officeDocument/2006/relationships/hyperlink" Target="https://doi.org/10.1073/pnas.2601534123" TargetMode="External"/><Relationship Id="rId572" Type="http://schemas.openxmlformats.org/officeDocument/2006/relationships/hyperlink" Target="https://www.pnas.org/doi/abs/10.1073/pnas.2610121123?mi=eymic2&amp;af=R&amp;access=on&amp;content=articlesChapters&amp;publication=pnas&amp;sortBy=Earliest&amp;target=default" TargetMode="External"/><Relationship Id="rId573" Type="http://schemas.openxmlformats.org/officeDocument/2006/relationships/hyperlink" Target="https://doi.org/10.1073/pnas.2610121123" TargetMode="External"/><Relationship Id="rId574" Type="http://schemas.openxmlformats.org/officeDocument/2006/relationships/hyperlink" Target="https://www.pnas.org/doi/abs/10.1073/pnas.2607049123?mi=eymic2&amp;af=R&amp;access=on&amp;content=articlesChapters&amp;publication=pnas&amp;sortBy=Earliest&amp;target=default" TargetMode="External"/><Relationship Id="rId575" Type="http://schemas.openxmlformats.org/officeDocument/2006/relationships/hyperlink" Target="https://doi.org/10.1073/pnas.2607049123" TargetMode="External"/><Relationship Id="rId576" Type="http://schemas.openxmlformats.org/officeDocument/2006/relationships/hyperlink" Target="https://www.pnas.org/doi/abs/10.1073/pnas.2606868123?mi=eymic2&amp;af=R&amp;access=on&amp;content=articlesChapters&amp;publication=pnas&amp;sortBy=Earliest&amp;target=default" TargetMode="External"/><Relationship Id="rId577" Type="http://schemas.openxmlformats.org/officeDocument/2006/relationships/hyperlink" Target="https://doi.org/10.1073/pnas.2606868123" TargetMode="External"/><Relationship Id="rId578" Type="http://schemas.openxmlformats.org/officeDocument/2006/relationships/hyperlink" Target="https://www.pnas.org/doi/abs/10.1073/pnas.2605194123?mi=eymic2&amp;af=R&amp;access=on&amp;content=articlesChapters&amp;publication=pnas&amp;sortBy=Earliest&amp;target=default" TargetMode="External"/><Relationship Id="rId579" Type="http://schemas.openxmlformats.org/officeDocument/2006/relationships/hyperlink" Target="https://doi.org/10.1073/pnas.2605194123" TargetMode="External"/><Relationship Id="rId580" Type="http://schemas.openxmlformats.org/officeDocument/2006/relationships/hyperlink" Target="https://www.pnas.org/doi/abs/10.1073/pnas.2603282123?mi=eymic2&amp;af=R&amp;access=on&amp;content=articlesChapters&amp;publication=pnas&amp;sortBy=Earliest&amp;target=default" TargetMode="External"/><Relationship Id="rId581" Type="http://schemas.openxmlformats.org/officeDocument/2006/relationships/hyperlink" Target="https://doi.org/10.1073/pnas.2603282123" TargetMode="External"/><Relationship Id="rId582" Type="http://schemas.openxmlformats.org/officeDocument/2006/relationships/hyperlink" Target="https://www.pnas.org/doi/abs/10.1073/pnas.2531407123?mi=eymic2&amp;af=R&amp;access=on&amp;content=articlesChapters&amp;publication=pnas&amp;sortBy=Earliest&amp;target=default" TargetMode="External"/><Relationship Id="rId583" Type="http://schemas.openxmlformats.org/officeDocument/2006/relationships/hyperlink" Target="https://doi.org/10.1073/pnas.2531407123" TargetMode="External"/><Relationship Id="rId584" Type="http://schemas.openxmlformats.org/officeDocument/2006/relationships/hyperlink" Target="https://www.pnas.org/doi/abs/10.1073/pnas.2601239123?mi=eymic2&amp;af=R&amp;access=on&amp;content=articlesChapters&amp;publication=pnas&amp;sortBy=Earliest&amp;target=default" TargetMode="External"/><Relationship Id="rId585" Type="http://schemas.openxmlformats.org/officeDocument/2006/relationships/hyperlink" Target="https://doi.org/10.1073/pnas.2601239123" TargetMode="External"/><Relationship Id="rId586" Type="http://schemas.openxmlformats.org/officeDocument/2006/relationships/hyperlink" Target="https://www.pnas.org/doi/abs/10.1073/pnas.2421731122?mi=eymic2&amp;af=R&amp;access=on&amp;content=articlesChapters&amp;publication=pnas&amp;sortBy=Earliest&amp;target=default" TargetMode="External"/><Relationship Id="rId587" Type="http://schemas.openxmlformats.org/officeDocument/2006/relationships/hyperlink" Target="https://doi.org/10.1073/pnas.2421731122" TargetMode="External"/><Relationship Id="rId588" Type="http://schemas.openxmlformats.org/officeDocument/2006/relationships/hyperlink" Target="https://www.pnas.org/doi/abs/10.1073/pnas.2537944123?mi=eymic2&amp;af=R&amp;access=on&amp;content=articlesChapters&amp;publication=pnas&amp;sortBy=Earliest&amp;target=default" TargetMode="External"/><Relationship Id="rId589" Type="http://schemas.openxmlformats.org/officeDocument/2006/relationships/hyperlink" Target="https://doi.org/10.1073/pnas.2537944123" TargetMode="External"/><Relationship Id="rId590" Type="http://schemas.openxmlformats.org/officeDocument/2006/relationships/hyperlink" Target="https://www.pnas.org/doi/abs/10.1073/pnas.2536003123?mi=eymic2&amp;af=R&amp;access=on&amp;content=articlesChapters&amp;publication=pnas&amp;sortBy=Earliest&amp;target=default" TargetMode="External"/><Relationship Id="rId591" Type="http://schemas.openxmlformats.org/officeDocument/2006/relationships/hyperlink" Target="https://doi.org/10.1073/pnas.2536003123" TargetMode="External"/><Relationship Id="rId592" Type="http://schemas.openxmlformats.org/officeDocument/2006/relationships/hyperlink" Target="https://www.pnas.org/doi/abs/10.1073/pnas.2535714123?mi=eymic2&amp;af=R&amp;access=on&amp;content=articlesChapters&amp;publication=pnas&amp;sortBy=Earliest&amp;target=default" TargetMode="External"/><Relationship Id="rId593" Type="http://schemas.openxmlformats.org/officeDocument/2006/relationships/hyperlink" Target="https://doi.org/10.1073/pnas.2535714123" TargetMode="External"/><Relationship Id="rId594" Type="http://schemas.openxmlformats.org/officeDocument/2006/relationships/hyperlink" Target="https://www.pnas.org/doi/abs/10.1073/pnas.2535704123?mi=eymic2&amp;af=R&amp;access=on&amp;content=articlesChapters&amp;publication=pnas&amp;sortBy=Earliest&amp;target=default" TargetMode="External"/><Relationship Id="rId595" Type="http://schemas.openxmlformats.org/officeDocument/2006/relationships/hyperlink" Target="https://doi.org/10.1073/pnas.2535704123" TargetMode="External"/><Relationship Id="rId596" Type="http://schemas.openxmlformats.org/officeDocument/2006/relationships/hyperlink" Target="https://www.pnas.org/doi/abs/10.1073/pnas.2535412123?mi=eymic2&amp;af=R&amp;access=on&amp;content=articlesChapters&amp;publication=pnas&amp;sortBy=Earliest&amp;target=default" TargetMode="External"/><Relationship Id="rId597" Type="http://schemas.openxmlformats.org/officeDocument/2006/relationships/hyperlink" Target="https://doi.org/10.1073/pnas.2535412123" TargetMode="External"/><Relationship Id="rId598" Type="http://schemas.openxmlformats.org/officeDocument/2006/relationships/hyperlink" Target="https://www.pnas.org/doi/abs/10.1073/pnas.2535311123?mi=eymic2&amp;af=R&amp;access=on&amp;content=articlesChapters&amp;publication=pnas&amp;sortBy=Earliest&amp;target=default" TargetMode="External"/><Relationship Id="rId599" Type="http://schemas.openxmlformats.org/officeDocument/2006/relationships/hyperlink" Target="https://doi.org/10.1073/pnas.2535311123" TargetMode="External"/><Relationship Id="rId600" Type="http://schemas.openxmlformats.org/officeDocument/2006/relationships/hyperlink" Target="https://www.pnas.org/doi/abs/10.1073/pnas.2535192123?mi=eymic2&amp;af=R&amp;access=on&amp;content=articlesChapters&amp;publication=pnas&amp;sortBy=Earliest&amp;target=default" TargetMode="External"/><Relationship Id="rId601" Type="http://schemas.openxmlformats.org/officeDocument/2006/relationships/hyperlink" Target="https://doi.org/10.1073/pnas.2535192123" TargetMode="External"/><Relationship Id="rId602" Type="http://schemas.openxmlformats.org/officeDocument/2006/relationships/hyperlink" Target="https://www.pnas.org/doi/abs/10.1073/pnas.2534913123?mi=eymic2&amp;af=R&amp;access=on&amp;content=articlesChapters&amp;publication=pnas&amp;sortBy=Earliest&amp;target=default" TargetMode="External"/><Relationship Id="rId603" Type="http://schemas.openxmlformats.org/officeDocument/2006/relationships/hyperlink" Target="https://doi.org/10.1073/pnas.2534913123" TargetMode="External"/><Relationship Id="rId604" Type="http://schemas.openxmlformats.org/officeDocument/2006/relationships/hyperlink" Target="https://www.pnas.org/doi/abs/10.1073/pnas.2616031123?mi=eymic2&amp;af=R&amp;access=on&amp;content=articlesChapters&amp;publication=pnas&amp;sortBy=Earliest&amp;target=default" TargetMode="External"/><Relationship Id="rId605" Type="http://schemas.openxmlformats.org/officeDocument/2006/relationships/hyperlink" Target="https://doi.org/10.1073/pnas.2616031123" TargetMode="External"/><Relationship Id="rId606" Type="http://schemas.openxmlformats.org/officeDocument/2006/relationships/hyperlink" Target="https://www.pnas.org/doi/abs/10.1073/pnas.2610187123?mi=eymic2&amp;af=R&amp;access=on&amp;content=articlesChapters&amp;publication=pnas&amp;sortBy=Earliest&amp;target=default" TargetMode="External"/><Relationship Id="rId607" Type="http://schemas.openxmlformats.org/officeDocument/2006/relationships/hyperlink" Target="https://doi.org/10.1073/pnas.2610187123" TargetMode="External"/><Relationship Id="rId608" Type="http://schemas.openxmlformats.org/officeDocument/2006/relationships/hyperlink" Target="https://www.pnas.org/doi/abs/10.1073/pnas.2528977123?mi=eymic2&amp;af=R&amp;access=on&amp;content=articlesChapters&amp;publication=pnas&amp;sortBy=Earliest&amp;target=default" TargetMode="External"/><Relationship Id="rId609" Type="http://schemas.openxmlformats.org/officeDocument/2006/relationships/hyperlink" Target="https://doi.org/10.1073/pnas.2528977123" TargetMode="External"/><Relationship Id="rId610" Type="http://schemas.openxmlformats.org/officeDocument/2006/relationships/hyperlink" Target="https://www.pnas.org/doi/abs/10.1073/pnas.2601012123?mi=eymic2&amp;af=R&amp;access=on&amp;content=articlesChapters&amp;publication=pnas&amp;sortBy=Earliest&amp;target=default" TargetMode="External"/><Relationship Id="rId611" Type="http://schemas.openxmlformats.org/officeDocument/2006/relationships/hyperlink" Target="https://doi.org/10.1073/pnas.2601012123" TargetMode="External"/><Relationship Id="rId612" Type="http://schemas.openxmlformats.org/officeDocument/2006/relationships/hyperlink" Target="https://www.pnas.org/doi/abs/10.1073/pnas.2610820123?mi=eymic2&amp;af=R&amp;access=on&amp;content=articlesChapters&amp;publication=pnas&amp;sortBy=Earliest&amp;target=default" TargetMode="External"/><Relationship Id="rId613" Type="http://schemas.openxmlformats.org/officeDocument/2006/relationships/hyperlink" Target="https://doi.org/10.1073/pnas.2610820123" TargetMode="External"/><Relationship Id="rId614" Type="http://schemas.openxmlformats.org/officeDocument/2006/relationships/hyperlink" Target="https://www.pnas.org/doi/abs/10.1073/pnas.2517683123?mi=eymic2&amp;af=R&amp;access=on&amp;content=articlesChapters&amp;publication=pnas&amp;sortBy=Earliest&amp;target=default" TargetMode="External"/><Relationship Id="rId615" Type="http://schemas.openxmlformats.org/officeDocument/2006/relationships/hyperlink" Target="https://doi.org/10.1073/pnas.2517683123" TargetMode="External"/><Relationship Id="rId616" Type="http://schemas.openxmlformats.org/officeDocument/2006/relationships/hyperlink" Target="https://www.pnas.org/doi/abs/10.1073/pnas.2611973123?mi=eymic2&amp;af=R&amp;access=on&amp;content=articlesChapters&amp;publication=pnas&amp;sortBy=Earliest&amp;target=default" TargetMode="External"/><Relationship Id="rId617" Type="http://schemas.openxmlformats.org/officeDocument/2006/relationships/hyperlink" Target="https://doi.org/10.1073/pnas.2611973123" TargetMode="External"/><Relationship Id="rId618" Type="http://schemas.openxmlformats.org/officeDocument/2006/relationships/hyperlink" Target="https://www.pnas.org/doi/abs/10.1073/pnas.2424377123?mi=eymic2&amp;af=R&amp;access=on&amp;content=articlesChapters&amp;publication=pnas&amp;sortBy=Earliest&amp;target=default" TargetMode="External"/><Relationship Id="rId619" Type="http://schemas.openxmlformats.org/officeDocument/2006/relationships/hyperlink" Target="https://doi.org/10.1073/pnas.2424377123" TargetMode="External"/><Relationship Id="rId620" Type="http://schemas.openxmlformats.org/officeDocument/2006/relationships/hyperlink" Target="https://www.pnas.org/doi/abs/10.1073/pnas.2522069123?mi=eymic2&amp;af=R&amp;access=on&amp;content=articlesChapters&amp;publication=pnas&amp;sortBy=Earliest&amp;target=default" TargetMode="External"/><Relationship Id="rId621" Type="http://schemas.openxmlformats.org/officeDocument/2006/relationships/hyperlink" Target="https://doi.org/10.1073/pnas.2522069123" TargetMode="External"/><Relationship Id="rId622" Type="http://schemas.openxmlformats.org/officeDocument/2006/relationships/hyperlink" Target="https://www.pnas.org/doi/abs/10.1073/pnas.2522071123?mi=eymic2&amp;af=R&amp;access=on&amp;content=articlesChapters&amp;publication=pnas&amp;sortBy=Earliest&amp;target=default" TargetMode="External"/><Relationship Id="rId623" Type="http://schemas.openxmlformats.org/officeDocument/2006/relationships/hyperlink" Target="https://doi.org/10.1073/pnas.2522071123" TargetMode="External"/><Relationship Id="rId624" Type="http://schemas.openxmlformats.org/officeDocument/2006/relationships/hyperlink" Target="https://www.pnas.org/doi/abs/10.1073/pnas.2525164123?mi=eymic2&amp;af=R&amp;access=on&amp;content=articlesChapters&amp;publication=pnas&amp;sortBy=Earliest&amp;target=default" TargetMode="External"/><Relationship Id="rId625" Type="http://schemas.openxmlformats.org/officeDocument/2006/relationships/hyperlink" Target="https://doi.org/10.1073/pnas.2525164123" TargetMode="External"/><Relationship Id="rId626" Type="http://schemas.openxmlformats.org/officeDocument/2006/relationships/hyperlink" Target="https://www.pnas.org/doi/abs/10.1073/pnas.2522073123?mi=eymic2&amp;af=R&amp;access=on&amp;content=articlesChapters&amp;publication=pnas&amp;sortBy=Earliest&amp;target=default" TargetMode="External"/><Relationship Id="rId627" Type="http://schemas.openxmlformats.org/officeDocument/2006/relationships/hyperlink" Target="https://doi.org/10.1073/pnas.2522073123" TargetMode="External"/><Relationship Id="rId628" Type="http://schemas.openxmlformats.org/officeDocument/2006/relationships/hyperlink" Target="https://www.pnas.org/doi/abs/10.1073/pnas.2530750123?mi=eymic2&amp;af=R&amp;access=on&amp;content=articlesChapters&amp;publication=pnas&amp;sortBy=Earliest&amp;target=default" TargetMode="External"/><Relationship Id="rId629" Type="http://schemas.openxmlformats.org/officeDocument/2006/relationships/hyperlink" Target="https://doi.org/10.1073/pnas.2530750123" TargetMode="External"/><Relationship Id="rId630" Type="http://schemas.openxmlformats.org/officeDocument/2006/relationships/hyperlink" Target="https://www.pnas.org/doi/abs/10.1073/pnas.2522754123?mi=eymic2&amp;af=R&amp;access=on&amp;content=articlesChapters&amp;publication=pnas&amp;sortBy=Earliest&amp;target=default" TargetMode="External"/><Relationship Id="rId631" Type="http://schemas.openxmlformats.org/officeDocument/2006/relationships/hyperlink" Target="https://doi.org/10.1073/pnas.2522754123" TargetMode="External"/><Relationship Id="rId632" Type="http://schemas.openxmlformats.org/officeDocument/2006/relationships/hyperlink" Target="https://www.pnas.org/doi/abs/10.1073/pnas.2522068123?mi=eymic2&amp;af=R&amp;access=on&amp;content=articlesChapters&amp;publication=pnas&amp;sortBy=Earliest&amp;target=default" TargetMode="External"/><Relationship Id="rId633" Type="http://schemas.openxmlformats.org/officeDocument/2006/relationships/hyperlink" Target="https://doi.org/10.1073/pnas.2522068123" TargetMode="External"/><Relationship Id="rId634" Type="http://schemas.openxmlformats.org/officeDocument/2006/relationships/hyperlink" Target="https://www.pnas.org/doi/abs/10.1073/pnas.2520561123?mi=eymic2&amp;af=R&amp;access=on&amp;content=articlesChapters&amp;publication=pnas&amp;sortBy=Earliest&amp;target=default" TargetMode="External"/><Relationship Id="rId635" Type="http://schemas.openxmlformats.org/officeDocument/2006/relationships/hyperlink" Target="https://doi.org/10.1073/pnas.2520561123" TargetMode="External"/><Relationship Id="rId636" Type="http://schemas.openxmlformats.org/officeDocument/2006/relationships/hyperlink" Target="https://www.pnas.org/doi/abs/10.1073/pnas.2522067123?mi=eymic2&amp;af=R&amp;access=on&amp;content=articlesChapters&amp;publication=pnas&amp;sortBy=Earliest&amp;target=default" TargetMode="External"/><Relationship Id="rId637" Type="http://schemas.openxmlformats.org/officeDocument/2006/relationships/hyperlink" Target="https://doi.org/10.1073/pnas.2522067123" TargetMode="External"/><Relationship Id="rId638" Type="http://schemas.openxmlformats.org/officeDocument/2006/relationships/hyperlink" Target="https://www.pnas.org/doi/abs/10.1073/pnas.2522065123?mi=eymic2&amp;af=R&amp;access=on&amp;content=articlesChapters&amp;publication=pnas&amp;sortBy=Earliest&amp;target=default" TargetMode="External"/><Relationship Id="rId639" Type="http://schemas.openxmlformats.org/officeDocument/2006/relationships/hyperlink" Target="https://doi.org/10.1073/pnas.2522065123" TargetMode="External"/><Relationship Id="rId640" Type="http://schemas.openxmlformats.org/officeDocument/2006/relationships/hyperlink" Target="https://www.pnas.org/doi/abs/10.1073/pnas.2522064123?mi=eymic2&amp;af=R&amp;access=on&amp;content=articlesChapters&amp;publication=pnas&amp;sortBy=Earliest&amp;target=default" TargetMode="External"/><Relationship Id="rId641" Type="http://schemas.openxmlformats.org/officeDocument/2006/relationships/hyperlink" Target="https://doi.org/10.1073/pnas.2522064123" TargetMode="External"/><Relationship Id="rId642" Type="http://schemas.openxmlformats.org/officeDocument/2006/relationships/hyperlink" Target="https://www.pnas.org/doi/abs/10.1073/pnas.2522063123?mi=eymic2&amp;af=R&amp;access=on&amp;content=articlesChapters&amp;publication=pnas&amp;sortBy=Earliest&amp;target=default" TargetMode="External"/><Relationship Id="rId643" Type="http://schemas.openxmlformats.org/officeDocument/2006/relationships/hyperlink" Target="https://doi.org/10.1073/pnas.2522063123" TargetMode="External"/><Relationship Id="rId644" Type="http://schemas.openxmlformats.org/officeDocument/2006/relationships/hyperlink" Target="https://www.pnas.org/doi/abs/10.1073/pnas.2518376123?mi=eymic2&amp;af=R&amp;access=on&amp;content=articlesChapters&amp;publication=pnas&amp;sortBy=Earliest&amp;target=default" TargetMode="External"/><Relationship Id="rId645" Type="http://schemas.openxmlformats.org/officeDocument/2006/relationships/hyperlink" Target="https://doi.org/10.1073/pnas.2518376123" TargetMode="External"/><Relationship Id="rId646" Type="http://schemas.openxmlformats.org/officeDocument/2006/relationships/hyperlink" Target="https://www.pnas.org/doi/abs/10.1073/pnas.2533420123?mi=eymic2&amp;af=R&amp;access=on&amp;content=articlesChapters&amp;publication=pnas&amp;sortBy=Earliest&amp;target=default" TargetMode="External"/><Relationship Id="rId647" Type="http://schemas.openxmlformats.org/officeDocument/2006/relationships/hyperlink" Target="https://doi.org/10.1073/pnas.2533420123" TargetMode="External"/><Relationship Id="rId648" Type="http://schemas.openxmlformats.org/officeDocument/2006/relationships/hyperlink" Target="https://www.pnas.org/doi/abs/10.1073/pnas.2516655123?mi=eymic2&amp;af=R&amp;access=on&amp;content=articlesChapters&amp;publication=pnas&amp;sortBy=Earliest&amp;target=default" TargetMode="External"/><Relationship Id="rId649" Type="http://schemas.openxmlformats.org/officeDocument/2006/relationships/hyperlink" Target="https://doi.org/10.1073/pnas.2516655123" TargetMode="External"/><Relationship Id="rId650" Type="http://schemas.openxmlformats.org/officeDocument/2006/relationships/hyperlink" Target="https://www.pnas.org/doi/abs/10.1073/pnas.2524894123?mi=eymic2&amp;af=R&amp;access=on&amp;content=articlesChapters&amp;publication=pnas&amp;sortBy=Earliest&amp;target=default" TargetMode="External"/><Relationship Id="rId651" Type="http://schemas.openxmlformats.org/officeDocument/2006/relationships/hyperlink" Target="https://doi.org/10.1073/pnas.2524894123" TargetMode="External"/><Relationship Id="rId652" Type="http://schemas.openxmlformats.org/officeDocument/2006/relationships/hyperlink" Target="https://www.pnas.org/doi/abs/10.1073/pnas.2525381123?mi=eymic2&amp;af=R&amp;access=on&amp;content=articlesChapters&amp;publication=pnas&amp;sortBy=Earliest&amp;target=default" TargetMode="External"/><Relationship Id="rId653" Type="http://schemas.openxmlformats.org/officeDocument/2006/relationships/hyperlink" Target="https://doi.org/10.1073/pnas.2525381123" TargetMode="External"/><Relationship Id="rId654" Type="http://schemas.openxmlformats.org/officeDocument/2006/relationships/hyperlink" Target="https://www.pnas.org/doi/abs/10.1073/pnas.2528144123?mi=eymic2&amp;af=R&amp;access=on&amp;content=articlesChapters&amp;publication=pnas&amp;sortBy=Earliest&amp;target=default" TargetMode="External"/><Relationship Id="rId655" Type="http://schemas.openxmlformats.org/officeDocument/2006/relationships/hyperlink" Target="https://doi.org/10.1073/pnas.2528144123" TargetMode="External"/><Relationship Id="rId656" Type="http://schemas.openxmlformats.org/officeDocument/2006/relationships/hyperlink" Target="https://www.pnas.org/doi/abs/10.1073/pnas.2612819123?mi=eymic2&amp;af=R&amp;access=on&amp;content=articlesChapters&amp;publication=pnas&amp;sortBy=Earliest&amp;target=default" TargetMode="External"/><Relationship Id="rId657" Type="http://schemas.openxmlformats.org/officeDocument/2006/relationships/hyperlink" Target="https://doi.org/10.1073/pnas.2612819123" TargetMode="External"/><Relationship Id="rId658" Type="http://schemas.openxmlformats.org/officeDocument/2006/relationships/hyperlink" Target="https://www.pnas.org/doi/abs/10.1073/pnas.2612681123?mi=eymic2&amp;af=R&amp;access=on&amp;content=articlesChapters&amp;publication=pnas&amp;sortBy=Earliest&amp;target=default" TargetMode="External"/><Relationship Id="rId659" Type="http://schemas.openxmlformats.org/officeDocument/2006/relationships/hyperlink" Target="https://doi.org/10.1073/pnas.2612681123" TargetMode="External"/><Relationship Id="rId660" Type="http://schemas.openxmlformats.org/officeDocument/2006/relationships/hyperlink" Target="https://www.pnas.org/doi/abs/10.1073/pnas.2612489123?mi=eymic2&amp;af=R&amp;access=on&amp;content=articlesChapters&amp;publication=pnas&amp;sortBy=Earliest&amp;target=default" TargetMode="External"/><Relationship Id="rId661" Type="http://schemas.openxmlformats.org/officeDocument/2006/relationships/hyperlink" Target="https://doi.org/10.1073/pnas.2612489123" TargetMode="External"/><Relationship Id="rId662" Type="http://schemas.openxmlformats.org/officeDocument/2006/relationships/hyperlink" Target="https://www.pnas.org/doi/abs/10.1073/pnas.2610968123?mi=eymic2&amp;af=R&amp;access=on&amp;content=articlesChapters&amp;publication=pnas&amp;sortBy=Earliest&amp;target=default" TargetMode="External"/><Relationship Id="rId663" Type="http://schemas.openxmlformats.org/officeDocument/2006/relationships/hyperlink" Target="https://doi.org/10.1073/pnas.2610968123" TargetMode="External"/><Relationship Id="rId664" Type="http://schemas.openxmlformats.org/officeDocument/2006/relationships/hyperlink" Target="https://www.pnas.org/doi/abs/10.1073/pnas.2522077123?mi=eymic2&amp;af=R&amp;access=on&amp;content=articlesChapters&amp;publication=pnas&amp;sortBy=Earliest&amp;target=default" TargetMode="External"/><Relationship Id="rId665" Type="http://schemas.openxmlformats.org/officeDocument/2006/relationships/hyperlink" Target="https://doi.org/10.1073/pnas.2522077123" TargetMode="External"/><Relationship Id="rId666" Type="http://schemas.openxmlformats.org/officeDocument/2006/relationships/hyperlink" Target="https://www.pnas.org/doi/abs/10.1073/pnas.2534056123?mi=eymic2&amp;af=R&amp;access=on&amp;content=articlesChapters&amp;publication=pnas&amp;sortBy=Earliest&amp;target=default" TargetMode="External"/><Relationship Id="rId667" Type="http://schemas.openxmlformats.org/officeDocument/2006/relationships/hyperlink" Target="https://doi.org/10.1073/pnas.2534056123" TargetMode="External"/><Relationship Id="rId668" Type="http://schemas.openxmlformats.org/officeDocument/2006/relationships/hyperlink" Target="https://www.pnas.org/doi/abs/10.1073/iti2126123?mi=eymic2&amp;af=R&amp;access=on&amp;content=articlesChapters&amp;publication=pnas&amp;sortBy=Earliest&amp;target=default" TargetMode="External"/><Relationship Id="rId669" Type="http://schemas.openxmlformats.org/officeDocument/2006/relationships/hyperlink" Target="https://doi.org/10.1073/iti2126123" TargetMode="External"/><Relationship Id="rId670" Type="http://schemas.openxmlformats.org/officeDocument/2006/relationships/hyperlink" Target="https://advanced.onlinelibrary.wiley.com/doi/10.1002/adma.202521015?af=R" TargetMode="External"/><Relationship Id="rId671" Type="http://schemas.openxmlformats.org/officeDocument/2006/relationships/hyperlink" Target="https://doi.org/10.1002/adma.202521015" TargetMode="External"/><Relationship Id="rId672" Type="http://schemas.openxmlformats.org/officeDocument/2006/relationships/hyperlink" Target="https://advanced.onlinelibrary.wiley.com/doi/10.1002/adma.202522393?af=R" TargetMode="External"/><Relationship Id="rId673" Type="http://schemas.openxmlformats.org/officeDocument/2006/relationships/hyperlink" Target="https://doi.org/10.1002/adma.202522393" TargetMode="External"/><Relationship Id="rId674" Type="http://schemas.openxmlformats.org/officeDocument/2006/relationships/hyperlink" Target="https://advanced.onlinelibrary.wiley.com/doi/10.1002/adma.73495?af=R" TargetMode="External"/><Relationship Id="rId675" Type="http://schemas.openxmlformats.org/officeDocument/2006/relationships/hyperlink" Target="https://doi.org/10.1002/adma.73495" TargetMode="External"/><Relationship Id="rId676" Type="http://schemas.openxmlformats.org/officeDocument/2006/relationships/hyperlink" Target="http://dx.doi.org/10.1021/jacs.5c23095" TargetMode="External"/><Relationship Id="rId677" Type="http://schemas.openxmlformats.org/officeDocument/2006/relationships/hyperlink" Target="https://doi.org/10.1021/jacs.5c23095" TargetMode="External"/><Relationship Id="rId678" Type="http://schemas.openxmlformats.org/officeDocument/2006/relationships/hyperlink" Target="http://dx.doi.org/10.1021/jacs.6c04793" TargetMode="External"/><Relationship Id="rId679" Type="http://schemas.openxmlformats.org/officeDocument/2006/relationships/hyperlink" Target="https://doi.org/10.1021/jacs.6c04793" TargetMode="External"/><Relationship Id="rId680" Type="http://schemas.openxmlformats.org/officeDocument/2006/relationships/hyperlink" Target="http://dx.doi.org/10.1021/jacs.6c04335" TargetMode="External"/><Relationship Id="rId681" Type="http://schemas.openxmlformats.org/officeDocument/2006/relationships/hyperlink" Target="https://doi.org/10.1021/jacs.6c04335" TargetMode="External"/><Relationship Id="rId682" Type="http://schemas.openxmlformats.org/officeDocument/2006/relationships/hyperlink" Target="http://dx.doi.org/10.1021/jacs.6c03081" TargetMode="External"/><Relationship Id="rId683" Type="http://schemas.openxmlformats.org/officeDocument/2006/relationships/hyperlink" Target="https://doi.org/10.1021/jacs.6c03081" TargetMode="External"/><Relationship Id="rId684" Type="http://schemas.openxmlformats.org/officeDocument/2006/relationships/hyperlink" Target="http://dx.doi.org/10.1021/jacs.6c03342" TargetMode="External"/><Relationship Id="rId685" Type="http://schemas.openxmlformats.org/officeDocument/2006/relationships/hyperlink" Target="https://doi.org/10.1021/jacs.6c03342" TargetMode="External"/><Relationship Id="rId686" Type="http://schemas.openxmlformats.org/officeDocument/2006/relationships/hyperlink" Target="http://dx.doi.org/10.1021/jacs.6c08330" TargetMode="External"/><Relationship Id="rId687" Type="http://schemas.openxmlformats.org/officeDocument/2006/relationships/hyperlink" Target="https://doi.org/10.1021/jacs.6c08330" TargetMode="External"/><Relationship Id="rId688" Type="http://schemas.openxmlformats.org/officeDocument/2006/relationships/hyperlink" Target="http://dx.doi.org/10.1021/jacs.6c04749" TargetMode="External"/><Relationship Id="rId689" Type="http://schemas.openxmlformats.org/officeDocument/2006/relationships/hyperlink" Target="https://doi.org/10.1021/jacs.6c04749" TargetMode="External"/><Relationship Id="rId690" Type="http://schemas.openxmlformats.org/officeDocument/2006/relationships/hyperlink" Target="https://onlinelibrary.wiley.com/doi/10.1002/anie.5498199?af=R" TargetMode="External"/><Relationship Id="rId691" Type="http://schemas.openxmlformats.org/officeDocument/2006/relationships/hyperlink" Target="https://doi.org/10.1002/anie.5498199" TargetMode="External"/><Relationship Id="rId692" Type="http://schemas.openxmlformats.org/officeDocument/2006/relationships/hyperlink" Target="http://dx.doi.org/10.1021/jacs.6c05995" TargetMode="External"/><Relationship Id="rId693" Type="http://schemas.openxmlformats.org/officeDocument/2006/relationships/hyperlink" Target="https://doi.org/10.1021/jacs.6c05995" TargetMode="External"/><Relationship Id="rId694" Type="http://schemas.openxmlformats.org/officeDocument/2006/relationships/hyperlink" Target="https://onlinelibrary.wiley.com/doi/10.1002/anie.2267541?af=R" TargetMode="External"/><Relationship Id="rId695" Type="http://schemas.openxmlformats.org/officeDocument/2006/relationships/hyperlink" Target="https://doi.org/10.1002/anie.2267541" TargetMode="External"/><Relationship Id="rId696" Type="http://schemas.openxmlformats.org/officeDocument/2006/relationships/hyperlink" Target="https://onlinelibrary.wiley.com/doi/10.1002/anie.6891540?af=R" TargetMode="External"/><Relationship Id="rId697" Type="http://schemas.openxmlformats.org/officeDocument/2006/relationships/hyperlink" Target="https://doi.org/10.1002/anie.6891540" TargetMode="External"/><Relationship Id="rId698" Type="http://schemas.openxmlformats.org/officeDocument/2006/relationships/hyperlink" Target="https://onlinelibrary.wiley.com/doi/10.1002/anie.5527609?af=R" TargetMode="External"/><Relationship Id="rId699" Type="http://schemas.openxmlformats.org/officeDocument/2006/relationships/hyperlink" Target="https://doi.org/10.1002/anie.5527609" TargetMode="External"/><Relationship Id="rId700" Type="http://schemas.openxmlformats.org/officeDocument/2006/relationships/hyperlink" Target="https://onlinelibrary.wiley.com/doi/10.1002/anie.4704601?af=R" TargetMode="External"/><Relationship Id="rId701" Type="http://schemas.openxmlformats.org/officeDocument/2006/relationships/hyperlink" Target="https://doi.org/10.1002/anie.4704601" TargetMode="External"/><Relationship Id="rId702" Type="http://schemas.openxmlformats.org/officeDocument/2006/relationships/hyperlink" Target="https://onlinelibrary.wiley.com/doi/10.1002/anie.4171255?af=R" TargetMode="External"/><Relationship Id="rId703" Type="http://schemas.openxmlformats.org/officeDocument/2006/relationships/hyperlink" Target="https://doi.org/10.1002/anie.4171255" TargetMode="External"/><Relationship Id="rId704" Type="http://schemas.openxmlformats.org/officeDocument/2006/relationships/hyperlink" Target="https://onlinelibrary.wiley.com/doi/10.1002/anie.4675227?af=R" TargetMode="External"/><Relationship Id="rId705" Type="http://schemas.openxmlformats.org/officeDocument/2006/relationships/hyperlink" Target="https://doi.org/10.1002/anie.4675227" TargetMode="External"/><Relationship Id="rId706" Type="http://schemas.openxmlformats.org/officeDocument/2006/relationships/hyperlink" Target="https://onlinelibrary.wiley.com/doi/10.1002/anie.7507967?af=R" TargetMode="External"/><Relationship Id="rId707" Type="http://schemas.openxmlformats.org/officeDocument/2006/relationships/hyperlink" Target="https://doi.org/10.1002/anie.7507967" TargetMode="External"/><Relationship Id="rId708" Type="http://schemas.openxmlformats.org/officeDocument/2006/relationships/hyperlink" Target="https://onlinelibrary.wiley.com/doi/10.1002/anie.9580914?af=R" TargetMode="External"/><Relationship Id="rId709" Type="http://schemas.openxmlformats.org/officeDocument/2006/relationships/hyperlink" Target="https://doi.org/10.1002/anie.9580914" TargetMode="External"/><Relationship Id="rId710" Type="http://schemas.openxmlformats.org/officeDocument/2006/relationships/hyperlink" Target="https://onlinelibrary.wiley.com/doi/10.1002/anie.202525741?af=R" TargetMode="External"/><Relationship Id="rId711" Type="http://schemas.openxmlformats.org/officeDocument/2006/relationships/hyperlink" Target="https://doi.org/10.1002/anie.202525741" TargetMode="External"/><Relationship Id="rId712" Type="http://schemas.openxmlformats.org/officeDocument/2006/relationships/hyperlink" Target="https://onlinelibrary.wiley.com/doi/10.1002/anie.3738676?af=R" TargetMode="External"/><Relationship Id="rId713" Type="http://schemas.openxmlformats.org/officeDocument/2006/relationships/hyperlink" Target="https://doi.org/10.1002/anie.3738676" TargetMode="External"/><Relationship Id="rId714" Type="http://schemas.openxmlformats.org/officeDocument/2006/relationships/hyperlink" Target="https://onlinelibrary.wiley.com/doi/10.1002/anie.8791328?af=R" TargetMode="External"/><Relationship Id="rId715" Type="http://schemas.openxmlformats.org/officeDocument/2006/relationships/hyperlink" Target="https://doi.org/10.1002/anie.8791328" TargetMode="External"/><Relationship Id="rId716" Type="http://schemas.openxmlformats.org/officeDocument/2006/relationships/hyperlink" Target="http://dx.doi.org/10.1021/jacs.6c06543" TargetMode="External"/><Relationship Id="rId717" Type="http://schemas.openxmlformats.org/officeDocument/2006/relationships/hyperlink" Target="https://doi.org/10.1021/jacs.6c06543" TargetMode="External"/><Relationship Id="rId718" Type="http://schemas.openxmlformats.org/officeDocument/2006/relationships/hyperlink" Target="http://dx.doi.org/10.1021/acsenergylett.6c01004" TargetMode="External"/><Relationship Id="rId719" Type="http://schemas.openxmlformats.org/officeDocument/2006/relationships/hyperlink" Target="https://doi.org/10.1021/acsenergylett.6c01004" TargetMode="External"/><Relationship Id="rId720" Type="http://schemas.openxmlformats.org/officeDocument/2006/relationships/hyperlink" Target="https://onlinelibrary.wiley.com/doi/10.1002/anie.4274352?af=R" TargetMode="External"/><Relationship Id="rId721" Type="http://schemas.openxmlformats.org/officeDocument/2006/relationships/hyperlink" Target="https://doi.org/10.1002/anie.4274352" TargetMode="External"/><Relationship Id="rId722" Type="http://schemas.openxmlformats.org/officeDocument/2006/relationships/hyperlink" Target="https://onlinelibrary.wiley.com/doi/10.1002/anie.1446865?af=R" TargetMode="External"/><Relationship Id="rId723" Type="http://schemas.openxmlformats.org/officeDocument/2006/relationships/hyperlink" Target="https://doi.org/10.1002/anie.1446865" TargetMode="External"/><Relationship Id="rId724" Type="http://schemas.openxmlformats.org/officeDocument/2006/relationships/hyperlink" Target="https://onlinelibrary.wiley.com/doi/10.1002/anie.8358731?af=R" TargetMode="External"/><Relationship Id="rId725" Type="http://schemas.openxmlformats.org/officeDocument/2006/relationships/hyperlink" Target="https://doi.org/10.1002/anie.8358731" TargetMode="External"/><Relationship Id="rId726" Type="http://schemas.openxmlformats.org/officeDocument/2006/relationships/hyperlink" Target="https://onlinelibrary.wiley.com/doi/10.1002/anie.8043102?af=R" TargetMode="External"/><Relationship Id="rId727" Type="http://schemas.openxmlformats.org/officeDocument/2006/relationships/hyperlink" Target="https://doi.org/10.1002/anie.8043102" TargetMode="External"/><Relationship Id="rId728" Type="http://schemas.openxmlformats.org/officeDocument/2006/relationships/hyperlink" Target="http://dx.doi.org/10.1021/jacs.6c05771" TargetMode="External"/><Relationship Id="rId729" Type="http://schemas.openxmlformats.org/officeDocument/2006/relationships/hyperlink" Target="https://doi.org/10.1021/jacs.6c05771" TargetMode="External"/><Relationship Id="rId730" Type="http://schemas.openxmlformats.org/officeDocument/2006/relationships/hyperlink" Target="http://dx.doi.org/10.1021/jacs.6c06785" TargetMode="External"/><Relationship Id="rId731" Type="http://schemas.openxmlformats.org/officeDocument/2006/relationships/hyperlink" Target="https://doi.org/10.1021/jacs.6c06785" TargetMode="External"/><Relationship Id="rId732" Type="http://schemas.openxmlformats.org/officeDocument/2006/relationships/hyperlink" Target="http://pubs.rsc.org/en/Content/ArticleLanding/2026/CS/D6CS00071A" TargetMode="External"/><Relationship Id="rId733" Type="http://schemas.openxmlformats.org/officeDocument/2006/relationships/hyperlink" Target="http://pubs.rsc.org/en/Content/ArticleLanding/2026/CS/D5CS01298H" TargetMode="External"/><Relationship Id="rId734" Type="http://schemas.openxmlformats.org/officeDocument/2006/relationships/hyperlink" Target="https://www.nature.com/articles/s41586-026-10526-3" TargetMode="External"/><Relationship Id="rId735" Type="http://schemas.openxmlformats.org/officeDocument/2006/relationships/hyperlink" Target="https://doi.org/10.1038/s41586-026-10526-3" TargetMode="External"/><Relationship Id="rId736" Type="http://schemas.openxmlformats.org/officeDocument/2006/relationships/hyperlink" Target="https://www.nature.com/articles/s41586-026-10582-9" TargetMode="External"/><Relationship Id="rId737" Type="http://schemas.openxmlformats.org/officeDocument/2006/relationships/hyperlink" Target="https://doi.org/10.1038/s41586-026-10582-9" TargetMode="External"/><Relationship Id="rId738" Type="http://schemas.openxmlformats.org/officeDocument/2006/relationships/hyperlink" Target="https://www.nature.com/articles/s41586-026-10542-3" TargetMode="External"/><Relationship Id="rId739" Type="http://schemas.openxmlformats.org/officeDocument/2006/relationships/hyperlink" Target="https://doi.org/10.1038/s41586-026-10542-3" TargetMode="External"/><Relationship Id="rId740" Type="http://schemas.openxmlformats.org/officeDocument/2006/relationships/hyperlink" Target="https://www.nature.com/articles/s41586-026-10543-2" TargetMode="External"/><Relationship Id="rId741" Type="http://schemas.openxmlformats.org/officeDocument/2006/relationships/hyperlink" Target="https://doi.org/10.1038/s41586-026-10543-2" TargetMode="External"/><Relationship Id="rId742" Type="http://schemas.openxmlformats.org/officeDocument/2006/relationships/hyperlink" Target="https://www.nature.com/articles/s41586-026-10556-x" TargetMode="External"/><Relationship Id="rId743" Type="http://schemas.openxmlformats.org/officeDocument/2006/relationships/hyperlink" Target="https://doi.org/10.1038/s41586-026-10556-x" TargetMode="External"/><Relationship Id="rId744" Type="http://schemas.openxmlformats.org/officeDocument/2006/relationships/hyperlink" Target="https://www.nature.com/articles/s41565-026-02172-7" TargetMode="External"/><Relationship Id="rId745" Type="http://schemas.openxmlformats.org/officeDocument/2006/relationships/hyperlink" Target="https://doi.org/10.1038/s41565-026-02172-7" TargetMode="External"/><Relationship Id="rId746" Type="http://schemas.openxmlformats.org/officeDocument/2006/relationships/hyperlink" Target="https://www.nature.com/articles/s41560-026-02084-9" TargetMode="External"/><Relationship Id="rId747" Type="http://schemas.openxmlformats.org/officeDocument/2006/relationships/hyperlink" Target="https://doi.org/10.1038/s41560-026-02084-9" TargetMode="External"/><Relationship Id="rId748" Type="http://schemas.openxmlformats.org/officeDocument/2006/relationships/hyperlink" Target="https://www.nature.com/articles/s41560-026-02082-x" TargetMode="External"/><Relationship Id="rId749" Type="http://schemas.openxmlformats.org/officeDocument/2006/relationships/hyperlink" Target="https://doi.org/10.1038/s41560-026-02082-x" TargetMode="External"/><Relationship Id="rId750" Type="http://schemas.openxmlformats.org/officeDocument/2006/relationships/hyperlink" Target="https://www.nature.com/articles/s41560-026-02083-w" TargetMode="External"/><Relationship Id="rId751" Type="http://schemas.openxmlformats.org/officeDocument/2006/relationships/hyperlink" Target="https://doi.org/10.1038/s41560-026-02083-w" TargetMode="External"/><Relationship Id="rId752" Type="http://schemas.openxmlformats.org/officeDocument/2006/relationships/hyperlink" Target="https://www.nature.com/articles/s41893-026-01855-2" TargetMode="External"/><Relationship Id="rId753" Type="http://schemas.openxmlformats.org/officeDocument/2006/relationships/hyperlink" Target="https://doi.org/10.1038/s41893-026-01855-2" TargetMode="External"/><Relationship Id="rId754" Type="http://schemas.openxmlformats.org/officeDocument/2006/relationships/hyperlink" Target="https://www.nature.com/articles/s41563-026-02618-2" TargetMode="External"/><Relationship Id="rId755" Type="http://schemas.openxmlformats.org/officeDocument/2006/relationships/hyperlink" Target="https://doi.org/10.1038/s41563-026-02618-2" TargetMode="External"/><Relationship Id="rId756" Type="http://schemas.openxmlformats.org/officeDocument/2006/relationships/hyperlink" Target="https://www.nature.com/articles/s41586-026-10700-7" TargetMode="External"/><Relationship Id="rId757" Type="http://schemas.openxmlformats.org/officeDocument/2006/relationships/hyperlink" Target="https://doi.org/10.1038/s41586-026-10700-7" TargetMode="External"/><Relationship Id="rId758" Type="http://schemas.openxmlformats.org/officeDocument/2006/relationships/hyperlink" Target="https://www.nature.com/articles/s41586-026-10553-0" TargetMode="External"/><Relationship Id="rId759" Type="http://schemas.openxmlformats.org/officeDocument/2006/relationships/hyperlink" Target="https://doi.org/10.1038/s41586-026-10553-0" TargetMode="External"/><Relationship Id="rId760" Type="http://schemas.openxmlformats.org/officeDocument/2006/relationships/hyperlink" Target="https://www.nature.com/articles/d41586-026-01382-2" TargetMode="External"/><Relationship Id="rId761" Type="http://schemas.openxmlformats.org/officeDocument/2006/relationships/hyperlink" Target="https://doi.org/10.1038/d41586-026-01382-2" TargetMode="External"/><Relationship Id="rId762" Type="http://schemas.openxmlformats.org/officeDocument/2006/relationships/hyperlink" Target="https://www.nature.com/articles/s41586-026-10450-6" TargetMode="External"/><Relationship Id="rId763" Type="http://schemas.openxmlformats.org/officeDocument/2006/relationships/hyperlink" Target="https://doi.org/10.1038/s41586-026-10450-6" TargetMode="External"/><Relationship Id="rId764" Type="http://schemas.openxmlformats.org/officeDocument/2006/relationships/hyperlink" Target="https://www.nature.com/articles/s41586-026-10539-y" TargetMode="External"/><Relationship Id="rId765" Type="http://schemas.openxmlformats.org/officeDocument/2006/relationships/hyperlink" Target="https://doi.org/10.1038/s41586-026-10539-y" TargetMode="External"/><Relationship Id="rId766" Type="http://schemas.openxmlformats.org/officeDocument/2006/relationships/hyperlink" Target="https://www.nature.com/articles/s41586-026-10522-7" TargetMode="External"/><Relationship Id="rId767" Type="http://schemas.openxmlformats.org/officeDocument/2006/relationships/hyperlink" Target="https://doi.org/10.1038/s41586-026-10522-7" TargetMode="External"/><Relationship Id="rId768" Type="http://schemas.openxmlformats.org/officeDocument/2006/relationships/hyperlink" Target="https://www.nature.com/articles/s41586-026-10541-4" TargetMode="External"/><Relationship Id="rId769" Type="http://schemas.openxmlformats.org/officeDocument/2006/relationships/hyperlink" Target="https://doi.org/10.1038/s41586-026-10541-4" TargetMode="External"/><Relationship Id="rId770" Type="http://schemas.openxmlformats.org/officeDocument/2006/relationships/hyperlink" Target="https://www.nature.com/articles/s41586-026-10537-0" TargetMode="External"/><Relationship Id="rId771" Type="http://schemas.openxmlformats.org/officeDocument/2006/relationships/hyperlink" Target="https://doi.org/10.1038/s41586-026-10537-0" TargetMode="External"/><Relationship Id="rId772" Type="http://schemas.openxmlformats.org/officeDocument/2006/relationships/hyperlink" Target="https://www.nature.com/articles/s41586-026-10525-4" TargetMode="External"/><Relationship Id="rId773" Type="http://schemas.openxmlformats.org/officeDocument/2006/relationships/hyperlink" Target="https://doi.org/10.1038/s41586-026-10525-4" TargetMode="External"/><Relationship Id="rId774" Type="http://schemas.openxmlformats.org/officeDocument/2006/relationships/hyperlink" Target="https://www.nature.com/articles/s41586-026-10584-7" TargetMode="External"/><Relationship Id="rId775" Type="http://schemas.openxmlformats.org/officeDocument/2006/relationships/hyperlink" Target="https://doi.org/10.1038/s41586-026-10584-7" TargetMode="External"/><Relationship Id="rId776" Type="http://schemas.openxmlformats.org/officeDocument/2006/relationships/hyperlink" Target="https://www.nature.com/articles/s41586-026-10545-0" TargetMode="External"/><Relationship Id="rId777" Type="http://schemas.openxmlformats.org/officeDocument/2006/relationships/hyperlink" Target="https://doi.org/10.1038/s41586-026-10545-0" TargetMode="External"/><Relationship Id="rId778" Type="http://schemas.openxmlformats.org/officeDocument/2006/relationships/hyperlink" Target="https://www.nature.com/articles/s41586-026-10536-1" TargetMode="External"/><Relationship Id="rId779" Type="http://schemas.openxmlformats.org/officeDocument/2006/relationships/hyperlink" Target="https://doi.org/10.1038/s41586-026-10536-1" TargetMode="External"/><Relationship Id="rId780" Type="http://schemas.openxmlformats.org/officeDocument/2006/relationships/hyperlink" Target="https://www.nature.com/articles/s41586-026-10521-8" TargetMode="External"/><Relationship Id="rId781" Type="http://schemas.openxmlformats.org/officeDocument/2006/relationships/hyperlink" Target="https://doi.org/10.1038/s41586-026-10521-8" TargetMode="External"/><Relationship Id="rId782" Type="http://schemas.openxmlformats.org/officeDocument/2006/relationships/hyperlink" Target="https://www.nature.com/articles/s41586-026-10591-8" TargetMode="External"/><Relationship Id="rId783" Type="http://schemas.openxmlformats.org/officeDocument/2006/relationships/hyperlink" Target="https://doi.org/10.1038/s41586-026-10591-8" TargetMode="External"/><Relationship Id="rId784" Type="http://schemas.openxmlformats.org/officeDocument/2006/relationships/hyperlink" Target="https://www.nature.com/articles/s41467-026-73716-7" TargetMode="External"/><Relationship Id="rId785" Type="http://schemas.openxmlformats.org/officeDocument/2006/relationships/hyperlink" Target="https://www.nature.com/articles/s41467-026-73692-y" TargetMode="External"/><Relationship Id="rId786" Type="http://schemas.openxmlformats.org/officeDocument/2006/relationships/hyperlink" Target="https://www.nature.com/articles/s41467-026-73744-3" TargetMode="External"/><Relationship Id="rId787" Type="http://schemas.openxmlformats.org/officeDocument/2006/relationships/hyperlink" Target="https://www.nature.com/articles/s41467-026-73718-5" TargetMode="External"/><Relationship Id="rId788" Type="http://schemas.openxmlformats.org/officeDocument/2006/relationships/hyperlink" Target="https://www.nature.com/articles/s41467-026-73821-7" TargetMode="External"/><Relationship Id="rId789" Type="http://schemas.openxmlformats.org/officeDocument/2006/relationships/hyperlink" Target="https://www.nature.com/articles/s41467-026-73795-6" TargetMode="External"/><Relationship Id="rId790" Type="http://schemas.openxmlformats.org/officeDocument/2006/relationships/hyperlink" Target="https://www.nature.com/articles/s41467-026-73537-8" TargetMode="External"/><Relationship Id="rId791" Type="http://schemas.openxmlformats.org/officeDocument/2006/relationships/hyperlink" Target="https://www.nature.com/articles/s41467-026-73577-0" TargetMode="External"/><Relationship Id="rId792" Type="http://schemas.openxmlformats.org/officeDocument/2006/relationships/hyperlink" Target="https://www.nature.com/articles/s41467-026-73769-8" TargetMode="External"/><Relationship Id="rId793" Type="http://schemas.openxmlformats.org/officeDocument/2006/relationships/hyperlink" Target="https://www.nature.com/articles/s41586-026-10569-6" TargetMode="External"/><Relationship Id="rId794" Type="http://schemas.openxmlformats.org/officeDocument/2006/relationships/hyperlink" Target="https://doi.org/10.1038/s41586-026-10569-6" TargetMode="External"/><Relationship Id="rId795" Type="http://schemas.openxmlformats.org/officeDocument/2006/relationships/hyperlink" Target="https://www.nature.com/articles/s41467-026-73361-0" TargetMode="External"/><Relationship Id="rId796" Type="http://schemas.openxmlformats.org/officeDocument/2006/relationships/hyperlink" Target="https://www.nature.com/articles/s41467-026-73761-2" TargetMode="External"/><Relationship Id="rId797" Type="http://schemas.openxmlformats.org/officeDocument/2006/relationships/hyperlink" Target="https://www.nature.com/articles/s41467-026-73284-w" TargetMode="External"/><Relationship Id="rId798" Type="http://schemas.openxmlformats.org/officeDocument/2006/relationships/hyperlink" Target="https://www.nature.com/articles/s41467-026-72890-y" TargetMode="External"/><Relationship Id="rId799" Type="http://schemas.openxmlformats.org/officeDocument/2006/relationships/hyperlink" Target="https://www.nature.com/articles/s41467-026-73033-z" TargetMode="External"/><Relationship Id="rId800" Type="http://schemas.openxmlformats.org/officeDocument/2006/relationships/hyperlink" Target="https://www.nature.com/articles/s41467-026-73759-w" TargetMode="External"/><Relationship Id="rId801" Type="http://schemas.openxmlformats.org/officeDocument/2006/relationships/hyperlink" Target="https://www.nature.com/articles/s41586-026-10585-6" TargetMode="External"/><Relationship Id="rId802" Type="http://schemas.openxmlformats.org/officeDocument/2006/relationships/hyperlink" Target="https://doi.org/10.1038/s41586-026-10585-6" TargetMode="External"/><Relationship Id="rId803" Type="http://schemas.openxmlformats.org/officeDocument/2006/relationships/hyperlink" Target="https://www.nature.com/articles/s41586-026-10609-1" TargetMode="External"/><Relationship Id="rId804" Type="http://schemas.openxmlformats.org/officeDocument/2006/relationships/hyperlink" Target="https://doi.org/10.1038/s41586-026-10609-1" TargetMode="External"/><Relationship Id="rId805" Type="http://schemas.openxmlformats.org/officeDocument/2006/relationships/hyperlink" Target="https://www.nature.com/articles/s41586-026-10516-5" TargetMode="External"/><Relationship Id="rId806" Type="http://schemas.openxmlformats.org/officeDocument/2006/relationships/hyperlink" Target="https://doi.org/10.1038/s41586-026-10516-5" TargetMode="External"/><Relationship Id="rId807" Type="http://schemas.openxmlformats.org/officeDocument/2006/relationships/hyperlink" Target="https://www.nature.com/articles/s41467-026-73613-z" TargetMode="External"/><Relationship Id="rId808" Type="http://schemas.openxmlformats.org/officeDocument/2006/relationships/hyperlink" Target="https://www.nature.com/articles/s41586-026-10576-7" TargetMode="External"/><Relationship Id="rId809" Type="http://schemas.openxmlformats.org/officeDocument/2006/relationships/hyperlink" Target="https://doi.org/10.1038/s41586-026-10576-7" TargetMode="External"/><Relationship Id="rId810" Type="http://schemas.openxmlformats.org/officeDocument/2006/relationships/hyperlink" Target="https://www.nature.com/articles/d41586-026-01325-x" TargetMode="External"/><Relationship Id="rId811" Type="http://schemas.openxmlformats.org/officeDocument/2006/relationships/hyperlink" Target="https://doi.org/10.1038/d41586-026-01325-x" TargetMode="External"/><Relationship Id="rId812" Type="http://schemas.openxmlformats.org/officeDocument/2006/relationships/hyperlink" Target="https://academic.oup.com/nsr/advance-article/doi/10.1093/nsr/nwag315/8696154?rss=1" TargetMode="External"/><Relationship Id="rId813" Type="http://schemas.openxmlformats.org/officeDocument/2006/relationships/hyperlink" Target="https://doi.org/10.1093/nsr/nwag315" TargetMode="External"/><Relationship Id="rId814" Type="http://schemas.openxmlformats.org/officeDocument/2006/relationships/hyperlink" Target="https://academic.oup.com/nsr/advance-article/doi/10.1093/nsr/nwag309/8696155?rss=1" TargetMode="External"/><Relationship Id="rId815" Type="http://schemas.openxmlformats.org/officeDocument/2006/relationships/hyperlink" Target="https://doi.org/10.1093/nsr/nwag309" TargetMode="External"/><Relationship Id="rId816" Type="http://schemas.openxmlformats.org/officeDocument/2006/relationships/hyperlink" Target="https://academic.oup.com/nsr/advance-article/doi/10.1093/nsr/nwag316/8696156?rss=1" TargetMode="External"/><Relationship Id="rId817" Type="http://schemas.openxmlformats.org/officeDocument/2006/relationships/hyperlink" Target="https://doi.org/10.1093/nsr/nwag316" TargetMode="External"/><Relationship Id="rId818" Type="http://schemas.openxmlformats.org/officeDocument/2006/relationships/hyperlink" Target="https://academic.oup.com/nsr/advance-article/doi/10.1093/nsr/nwag272/8696157?rss=1" TargetMode="External"/><Relationship Id="rId819" Type="http://schemas.openxmlformats.org/officeDocument/2006/relationships/hyperlink" Target="https://doi.org/10.1093/nsr/nwag272" TargetMode="External"/><Relationship Id="rId820" Type="http://schemas.openxmlformats.org/officeDocument/2006/relationships/hyperlink" Target="https://academic.oup.com/nsr/advance-article/doi/10.1093/nsr/nwag314/8696160?rss=1" TargetMode="External"/><Relationship Id="rId821" Type="http://schemas.openxmlformats.org/officeDocument/2006/relationships/hyperlink" Target="https://doi.org/10.1093/nsr/nwag314" TargetMode="External"/><Relationship Id="rId822" Type="http://schemas.openxmlformats.org/officeDocument/2006/relationships/hyperlink" Target="https://www.nature.com/articles/s41586-026-10581-w" TargetMode="External"/><Relationship Id="rId823" Type="http://schemas.openxmlformats.org/officeDocument/2006/relationships/hyperlink" Target="https://doi.org/10.1038/s41586-026-10581-w" TargetMode="External"/><Relationship Id="rId824" Type="http://schemas.openxmlformats.org/officeDocument/2006/relationships/hyperlink" Target="https://www.nature.com/articles/d41586-026-01459-y" TargetMode="External"/><Relationship Id="rId825" Type="http://schemas.openxmlformats.org/officeDocument/2006/relationships/hyperlink" Target="https://doi.org/10.1038/d41586-026-01459-y" TargetMode="External"/><Relationship Id="rId826" Type="http://schemas.openxmlformats.org/officeDocument/2006/relationships/hyperlink" Target="https://www.nature.com/articles/d41586-026-01461-4" TargetMode="External"/><Relationship Id="rId827" Type="http://schemas.openxmlformats.org/officeDocument/2006/relationships/hyperlink" Target="https://doi.org/10.1038/d41586-026-01461-4" TargetMode="External"/><Relationship Id="rId828" Type="http://schemas.openxmlformats.org/officeDocument/2006/relationships/hyperlink" Target="https://www.nature.com/articles/d41586-026-01414-x" TargetMode="External"/><Relationship Id="rId829" Type="http://schemas.openxmlformats.org/officeDocument/2006/relationships/hyperlink" Target="https://doi.org/10.1038/d41586-026-01414-x" TargetMode="External"/><Relationship Id="rId830" Type="http://schemas.openxmlformats.org/officeDocument/2006/relationships/hyperlink" Target="https://www.nature.com/articles/d41586-026-01381-3" TargetMode="External"/><Relationship Id="rId831" Type="http://schemas.openxmlformats.org/officeDocument/2006/relationships/hyperlink" Target="https://doi.org/10.1038/d41586-026-01381-3" TargetMode="External"/><Relationship Id="rId832" Type="http://schemas.openxmlformats.org/officeDocument/2006/relationships/hyperlink" Target="https://academic.oup.com/nsr/advance-article/doi/10.1093/nsr/nwag312/8696150?rss=1" TargetMode="External"/><Relationship Id="rId833" Type="http://schemas.openxmlformats.org/officeDocument/2006/relationships/hyperlink" Target="https://doi.org/10.1093/nsr/nwag312" TargetMode="External"/><Relationship Id="rId834" Type="http://schemas.openxmlformats.org/officeDocument/2006/relationships/hyperlink" Target="https://www.nature.com/articles/d41586-026-01457-0" TargetMode="External"/><Relationship Id="rId835" Type="http://schemas.openxmlformats.org/officeDocument/2006/relationships/hyperlink" Target="https://doi.org/10.1038/d41586-026-01457-0" TargetMode="External"/><Relationship Id="rId836" Type="http://schemas.openxmlformats.org/officeDocument/2006/relationships/hyperlink" Target="https://academic.oup.com/nsr/advance-article/doi/10.1093/nsr/nwag317/8696388?rss=1" TargetMode="External"/><Relationship Id="rId837" Type="http://schemas.openxmlformats.org/officeDocument/2006/relationships/hyperlink" Target="https://doi.org/10.1093/nsr/nwag317" TargetMode="External"/><Relationship Id="rId838" Type="http://schemas.openxmlformats.org/officeDocument/2006/relationships/hyperlink" Target="https://www.nature.com/articles/s41565-026-02185-2" TargetMode="External"/><Relationship Id="rId839" Type="http://schemas.openxmlformats.org/officeDocument/2006/relationships/hyperlink" Target="https://doi.org/10.1038/s41565-026-02185-2" TargetMode="External"/><Relationship Id="rId840" Type="http://schemas.openxmlformats.org/officeDocument/2006/relationships/hyperlink" Target="https://www.nature.com/articles/s41928-026-01650-z" TargetMode="External"/><Relationship Id="rId841" Type="http://schemas.openxmlformats.org/officeDocument/2006/relationships/hyperlink" Target="https://doi.org/10.1038/s41928-026-01650-z" TargetMode="External"/><Relationship Id="rId842" Type="http://schemas.openxmlformats.org/officeDocument/2006/relationships/hyperlink" Target="https://www.nature.com/articles/s44359-026-00171-4" TargetMode="External"/><Relationship Id="rId843" Type="http://schemas.openxmlformats.org/officeDocument/2006/relationships/hyperlink" Target="https://doi.org/10.1038/s44359-026-00171-4" TargetMode="External"/><Relationship Id="rId844" Type="http://schemas.openxmlformats.org/officeDocument/2006/relationships/hyperlink" Target="https://www.sciencedirect.com/science/article/pii/S0306261926007415?dgcid=rss_sd_all" TargetMode="External"/><Relationship Id="rId845" Type="http://schemas.openxmlformats.org/officeDocument/2006/relationships/hyperlink" Target="https://www.sciencedirect.com/science/article/pii/S0306261926007518?dgcid=rss_sd_all" TargetMode="External"/><Relationship Id="rId846" Type="http://schemas.openxmlformats.org/officeDocument/2006/relationships/hyperlink" Target="https://www.nature.com/articles/d41586-026-01214-3" TargetMode="External"/><Relationship Id="rId847" Type="http://schemas.openxmlformats.org/officeDocument/2006/relationships/hyperlink" Target="https://doi.org/10.1038/d41586-026-01214-3" TargetMode="External"/><Relationship Id="rId848" Type="http://schemas.openxmlformats.org/officeDocument/2006/relationships/hyperlink" Target="https://www.nature.com/articles/s41557-026-02165-y" TargetMode="External"/><Relationship Id="rId849" Type="http://schemas.openxmlformats.org/officeDocument/2006/relationships/hyperlink" Target="https://doi.org/10.1038/s41557-026-02165-y" TargetMode="External"/><Relationship Id="rId850" Type="http://schemas.openxmlformats.org/officeDocument/2006/relationships/hyperlink" Target="https://www.nature.com/articles/d41586-026-01652-z" TargetMode="External"/><Relationship Id="rId851" Type="http://schemas.openxmlformats.org/officeDocument/2006/relationships/hyperlink" Target="https://doi.org/10.1038/d41586-026-01652-z" TargetMode="External"/><Relationship Id="rId852" Type="http://schemas.openxmlformats.org/officeDocument/2006/relationships/hyperlink" Target="https://www.nature.com/articles/d41586-026-01686-3" TargetMode="External"/><Relationship Id="rId853" Type="http://schemas.openxmlformats.org/officeDocument/2006/relationships/hyperlink" Target="https://doi.org/10.1038/d41586-026-01686-3" TargetMode="External"/><Relationship Id="rId854" Type="http://schemas.openxmlformats.org/officeDocument/2006/relationships/hyperlink" Target="https://www.nature.com/articles/d41586-026-01639-w" TargetMode="External"/><Relationship Id="rId855" Type="http://schemas.openxmlformats.org/officeDocument/2006/relationships/hyperlink" Target="https://doi.org/10.1038/d41586-026-01639-w" TargetMode="External"/><Relationship Id="rId856" Type="http://schemas.openxmlformats.org/officeDocument/2006/relationships/hyperlink" Target="https://www.nature.com/articles/d41586-026-01622-5" TargetMode="External"/><Relationship Id="rId857" Type="http://schemas.openxmlformats.org/officeDocument/2006/relationships/hyperlink" Target="https://doi.org/10.1038/d41586-026-01622-5" TargetMode="External"/><Relationship Id="rId858" Type="http://schemas.openxmlformats.org/officeDocument/2006/relationships/hyperlink" Target="https://www.nature.com/articles/d41586-026-01462-3" TargetMode="External"/><Relationship Id="rId859" Type="http://schemas.openxmlformats.org/officeDocument/2006/relationships/hyperlink" Target="https://doi.org/10.1038/d41586-026-01462-3" TargetMode="External"/><Relationship Id="rId860" Type="http://schemas.openxmlformats.org/officeDocument/2006/relationships/hyperlink" Target="https://www.nature.com/articles/d41586-026-01618-1" TargetMode="External"/><Relationship Id="rId861" Type="http://schemas.openxmlformats.org/officeDocument/2006/relationships/hyperlink" Target="https://doi.org/10.1038/d41586-026-01618-1" TargetMode="External"/><Relationship Id="rId862" Type="http://schemas.openxmlformats.org/officeDocument/2006/relationships/hyperlink" Target="https://www.nature.com/articles/d41586-026-01326-w" TargetMode="External"/><Relationship Id="rId863" Type="http://schemas.openxmlformats.org/officeDocument/2006/relationships/hyperlink" Target="https://doi.org/10.1038/d41586-026-01326-w" TargetMode="External"/><Relationship Id="rId864" Type="http://schemas.openxmlformats.org/officeDocument/2006/relationships/hyperlink" Target="https://www.nature.com/articles/d41586-026-01458-z" TargetMode="External"/><Relationship Id="rId865" Type="http://schemas.openxmlformats.org/officeDocument/2006/relationships/hyperlink" Target="https://doi.org/10.1038/d41586-026-01458-z" TargetMode="External"/><Relationship Id="rId866" Type="http://schemas.openxmlformats.org/officeDocument/2006/relationships/hyperlink" Target="https://www.nature.com/articles/d41586-026-01667-6" TargetMode="External"/><Relationship Id="rId867" Type="http://schemas.openxmlformats.org/officeDocument/2006/relationships/hyperlink" Target="https://doi.org/10.1038/d41586-026-01667-6" TargetMode="External"/><Relationship Id="rId868" Type="http://schemas.openxmlformats.org/officeDocument/2006/relationships/hyperlink" Target="https://www.nature.com/articles/d41586-026-01460-5" TargetMode="External"/><Relationship Id="rId869" Type="http://schemas.openxmlformats.org/officeDocument/2006/relationships/hyperlink" Target="https://doi.org/10.1038/d41586-026-01460-5" TargetMode="External"/><Relationship Id="rId870" Type="http://schemas.openxmlformats.org/officeDocument/2006/relationships/hyperlink" Target="https://www.nature.com/articles/d41586-026-01571-z" TargetMode="External"/><Relationship Id="rId871" Type="http://schemas.openxmlformats.org/officeDocument/2006/relationships/hyperlink" Target="https://doi.org/10.1038/d41586-026-01571-z" TargetMode="External"/><Relationship Id="rId872" Type="http://schemas.openxmlformats.org/officeDocument/2006/relationships/hyperlink" Target="https://www.nature.com/articles/d41586-026-01628-z" TargetMode="External"/><Relationship Id="rId873" Type="http://schemas.openxmlformats.org/officeDocument/2006/relationships/hyperlink" Target="https://doi.org/10.1038/d41586-026-01628-z" TargetMode="External"/><Relationship Id="rId874" Type="http://schemas.openxmlformats.org/officeDocument/2006/relationships/hyperlink" Target="https://www.nature.com/articles/d41586-026-01713-3" TargetMode="External"/><Relationship Id="rId875" Type="http://schemas.openxmlformats.org/officeDocument/2006/relationships/hyperlink" Target="https://doi.org/10.1038/d41586-026-01713-3" TargetMode="External"/><Relationship Id="rId876" Type="http://schemas.openxmlformats.org/officeDocument/2006/relationships/hyperlink" Target="https://www.nature.com/articles/d41586-026-01416-9" TargetMode="External"/><Relationship Id="rId877" Type="http://schemas.openxmlformats.org/officeDocument/2006/relationships/hyperlink" Target="https://doi.org/10.1038/d41586-026-01416-9" TargetMode="External"/><Relationship Id="rId878" Type="http://schemas.openxmlformats.org/officeDocument/2006/relationships/hyperlink" Target="https://www.nature.com/articles/d41586-026-01089-4" TargetMode="External"/><Relationship Id="rId879" Type="http://schemas.openxmlformats.org/officeDocument/2006/relationships/hyperlink" Target="https://doi.org/10.1038/d41586-026-01089-4" TargetMode="External"/><Relationship Id="rId880" Type="http://schemas.openxmlformats.org/officeDocument/2006/relationships/hyperlink" Target="https://www.nature.com/articles/d41586-026-01661-y" TargetMode="External"/><Relationship Id="rId881" Type="http://schemas.openxmlformats.org/officeDocument/2006/relationships/hyperlink" Target="https://doi.org/10.1038/d41586-026-01661-y" TargetMode="External"/><Relationship Id="rId882" Type="http://schemas.openxmlformats.org/officeDocument/2006/relationships/hyperlink" Target="https://www.nature.com/articles/d41586-026-01567-9" TargetMode="External"/><Relationship Id="rId883" Type="http://schemas.openxmlformats.org/officeDocument/2006/relationships/hyperlink" Target="https://doi.org/10.1038/d41586-026-01567-9" TargetMode="External"/><Relationship Id="rId884" Type="http://schemas.openxmlformats.org/officeDocument/2006/relationships/hyperlink" Target="https://www.nature.com/articles/d41586-026-01456-1" TargetMode="External"/><Relationship Id="rId885" Type="http://schemas.openxmlformats.org/officeDocument/2006/relationships/hyperlink" Target="https://doi.org/10.1038/d41586-026-01456-1" TargetMode="External"/><Relationship Id="rId886" Type="http://schemas.openxmlformats.org/officeDocument/2006/relationships/hyperlink" Target="https://www.nature.com/articles/d41586-026-01455-2" TargetMode="External"/><Relationship Id="rId887" Type="http://schemas.openxmlformats.org/officeDocument/2006/relationships/hyperlink" Target="https://doi.org/10.1038/d41586-026-01455-2" TargetMode="External"/><Relationship Id="rId888" Type="http://schemas.openxmlformats.org/officeDocument/2006/relationships/hyperlink" Target="https://www.nature.com/articles/d41586-026-01413-y" TargetMode="External"/><Relationship Id="rId889" Type="http://schemas.openxmlformats.org/officeDocument/2006/relationships/hyperlink" Target="https://doi.org/10.1038/d41586-026-01413-y" TargetMode="External"/><Relationship Id="rId890" Type="http://schemas.openxmlformats.org/officeDocument/2006/relationships/hyperlink" Target="https://www.nature.com/articles/d41586-026-01106-6" TargetMode="External"/><Relationship Id="rId891" Type="http://schemas.openxmlformats.org/officeDocument/2006/relationships/hyperlink" Target="https://doi.org/10.1038/d41586-026-01106-6" TargetMode="External"/><Relationship Id="rId892" Type="http://schemas.openxmlformats.org/officeDocument/2006/relationships/hyperlink" Target="https://www.nature.com/articles/d41586-026-01636-z" TargetMode="External"/><Relationship Id="rId893" Type="http://schemas.openxmlformats.org/officeDocument/2006/relationships/hyperlink" Target="https://doi.org/10.1038/d41586-026-01636-z" TargetMode="External"/><Relationship Id="rId894" Type="http://schemas.openxmlformats.org/officeDocument/2006/relationships/hyperlink" Target="https://www.nature.com/articles/s41586-026-10496-6" TargetMode="External"/><Relationship Id="rId895" Type="http://schemas.openxmlformats.org/officeDocument/2006/relationships/hyperlink" Target="https://doi.org/10.1038/s41586-026-10496-6" TargetMode="External"/><Relationship Id="rId896" Type="http://schemas.openxmlformats.org/officeDocument/2006/relationships/hyperlink" Target="https://www.nature.com/articles/s41586-026-10579-4" TargetMode="External"/><Relationship Id="rId897" Type="http://schemas.openxmlformats.org/officeDocument/2006/relationships/hyperlink" Target="https://doi.org/10.1038/s41586-026-10579-4" TargetMode="External"/><Relationship Id="rId898" Type="http://schemas.openxmlformats.org/officeDocument/2006/relationships/hyperlink" Target="https://academic.oup.com/nsr/advance-article/doi/10.1093/nsr/nwag305/8696161?rss=1" TargetMode="External"/><Relationship Id="rId899" Type="http://schemas.openxmlformats.org/officeDocument/2006/relationships/hyperlink" Target="https://doi.org/10.1093/nsr/nwag305" TargetMode="External"/><Relationship Id="rId900" Type="http://schemas.openxmlformats.org/officeDocument/2006/relationships/hyperlink" Target="https://www.nature.com/articles/d41586-026-01629-y" TargetMode="External"/><Relationship Id="rId901" Type="http://schemas.openxmlformats.org/officeDocument/2006/relationships/hyperlink" Target="https://doi.org/10.1038/d41586-026-01629-y" TargetMode="External"/><Relationship Id="rId902" Type="http://schemas.openxmlformats.org/officeDocument/2006/relationships/hyperlink" Target="https://advanced.onlinelibrary.wiley.com/doi/10.1002/adma.73329?af=R" TargetMode="External"/><Relationship Id="rId903" Type="http://schemas.openxmlformats.org/officeDocument/2006/relationships/hyperlink" Target="https://doi.org/10.1002/adma.73329" TargetMode="External"/><Relationship Id="rId904" Type="http://schemas.openxmlformats.org/officeDocument/2006/relationships/hyperlink" Target="https://www.science.org/doi/abs/10.1126/sciadv.aee2754?af=R" TargetMode="External"/><Relationship Id="rId905" Type="http://schemas.openxmlformats.org/officeDocument/2006/relationships/hyperlink" Target="https://doi.org/10.1126/sciadv.aee2754" TargetMode="External"/><Relationship Id="rId906" Type="http://schemas.openxmlformats.org/officeDocument/2006/relationships/hyperlink" Target="https://www.science.org/doi/abs/10.1126/sciadv.aef4143?af=R" TargetMode="External"/><Relationship Id="rId907" Type="http://schemas.openxmlformats.org/officeDocument/2006/relationships/hyperlink" Target="https://doi.org/10.1126/sciadv.aef4143" TargetMode="External"/><Relationship Id="rId908" Type="http://schemas.openxmlformats.org/officeDocument/2006/relationships/hyperlink" Target="https://www.science.org/doi/abs/10.1126/sciadv.aed2516?af=R" TargetMode="External"/><Relationship Id="rId909" Type="http://schemas.openxmlformats.org/officeDocument/2006/relationships/hyperlink" Target="https://doi.org/10.1126/sciadv.aed2516" TargetMode="External"/><Relationship Id="rId910" Type="http://schemas.openxmlformats.org/officeDocument/2006/relationships/hyperlink" Target="https://www.science.org/doi/abs/10.1126/sciadv.aea6467?af=R" TargetMode="External"/><Relationship Id="rId911" Type="http://schemas.openxmlformats.org/officeDocument/2006/relationships/hyperlink" Target="https://doi.org/10.1126/sciadv.aea6467" TargetMode="External"/><Relationship Id="rId912" Type="http://schemas.openxmlformats.org/officeDocument/2006/relationships/hyperlink" Target="https://www.science.org/doi/abs/10.1126/sciadv.aeb2698?af=R" TargetMode="External"/><Relationship Id="rId913" Type="http://schemas.openxmlformats.org/officeDocument/2006/relationships/hyperlink" Target="https://doi.org/10.1126/sciadv.aeb2698" TargetMode="External"/><Relationship Id="rId914" Type="http://schemas.openxmlformats.org/officeDocument/2006/relationships/hyperlink" Target="https://www.science.org/doi/abs/10.1126/sciadv.adz2271?af=R" TargetMode="External"/><Relationship Id="rId915" Type="http://schemas.openxmlformats.org/officeDocument/2006/relationships/hyperlink" Target="https://doi.org/10.1126/sciadv.adz2271" TargetMode="External"/><Relationship Id="rId916" Type="http://schemas.openxmlformats.org/officeDocument/2006/relationships/hyperlink" Target="https://www.science.org/doi/abs/10.1126/sciadv.aeb0404?af=R" TargetMode="External"/><Relationship Id="rId917" Type="http://schemas.openxmlformats.org/officeDocument/2006/relationships/hyperlink" Target="https://doi.org/10.1126/sciadv.aeb0404" TargetMode="External"/><Relationship Id="rId918" Type="http://schemas.openxmlformats.org/officeDocument/2006/relationships/hyperlink" Target="https://www.science.org/doi/abs/10.1126/sciadv.aed2483?af=R" TargetMode="External"/><Relationship Id="rId919" Type="http://schemas.openxmlformats.org/officeDocument/2006/relationships/hyperlink" Target="https://doi.org/10.1126/sciadv.aed2483" TargetMode="External"/><Relationship Id="rId920" Type="http://schemas.openxmlformats.org/officeDocument/2006/relationships/hyperlink" Target="https://www.science.org/doi/abs/10.1126/sciadv.aeb7613?af=R" TargetMode="External"/><Relationship Id="rId921" Type="http://schemas.openxmlformats.org/officeDocument/2006/relationships/hyperlink" Target="https://doi.org/10.1126/sciadv.aeb7613" TargetMode="External"/><Relationship Id="rId922" Type="http://schemas.openxmlformats.org/officeDocument/2006/relationships/hyperlink" Target="https://www.science.org/doi/abs/10.1126/sciadv.aed6539?af=R" TargetMode="External"/><Relationship Id="rId923" Type="http://schemas.openxmlformats.org/officeDocument/2006/relationships/hyperlink" Target="https://doi.org/10.1126/sciadv.aed6539" TargetMode="External"/><Relationship Id="rId924" Type="http://schemas.openxmlformats.org/officeDocument/2006/relationships/hyperlink" Target="https://www.science.org/doi/abs/10.1126/sciadv.aeg3170?af=R" TargetMode="External"/><Relationship Id="rId925" Type="http://schemas.openxmlformats.org/officeDocument/2006/relationships/hyperlink" Target="https://doi.org/10.1126/sciadv.aeg3170" TargetMode="External"/><Relationship Id="rId926" Type="http://schemas.openxmlformats.org/officeDocument/2006/relationships/hyperlink" Target="https://www.science.org/doi/abs/10.1126/sciadv.aed7890?af=R" TargetMode="External"/><Relationship Id="rId927" Type="http://schemas.openxmlformats.org/officeDocument/2006/relationships/hyperlink" Target="https://doi.org/10.1126/sciadv.aed7890" TargetMode="External"/><Relationship Id="rId928" Type="http://schemas.openxmlformats.org/officeDocument/2006/relationships/hyperlink" Target="https://www.science.org/doi/abs/10.1126/sciadv.aed4736?af=R" TargetMode="External"/><Relationship Id="rId929" Type="http://schemas.openxmlformats.org/officeDocument/2006/relationships/hyperlink" Target="https://doi.org/10.1126/sciadv.aed4736" TargetMode="External"/><Relationship Id="rId930" Type="http://schemas.openxmlformats.org/officeDocument/2006/relationships/hyperlink" Target="https://www.science.org/doi/abs/10.1126/sciadv.aec7494?af=R" TargetMode="External"/><Relationship Id="rId931" Type="http://schemas.openxmlformats.org/officeDocument/2006/relationships/hyperlink" Target="https://doi.org/10.1126/sciadv.aec7494" TargetMode="External"/><Relationship Id="rId932" Type="http://schemas.openxmlformats.org/officeDocument/2006/relationships/hyperlink" Target="https://www.science.org/doi/abs/10.1126/sciadv.aec6748?af=R" TargetMode="External"/><Relationship Id="rId933" Type="http://schemas.openxmlformats.org/officeDocument/2006/relationships/hyperlink" Target="https://doi.org/10.1126/sciadv.aec6748" TargetMode="External"/><Relationship Id="rId934" Type="http://schemas.openxmlformats.org/officeDocument/2006/relationships/hyperlink" Target="https://www.science.org/doi/abs/10.1126/sciadv.aea5823?af=R" TargetMode="External"/><Relationship Id="rId935" Type="http://schemas.openxmlformats.org/officeDocument/2006/relationships/hyperlink" Target="https://doi.org/10.1126/sciadv.aea5823" TargetMode="External"/><Relationship Id="rId936" Type="http://schemas.openxmlformats.org/officeDocument/2006/relationships/hyperlink" Target="https://www.science.org/doi/abs/10.1126/sciadv.aee4242?af=R" TargetMode="External"/><Relationship Id="rId937" Type="http://schemas.openxmlformats.org/officeDocument/2006/relationships/hyperlink" Target="https://doi.org/10.1126/sciadv.aee4242" TargetMode="External"/><Relationship Id="rId938" Type="http://schemas.openxmlformats.org/officeDocument/2006/relationships/hyperlink" Target="https://www.science.org/doi/abs/10.1126/sciadv.aec7422?af=R" TargetMode="External"/><Relationship Id="rId939" Type="http://schemas.openxmlformats.org/officeDocument/2006/relationships/hyperlink" Target="https://doi.org/10.1126/sciadv.aec7422" TargetMode="External"/><Relationship Id="rId940" Type="http://schemas.openxmlformats.org/officeDocument/2006/relationships/hyperlink" Target="https://www.science.org/doi/abs/10.1126/sciadv.aee8680?af=R" TargetMode="External"/><Relationship Id="rId941" Type="http://schemas.openxmlformats.org/officeDocument/2006/relationships/hyperlink" Target="https://doi.org/10.1126/sciadv.aee8680" TargetMode="External"/><Relationship Id="rId942" Type="http://schemas.openxmlformats.org/officeDocument/2006/relationships/hyperlink" Target="https://www.science.org/doi/abs/10.1126/sciadv.aee3183?af=R" TargetMode="External"/><Relationship Id="rId943" Type="http://schemas.openxmlformats.org/officeDocument/2006/relationships/hyperlink" Target="https://doi.org/10.1126/sciadv.aee3183" TargetMode="External"/><Relationship Id="rId944" Type="http://schemas.openxmlformats.org/officeDocument/2006/relationships/hyperlink" Target="https://www.science.org/doi/abs/10.1126/sciadv.aec3229?af=R" TargetMode="External"/><Relationship Id="rId945" Type="http://schemas.openxmlformats.org/officeDocument/2006/relationships/hyperlink" Target="https://doi.org/10.1126/sciadv.aec3229" TargetMode="External"/><Relationship Id="rId946" Type="http://schemas.openxmlformats.org/officeDocument/2006/relationships/hyperlink" Target="https://www.science.org/doi/abs/10.1126/sciadv.aee2602?af=R" TargetMode="External"/><Relationship Id="rId947" Type="http://schemas.openxmlformats.org/officeDocument/2006/relationships/hyperlink" Target="https://doi.org/10.1126/sciadv.aee2602" TargetMode="External"/><Relationship Id="rId948" Type="http://schemas.openxmlformats.org/officeDocument/2006/relationships/hyperlink" Target="https://www.science.org/doi/abs/10.1126/sciadv.aee6916?af=R" TargetMode="External"/><Relationship Id="rId949" Type="http://schemas.openxmlformats.org/officeDocument/2006/relationships/hyperlink" Target="https://doi.org/10.1126/sciadv.aee6916" TargetMode="External"/><Relationship Id="rId950" Type="http://schemas.openxmlformats.org/officeDocument/2006/relationships/hyperlink" Target="https://www.pnas.org/doi/abs/10.1073/pnas.2535878123?mi=eymic2&amp;af=R&amp;access=on&amp;content=articlesChapters&amp;publication=pnas&amp;sortBy=Earliest&amp;target=default" TargetMode="External"/><Relationship Id="rId951" Type="http://schemas.openxmlformats.org/officeDocument/2006/relationships/hyperlink" Target="https://doi.org/10.1073/pnas.2535878123" TargetMode="External"/><Relationship Id="rId952" Type="http://schemas.openxmlformats.org/officeDocument/2006/relationships/hyperlink" Target="https://www.pnas.org/doi/abs/10.1073/pnas.2535319123?mi=eymic2&amp;af=R&amp;access=on&amp;content=articlesChapters&amp;publication=pnas&amp;sortBy=Earliest&amp;target=default" TargetMode="External"/><Relationship Id="rId953" Type="http://schemas.openxmlformats.org/officeDocument/2006/relationships/hyperlink" Target="https://doi.org/10.1073/pnas.2535319123" TargetMode="External"/><Relationship Id="rId954" Type="http://schemas.openxmlformats.org/officeDocument/2006/relationships/hyperlink" Target="https://www.pnas.org/doi/abs/10.1073/pnas.2533976123?mi=eymic2&amp;af=R&amp;access=on&amp;content=articlesChapters&amp;publication=pnas&amp;sortBy=Earliest&amp;target=default" TargetMode="External"/><Relationship Id="rId955" Type="http://schemas.openxmlformats.org/officeDocument/2006/relationships/hyperlink" Target="https://doi.org/10.1073/pnas.2533976123" TargetMode="External"/><Relationship Id="rId956" Type="http://schemas.openxmlformats.org/officeDocument/2006/relationships/hyperlink" Target="https://www.pnas.org/doi/abs/10.1073/pnas.2533269123?mi=eymic2&amp;af=R&amp;access=on&amp;content=articlesChapters&amp;publication=pnas&amp;sortBy=Earliest&amp;target=default" TargetMode="External"/><Relationship Id="rId957" Type="http://schemas.openxmlformats.org/officeDocument/2006/relationships/hyperlink" Target="https://doi.org/10.1073/pnas.2533269123" TargetMode="External"/><Relationship Id="rId958" Type="http://schemas.openxmlformats.org/officeDocument/2006/relationships/hyperlink" Target="https://www.pnas.org/doi/abs/10.1073/pnas.2531265123?mi=eymic2&amp;af=R&amp;access=on&amp;content=articlesChapters&amp;publication=pnas&amp;sortBy=Earliest&amp;target=default" TargetMode="External"/><Relationship Id="rId959" Type="http://schemas.openxmlformats.org/officeDocument/2006/relationships/hyperlink" Target="https://doi.org/10.1073/pnas.2531265123" TargetMode="External"/><Relationship Id="rId960" Type="http://schemas.openxmlformats.org/officeDocument/2006/relationships/hyperlink" Target="https://www.pnas.org/doi/abs/10.1073/pnas.2530090123?mi=eymic2&amp;af=R&amp;access=on&amp;content=articlesChapters&amp;publication=pnas&amp;sortBy=Earliest&amp;target=default" TargetMode="External"/><Relationship Id="rId961" Type="http://schemas.openxmlformats.org/officeDocument/2006/relationships/hyperlink" Target="https://doi.org/10.1073/pnas.2530090123" TargetMode="External"/><Relationship Id="rId962" Type="http://schemas.openxmlformats.org/officeDocument/2006/relationships/hyperlink" Target="https://www.pnas.org/doi/abs/10.1073/pnas.2529668123?mi=eymic2&amp;af=R&amp;access=on&amp;content=articlesChapters&amp;publication=pnas&amp;sortBy=Earliest&amp;target=default" TargetMode="External"/><Relationship Id="rId963" Type="http://schemas.openxmlformats.org/officeDocument/2006/relationships/hyperlink" Target="https://doi.org/10.1073/pnas.2529668123" TargetMode="External"/><Relationship Id="rId964" Type="http://schemas.openxmlformats.org/officeDocument/2006/relationships/hyperlink" Target="https://www.pnas.org/doi/abs/10.1073/pnas.2536452123?mi=eymic2&amp;af=R&amp;access=on&amp;content=articlesChapters&amp;publication=pnas&amp;sortBy=Earliest&amp;target=default" TargetMode="External"/><Relationship Id="rId965" Type="http://schemas.openxmlformats.org/officeDocument/2006/relationships/hyperlink" Target="https://doi.org/10.1073/pnas.2536452123" TargetMode="External"/><Relationship Id="rId966" Type="http://schemas.openxmlformats.org/officeDocument/2006/relationships/hyperlink" Target="https://www.pnas.org/doi/abs/10.1073/pnas.2526584123?mi=eymic2&amp;af=R&amp;access=on&amp;content=articlesChapters&amp;publication=pnas&amp;sortBy=Earliest&amp;target=default" TargetMode="External"/><Relationship Id="rId967" Type="http://schemas.openxmlformats.org/officeDocument/2006/relationships/hyperlink" Target="https://doi.org/10.1073/pnas.2526584123" TargetMode="External"/><Relationship Id="rId968" Type="http://schemas.openxmlformats.org/officeDocument/2006/relationships/hyperlink" Target="https://www.pnas.org/doi/abs/10.1073/pnas.2519139123?mi=eymic2&amp;af=R&amp;access=on&amp;content=articlesChapters&amp;publication=pnas&amp;sortBy=Earliest&amp;target=default" TargetMode="External"/><Relationship Id="rId969" Type="http://schemas.openxmlformats.org/officeDocument/2006/relationships/hyperlink" Target="https://doi.org/10.1073/pnas.2519139123" TargetMode="External"/><Relationship Id="rId970" Type="http://schemas.openxmlformats.org/officeDocument/2006/relationships/hyperlink" Target="https://www.pnas.org/doi/abs/10.1073/pnas.2509164123?mi=eymic2&amp;af=R&amp;access=on&amp;content=articlesChapters&amp;publication=pnas&amp;sortBy=Earliest&amp;target=default" TargetMode="External"/><Relationship Id="rId971" Type="http://schemas.openxmlformats.org/officeDocument/2006/relationships/hyperlink" Target="https://doi.org/10.1073/pnas.2509164123" TargetMode="External"/><Relationship Id="rId972" Type="http://schemas.openxmlformats.org/officeDocument/2006/relationships/hyperlink" Target="https://www.science.org/doi/abs/10.1126/sciadv.aei2053?af=R" TargetMode="External"/><Relationship Id="rId973" Type="http://schemas.openxmlformats.org/officeDocument/2006/relationships/hyperlink" Target="https://doi.org/10.1126/sciadv.aei2053" TargetMode="External"/><Relationship Id="rId974" Type="http://schemas.openxmlformats.org/officeDocument/2006/relationships/hyperlink" Target="https://www.science.org/doi/abs/10.1126/sciadv.aea8452?af=R" TargetMode="External"/><Relationship Id="rId975" Type="http://schemas.openxmlformats.org/officeDocument/2006/relationships/hyperlink" Target="https://doi.org/10.1126/sciadv.aea8452" TargetMode="External"/><Relationship Id="rId976" Type="http://schemas.openxmlformats.org/officeDocument/2006/relationships/hyperlink" Target="https://www.pnas.org/doi/abs/10.1073/pnas.2604349123?mi=eymic2&amp;af=R&amp;access=on&amp;content=articlesChapters&amp;publication=pnas&amp;sortBy=Earliest&amp;target=default" TargetMode="External"/><Relationship Id="rId977" Type="http://schemas.openxmlformats.org/officeDocument/2006/relationships/hyperlink" Target="https://doi.org/10.1073/pnas.2604349123" TargetMode="External"/><Relationship Id="rId978" Type="http://schemas.openxmlformats.org/officeDocument/2006/relationships/hyperlink" Target="https://www.science.org/doi/abs/10.1126/sciadv.aec3154?af=R" TargetMode="External"/><Relationship Id="rId979" Type="http://schemas.openxmlformats.org/officeDocument/2006/relationships/hyperlink" Target="https://doi.org/10.1126/sciadv.aec3154" TargetMode="External"/><Relationship Id="rId980" Type="http://schemas.openxmlformats.org/officeDocument/2006/relationships/hyperlink" Target="https://www.science.org/doi/abs/10.1126/sciadv.aei1159?af=R" TargetMode="External"/><Relationship Id="rId981" Type="http://schemas.openxmlformats.org/officeDocument/2006/relationships/hyperlink" Target="https://doi.org/10.1126/sciadv.aei1159" TargetMode="External"/><Relationship Id="rId982" Type="http://schemas.openxmlformats.org/officeDocument/2006/relationships/hyperlink" Target="https://www.pnas.org/doi/abs/10.1073/pnas.2604717123?mi=eymic2&amp;af=R&amp;access=on&amp;content=articlesChapters&amp;publication=pnas&amp;sortBy=Earliest&amp;target=default" TargetMode="External"/><Relationship Id="rId983" Type="http://schemas.openxmlformats.org/officeDocument/2006/relationships/hyperlink" Target="https://doi.org/10.1073/pnas.2604717123" TargetMode="External"/><Relationship Id="rId984" Type="http://schemas.openxmlformats.org/officeDocument/2006/relationships/hyperlink" Target="https://www.pnas.org/doi/abs/10.1073/pnas.2520003123?mi=eymic2&amp;af=R&amp;access=on&amp;content=articlesChapters&amp;publication=pnas&amp;sortBy=Earliest&amp;target=default" TargetMode="External"/><Relationship Id="rId985" Type="http://schemas.openxmlformats.org/officeDocument/2006/relationships/hyperlink" Target="https://doi.org/10.1073/pnas.2520003123" TargetMode="External"/><Relationship Id="rId986" Type="http://schemas.openxmlformats.org/officeDocument/2006/relationships/hyperlink" Target="https://www.pnas.org/doi/abs/10.1073/pnas.2537357123?mi=eymic2&amp;af=R&amp;access=on&amp;content=articlesChapters&amp;publication=pnas&amp;sortBy=Earliest&amp;target=default" TargetMode="External"/><Relationship Id="rId987" Type="http://schemas.openxmlformats.org/officeDocument/2006/relationships/hyperlink" Target="https://doi.org/10.1073/pnas.2537357123" TargetMode="External"/><Relationship Id="rId988" Type="http://schemas.openxmlformats.org/officeDocument/2006/relationships/hyperlink" Target="https://www.science.org/doi/abs/10.1126/sciadv.aec8184?af=R" TargetMode="External"/><Relationship Id="rId989" Type="http://schemas.openxmlformats.org/officeDocument/2006/relationships/hyperlink" Target="https://doi.org/10.1126/sciadv.aec8184" TargetMode="External"/><Relationship Id="rId990" Type="http://schemas.openxmlformats.org/officeDocument/2006/relationships/hyperlink" Target="https://www.science.org/doi/abs/10.1126/sciadv.aee0530?af=R" TargetMode="External"/><Relationship Id="rId991" Type="http://schemas.openxmlformats.org/officeDocument/2006/relationships/hyperlink" Target="https://doi.org/10.1126/sciadv.aee0530" TargetMode="External"/><Relationship Id="rId992" Type="http://schemas.openxmlformats.org/officeDocument/2006/relationships/hyperlink" Target="https://www.pnas.org/doi/abs/10.1073/pnas.2601546123?mi=eymic2&amp;af=R&amp;access=on&amp;content=articlesChapters&amp;publication=pnas&amp;sortBy=Earliest&amp;target=default" TargetMode="External"/><Relationship Id="rId993" Type="http://schemas.openxmlformats.org/officeDocument/2006/relationships/hyperlink" Target="https://doi.org/10.1073/pnas.2601546123" TargetMode="External"/><Relationship Id="rId994" Type="http://schemas.openxmlformats.org/officeDocument/2006/relationships/hyperlink" Target="https://www.pnas.org/doi/abs/10.1073/pnas.2602234123?mi=eymic2&amp;af=R&amp;access=on&amp;content=articlesChapters&amp;publication=pnas&amp;sortBy=Earliest&amp;target=default" TargetMode="External"/><Relationship Id="rId995" Type="http://schemas.openxmlformats.org/officeDocument/2006/relationships/hyperlink" Target="https://doi.org/10.1073/pnas.2602234123" TargetMode="External"/><Relationship Id="rId996" Type="http://schemas.openxmlformats.org/officeDocument/2006/relationships/hyperlink" Target="https://www.pnas.org/doi/abs/10.1073/pnas.2603416123?mi=eymic2&amp;af=R&amp;access=on&amp;content=articlesChapters&amp;publication=pnas&amp;sortBy=Earliest&amp;target=default" TargetMode="External"/><Relationship Id="rId997" Type="http://schemas.openxmlformats.org/officeDocument/2006/relationships/hyperlink" Target="https://doi.org/10.1073/pnas.2603416123" TargetMode="External"/><Relationship Id="rId998" Type="http://schemas.openxmlformats.org/officeDocument/2006/relationships/hyperlink" Target="https://www.pnas.org/doi/abs/10.1073/pnas.2603937123?mi=eymic2&amp;af=R&amp;access=on&amp;content=articlesChapters&amp;publication=pnas&amp;sortBy=Earliest&amp;target=default" TargetMode="External"/><Relationship Id="rId999" Type="http://schemas.openxmlformats.org/officeDocument/2006/relationships/hyperlink" Target="https://doi.org/10.1073/pnas.2603937123" TargetMode="External"/><Relationship Id="rId1000" Type="http://schemas.openxmlformats.org/officeDocument/2006/relationships/hyperlink" Target="https://www.pnas.org/doi/abs/10.1073/pnas.2604018123?mi=eymic2&amp;af=R&amp;access=on&amp;content=articlesChapters&amp;publication=pnas&amp;sortBy=Earliest&amp;target=default" TargetMode="External"/><Relationship Id="rId1001" Type="http://schemas.openxmlformats.org/officeDocument/2006/relationships/hyperlink" Target="https://doi.org/10.1073/pnas.2604018123" TargetMode="External"/><Relationship Id="rId1002" Type="http://schemas.openxmlformats.org/officeDocument/2006/relationships/hyperlink" Target="https://www.pnas.org/doi/abs/10.1073/pnas.2604142123?mi=eymic2&amp;af=R&amp;access=on&amp;content=articlesChapters&amp;publication=pnas&amp;sortBy=Earliest&amp;target=default" TargetMode="External"/><Relationship Id="rId1003" Type="http://schemas.openxmlformats.org/officeDocument/2006/relationships/hyperlink" Target="https://doi.org/10.1073/pnas.2604142123" TargetMode="External"/><Relationship Id="rId1004" Type="http://schemas.openxmlformats.org/officeDocument/2006/relationships/hyperlink" Target="https://www.pnas.org/doi/abs/10.1073/pnas.2613147123?mi=eymic2&amp;af=R&amp;access=on&amp;content=articlesChapters&amp;publication=pnas&amp;sortBy=Earliest&amp;target=default" TargetMode="External"/><Relationship Id="rId1005" Type="http://schemas.openxmlformats.org/officeDocument/2006/relationships/hyperlink" Target="https://doi.org/10.1073/pnas.2613147123" TargetMode="External"/><Relationship Id="rId1006" Type="http://schemas.openxmlformats.org/officeDocument/2006/relationships/hyperlink" Target="https://www.pnas.org/doi/abs/10.1073/pnas.2608405123?mi=eymic2&amp;af=R&amp;access=on&amp;content=articlesChapters&amp;publication=pnas&amp;sortBy=Earliest&amp;target=default" TargetMode="External"/><Relationship Id="rId1007" Type="http://schemas.openxmlformats.org/officeDocument/2006/relationships/hyperlink" Target="https://doi.org/10.1073/pnas.2608405123" TargetMode="External"/><Relationship Id="rId1008" Type="http://schemas.openxmlformats.org/officeDocument/2006/relationships/hyperlink" Target="https://www.pnas.org/doi/abs/10.1073/pnas.2606206123?mi=eymic2&amp;af=R&amp;access=on&amp;content=articlesChapters&amp;publication=pnas&amp;sortBy=Earliest&amp;target=default" TargetMode="External"/><Relationship Id="rId1009" Type="http://schemas.openxmlformats.org/officeDocument/2006/relationships/hyperlink" Target="https://doi.org/10.1073/pnas.2606206123" TargetMode="External"/><Relationship Id="rId1010" Type="http://schemas.openxmlformats.org/officeDocument/2006/relationships/hyperlink" Target="https://www.pnas.org/doi/abs/10.1073/pnas.2604770123?mi=eymic2&amp;af=R&amp;access=on&amp;content=articlesChapters&amp;publication=pnas&amp;sortBy=Earliest&amp;target=default" TargetMode="External"/><Relationship Id="rId1011" Type="http://schemas.openxmlformats.org/officeDocument/2006/relationships/hyperlink" Target="https://doi.org/10.1073/pnas.2604770123" TargetMode="External"/><Relationship Id="rId1012" Type="http://schemas.openxmlformats.org/officeDocument/2006/relationships/hyperlink" Target="https://www.pnas.org/doi/abs/10.1073/pnas.2537320123?mi=eymic2&amp;af=R&amp;access=on&amp;content=articlesChapters&amp;publication=pnas&amp;sortBy=Earliest&amp;target=default" TargetMode="External"/><Relationship Id="rId1013" Type="http://schemas.openxmlformats.org/officeDocument/2006/relationships/hyperlink" Target="https://doi.org/10.1073/pnas.2537320123" TargetMode="External"/><Relationship Id="rId1014" Type="http://schemas.openxmlformats.org/officeDocument/2006/relationships/hyperlink" Target="https://www.pnas.org/doi/abs/10.1073/pnas.2537064123?mi=eymic2&amp;af=R&amp;access=on&amp;content=articlesChapters&amp;publication=pnas&amp;sortBy=Earliest&amp;target=default" TargetMode="External"/><Relationship Id="rId1015" Type="http://schemas.openxmlformats.org/officeDocument/2006/relationships/hyperlink" Target="https://doi.org/10.1073/pnas.2537064123" TargetMode="External"/><Relationship Id="rId1016" Type="http://schemas.openxmlformats.org/officeDocument/2006/relationships/hyperlink" Target="https://www.science.org/doi/abs/10.1126/sciadv.aec6879?af=R" TargetMode="External"/><Relationship Id="rId1017" Type="http://schemas.openxmlformats.org/officeDocument/2006/relationships/hyperlink" Target="https://doi.org/10.1126/sciadv.aec6879" TargetMode="External"/><Relationship Id="rId1018" Type="http://schemas.openxmlformats.org/officeDocument/2006/relationships/hyperlink" Target="https://www.science.org/doi/abs/10.1126/sciadv.adz8930?af=R" TargetMode="External"/><Relationship Id="rId1019" Type="http://schemas.openxmlformats.org/officeDocument/2006/relationships/hyperlink" Target="https://doi.org/10.1126/sciadv.adz8930" TargetMode="External"/><Relationship Id="rId1020" Type="http://schemas.openxmlformats.org/officeDocument/2006/relationships/hyperlink" Target="https://www.science.org/doi/abs/10.1126/sciadv.aeb1394?af=R" TargetMode="External"/><Relationship Id="rId1021" Type="http://schemas.openxmlformats.org/officeDocument/2006/relationships/hyperlink" Target="https://doi.org/10.1126/sciadv.aeb1394" TargetMode="External"/><Relationship Id="rId1022" Type="http://schemas.openxmlformats.org/officeDocument/2006/relationships/hyperlink" Target="https://www.science.org/doi/abs/10.1126/sciadv.aeb4778?af=R" TargetMode="External"/><Relationship Id="rId1023" Type="http://schemas.openxmlformats.org/officeDocument/2006/relationships/hyperlink" Target="https://doi.org/10.1126/sciadv.aeb4778" TargetMode="External"/><Relationship Id="rId1024" Type="http://schemas.openxmlformats.org/officeDocument/2006/relationships/hyperlink" Target="https://www.pnas.org/doi/abs/10.1073/pnas.2600749123?mi=eymic2&amp;af=R&amp;access=on&amp;content=articlesChapters&amp;publication=pnas&amp;sortBy=Earliest&amp;target=default" TargetMode="External"/><Relationship Id="rId1025" Type="http://schemas.openxmlformats.org/officeDocument/2006/relationships/hyperlink" Target="https://doi.org/10.1073/pnas.2600749123" TargetMode="External"/><Relationship Id="rId1026" Type="http://schemas.openxmlformats.org/officeDocument/2006/relationships/hyperlink" Target="https://www.pnas.org/doi/abs/10.1073/pnas.2537490123?mi=eymic2&amp;af=R&amp;access=on&amp;content=articlesChapters&amp;publication=pnas&amp;sortBy=Earliest&amp;target=default" TargetMode="External"/><Relationship Id="rId1027" Type="http://schemas.openxmlformats.org/officeDocument/2006/relationships/hyperlink" Target="https://doi.org/10.1073/pnas.2537490123" TargetMode="External"/><Relationship Id="rId1028" Type="http://schemas.openxmlformats.org/officeDocument/2006/relationships/hyperlink" Target="https://onlinelibrary.wiley.com/doi/10.1002/anie.4309718?af=R" TargetMode="External"/><Relationship Id="rId1029" Type="http://schemas.openxmlformats.org/officeDocument/2006/relationships/hyperlink" Target="https://doi.org/10.1002/anie.4309718" TargetMode="External"/><Relationship Id="rId1030" Type="http://schemas.openxmlformats.org/officeDocument/2006/relationships/hyperlink" Target="https://onlinelibrary.wiley.com/doi/10.1002/anie.7126664?af=R" TargetMode="External"/><Relationship Id="rId1031" Type="http://schemas.openxmlformats.org/officeDocument/2006/relationships/hyperlink" Target="https://doi.org/10.1002/anie.7126664" TargetMode="External"/><Relationship Id="rId1032" Type="http://schemas.openxmlformats.org/officeDocument/2006/relationships/hyperlink" Target="https://onlinelibrary.wiley.com/doi/10.1002/anie.5507499?af=R" TargetMode="External"/><Relationship Id="rId1033" Type="http://schemas.openxmlformats.org/officeDocument/2006/relationships/hyperlink" Target="https://doi.org/10.1002/anie.5507499" TargetMode="External"/><Relationship Id="rId1034" Type="http://schemas.openxmlformats.org/officeDocument/2006/relationships/hyperlink" Target="https://advanced.onlinelibrary.wiley.com/doi/10.1002/adma.73258?af=R" TargetMode="External"/><Relationship Id="rId1035" Type="http://schemas.openxmlformats.org/officeDocument/2006/relationships/hyperlink" Target="https://doi.org/10.1002/adma.73258" TargetMode="External"/><Relationship Id="rId1036" Type="http://schemas.openxmlformats.org/officeDocument/2006/relationships/hyperlink" Target="https://onlinelibrary.wiley.com/doi/10.1002/anie.2619409?af=R" TargetMode="External"/><Relationship Id="rId1037" Type="http://schemas.openxmlformats.org/officeDocument/2006/relationships/hyperlink" Target="https://doi.org/10.1002/anie.2619409" TargetMode="External"/><Relationship Id="rId1038" Type="http://schemas.openxmlformats.org/officeDocument/2006/relationships/hyperlink" Target="https://advanced.onlinelibrary.wiley.com/doi/10.1002/adma.73398?af=R" TargetMode="External"/><Relationship Id="rId1039" Type="http://schemas.openxmlformats.org/officeDocument/2006/relationships/hyperlink" Target="https://doi.org/10.1002/adma.73398" TargetMode="External"/><Relationship Id="rId1040" Type="http://schemas.openxmlformats.org/officeDocument/2006/relationships/hyperlink" Target="https://advanced.onlinelibrary.wiley.com/doi/10.1002/aenm.70960?af=R" TargetMode="External"/><Relationship Id="rId1041" Type="http://schemas.openxmlformats.org/officeDocument/2006/relationships/hyperlink" Target="https://doi.org/10.1002/aenm.70960" TargetMode="External"/><Relationship Id="rId1042" Type="http://schemas.openxmlformats.org/officeDocument/2006/relationships/hyperlink" Target="https://onlinelibrary.wiley.com/doi/10.1002/anie.9548215?af=R" TargetMode="External"/><Relationship Id="rId1043" Type="http://schemas.openxmlformats.org/officeDocument/2006/relationships/hyperlink" Target="https://doi.org/10.1002/anie.9548215" TargetMode="External"/><Relationship Id="rId1044" Type="http://schemas.openxmlformats.org/officeDocument/2006/relationships/hyperlink" Target="https://onlinelibrary.wiley.com/doi/10.1002/anie.8842163?af=R" TargetMode="External"/><Relationship Id="rId1045" Type="http://schemas.openxmlformats.org/officeDocument/2006/relationships/hyperlink" Target="https://doi.org/10.1002/anie.8842163" TargetMode="External"/><Relationship Id="rId1046" Type="http://schemas.openxmlformats.org/officeDocument/2006/relationships/hyperlink" Target="https://onlinelibrary.wiley.com/doi/10.1002/anie.5175154?af=R" TargetMode="External"/><Relationship Id="rId1047" Type="http://schemas.openxmlformats.org/officeDocument/2006/relationships/hyperlink" Target="https://doi.org/10.1002/anie.5175154" TargetMode="External"/><Relationship Id="rId1048" Type="http://schemas.openxmlformats.org/officeDocument/2006/relationships/hyperlink" Target="https://onlinelibrary.wiley.com/doi/10.1002/anie.7222262?af=R" TargetMode="External"/><Relationship Id="rId1049" Type="http://schemas.openxmlformats.org/officeDocument/2006/relationships/hyperlink" Target="https://doi.org/10.1002/anie.7222262" TargetMode="External"/><Relationship Id="rId1050" Type="http://schemas.openxmlformats.org/officeDocument/2006/relationships/hyperlink" Target="https://onlinelibrary.wiley.com/doi/10.1002/anie.6609053?af=R" TargetMode="External"/><Relationship Id="rId1051" Type="http://schemas.openxmlformats.org/officeDocument/2006/relationships/hyperlink" Target="https://doi.org/10.1002/anie.6609053" TargetMode="External"/><Relationship Id="rId1052" Type="http://schemas.openxmlformats.org/officeDocument/2006/relationships/hyperlink" Target="https://advanced.onlinelibrary.wiley.com/doi/10.1002/aenm.71055?af=R" TargetMode="External"/><Relationship Id="rId1053" Type="http://schemas.openxmlformats.org/officeDocument/2006/relationships/hyperlink" Target="https://doi.org/10.1002/aenm.71055" TargetMode="External"/><Relationship Id="rId1054" Type="http://schemas.openxmlformats.org/officeDocument/2006/relationships/hyperlink" Target="https://advanced.onlinelibrary.wiley.com/doi/10.1002/aenm.71082?af=R" TargetMode="External"/><Relationship Id="rId1055" Type="http://schemas.openxmlformats.org/officeDocument/2006/relationships/hyperlink" Target="https://doi.org/10.1002/aenm.71082" TargetMode="External"/><Relationship Id="rId1056" Type="http://schemas.openxmlformats.org/officeDocument/2006/relationships/hyperlink" Target="http://pubs.rsc.org/en/Content/ArticleLanding/2026/CS/D6CS00331A" TargetMode="External"/><Relationship Id="rId1057" Type="http://schemas.openxmlformats.org/officeDocument/2006/relationships/hyperlink" Target="https://www.nature.com/articles/s41467-026-73162-5" TargetMode="External"/><Relationship Id="rId1058" Type="http://schemas.openxmlformats.org/officeDocument/2006/relationships/hyperlink" Target="https://www.nature.com/articles/s41467-026-73720-x" TargetMode="External"/><Relationship Id="rId1059" Type="http://schemas.openxmlformats.org/officeDocument/2006/relationships/hyperlink" Target="https://www.nature.com/articles/s41467-026-73299-3" TargetMode="External"/><Relationship Id="rId1060" Type="http://schemas.openxmlformats.org/officeDocument/2006/relationships/hyperlink" Target="https://academic.oup.com/nsr/advance-article/doi/10.1093/nsr/nwag321/8697349?rss=1" TargetMode="External"/><Relationship Id="rId1061" Type="http://schemas.openxmlformats.org/officeDocument/2006/relationships/hyperlink" Target="https://doi.org/10.1093/nsr/nwag321" TargetMode="External"/><Relationship Id="rId1062" Type="http://schemas.openxmlformats.org/officeDocument/2006/relationships/hyperlink" Target="https://academic.oup.com/nsr/advance-article/doi/10.1093/nsr/nwag322/8697348?rss=1" TargetMode="External"/><Relationship Id="rId1063" Type="http://schemas.openxmlformats.org/officeDocument/2006/relationships/hyperlink" Target="https://doi.org/10.1093/nsr/nwag322" TargetMode="External"/><Relationship Id="rId1064" Type="http://schemas.openxmlformats.org/officeDocument/2006/relationships/hyperlink" Target="https://academic.oup.com/nsr/advance-article/doi/10.1093/nsr/nwag324/8697347?rss=1" TargetMode="External"/><Relationship Id="rId1065" Type="http://schemas.openxmlformats.org/officeDocument/2006/relationships/hyperlink" Target="https://doi.org/10.1093/nsr/nwag324" TargetMode="External"/><Relationship Id="rId1066" Type="http://schemas.openxmlformats.org/officeDocument/2006/relationships/hyperlink" Target="https://www.nature.com/articles/s41467-026-73516-z" TargetMode="External"/><Relationship Id="rId1067" Type="http://schemas.openxmlformats.org/officeDocument/2006/relationships/hyperlink" Target="https://www.nature.com/articles/s41467-026-73797-4" TargetMode="External"/><Relationship Id="rId1068" Type="http://schemas.openxmlformats.org/officeDocument/2006/relationships/hyperlink" Target="https://www.nature.com/articles/s41467-026-73702-z" TargetMode="External"/><Relationship Id="rId1069" Type="http://schemas.openxmlformats.org/officeDocument/2006/relationships/hyperlink" Target="https://www.nature.com/articles/s41467-026-73135-8" TargetMode="External"/><Relationship Id="rId1070" Type="http://schemas.openxmlformats.org/officeDocument/2006/relationships/hyperlink" Target="https://www.cell.com/joule/fulltext/S2542-4351(26)00176-5?rss=yes" TargetMode="External"/><Relationship Id="rId1071" Type="http://schemas.openxmlformats.org/officeDocument/2006/relationships/hyperlink" Target="https://doi.org/10.1016/j.joule.2026.102492" TargetMode="External"/><Relationship Id="rId1072" Type="http://schemas.openxmlformats.org/officeDocument/2006/relationships/hyperlink" Target="https://www.nature.com/articles/s41467-026-71878-y" TargetMode="External"/><Relationship Id="rId1073" Type="http://schemas.openxmlformats.org/officeDocument/2006/relationships/hyperlink" Target="https://www.nature.com/articles/s41467-026-73044-w" TargetMode="External"/><Relationship Id="rId1074" Type="http://schemas.openxmlformats.org/officeDocument/2006/relationships/hyperlink" Target="https://academic.oup.com/nsr/advance-article/doi/10.1093/nsr/nwag325/8697354?rss=1" TargetMode="External"/><Relationship Id="rId1075" Type="http://schemas.openxmlformats.org/officeDocument/2006/relationships/hyperlink" Target="https://doi.org/10.1093/nsr/nwag325" TargetMode="External"/><Relationship Id="rId1076" Type="http://schemas.openxmlformats.org/officeDocument/2006/relationships/hyperlink" Target="https://www.nature.com/articles/s41467-026-73532-z" TargetMode="External"/><Relationship Id="rId1077" Type="http://schemas.openxmlformats.org/officeDocument/2006/relationships/hyperlink" Target="https://www.nature.com/articles/s41467-026-73798-3" TargetMode="External"/><Relationship Id="rId1078" Type="http://schemas.openxmlformats.org/officeDocument/2006/relationships/hyperlink" Target="https://www.nature.com/articles/s41467-026-73415-3" TargetMode="External"/><Relationship Id="rId1079" Type="http://schemas.openxmlformats.org/officeDocument/2006/relationships/hyperlink" Target="https://www.nature.com/articles/s41467-026-73732-7" TargetMode="External"/><Relationship Id="rId1080" Type="http://schemas.openxmlformats.org/officeDocument/2006/relationships/hyperlink" Target="https://academic.oup.com/nsr/advance-article/doi/10.1093/nsr/nwag319/8697353?rss=1" TargetMode="External"/><Relationship Id="rId1081" Type="http://schemas.openxmlformats.org/officeDocument/2006/relationships/hyperlink" Target="https://doi.org/10.1093/nsr/nwag319" TargetMode="External"/><Relationship Id="rId1082" Type="http://schemas.openxmlformats.org/officeDocument/2006/relationships/hyperlink" Target="https://www.nature.com/articles/d41586-026-01598-2" TargetMode="External"/><Relationship Id="rId1083" Type="http://schemas.openxmlformats.org/officeDocument/2006/relationships/hyperlink" Target="https://doi.org/10.1038/d41586-026-01598-2" TargetMode="External"/><Relationship Id="rId1084" Type="http://schemas.openxmlformats.org/officeDocument/2006/relationships/hyperlink" Target="https://www.nature.com/articles/d41586-026-01733-z" TargetMode="External"/><Relationship Id="rId1085" Type="http://schemas.openxmlformats.org/officeDocument/2006/relationships/hyperlink" Target="https://doi.org/10.1038/d41586-026-01733-z" TargetMode="External"/><Relationship Id="rId1086" Type="http://schemas.openxmlformats.org/officeDocument/2006/relationships/hyperlink" Target="https://www.nature.com/articles/d41586-026-01589-3" TargetMode="External"/><Relationship Id="rId1087" Type="http://schemas.openxmlformats.org/officeDocument/2006/relationships/hyperlink" Target="https://doi.org/10.1038/d41586-026-01589-3" TargetMode="External"/><Relationship Id="rId1088" Type="http://schemas.openxmlformats.org/officeDocument/2006/relationships/hyperlink" Target="https://www.cell.com/chem/fulltext/S2451-9294(26)00138-5?rss=yes" TargetMode="External"/><Relationship Id="rId1089" Type="http://schemas.openxmlformats.org/officeDocument/2006/relationships/hyperlink" Target="https://doi.org/10.1016/j.chempr.2026.103072" TargetMode="External"/><Relationship Id="rId1090" Type="http://schemas.openxmlformats.org/officeDocument/2006/relationships/hyperlink" Target="https://www.cell.com/chem/fulltext/S2451-9294(26)00142-7?rss=yes" TargetMode="External"/><Relationship Id="rId1091" Type="http://schemas.openxmlformats.org/officeDocument/2006/relationships/hyperlink" Target="https://doi.org/10.1016/j.chempr.2026.103076" TargetMode="External"/><Relationship Id="rId1092" Type="http://schemas.openxmlformats.org/officeDocument/2006/relationships/hyperlink" Target="https://www.nature.com/articles/s41467-026-73648-2" TargetMode="External"/><Relationship Id="rId1093" Type="http://schemas.openxmlformats.org/officeDocument/2006/relationships/hyperlink" Target="https://www.nature.com/articles/s41563-026-02611-9" TargetMode="External"/><Relationship Id="rId1094" Type="http://schemas.openxmlformats.org/officeDocument/2006/relationships/hyperlink" Target="https://doi.org/10.1038/s41563-026-02611-9" TargetMode="External"/><Relationship Id="rId1095" Type="http://schemas.openxmlformats.org/officeDocument/2006/relationships/hyperlink" Target="https://www.nature.com/articles/s41467-026-73811-9" TargetMode="External"/><Relationship Id="rId1096" Type="http://schemas.openxmlformats.org/officeDocument/2006/relationships/hyperlink" Target="https://www.nature.com/articles/s41467-026-73788-5" TargetMode="External"/><Relationship Id="rId1097" Type="http://schemas.openxmlformats.org/officeDocument/2006/relationships/hyperlink" Target="https://www.nature.com/articles/s41467-026-73480-8" TargetMode="External"/><Relationship Id="rId1098" Type="http://schemas.openxmlformats.org/officeDocument/2006/relationships/hyperlink" Target="https://www.nature.com/articles/s41467-026-73703-y" TargetMode="External"/><Relationship Id="rId1099" Type="http://schemas.openxmlformats.org/officeDocument/2006/relationships/hyperlink" Target="https://www.nature.com/articles/s41467-026-73672-2" TargetMode="External"/><Relationship Id="rId1100" Type="http://schemas.openxmlformats.org/officeDocument/2006/relationships/hyperlink" Target="https://www.sciencedirect.com/science/article/pii/S0306261926007506?dgcid=rss_sd_all" TargetMode="External"/><Relationship Id="rId1101" Type="http://schemas.openxmlformats.org/officeDocument/2006/relationships/hyperlink" Target="https://www.nature.com/articles/s41467-026-73790-x" TargetMode="External"/><Relationship Id="rId1102" Type="http://schemas.openxmlformats.org/officeDocument/2006/relationships/hyperlink" Target="https://www.sciencedirect.com/science/article/pii/S0301421526003241?dgcid=rss_sd_all" TargetMode="External"/><Relationship Id="rId1103" Type="http://schemas.openxmlformats.org/officeDocument/2006/relationships/hyperlink" Target="https://www.nature.com/articles/s41467-026-73701-0" TargetMode="External"/><Relationship Id="rId1104" Type="http://schemas.openxmlformats.org/officeDocument/2006/relationships/hyperlink" Target="https://www.nature.com/articles/s41467-026-73667-z" TargetMode="External"/><Relationship Id="rId1105" Type="http://schemas.openxmlformats.org/officeDocument/2006/relationships/hyperlink" Target="https://www.nature.com/articles/s41467-026-73825-3" TargetMode="External"/><Relationship Id="rId1106" Type="http://schemas.openxmlformats.org/officeDocument/2006/relationships/hyperlink" Target="https://www.nature.com/articles/s41467-026-72135-y" TargetMode="External"/><Relationship Id="rId1107" Type="http://schemas.openxmlformats.org/officeDocument/2006/relationships/hyperlink" Target="https://www.nature.com/articles/s41467-026-73700-1" TargetMode="External"/><Relationship Id="rId1108" Type="http://schemas.openxmlformats.org/officeDocument/2006/relationships/hyperlink" Target="https://www.nature.com/articles/s41467-026-73803-9" TargetMode="External"/><Relationship Id="rId1109" Type="http://schemas.openxmlformats.org/officeDocument/2006/relationships/hyperlink" Target="https://www.nature.com/articles/s41467-026-73669-x" TargetMode="External"/><Relationship Id="rId1110" Type="http://schemas.openxmlformats.org/officeDocument/2006/relationships/hyperlink" Target="https://www.nature.com/articles/s41467-026-73064-6" TargetMode="External"/><Relationship Id="rId1111" Type="http://schemas.openxmlformats.org/officeDocument/2006/relationships/hyperlink" Target="https://www.nature.com/articles/s41467-026-73884-6" TargetMode="External"/><Relationship Id="rId1112" Type="http://schemas.openxmlformats.org/officeDocument/2006/relationships/hyperlink" Target="https://www.nature.com/articles/s41467-026-73087-z" TargetMode="External"/><Relationship Id="rId1113" Type="http://schemas.openxmlformats.org/officeDocument/2006/relationships/hyperlink" Target="https://www.nature.com/articles/s41467-026-71434-8" TargetMode="External"/><Relationship Id="rId1114" Type="http://schemas.openxmlformats.org/officeDocument/2006/relationships/hyperlink" Target="https://www.nature.com/articles/s41467-026-73828-0" TargetMode="External"/><Relationship Id="rId1115" Type="http://schemas.openxmlformats.org/officeDocument/2006/relationships/hyperlink" Target="https://www.nature.com/articles/s41557-026-02153-2" TargetMode="External"/><Relationship Id="rId1116" Type="http://schemas.openxmlformats.org/officeDocument/2006/relationships/hyperlink" Target="https://doi.org/10.1038/s41557-026-02153-2" TargetMode="External"/><Relationship Id="rId1117" Type="http://schemas.openxmlformats.org/officeDocument/2006/relationships/hyperlink" Target="https://www.nature.com/articles/s41467-026-73813-7" TargetMode="External"/><Relationship Id="rId1118" Type="http://schemas.openxmlformats.org/officeDocument/2006/relationships/hyperlink" Target="https://www.nature.com/articles/s41467-026-73763-0" TargetMode="External"/><Relationship Id="rId1119" Type="http://schemas.openxmlformats.org/officeDocument/2006/relationships/hyperlink" Target="https://www.nature.com/articles/s41467-026-73726-5" TargetMode="External"/><Relationship Id="rId1120" Type="http://schemas.openxmlformats.org/officeDocument/2006/relationships/hyperlink" Target="https://www.nature.com/articles/s41467-026-73357-w" TargetMode="External"/><Relationship Id="rId1121" Type="http://schemas.openxmlformats.org/officeDocument/2006/relationships/hyperlink" Target="https://www.nature.com/articles/s41467-026-73623-x" TargetMode="External"/><Relationship Id="rId1122" Type="http://schemas.openxmlformats.org/officeDocument/2006/relationships/hyperlink" Target="https://www.nature.com/articles/s41467-026-73365-w" TargetMode="External"/><Relationship Id="rId1123" Type="http://schemas.openxmlformats.org/officeDocument/2006/relationships/hyperlink" Target="https://www.sciencedirect.com/science/article/pii/S0306261926007166?dgcid=rss_sd_all" TargetMode="External"/><Relationship Id="rId1124" Type="http://schemas.openxmlformats.org/officeDocument/2006/relationships/hyperlink" Target="https://www.nature.com/articles/s41467-026-73390-9" TargetMode="External"/><Relationship Id="rId1125" Type="http://schemas.openxmlformats.org/officeDocument/2006/relationships/hyperlink" Target="https://www.science.org/doi/abs/10.1126/science.aej2011?af=R" TargetMode="External"/><Relationship Id="rId1126" Type="http://schemas.openxmlformats.org/officeDocument/2006/relationships/hyperlink" Target="https://doi.org/10.1126/science.aej2011" TargetMode="External"/><Relationship Id="rId1127" Type="http://schemas.openxmlformats.org/officeDocument/2006/relationships/hyperlink" Target="https://www.science.org/doi/abs/10.1126/science.aej2008?af=R" TargetMode="External"/><Relationship Id="rId1128" Type="http://schemas.openxmlformats.org/officeDocument/2006/relationships/hyperlink" Target="https://doi.org/10.1126/science.aej2008" TargetMode="External"/><Relationship Id="rId1129" Type="http://schemas.openxmlformats.org/officeDocument/2006/relationships/hyperlink" Target="https://www.science.org/doi/abs/10.1126/science.aej2007?af=R" TargetMode="External"/><Relationship Id="rId1130" Type="http://schemas.openxmlformats.org/officeDocument/2006/relationships/hyperlink" Target="https://doi.org/10.1126/science.aej2007" TargetMode="External"/><Relationship Id="rId1131" Type="http://schemas.openxmlformats.org/officeDocument/2006/relationships/hyperlink" Target="https://www.science.org/doi/abs/10.1126/science.aeh3585?af=R" TargetMode="External"/><Relationship Id="rId1132" Type="http://schemas.openxmlformats.org/officeDocument/2006/relationships/hyperlink" Target="https://doi.org/10.1126/science.aeh3585" TargetMode="External"/><Relationship Id="rId1133" Type="http://schemas.openxmlformats.org/officeDocument/2006/relationships/hyperlink" Target="https://www.science.org/doi/abs/10.1126/science.aeh4080?af=R" TargetMode="External"/><Relationship Id="rId1134" Type="http://schemas.openxmlformats.org/officeDocument/2006/relationships/hyperlink" Target="https://doi.org/10.1126/science.aeh4080" TargetMode="External"/><Relationship Id="rId1135" Type="http://schemas.openxmlformats.org/officeDocument/2006/relationships/hyperlink" Target="https://www.science.org/doi/abs/10.1126/science.aej2009?af=R" TargetMode="External"/><Relationship Id="rId1136" Type="http://schemas.openxmlformats.org/officeDocument/2006/relationships/hyperlink" Target="https://doi.org/10.1126/science.aej2009" TargetMode="External"/><Relationship Id="rId1137" Type="http://schemas.openxmlformats.org/officeDocument/2006/relationships/hyperlink" Target="https://www.science.org/doi/abs/10.1126/science.aej1922?af=R" TargetMode="External"/><Relationship Id="rId1138" Type="http://schemas.openxmlformats.org/officeDocument/2006/relationships/hyperlink" Target="https://doi.org/10.1126/science.aej1922" TargetMode="External"/><Relationship Id="rId1139" Type="http://schemas.openxmlformats.org/officeDocument/2006/relationships/hyperlink" Target="https://www.science.org/doi/abs/10.1126/science.aei2381?af=R" TargetMode="External"/><Relationship Id="rId1140" Type="http://schemas.openxmlformats.org/officeDocument/2006/relationships/hyperlink" Target="https://doi.org/10.1126/science.aei2381" TargetMode="External"/><Relationship Id="rId1141" Type="http://schemas.openxmlformats.org/officeDocument/2006/relationships/hyperlink" Target="https://www.science.org/doi/abs/10.1126/science.aei2362?af=R" TargetMode="External"/><Relationship Id="rId1142" Type="http://schemas.openxmlformats.org/officeDocument/2006/relationships/hyperlink" Target="https://doi.org/10.1126/science.aei2362" TargetMode="External"/><Relationship Id="rId1143" Type="http://schemas.openxmlformats.org/officeDocument/2006/relationships/hyperlink" Target="https://www.science.org/doi/abs/10.1126/science.aeh5443?af=R" TargetMode="External"/><Relationship Id="rId1144" Type="http://schemas.openxmlformats.org/officeDocument/2006/relationships/hyperlink" Target="https://doi.org/10.1126/science.aeh5443" TargetMode="External"/><Relationship Id="rId1145" Type="http://schemas.openxmlformats.org/officeDocument/2006/relationships/hyperlink" Target="https://www.science.org/doi/abs/10.1126/science.aej2010?af=R" TargetMode="External"/><Relationship Id="rId1146" Type="http://schemas.openxmlformats.org/officeDocument/2006/relationships/hyperlink" Target="https://doi.org/10.1126/science.aej2010" TargetMode="External"/><Relationship Id="rId1147" Type="http://schemas.openxmlformats.org/officeDocument/2006/relationships/hyperlink" Target="https://www.science.org/doi/abs/10.1126/science.aei8900?af=R" TargetMode="External"/><Relationship Id="rId1148" Type="http://schemas.openxmlformats.org/officeDocument/2006/relationships/hyperlink" Target="https://doi.org/10.1126/science.aei8900" TargetMode="External"/><Relationship Id="rId1149" Type="http://schemas.openxmlformats.org/officeDocument/2006/relationships/hyperlink" Target="https://www.science.org/doi/abs/10.1126/science.aeh9507?af=R" TargetMode="External"/><Relationship Id="rId1150" Type="http://schemas.openxmlformats.org/officeDocument/2006/relationships/hyperlink" Target="https://doi.org/10.1126/science.aeh9507" TargetMode="External"/><Relationship Id="rId1151" Type="http://schemas.openxmlformats.org/officeDocument/2006/relationships/hyperlink" Target="https://www.science.org/doi/abs/10.1126/science.adv5447?af=R" TargetMode="External"/><Relationship Id="rId1152" Type="http://schemas.openxmlformats.org/officeDocument/2006/relationships/hyperlink" Target="https://doi.org/10.1126/science.adv5447" TargetMode="External"/><Relationship Id="rId1153" Type="http://schemas.openxmlformats.org/officeDocument/2006/relationships/hyperlink" Target="https://www.science.org/doi/abs/10.1126/science.aei9225?af=R" TargetMode="External"/><Relationship Id="rId1154" Type="http://schemas.openxmlformats.org/officeDocument/2006/relationships/hyperlink" Target="https://doi.org/10.1126/science.aei9225" TargetMode="External"/><Relationship Id="rId1155" Type="http://schemas.openxmlformats.org/officeDocument/2006/relationships/hyperlink" Target="https://www.science.org/doi/abs/10.1126/science.adt7494?af=R" TargetMode="External"/><Relationship Id="rId1156" Type="http://schemas.openxmlformats.org/officeDocument/2006/relationships/hyperlink" Target="https://doi.org/10.1126/science.adt7494" TargetMode="External"/><Relationship Id="rId1157" Type="http://schemas.openxmlformats.org/officeDocument/2006/relationships/hyperlink" Target="https://www.science.org/doi/abs/10.1126/science.aej1106?af=R" TargetMode="External"/><Relationship Id="rId1158" Type="http://schemas.openxmlformats.org/officeDocument/2006/relationships/hyperlink" Target="https://doi.org/10.1126/science.aej1106" TargetMode="External"/><Relationship Id="rId1159" Type="http://schemas.openxmlformats.org/officeDocument/2006/relationships/hyperlink" Target="https://www.science.org/doi/abs/10.1126/science.aei9226?af=R" TargetMode="External"/><Relationship Id="rId1160" Type="http://schemas.openxmlformats.org/officeDocument/2006/relationships/hyperlink" Target="https://doi.org/10.1126/science.aei9226" TargetMode="External"/><Relationship Id="rId1161" Type="http://schemas.openxmlformats.org/officeDocument/2006/relationships/hyperlink" Target="https://www.science.org/doi/abs/10.1126/science.aeh0733?af=R" TargetMode="External"/><Relationship Id="rId1162" Type="http://schemas.openxmlformats.org/officeDocument/2006/relationships/hyperlink" Target="https://doi.org/10.1126/science.aeh0733" TargetMode="External"/><Relationship Id="rId1163" Type="http://schemas.openxmlformats.org/officeDocument/2006/relationships/hyperlink" Target="https://www.science.org/doi/abs/10.1126/science.aei4055?af=R" TargetMode="External"/><Relationship Id="rId1164" Type="http://schemas.openxmlformats.org/officeDocument/2006/relationships/hyperlink" Target="https://doi.org/10.1126/science.aei4055" TargetMode="External"/><Relationship Id="rId1165" Type="http://schemas.openxmlformats.org/officeDocument/2006/relationships/hyperlink" Target="https://www.science.org/doi/abs/10.1126/science.aei9224?af=R" TargetMode="External"/><Relationship Id="rId1166" Type="http://schemas.openxmlformats.org/officeDocument/2006/relationships/hyperlink" Target="https://doi.org/10.1126/science.aei9224" TargetMode="External"/><Relationship Id="rId1167" Type="http://schemas.openxmlformats.org/officeDocument/2006/relationships/hyperlink" Target="https://www.science.org/doi/abs/10.1126/science.aeg5513?af=R" TargetMode="External"/><Relationship Id="rId1168" Type="http://schemas.openxmlformats.org/officeDocument/2006/relationships/hyperlink" Target="https://doi.org/10.1126/science.aeg5513" TargetMode="External"/><Relationship Id="rId1169" Type="http://schemas.openxmlformats.org/officeDocument/2006/relationships/hyperlink" Target="https://www.science.org/doi/abs/10.1126/science.aea9895?af=R" TargetMode="External"/><Relationship Id="rId1170" Type="http://schemas.openxmlformats.org/officeDocument/2006/relationships/hyperlink" Target="https://doi.org/10.1126/science.aea9895" TargetMode="External"/><Relationship Id="rId1171" Type="http://schemas.openxmlformats.org/officeDocument/2006/relationships/hyperlink" Target="https://www.science.org/doi/abs/10.1126/science.aef4139?af=R" TargetMode="External"/><Relationship Id="rId1172" Type="http://schemas.openxmlformats.org/officeDocument/2006/relationships/hyperlink" Target="https://doi.org/10.1126/science.aef4139" TargetMode="External"/><Relationship Id="rId1173" Type="http://schemas.openxmlformats.org/officeDocument/2006/relationships/hyperlink" Target="https://www.science.org/doi/abs/10.1126/science.ady2486?af=R" TargetMode="External"/><Relationship Id="rId1174" Type="http://schemas.openxmlformats.org/officeDocument/2006/relationships/hyperlink" Target="https://doi.org/10.1126/science.ady2486" TargetMode="External"/><Relationship Id="rId1175" Type="http://schemas.openxmlformats.org/officeDocument/2006/relationships/hyperlink" Target="https://www.science.org/doi/abs/10.1126/science.adq4418?af=R" TargetMode="External"/><Relationship Id="rId1176" Type="http://schemas.openxmlformats.org/officeDocument/2006/relationships/hyperlink" Target="https://doi.org/10.1126/science.adq4418" TargetMode="External"/><Relationship Id="rId1177" Type="http://schemas.openxmlformats.org/officeDocument/2006/relationships/hyperlink" Target="https://www.science.org/doi/abs/10.1126/science.ady6472?af=R" TargetMode="External"/><Relationship Id="rId1178" Type="http://schemas.openxmlformats.org/officeDocument/2006/relationships/hyperlink" Target="https://doi.org/10.1126/science.ady6472" TargetMode="External"/><Relationship Id="rId1179" Type="http://schemas.openxmlformats.org/officeDocument/2006/relationships/hyperlink" Target="https://advanced.onlinelibrary.wiley.com/doi/10.1002/adma.73486?af=R" TargetMode="External"/><Relationship Id="rId1180" Type="http://schemas.openxmlformats.org/officeDocument/2006/relationships/hyperlink" Target="https://doi.org/10.1002/adma.73486" TargetMode="External"/><Relationship Id="rId1181" Type="http://schemas.openxmlformats.org/officeDocument/2006/relationships/hyperlink" Target="https://advanced.onlinelibrary.wiley.com/doi/10.1002/adma.73542?af=R" TargetMode="External"/><Relationship Id="rId1182" Type="http://schemas.openxmlformats.org/officeDocument/2006/relationships/hyperlink" Target="https://doi.org/10.1002/adma.73542" TargetMode="External"/><Relationship Id="rId1183" Type="http://schemas.openxmlformats.org/officeDocument/2006/relationships/hyperlink" Target="https://www.science.org/doi/abs/10.1126/science.adz2742?af=R" TargetMode="External"/><Relationship Id="rId1184" Type="http://schemas.openxmlformats.org/officeDocument/2006/relationships/hyperlink" Target="https://doi.org/10.1126/science.adz2742" TargetMode="External"/><Relationship Id="rId1185" Type="http://schemas.openxmlformats.org/officeDocument/2006/relationships/hyperlink" Target="https://www.science.org/doi/abs/10.1126/science.adv0377?af=R" TargetMode="External"/><Relationship Id="rId1186" Type="http://schemas.openxmlformats.org/officeDocument/2006/relationships/hyperlink" Target="https://doi.org/10.1126/science.adv0377" TargetMode="External"/><Relationship Id="rId1187" Type="http://schemas.openxmlformats.org/officeDocument/2006/relationships/hyperlink" Target="https://www.science.org/doi/abs/10.1126/science.adv3081?af=R" TargetMode="External"/><Relationship Id="rId1188" Type="http://schemas.openxmlformats.org/officeDocument/2006/relationships/hyperlink" Target="https://doi.org/10.1126/science.adv3081" TargetMode="External"/><Relationship Id="rId1189" Type="http://schemas.openxmlformats.org/officeDocument/2006/relationships/hyperlink" Target="https://www.science.org/doi/abs/10.1126/science.aeb6487?af=R" TargetMode="External"/><Relationship Id="rId1190" Type="http://schemas.openxmlformats.org/officeDocument/2006/relationships/hyperlink" Target="https://doi.org/10.1126/science.aeb6487" TargetMode="External"/><Relationship Id="rId1191" Type="http://schemas.openxmlformats.org/officeDocument/2006/relationships/hyperlink" Target="https://www.science.org/doi/abs/10.1126/science.aeb7062?af=R" TargetMode="External"/><Relationship Id="rId1192" Type="http://schemas.openxmlformats.org/officeDocument/2006/relationships/hyperlink" Target="https://doi.org/10.1126/science.aeb7062" TargetMode="External"/><Relationship Id="rId1193" Type="http://schemas.openxmlformats.org/officeDocument/2006/relationships/hyperlink" Target="https://www.science.org/doi/abs/10.1126/science.adu9554?af=R" TargetMode="External"/><Relationship Id="rId1194" Type="http://schemas.openxmlformats.org/officeDocument/2006/relationships/hyperlink" Target="https://doi.org/10.1126/science.adu9554" TargetMode="External"/><Relationship Id="rId1195" Type="http://schemas.openxmlformats.org/officeDocument/2006/relationships/hyperlink" Target="https://onlinelibrary.wiley.com/doi/10.1002/anie.5914227?af=R" TargetMode="External"/><Relationship Id="rId1196" Type="http://schemas.openxmlformats.org/officeDocument/2006/relationships/hyperlink" Target="https://doi.org/10.1002/anie.5914227" TargetMode="External"/><Relationship Id="rId1197" Type="http://schemas.openxmlformats.org/officeDocument/2006/relationships/hyperlink" Target="https://www.science.org/doi/abs/10.1126/science.aed1630?af=R" TargetMode="External"/><Relationship Id="rId1198" Type="http://schemas.openxmlformats.org/officeDocument/2006/relationships/hyperlink" Target="https://doi.org/10.1126/science.aed1630" TargetMode="External"/><Relationship Id="rId1199" Type="http://schemas.openxmlformats.org/officeDocument/2006/relationships/hyperlink" Target="https://onlinelibrary.wiley.com/doi/10.1002/anie.1454473?af=R" TargetMode="External"/><Relationship Id="rId1200" Type="http://schemas.openxmlformats.org/officeDocument/2006/relationships/hyperlink" Target="https://doi.org/10.1002/anie.1454473" TargetMode="External"/><Relationship Id="rId1201" Type="http://schemas.openxmlformats.org/officeDocument/2006/relationships/hyperlink" Target="https://onlinelibrary.wiley.com/doi/10.1002/anie.3918717?af=R" TargetMode="External"/><Relationship Id="rId1202" Type="http://schemas.openxmlformats.org/officeDocument/2006/relationships/hyperlink" Target="https://doi.org/10.1002/anie.3918717" TargetMode="External"/><Relationship Id="rId1203" Type="http://schemas.openxmlformats.org/officeDocument/2006/relationships/hyperlink" Target="https://onlinelibrary.wiley.com/doi/10.1002/anie.202525040?af=R" TargetMode="External"/><Relationship Id="rId1204" Type="http://schemas.openxmlformats.org/officeDocument/2006/relationships/hyperlink" Target="https://doi.org/10.1002/anie.202525040" TargetMode="External"/><Relationship Id="rId1205" Type="http://schemas.openxmlformats.org/officeDocument/2006/relationships/hyperlink" Target="https://onlinelibrary.wiley.com/doi/10.1002/anie.7935890?af=R" TargetMode="External"/><Relationship Id="rId1206" Type="http://schemas.openxmlformats.org/officeDocument/2006/relationships/hyperlink" Target="https://doi.org/10.1002/anie.7935890" TargetMode="External"/><Relationship Id="rId1207" Type="http://schemas.openxmlformats.org/officeDocument/2006/relationships/hyperlink" Target="https://onlinelibrary.wiley.com/doi/10.1002/anie.6692301?af=R" TargetMode="External"/><Relationship Id="rId1208" Type="http://schemas.openxmlformats.org/officeDocument/2006/relationships/hyperlink" Target="https://doi.org/10.1002/anie.6692301" TargetMode="External"/><Relationship Id="rId1209" Type="http://schemas.openxmlformats.org/officeDocument/2006/relationships/hyperlink" Target="https://advanced.onlinelibrary.wiley.com/doi/10.1002/adma.73504?af=R" TargetMode="External"/><Relationship Id="rId1210" Type="http://schemas.openxmlformats.org/officeDocument/2006/relationships/hyperlink" Target="https://doi.org/10.1002/adma.73504" TargetMode="External"/><Relationship Id="rId1211" Type="http://schemas.openxmlformats.org/officeDocument/2006/relationships/hyperlink" Target="https://advanced.onlinelibrary.wiley.com/doi/10.1002/adma.73522?af=R" TargetMode="External"/><Relationship Id="rId1212" Type="http://schemas.openxmlformats.org/officeDocument/2006/relationships/hyperlink" Target="https://doi.org/10.1002/adma.73522" TargetMode="External"/><Relationship Id="rId1213" Type="http://schemas.openxmlformats.org/officeDocument/2006/relationships/hyperlink" Target="https://onlinelibrary.wiley.com/doi/10.1002/anie.2280142?af=R" TargetMode="External"/><Relationship Id="rId1214" Type="http://schemas.openxmlformats.org/officeDocument/2006/relationships/hyperlink" Target="https://doi.org/10.1002/anie.2280142" TargetMode="External"/><Relationship Id="rId1215" Type="http://schemas.openxmlformats.org/officeDocument/2006/relationships/hyperlink" Target="https://onlinelibrary.wiley.com/doi/10.1002/anie.7821033?af=R" TargetMode="External"/><Relationship Id="rId1216" Type="http://schemas.openxmlformats.org/officeDocument/2006/relationships/hyperlink" Target="https://doi.org/10.1002/anie.7821033" TargetMode="External"/><Relationship Id="rId1217" Type="http://schemas.openxmlformats.org/officeDocument/2006/relationships/hyperlink" Target="https://onlinelibrary.wiley.com/doi/10.1002/anie.9011937?af=R" TargetMode="External"/><Relationship Id="rId1218" Type="http://schemas.openxmlformats.org/officeDocument/2006/relationships/hyperlink" Target="https://doi.org/10.1002/anie.9011937" TargetMode="External"/><Relationship Id="rId1219" Type="http://schemas.openxmlformats.org/officeDocument/2006/relationships/hyperlink" Target="http://pubs.rsc.org/en/Content/ArticleLanding/2026/CS/D6CS0016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